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6C7E3" w14:textId="77777777" w:rsidR="006148D6" w:rsidRDefault="006148D6" w:rsidP="00E461FB">
      <w:pPr>
        <w:spacing w:after="0" w:line="240" w:lineRule="auto"/>
        <w:jc w:val="center"/>
        <w:rPr>
          <w:color w:val="009BA4"/>
          <w:sz w:val="68"/>
          <w:szCs w:val="360"/>
        </w:rPr>
      </w:pPr>
      <w:bookmarkStart w:id="0" w:name="_Toc45612609"/>
    </w:p>
    <w:p w14:paraId="4E3D3485" w14:textId="77777777" w:rsidR="006148D6" w:rsidRDefault="006148D6" w:rsidP="006148D6">
      <w:pPr>
        <w:spacing w:after="480" w:line="240" w:lineRule="auto"/>
        <w:jc w:val="center"/>
        <w:rPr>
          <w:color w:val="009BA4"/>
          <w:sz w:val="68"/>
          <w:szCs w:val="360"/>
        </w:rPr>
      </w:pPr>
    </w:p>
    <w:p w14:paraId="4E70B69D" w14:textId="77777777" w:rsidR="006148D6" w:rsidRPr="00D602EF" w:rsidRDefault="00E461FB" w:rsidP="006148D6">
      <w:pPr>
        <w:spacing w:line="240" w:lineRule="auto"/>
        <w:jc w:val="center"/>
        <w:rPr>
          <w:color w:val="009BA4"/>
          <w:sz w:val="58"/>
          <w:szCs w:val="260"/>
        </w:rPr>
      </w:pPr>
      <w:r w:rsidRPr="00D602EF">
        <w:rPr>
          <w:color w:val="009BA4"/>
          <w:sz w:val="58"/>
          <w:szCs w:val="260"/>
        </w:rPr>
        <w:t xml:space="preserve">The Wilmington </w:t>
      </w:r>
    </w:p>
    <w:p w14:paraId="03F9C953" w14:textId="7DA50295" w:rsidR="00E461FB" w:rsidRPr="00D602EF" w:rsidRDefault="00E461FB" w:rsidP="006148D6">
      <w:pPr>
        <w:spacing w:line="240" w:lineRule="auto"/>
        <w:jc w:val="center"/>
        <w:rPr>
          <w:color w:val="009BA4"/>
          <w:sz w:val="58"/>
          <w:szCs w:val="260"/>
        </w:rPr>
      </w:pPr>
      <w:r w:rsidRPr="00D602EF">
        <w:rPr>
          <w:color w:val="009BA4"/>
          <w:sz w:val="58"/>
          <w:szCs w:val="260"/>
        </w:rPr>
        <w:t>Childhood Cancer Study</w:t>
      </w:r>
    </w:p>
    <w:p w14:paraId="347B5218" w14:textId="3E610378" w:rsidR="006148D6" w:rsidRPr="00D602EF" w:rsidRDefault="00D602EF" w:rsidP="006148D6">
      <w:pPr>
        <w:spacing w:before="840" w:after="0" w:line="360" w:lineRule="auto"/>
        <w:jc w:val="center"/>
        <w:rPr>
          <w:color w:val="009BA4"/>
          <w:sz w:val="36"/>
          <w:szCs w:val="48"/>
        </w:rPr>
      </w:pPr>
      <w:r w:rsidRPr="00D602EF">
        <w:rPr>
          <w:noProof/>
          <w:color w:val="009BA4"/>
          <w:sz w:val="58"/>
          <w:szCs w:val="260"/>
        </w:rPr>
        <mc:AlternateContent>
          <mc:Choice Requires="wps">
            <w:drawing>
              <wp:anchor distT="0" distB="0" distL="114300" distR="114300" simplePos="0" relativeHeight="251682816" behindDoc="0" locked="0" layoutInCell="1" allowOverlap="1" wp14:anchorId="42E1C37C" wp14:editId="61BC3F9D">
                <wp:simplePos x="0" y="0"/>
                <wp:positionH relativeFrom="column">
                  <wp:posOffset>81915</wp:posOffset>
                </wp:positionH>
                <wp:positionV relativeFrom="paragraph">
                  <wp:posOffset>24242</wp:posOffset>
                </wp:positionV>
                <wp:extent cx="5029200" cy="17780"/>
                <wp:effectExtent l="0" t="0" r="19050" b="20320"/>
                <wp:wrapNone/>
                <wp:docPr id="12" name="Straight Connector 12"/>
                <wp:cNvGraphicFramePr/>
                <a:graphic xmlns:a="http://schemas.openxmlformats.org/drawingml/2006/main">
                  <a:graphicData uri="http://schemas.microsoft.com/office/word/2010/wordprocessingShape">
                    <wps:wsp>
                      <wps:cNvCnPr/>
                      <wps:spPr>
                        <a:xfrm>
                          <a:off x="0" y="0"/>
                          <a:ext cx="5029200" cy="17780"/>
                        </a:xfrm>
                        <a:prstGeom prst="line">
                          <a:avLst/>
                        </a:prstGeom>
                        <a:ln w="12700">
                          <a:solidFill>
                            <a:srgbClr val="009BA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5278" id="Straight Connector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9pt" to="402.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" strokecolor="#009ba4" strokeweight="1pt"/>
            </w:pict>
          </mc:Fallback>
        </mc:AlternateContent>
      </w:r>
      <w:r w:rsidR="00E461FB" w:rsidRPr="00D602EF">
        <w:rPr>
          <w:color w:val="009BA4"/>
          <w:sz w:val="36"/>
          <w:szCs w:val="48"/>
        </w:rPr>
        <w:t>An Epidemiologic Investigation of</w:t>
      </w:r>
    </w:p>
    <w:p w14:paraId="35EF9A06" w14:textId="0DE144A0" w:rsidR="00E461FB" w:rsidRDefault="00E461FB" w:rsidP="006148D6">
      <w:pPr>
        <w:spacing w:after="0" w:line="360" w:lineRule="auto"/>
        <w:jc w:val="center"/>
        <w:rPr>
          <w:color w:val="009BA4"/>
          <w:sz w:val="36"/>
          <w:szCs w:val="48"/>
        </w:rPr>
      </w:pPr>
      <w:r w:rsidRPr="00D602EF">
        <w:rPr>
          <w:color w:val="009BA4"/>
          <w:sz w:val="36"/>
          <w:szCs w:val="48"/>
        </w:rPr>
        <w:t xml:space="preserve"> Childhood Cancer from 1990-2000</w:t>
      </w:r>
    </w:p>
    <w:p w14:paraId="161278C2" w14:textId="5DAF5AA7" w:rsidR="00D602EF" w:rsidRDefault="00D602EF" w:rsidP="006148D6">
      <w:pPr>
        <w:spacing w:after="0" w:line="360" w:lineRule="auto"/>
        <w:jc w:val="center"/>
        <w:rPr>
          <w:color w:val="009BA4"/>
          <w:sz w:val="36"/>
          <w:szCs w:val="48"/>
        </w:rPr>
      </w:pPr>
    </w:p>
    <w:p w14:paraId="2B35B101" w14:textId="63B6915F" w:rsidR="00D602EF" w:rsidRDefault="00D602EF" w:rsidP="006148D6">
      <w:pPr>
        <w:spacing w:after="0" w:line="360" w:lineRule="auto"/>
        <w:jc w:val="center"/>
        <w:rPr>
          <w:color w:val="009BA4"/>
          <w:sz w:val="36"/>
          <w:szCs w:val="48"/>
        </w:rPr>
      </w:pPr>
    </w:p>
    <w:p w14:paraId="6DF3D4F2" w14:textId="3E3D4AF7" w:rsidR="00D602EF" w:rsidRDefault="00D602EF" w:rsidP="006148D6">
      <w:pPr>
        <w:spacing w:after="0" w:line="360" w:lineRule="auto"/>
        <w:jc w:val="center"/>
        <w:rPr>
          <w:color w:val="009BA4"/>
          <w:sz w:val="36"/>
          <w:szCs w:val="48"/>
        </w:rPr>
      </w:pPr>
    </w:p>
    <w:p w14:paraId="5071B3BB" w14:textId="77777777" w:rsidR="00D602EF" w:rsidRDefault="00D602EF" w:rsidP="006148D6">
      <w:pPr>
        <w:spacing w:after="0" w:line="360" w:lineRule="auto"/>
        <w:jc w:val="center"/>
        <w:rPr>
          <w:color w:val="009BA4"/>
          <w:sz w:val="36"/>
          <w:szCs w:val="48"/>
        </w:rPr>
      </w:pPr>
    </w:p>
    <w:p w14:paraId="7AFEE871" w14:textId="5C2AF282" w:rsidR="00D602EF" w:rsidRPr="00D602EF" w:rsidRDefault="00D602EF" w:rsidP="006148D6">
      <w:pPr>
        <w:spacing w:after="0" w:line="360" w:lineRule="auto"/>
        <w:jc w:val="center"/>
        <w:rPr>
          <w:rFonts w:ascii="Calibri" w:hAnsi="Calibri" w:cs="Calibri"/>
          <w:smallCaps/>
          <w:color w:val="009BA4"/>
          <w:sz w:val="36"/>
          <w:szCs w:val="48"/>
        </w:rPr>
      </w:pPr>
      <w:r w:rsidRPr="00D602EF">
        <w:rPr>
          <w:rFonts w:ascii="Calibri" w:hAnsi="Calibri" w:cs="Calibri"/>
          <w:smallCaps/>
          <w:color w:val="009BA4"/>
          <w:sz w:val="36"/>
          <w:szCs w:val="48"/>
        </w:rPr>
        <w:t>March 2021</w:t>
      </w:r>
    </w:p>
    <w:p w14:paraId="1D89598D" w14:textId="37A9C171" w:rsidR="00E461FB" w:rsidRDefault="00E461FB" w:rsidP="00E461FB">
      <w:pPr>
        <w:spacing w:after="0" w:line="240" w:lineRule="auto"/>
        <w:jc w:val="center"/>
        <w:rPr>
          <w:color w:val="009BA4"/>
        </w:rPr>
      </w:pPr>
    </w:p>
    <w:p w14:paraId="066EDA34" w14:textId="65B5C1AC" w:rsidR="008327CF" w:rsidRDefault="008327CF" w:rsidP="00E461FB">
      <w:pPr>
        <w:spacing w:after="0" w:line="240" w:lineRule="auto"/>
        <w:jc w:val="center"/>
        <w:rPr>
          <w:color w:val="009BA4"/>
        </w:rPr>
      </w:pPr>
    </w:p>
    <w:p w14:paraId="08D3D9F3" w14:textId="425CF96C" w:rsidR="008327CF" w:rsidRDefault="008327CF" w:rsidP="00E461FB">
      <w:pPr>
        <w:spacing w:after="0" w:line="240" w:lineRule="auto"/>
        <w:jc w:val="center"/>
        <w:rPr>
          <w:color w:val="009BA4"/>
        </w:rPr>
      </w:pPr>
    </w:p>
    <w:p w14:paraId="03D97C47" w14:textId="498173AE" w:rsidR="008327CF" w:rsidRDefault="008327CF" w:rsidP="00E461FB">
      <w:pPr>
        <w:spacing w:after="0" w:line="240" w:lineRule="auto"/>
        <w:jc w:val="center"/>
        <w:rPr>
          <w:color w:val="009BA4"/>
        </w:rPr>
      </w:pPr>
    </w:p>
    <w:p w14:paraId="7DF31E9A" w14:textId="6302BF11" w:rsidR="008327CF" w:rsidRDefault="008327CF" w:rsidP="00E461FB">
      <w:pPr>
        <w:spacing w:after="0" w:line="240" w:lineRule="auto"/>
        <w:jc w:val="center"/>
        <w:rPr>
          <w:color w:val="009BA4"/>
          <w:sz w:val="68"/>
          <w:szCs w:val="360"/>
        </w:rPr>
      </w:pPr>
    </w:p>
    <w:p w14:paraId="3A7F3162" w14:textId="7E8DC7AA" w:rsidR="00E461FB" w:rsidRDefault="008327CF" w:rsidP="00E461FB">
      <w:pPr>
        <w:spacing w:after="0" w:line="240" w:lineRule="auto"/>
        <w:jc w:val="center"/>
        <w:rPr>
          <w:rFonts w:ascii="Adobe Caslon Pro Bold" w:hAnsi="Adobe Caslon Pro Bold"/>
          <w:b/>
          <w:bCs/>
          <w:caps/>
          <w:color w:val="009BA4"/>
          <w:spacing w:val="20"/>
          <w:kern w:val="32"/>
          <w:sz w:val="28"/>
          <w:lang w:eastAsia="x-none"/>
        </w:rPr>
      </w:pPr>
      <w:r>
        <w:rPr>
          <w:rFonts w:ascii="Cambria" w:hAnsi="Cambria"/>
          <w:b/>
          <w:noProof/>
          <w:sz w:val="21"/>
          <w:szCs w:val="21"/>
        </w:rPr>
        <w:drawing>
          <wp:inline distT="0" distB="0" distL="0" distR="0" wp14:anchorId="2031BBF9" wp14:editId="052096D2">
            <wp:extent cx="1828800" cy="690490"/>
            <wp:effectExtent l="0" t="0" r="0" b="0"/>
            <wp:docPr id="14" name="Picture 14" descr="Left: Massachusetts Department of Public Health logo; accompanying text - Commonwealth of Massachusetts, Department of Public Health&#10;&#10;Right: Bureau of Environ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ft: Massachusetts Department of Public Health logo; accompanying text - Commonwealth of Massachusetts, Department of Public Health&#10;&#10;Right: Bureau of Environmental Health"/>
                    <pic:cNvPicPr>
                      <a:picLocks noChangeAspect="1" noChangeArrowheads="1"/>
                    </pic:cNvPicPr>
                  </pic:nvPicPr>
                  <pic:blipFill>
                    <a:blip r:embed="rId11" cstate="print">
                      <a:duotone>
                        <a:schemeClr val="accent5">
                          <a:shade val="45000"/>
                          <a:satMod val="135000"/>
                        </a:schemeClr>
                        <a:prstClr val="white"/>
                      </a:duotone>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690490"/>
                    </a:xfrm>
                    <a:prstGeom prst="rect">
                      <a:avLst/>
                    </a:prstGeom>
                    <a:noFill/>
                    <a:ln>
                      <a:noFill/>
                    </a:ln>
                  </pic:spPr>
                </pic:pic>
              </a:graphicData>
            </a:graphic>
          </wp:inline>
        </w:drawing>
      </w:r>
      <w:r w:rsidR="00E461FB" w:rsidRPr="00E461FB">
        <w:t xml:space="preserve"> </w:t>
      </w:r>
      <w:r w:rsidR="00E461FB">
        <w:br w:type="page"/>
      </w:r>
    </w:p>
    <w:p w14:paraId="6B33A124" w14:textId="77777777" w:rsidR="00FF416C" w:rsidRDefault="00FF416C" w:rsidP="003477EB">
      <w:pPr>
        <w:pStyle w:val="Heading1"/>
        <w:sectPr w:rsidR="00FF416C" w:rsidSect="00E461FB">
          <w:footerReference w:type="default" r:id="rId13"/>
          <w:footerReference w:type="first" r:id="rId14"/>
          <w:pgSz w:w="12240" w:h="15840"/>
          <w:pgMar w:top="1728" w:right="1872" w:bottom="2160" w:left="2160" w:header="720" w:footer="720" w:gutter="0"/>
          <w:pgNumType w:fmt="lowerRoman" w:start="1"/>
          <w:cols w:space="720"/>
          <w:titlePg/>
          <w:docGrid w:linePitch="360"/>
        </w:sectPr>
      </w:pPr>
    </w:p>
    <w:p w14:paraId="56DD3D2D" w14:textId="4C6CC3A3" w:rsidR="00FF416C" w:rsidRPr="003477EB" w:rsidRDefault="003477EB" w:rsidP="000F0BE5">
      <w:pPr>
        <w:pStyle w:val="Heading1"/>
      </w:pPr>
      <w:bookmarkStart w:id="1" w:name="_Toc67488257"/>
      <w:r w:rsidRPr="003477EB">
        <w:lastRenderedPageBreak/>
        <w:t>ACKNOWLEDGEMENTS</w:t>
      </w:r>
      <w:bookmarkEnd w:id="1"/>
    </w:p>
    <w:p w14:paraId="10A72857" w14:textId="711A198E" w:rsidR="008327CF" w:rsidRDefault="008327CF" w:rsidP="003477EB">
      <w:pPr>
        <w:rPr>
          <w:rFonts w:ascii="Calibri" w:hAnsi="Calibri"/>
          <w:sz w:val="22"/>
          <w:szCs w:val="22"/>
        </w:rPr>
      </w:pPr>
      <w:r>
        <w:t xml:space="preserve">This study could not have been completed without the support and cooperation of the Wilmington community. Foremost, we would like to thank the study participant families for their patient support and participation. We would also like to thank the Wilmington Childhood Cancer Study Community Advisory Committee (initially called the Kelly Hill Group) for their constructive comments throughout the study development. We would like to acknowledge Kathleen Barry, DPT, and Valerie Comeau for their roles in facilitating and assisting the department with the study, as well as the late State Representative James Miceli, State Senator Bruce </w:t>
      </w:r>
      <w:proofErr w:type="spellStart"/>
      <w:r>
        <w:t>Tarr</w:t>
      </w:r>
      <w:proofErr w:type="spellEnd"/>
      <w:r>
        <w:t>, members of the Wilmington Environmental Restoration Committee (W.E.R.C), and the Wilmington Board of Health for their support. We would also like to thank John Durant, Ph.D.</w:t>
      </w:r>
      <w:r w:rsidR="00C2588D">
        <w:t>, P.E.</w:t>
      </w:r>
      <w:r>
        <w:t xml:space="preserve">; Bruce Jacobs, Ph.D., P.E; Jayne Knott, Ph.D.; Peter Shanahan, Ph.D., P.E.; and Jeff Walker, Ph.D. for their work in the development of the Wilmington water system models. The staff at the Wilmington Water and Sewer Division were especially helpful in providing historical information on the water distribution system. We also wish to express our appreciation to the independent peer review committee for their constructive and insightful comments. The committee was comprised of Morris L. </w:t>
      </w:r>
      <w:proofErr w:type="spellStart"/>
      <w:r>
        <w:t>Maslia</w:t>
      </w:r>
      <w:proofErr w:type="spellEnd"/>
      <w:r>
        <w:t>, P.E., D.WRE, DEE, formerly of the U.S. Agency for Toxic Substances and Disease Registry; Noelle E. Selin, Ph.D., of the Massachusetts Institute of Technology; and Mary H. Ward, Ph.D., of the National Cancer Institute.</w:t>
      </w:r>
    </w:p>
    <w:p w14:paraId="61831B96" w14:textId="77777777" w:rsidR="008327CF" w:rsidRPr="008327CF" w:rsidRDefault="008327CF" w:rsidP="008327CF">
      <w:pPr>
        <w:rPr>
          <w:lang w:eastAsia="x-none"/>
        </w:rPr>
      </w:pPr>
    </w:p>
    <w:p w14:paraId="11DA908C" w14:textId="0A32B883" w:rsidR="008327CF" w:rsidRPr="008327CF" w:rsidRDefault="008327CF" w:rsidP="008327CF">
      <w:pPr>
        <w:rPr>
          <w:lang w:eastAsia="x-none"/>
        </w:rPr>
        <w:sectPr w:rsidR="008327CF" w:rsidRPr="008327CF" w:rsidSect="00E461FB">
          <w:footerReference w:type="first" r:id="rId15"/>
          <w:pgSz w:w="12240" w:h="15840"/>
          <w:pgMar w:top="1728" w:right="1872" w:bottom="2160" w:left="2160" w:header="720" w:footer="720" w:gutter="0"/>
          <w:pgNumType w:fmt="lowerRoman" w:start="1"/>
          <w:cols w:space="720"/>
          <w:titlePg/>
          <w:docGrid w:linePitch="360"/>
        </w:sectPr>
      </w:pPr>
    </w:p>
    <w:p w14:paraId="2639CEC2" w14:textId="05DEC010" w:rsidR="00C90F36" w:rsidRPr="004C44A5" w:rsidRDefault="00924831" w:rsidP="003477EB">
      <w:pPr>
        <w:pStyle w:val="Heading1"/>
      </w:pPr>
      <w:bookmarkStart w:id="2" w:name="_Toc67488258"/>
      <w:bookmarkEnd w:id="0"/>
      <w:r>
        <w:lastRenderedPageBreak/>
        <w:t>TABLE OF CONTENTS</w:t>
      </w:r>
      <w:bookmarkEnd w:id="2"/>
    </w:p>
    <w:p w14:paraId="6BE4FB48" w14:textId="18AD795A" w:rsidR="005251BF" w:rsidRDefault="008124C3" w:rsidP="005251BF">
      <w:pPr>
        <w:pStyle w:val="TOC1"/>
        <w:tabs>
          <w:tab w:val="clear" w:pos="9350"/>
          <w:tab w:val="right" w:leader="dot" w:pos="8190"/>
        </w:tabs>
        <w:rPr>
          <w:rFonts w:asciiTheme="minorHAnsi" w:eastAsiaTheme="minorEastAsia" w:hAnsiTheme="minorHAnsi" w:cstheme="minorBidi"/>
          <w:b w:val="0"/>
          <w:bCs w:val="0"/>
          <w:caps w:val="0"/>
          <w:sz w:val="22"/>
          <w:szCs w:val="22"/>
        </w:rPr>
      </w:pPr>
      <w:r w:rsidRPr="00E43A72">
        <w:rPr>
          <w:rFonts w:ascii="Adobe Caslon Pro" w:hAnsi="Adobe Caslon Pro"/>
          <w:smallCaps/>
        </w:rPr>
        <w:fldChar w:fldCharType="begin"/>
      </w:r>
      <w:r w:rsidRPr="00E43A72">
        <w:rPr>
          <w:rFonts w:ascii="Adobe Caslon Pro" w:hAnsi="Adobe Caslon Pro"/>
        </w:rPr>
        <w:instrText xml:space="preserve"> TOC \o "1-2" \h \z \u </w:instrText>
      </w:r>
      <w:r w:rsidRPr="00E43A72">
        <w:rPr>
          <w:rFonts w:ascii="Adobe Caslon Pro" w:hAnsi="Adobe Caslon Pro"/>
          <w:smallCaps/>
        </w:rPr>
        <w:fldChar w:fldCharType="separate"/>
      </w:r>
      <w:hyperlink w:anchor="_Toc67488257" w:history="1">
        <w:r w:rsidR="005251BF" w:rsidRPr="00913C48">
          <w:rPr>
            <w:rStyle w:val="Hyperlink"/>
          </w:rPr>
          <w:t>ACKNOWLEDGEMENTS</w:t>
        </w:r>
        <w:r w:rsidR="005251BF">
          <w:rPr>
            <w:webHidden/>
          </w:rPr>
          <w:tab/>
        </w:r>
        <w:r w:rsidR="005251BF">
          <w:rPr>
            <w:webHidden/>
          </w:rPr>
          <w:fldChar w:fldCharType="begin"/>
        </w:r>
        <w:r w:rsidR="005251BF">
          <w:rPr>
            <w:webHidden/>
          </w:rPr>
          <w:instrText xml:space="preserve"> PAGEREF _Toc67488257 \h </w:instrText>
        </w:r>
        <w:r w:rsidR="005251BF">
          <w:rPr>
            <w:webHidden/>
          </w:rPr>
        </w:r>
        <w:r w:rsidR="005251BF">
          <w:rPr>
            <w:webHidden/>
          </w:rPr>
          <w:fldChar w:fldCharType="separate"/>
        </w:r>
        <w:r w:rsidR="005251BF">
          <w:rPr>
            <w:webHidden/>
          </w:rPr>
          <w:t>i</w:t>
        </w:r>
        <w:r w:rsidR="005251BF">
          <w:rPr>
            <w:webHidden/>
          </w:rPr>
          <w:fldChar w:fldCharType="end"/>
        </w:r>
      </w:hyperlink>
    </w:p>
    <w:p w14:paraId="4A88F503" w14:textId="35A24B52"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58" w:history="1">
        <w:r w:rsidR="005251BF" w:rsidRPr="00913C48">
          <w:rPr>
            <w:rStyle w:val="Hyperlink"/>
          </w:rPr>
          <w:t>TABLE OF CONTENTS</w:t>
        </w:r>
        <w:r w:rsidR="005251BF">
          <w:rPr>
            <w:webHidden/>
          </w:rPr>
          <w:tab/>
        </w:r>
        <w:r w:rsidR="005251BF">
          <w:rPr>
            <w:webHidden/>
          </w:rPr>
          <w:fldChar w:fldCharType="begin"/>
        </w:r>
        <w:r w:rsidR="005251BF">
          <w:rPr>
            <w:webHidden/>
          </w:rPr>
          <w:instrText xml:space="preserve"> PAGEREF _Toc67488258 \h </w:instrText>
        </w:r>
        <w:r w:rsidR="005251BF">
          <w:rPr>
            <w:webHidden/>
          </w:rPr>
        </w:r>
        <w:r w:rsidR="005251BF">
          <w:rPr>
            <w:webHidden/>
          </w:rPr>
          <w:fldChar w:fldCharType="separate"/>
        </w:r>
        <w:r w:rsidR="005251BF">
          <w:rPr>
            <w:webHidden/>
          </w:rPr>
          <w:t>ii</w:t>
        </w:r>
        <w:r w:rsidR="005251BF">
          <w:rPr>
            <w:webHidden/>
          </w:rPr>
          <w:fldChar w:fldCharType="end"/>
        </w:r>
      </w:hyperlink>
    </w:p>
    <w:p w14:paraId="032C57AC" w14:textId="19845D93"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59" w:history="1">
        <w:r w:rsidR="005251BF" w:rsidRPr="00913C48">
          <w:rPr>
            <w:rStyle w:val="Hyperlink"/>
          </w:rPr>
          <w:t>EXECUTIVE SUMMARY</w:t>
        </w:r>
        <w:r w:rsidR="005251BF">
          <w:rPr>
            <w:webHidden/>
          </w:rPr>
          <w:tab/>
          <w:t>ES-</w:t>
        </w:r>
        <w:r w:rsidR="005251BF">
          <w:rPr>
            <w:webHidden/>
          </w:rPr>
          <w:fldChar w:fldCharType="begin"/>
        </w:r>
        <w:r w:rsidR="005251BF">
          <w:rPr>
            <w:webHidden/>
          </w:rPr>
          <w:instrText xml:space="preserve"> PAGEREF _Toc67488259 \h </w:instrText>
        </w:r>
        <w:r w:rsidR="005251BF">
          <w:rPr>
            <w:webHidden/>
          </w:rPr>
        </w:r>
        <w:r w:rsidR="005251BF">
          <w:rPr>
            <w:webHidden/>
          </w:rPr>
          <w:fldChar w:fldCharType="separate"/>
        </w:r>
        <w:r w:rsidR="005251BF">
          <w:rPr>
            <w:webHidden/>
          </w:rPr>
          <w:t>1</w:t>
        </w:r>
        <w:r w:rsidR="005251BF">
          <w:rPr>
            <w:webHidden/>
          </w:rPr>
          <w:fldChar w:fldCharType="end"/>
        </w:r>
      </w:hyperlink>
    </w:p>
    <w:p w14:paraId="572C2452" w14:textId="06068502"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60" w:history="1">
        <w:r w:rsidR="005251BF" w:rsidRPr="00913C48">
          <w:rPr>
            <w:rStyle w:val="Hyperlink"/>
          </w:rPr>
          <w:t>STUDY HIGHLIGHTS</w:t>
        </w:r>
        <w:r w:rsidR="005251BF">
          <w:rPr>
            <w:webHidden/>
          </w:rPr>
          <w:tab/>
        </w:r>
        <w:r w:rsidR="005251BF" w:rsidRPr="005251BF">
          <w:rPr>
            <w:webHidden/>
          </w:rPr>
          <w:t>ES-</w:t>
        </w:r>
        <w:r w:rsidR="005251BF">
          <w:rPr>
            <w:webHidden/>
          </w:rPr>
          <w:fldChar w:fldCharType="begin"/>
        </w:r>
        <w:r w:rsidR="005251BF">
          <w:rPr>
            <w:webHidden/>
          </w:rPr>
          <w:instrText xml:space="preserve"> PAGEREF _Toc67488260 \h </w:instrText>
        </w:r>
        <w:r w:rsidR="005251BF">
          <w:rPr>
            <w:webHidden/>
          </w:rPr>
        </w:r>
        <w:r w:rsidR="005251BF">
          <w:rPr>
            <w:webHidden/>
          </w:rPr>
          <w:fldChar w:fldCharType="separate"/>
        </w:r>
        <w:r w:rsidR="005251BF">
          <w:rPr>
            <w:webHidden/>
          </w:rPr>
          <w:t>1</w:t>
        </w:r>
        <w:r w:rsidR="005251BF">
          <w:rPr>
            <w:webHidden/>
          </w:rPr>
          <w:fldChar w:fldCharType="end"/>
        </w:r>
      </w:hyperlink>
    </w:p>
    <w:p w14:paraId="537A3887" w14:textId="43293E78"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61" w:history="1">
        <w:r w:rsidR="005251BF" w:rsidRPr="00913C48">
          <w:rPr>
            <w:rStyle w:val="Hyperlink"/>
          </w:rPr>
          <w:t>BACKGROUND</w:t>
        </w:r>
        <w:r w:rsidR="005251BF">
          <w:rPr>
            <w:webHidden/>
          </w:rPr>
          <w:tab/>
        </w:r>
        <w:r w:rsidR="005251BF" w:rsidRPr="005251BF">
          <w:rPr>
            <w:webHidden/>
          </w:rPr>
          <w:t>ES-</w:t>
        </w:r>
        <w:r w:rsidR="005251BF">
          <w:rPr>
            <w:webHidden/>
          </w:rPr>
          <w:fldChar w:fldCharType="begin"/>
        </w:r>
        <w:r w:rsidR="005251BF">
          <w:rPr>
            <w:webHidden/>
          </w:rPr>
          <w:instrText xml:space="preserve"> PAGEREF _Toc67488261 \h </w:instrText>
        </w:r>
        <w:r w:rsidR="005251BF">
          <w:rPr>
            <w:webHidden/>
          </w:rPr>
        </w:r>
        <w:r w:rsidR="005251BF">
          <w:rPr>
            <w:webHidden/>
          </w:rPr>
          <w:fldChar w:fldCharType="separate"/>
        </w:r>
        <w:r w:rsidR="005251BF">
          <w:rPr>
            <w:webHidden/>
          </w:rPr>
          <w:t>2</w:t>
        </w:r>
        <w:r w:rsidR="005251BF">
          <w:rPr>
            <w:webHidden/>
          </w:rPr>
          <w:fldChar w:fldCharType="end"/>
        </w:r>
      </w:hyperlink>
    </w:p>
    <w:p w14:paraId="12D7829D" w14:textId="204E69E5"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62" w:history="1">
        <w:r w:rsidR="005251BF" w:rsidRPr="00913C48">
          <w:rPr>
            <w:rStyle w:val="Hyperlink"/>
            <w:lang w:val="en"/>
          </w:rPr>
          <w:t>METHODS</w:t>
        </w:r>
        <w:r w:rsidR="005251BF">
          <w:rPr>
            <w:webHidden/>
          </w:rPr>
          <w:tab/>
        </w:r>
        <w:r w:rsidR="005251BF" w:rsidRPr="005251BF">
          <w:rPr>
            <w:webHidden/>
          </w:rPr>
          <w:t>ES-</w:t>
        </w:r>
        <w:r w:rsidR="005251BF">
          <w:rPr>
            <w:webHidden/>
          </w:rPr>
          <w:fldChar w:fldCharType="begin"/>
        </w:r>
        <w:r w:rsidR="005251BF">
          <w:rPr>
            <w:webHidden/>
          </w:rPr>
          <w:instrText xml:space="preserve"> PAGEREF _Toc67488262 \h </w:instrText>
        </w:r>
        <w:r w:rsidR="005251BF">
          <w:rPr>
            <w:webHidden/>
          </w:rPr>
        </w:r>
        <w:r w:rsidR="005251BF">
          <w:rPr>
            <w:webHidden/>
          </w:rPr>
          <w:fldChar w:fldCharType="separate"/>
        </w:r>
        <w:r w:rsidR="005251BF">
          <w:rPr>
            <w:webHidden/>
          </w:rPr>
          <w:t>2</w:t>
        </w:r>
        <w:r w:rsidR="005251BF">
          <w:rPr>
            <w:webHidden/>
          </w:rPr>
          <w:fldChar w:fldCharType="end"/>
        </w:r>
      </w:hyperlink>
    </w:p>
    <w:p w14:paraId="70BA8644" w14:textId="7B414A08"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63" w:history="1">
        <w:r w:rsidR="005251BF" w:rsidRPr="00913C48">
          <w:rPr>
            <w:rStyle w:val="Hyperlink"/>
          </w:rPr>
          <w:t>RESULTS</w:t>
        </w:r>
        <w:r w:rsidR="005251BF">
          <w:rPr>
            <w:webHidden/>
          </w:rPr>
          <w:tab/>
        </w:r>
        <w:r w:rsidR="005251BF" w:rsidRPr="005251BF">
          <w:rPr>
            <w:webHidden/>
          </w:rPr>
          <w:t>ES-</w:t>
        </w:r>
        <w:r w:rsidR="005251BF">
          <w:rPr>
            <w:webHidden/>
          </w:rPr>
          <w:fldChar w:fldCharType="begin"/>
        </w:r>
        <w:r w:rsidR="005251BF">
          <w:rPr>
            <w:webHidden/>
          </w:rPr>
          <w:instrText xml:space="preserve"> PAGEREF _Toc67488263 \h </w:instrText>
        </w:r>
        <w:r w:rsidR="005251BF">
          <w:rPr>
            <w:webHidden/>
          </w:rPr>
        </w:r>
        <w:r w:rsidR="005251BF">
          <w:rPr>
            <w:webHidden/>
          </w:rPr>
          <w:fldChar w:fldCharType="separate"/>
        </w:r>
        <w:r w:rsidR="005251BF">
          <w:rPr>
            <w:webHidden/>
          </w:rPr>
          <w:t>4</w:t>
        </w:r>
        <w:r w:rsidR="005251BF">
          <w:rPr>
            <w:webHidden/>
          </w:rPr>
          <w:fldChar w:fldCharType="end"/>
        </w:r>
      </w:hyperlink>
    </w:p>
    <w:p w14:paraId="3EBDD89D" w14:textId="12C21EED"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64" w:history="1">
        <w:r w:rsidR="005251BF" w:rsidRPr="00913C48">
          <w:rPr>
            <w:rStyle w:val="Hyperlink"/>
          </w:rPr>
          <w:t>DISCUSSION</w:t>
        </w:r>
        <w:r w:rsidR="005251BF">
          <w:rPr>
            <w:webHidden/>
          </w:rPr>
          <w:tab/>
        </w:r>
        <w:r w:rsidR="005251BF" w:rsidRPr="005251BF">
          <w:rPr>
            <w:webHidden/>
          </w:rPr>
          <w:t>ES-</w:t>
        </w:r>
        <w:r w:rsidR="005251BF">
          <w:rPr>
            <w:webHidden/>
          </w:rPr>
          <w:fldChar w:fldCharType="begin"/>
        </w:r>
        <w:r w:rsidR="005251BF">
          <w:rPr>
            <w:webHidden/>
          </w:rPr>
          <w:instrText xml:space="preserve"> PAGEREF _Toc67488264 \h </w:instrText>
        </w:r>
        <w:r w:rsidR="005251BF">
          <w:rPr>
            <w:webHidden/>
          </w:rPr>
        </w:r>
        <w:r w:rsidR="005251BF">
          <w:rPr>
            <w:webHidden/>
          </w:rPr>
          <w:fldChar w:fldCharType="separate"/>
        </w:r>
        <w:r w:rsidR="005251BF">
          <w:rPr>
            <w:webHidden/>
          </w:rPr>
          <w:t>7</w:t>
        </w:r>
        <w:r w:rsidR="005251BF">
          <w:rPr>
            <w:webHidden/>
          </w:rPr>
          <w:fldChar w:fldCharType="end"/>
        </w:r>
      </w:hyperlink>
    </w:p>
    <w:p w14:paraId="142BC6E5" w14:textId="3C29340D"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65" w:history="1">
        <w:r w:rsidR="005251BF" w:rsidRPr="00913C48">
          <w:rPr>
            <w:rStyle w:val="Hyperlink"/>
          </w:rPr>
          <w:t>CONCLUSIONS</w:t>
        </w:r>
        <w:r w:rsidR="005251BF">
          <w:rPr>
            <w:webHidden/>
          </w:rPr>
          <w:tab/>
        </w:r>
        <w:r w:rsidR="005251BF" w:rsidRPr="005251BF">
          <w:rPr>
            <w:webHidden/>
          </w:rPr>
          <w:t>ES-</w:t>
        </w:r>
        <w:r w:rsidR="005251BF">
          <w:rPr>
            <w:webHidden/>
          </w:rPr>
          <w:fldChar w:fldCharType="begin"/>
        </w:r>
        <w:r w:rsidR="005251BF">
          <w:rPr>
            <w:webHidden/>
          </w:rPr>
          <w:instrText xml:space="preserve"> PAGEREF _Toc67488265 \h </w:instrText>
        </w:r>
        <w:r w:rsidR="005251BF">
          <w:rPr>
            <w:webHidden/>
          </w:rPr>
        </w:r>
        <w:r w:rsidR="005251BF">
          <w:rPr>
            <w:webHidden/>
          </w:rPr>
          <w:fldChar w:fldCharType="separate"/>
        </w:r>
        <w:r w:rsidR="005251BF">
          <w:rPr>
            <w:webHidden/>
          </w:rPr>
          <w:t>9</w:t>
        </w:r>
        <w:r w:rsidR="005251BF">
          <w:rPr>
            <w:webHidden/>
          </w:rPr>
          <w:fldChar w:fldCharType="end"/>
        </w:r>
      </w:hyperlink>
    </w:p>
    <w:p w14:paraId="6E79FA15" w14:textId="46C85CA6"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66" w:history="1">
        <w:r w:rsidR="005251BF" w:rsidRPr="00913C48">
          <w:rPr>
            <w:rStyle w:val="Hyperlink"/>
          </w:rPr>
          <w:t>INTRODUCTION</w:t>
        </w:r>
        <w:r w:rsidR="005251BF">
          <w:rPr>
            <w:webHidden/>
          </w:rPr>
          <w:tab/>
        </w:r>
        <w:r w:rsidR="005251BF">
          <w:rPr>
            <w:webHidden/>
          </w:rPr>
          <w:fldChar w:fldCharType="begin"/>
        </w:r>
        <w:r w:rsidR="005251BF">
          <w:rPr>
            <w:webHidden/>
          </w:rPr>
          <w:instrText xml:space="preserve"> PAGEREF _Toc67488266 \h </w:instrText>
        </w:r>
        <w:r w:rsidR="005251BF">
          <w:rPr>
            <w:webHidden/>
          </w:rPr>
        </w:r>
        <w:r w:rsidR="005251BF">
          <w:rPr>
            <w:webHidden/>
          </w:rPr>
          <w:fldChar w:fldCharType="separate"/>
        </w:r>
        <w:r w:rsidR="005251BF">
          <w:rPr>
            <w:webHidden/>
          </w:rPr>
          <w:t>1</w:t>
        </w:r>
        <w:r w:rsidR="005251BF">
          <w:rPr>
            <w:webHidden/>
          </w:rPr>
          <w:fldChar w:fldCharType="end"/>
        </w:r>
      </w:hyperlink>
    </w:p>
    <w:p w14:paraId="587BEEFD" w14:textId="16091597"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67" w:history="1">
        <w:r w:rsidR="005251BF" w:rsidRPr="00913C48">
          <w:rPr>
            <w:rStyle w:val="Hyperlink"/>
          </w:rPr>
          <w:t>GOALS AND OBJECTIVES</w:t>
        </w:r>
        <w:r w:rsidR="005251BF">
          <w:rPr>
            <w:webHidden/>
          </w:rPr>
          <w:tab/>
        </w:r>
        <w:r w:rsidR="005251BF">
          <w:rPr>
            <w:webHidden/>
          </w:rPr>
          <w:fldChar w:fldCharType="begin"/>
        </w:r>
        <w:r w:rsidR="005251BF">
          <w:rPr>
            <w:webHidden/>
          </w:rPr>
          <w:instrText xml:space="preserve"> PAGEREF _Toc67488267 \h </w:instrText>
        </w:r>
        <w:r w:rsidR="005251BF">
          <w:rPr>
            <w:webHidden/>
          </w:rPr>
        </w:r>
        <w:r w:rsidR="005251BF">
          <w:rPr>
            <w:webHidden/>
          </w:rPr>
          <w:fldChar w:fldCharType="separate"/>
        </w:r>
        <w:r w:rsidR="005251BF">
          <w:rPr>
            <w:webHidden/>
          </w:rPr>
          <w:t>4</w:t>
        </w:r>
        <w:r w:rsidR="005251BF">
          <w:rPr>
            <w:webHidden/>
          </w:rPr>
          <w:fldChar w:fldCharType="end"/>
        </w:r>
      </w:hyperlink>
    </w:p>
    <w:p w14:paraId="258C4763" w14:textId="63038367"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68" w:history="1">
        <w:r w:rsidR="005251BF" w:rsidRPr="00913C48">
          <w:rPr>
            <w:rStyle w:val="Hyperlink"/>
          </w:rPr>
          <w:t>BACKGROUND</w:t>
        </w:r>
        <w:r w:rsidR="005251BF">
          <w:rPr>
            <w:webHidden/>
          </w:rPr>
          <w:tab/>
        </w:r>
        <w:r w:rsidR="005251BF">
          <w:rPr>
            <w:webHidden/>
          </w:rPr>
          <w:fldChar w:fldCharType="begin"/>
        </w:r>
        <w:r w:rsidR="005251BF">
          <w:rPr>
            <w:webHidden/>
          </w:rPr>
          <w:instrText xml:space="preserve"> PAGEREF _Toc67488268 \h </w:instrText>
        </w:r>
        <w:r w:rsidR="005251BF">
          <w:rPr>
            <w:webHidden/>
          </w:rPr>
        </w:r>
        <w:r w:rsidR="005251BF">
          <w:rPr>
            <w:webHidden/>
          </w:rPr>
          <w:fldChar w:fldCharType="separate"/>
        </w:r>
        <w:r w:rsidR="005251BF">
          <w:rPr>
            <w:webHidden/>
          </w:rPr>
          <w:t>6</w:t>
        </w:r>
        <w:r w:rsidR="005251BF">
          <w:rPr>
            <w:webHidden/>
          </w:rPr>
          <w:fldChar w:fldCharType="end"/>
        </w:r>
      </w:hyperlink>
    </w:p>
    <w:p w14:paraId="119B74E3" w14:textId="1996355F"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69" w:history="1">
        <w:r w:rsidR="005251BF" w:rsidRPr="00913C48">
          <w:rPr>
            <w:rStyle w:val="Hyperlink"/>
          </w:rPr>
          <w:t>OVERVIEW AND STUDY TIMELINE</w:t>
        </w:r>
        <w:r w:rsidR="005251BF">
          <w:rPr>
            <w:webHidden/>
          </w:rPr>
          <w:tab/>
        </w:r>
        <w:r w:rsidR="005251BF">
          <w:rPr>
            <w:webHidden/>
          </w:rPr>
          <w:fldChar w:fldCharType="begin"/>
        </w:r>
        <w:r w:rsidR="005251BF">
          <w:rPr>
            <w:webHidden/>
          </w:rPr>
          <w:instrText xml:space="preserve"> PAGEREF _Toc67488269 \h </w:instrText>
        </w:r>
        <w:r w:rsidR="005251BF">
          <w:rPr>
            <w:webHidden/>
          </w:rPr>
        </w:r>
        <w:r w:rsidR="005251BF">
          <w:rPr>
            <w:webHidden/>
          </w:rPr>
          <w:fldChar w:fldCharType="separate"/>
        </w:r>
        <w:r w:rsidR="005251BF">
          <w:rPr>
            <w:webHidden/>
          </w:rPr>
          <w:t>6</w:t>
        </w:r>
        <w:r w:rsidR="005251BF">
          <w:rPr>
            <w:webHidden/>
          </w:rPr>
          <w:fldChar w:fldCharType="end"/>
        </w:r>
      </w:hyperlink>
    </w:p>
    <w:p w14:paraId="13DFECBA" w14:textId="09A20BCB"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0" w:history="1">
        <w:r w:rsidR="005251BF" w:rsidRPr="00913C48">
          <w:rPr>
            <w:rStyle w:val="Hyperlink"/>
          </w:rPr>
          <w:t>CHILDHOOD CANCER</w:t>
        </w:r>
        <w:r w:rsidR="005251BF">
          <w:rPr>
            <w:webHidden/>
          </w:rPr>
          <w:tab/>
        </w:r>
        <w:r w:rsidR="005251BF">
          <w:rPr>
            <w:webHidden/>
          </w:rPr>
          <w:fldChar w:fldCharType="begin"/>
        </w:r>
        <w:r w:rsidR="005251BF">
          <w:rPr>
            <w:webHidden/>
          </w:rPr>
          <w:instrText xml:space="preserve"> PAGEREF _Toc67488270 \h </w:instrText>
        </w:r>
        <w:r w:rsidR="005251BF">
          <w:rPr>
            <w:webHidden/>
          </w:rPr>
        </w:r>
        <w:r w:rsidR="005251BF">
          <w:rPr>
            <w:webHidden/>
          </w:rPr>
          <w:fldChar w:fldCharType="separate"/>
        </w:r>
        <w:r w:rsidR="005251BF">
          <w:rPr>
            <w:webHidden/>
          </w:rPr>
          <w:t>10</w:t>
        </w:r>
        <w:r w:rsidR="005251BF">
          <w:rPr>
            <w:webHidden/>
          </w:rPr>
          <w:fldChar w:fldCharType="end"/>
        </w:r>
      </w:hyperlink>
    </w:p>
    <w:p w14:paraId="10896142" w14:textId="6C0F5B8E"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1" w:history="1">
        <w:r w:rsidR="005251BF" w:rsidRPr="00913C48">
          <w:rPr>
            <w:rStyle w:val="Hyperlink"/>
          </w:rPr>
          <w:t>ENVIRONMENTAL CONCERNS</w:t>
        </w:r>
        <w:r w:rsidR="005251BF">
          <w:rPr>
            <w:webHidden/>
          </w:rPr>
          <w:tab/>
        </w:r>
        <w:r w:rsidR="005251BF">
          <w:rPr>
            <w:webHidden/>
          </w:rPr>
          <w:fldChar w:fldCharType="begin"/>
        </w:r>
        <w:r w:rsidR="005251BF">
          <w:rPr>
            <w:webHidden/>
          </w:rPr>
          <w:instrText xml:space="preserve"> PAGEREF _Toc67488271 \h </w:instrText>
        </w:r>
        <w:r w:rsidR="005251BF">
          <w:rPr>
            <w:webHidden/>
          </w:rPr>
        </w:r>
        <w:r w:rsidR="005251BF">
          <w:rPr>
            <w:webHidden/>
          </w:rPr>
          <w:fldChar w:fldCharType="separate"/>
        </w:r>
        <w:r w:rsidR="005251BF">
          <w:rPr>
            <w:webHidden/>
          </w:rPr>
          <w:t>22</w:t>
        </w:r>
        <w:r w:rsidR="005251BF">
          <w:rPr>
            <w:webHidden/>
          </w:rPr>
          <w:fldChar w:fldCharType="end"/>
        </w:r>
      </w:hyperlink>
    </w:p>
    <w:p w14:paraId="0164D19C" w14:textId="50FD1383"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72" w:history="1">
        <w:r w:rsidR="005251BF" w:rsidRPr="00913C48">
          <w:rPr>
            <w:rStyle w:val="Hyperlink"/>
          </w:rPr>
          <w:t>METHODS</w:t>
        </w:r>
        <w:r w:rsidR="005251BF">
          <w:rPr>
            <w:webHidden/>
          </w:rPr>
          <w:tab/>
        </w:r>
        <w:r w:rsidR="005251BF">
          <w:rPr>
            <w:webHidden/>
          </w:rPr>
          <w:fldChar w:fldCharType="begin"/>
        </w:r>
        <w:r w:rsidR="005251BF">
          <w:rPr>
            <w:webHidden/>
          </w:rPr>
          <w:instrText xml:space="preserve"> PAGEREF _Toc67488272 \h </w:instrText>
        </w:r>
        <w:r w:rsidR="005251BF">
          <w:rPr>
            <w:webHidden/>
          </w:rPr>
        </w:r>
        <w:r w:rsidR="005251BF">
          <w:rPr>
            <w:webHidden/>
          </w:rPr>
          <w:fldChar w:fldCharType="separate"/>
        </w:r>
        <w:r w:rsidR="005251BF">
          <w:rPr>
            <w:webHidden/>
          </w:rPr>
          <w:t>36</w:t>
        </w:r>
        <w:r w:rsidR="005251BF">
          <w:rPr>
            <w:webHidden/>
          </w:rPr>
          <w:fldChar w:fldCharType="end"/>
        </w:r>
      </w:hyperlink>
    </w:p>
    <w:p w14:paraId="13C9FCBB" w14:textId="7E919FF7"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3" w:history="1">
        <w:r w:rsidR="005251BF" w:rsidRPr="00913C48">
          <w:rPr>
            <w:rStyle w:val="Hyperlink"/>
          </w:rPr>
          <w:t>COMMUNITY ENGAGEMENT</w:t>
        </w:r>
        <w:r w:rsidR="005251BF">
          <w:rPr>
            <w:webHidden/>
          </w:rPr>
          <w:tab/>
        </w:r>
        <w:r w:rsidR="005251BF">
          <w:rPr>
            <w:webHidden/>
          </w:rPr>
          <w:fldChar w:fldCharType="begin"/>
        </w:r>
        <w:r w:rsidR="005251BF">
          <w:rPr>
            <w:webHidden/>
          </w:rPr>
          <w:instrText xml:space="preserve"> PAGEREF _Toc67488273 \h </w:instrText>
        </w:r>
        <w:r w:rsidR="005251BF">
          <w:rPr>
            <w:webHidden/>
          </w:rPr>
        </w:r>
        <w:r w:rsidR="005251BF">
          <w:rPr>
            <w:webHidden/>
          </w:rPr>
          <w:fldChar w:fldCharType="separate"/>
        </w:r>
        <w:r w:rsidR="005251BF">
          <w:rPr>
            <w:webHidden/>
          </w:rPr>
          <w:t>36</w:t>
        </w:r>
        <w:r w:rsidR="005251BF">
          <w:rPr>
            <w:webHidden/>
          </w:rPr>
          <w:fldChar w:fldCharType="end"/>
        </w:r>
      </w:hyperlink>
    </w:p>
    <w:p w14:paraId="46F1481C" w14:textId="6B9F7660"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4" w:history="1">
        <w:r w:rsidR="005251BF" w:rsidRPr="00913C48">
          <w:rPr>
            <w:rStyle w:val="Hyperlink"/>
          </w:rPr>
          <w:t>STUDY DESIGN</w:t>
        </w:r>
        <w:r w:rsidR="005251BF">
          <w:rPr>
            <w:webHidden/>
          </w:rPr>
          <w:tab/>
        </w:r>
        <w:r w:rsidR="005251BF">
          <w:rPr>
            <w:webHidden/>
          </w:rPr>
          <w:fldChar w:fldCharType="begin"/>
        </w:r>
        <w:r w:rsidR="005251BF">
          <w:rPr>
            <w:webHidden/>
          </w:rPr>
          <w:instrText xml:space="preserve"> PAGEREF _Toc67488274 \h </w:instrText>
        </w:r>
        <w:r w:rsidR="005251BF">
          <w:rPr>
            <w:webHidden/>
          </w:rPr>
        </w:r>
        <w:r w:rsidR="005251BF">
          <w:rPr>
            <w:webHidden/>
          </w:rPr>
          <w:fldChar w:fldCharType="separate"/>
        </w:r>
        <w:r w:rsidR="005251BF">
          <w:rPr>
            <w:webHidden/>
          </w:rPr>
          <w:t>36</w:t>
        </w:r>
        <w:r w:rsidR="005251BF">
          <w:rPr>
            <w:webHidden/>
          </w:rPr>
          <w:fldChar w:fldCharType="end"/>
        </w:r>
      </w:hyperlink>
    </w:p>
    <w:p w14:paraId="316825AA" w14:textId="586830F2"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5" w:history="1">
        <w:r w:rsidR="005251BF" w:rsidRPr="00913C48">
          <w:rPr>
            <w:rStyle w:val="Hyperlink"/>
          </w:rPr>
          <w:t>CASE DEFINITION AND RECRUITMENT</w:t>
        </w:r>
        <w:r w:rsidR="005251BF">
          <w:rPr>
            <w:webHidden/>
          </w:rPr>
          <w:tab/>
        </w:r>
        <w:r w:rsidR="005251BF">
          <w:rPr>
            <w:webHidden/>
          </w:rPr>
          <w:fldChar w:fldCharType="begin"/>
        </w:r>
        <w:r w:rsidR="005251BF">
          <w:rPr>
            <w:webHidden/>
          </w:rPr>
          <w:instrText xml:space="preserve"> PAGEREF _Toc67488275 \h </w:instrText>
        </w:r>
        <w:r w:rsidR="005251BF">
          <w:rPr>
            <w:webHidden/>
          </w:rPr>
        </w:r>
        <w:r w:rsidR="005251BF">
          <w:rPr>
            <w:webHidden/>
          </w:rPr>
          <w:fldChar w:fldCharType="separate"/>
        </w:r>
        <w:r w:rsidR="005251BF">
          <w:rPr>
            <w:webHidden/>
          </w:rPr>
          <w:t>37</w:t>
        </w:r>
        <w:r w:rsidR="005251BF">
          <w:rPr>
            <w:webHidden/>
          </w:rPr>
          <w:fldChar w:fldCharType="end"/>
        </w:r>
      </w:hyperlink>
    </w:p>
    <w:p w14:paraId="0379B17F" w14:textId="145A8C6D"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6" w:history="1">
        <w:r w:rsidR="005251BF" w:rsidRPr="00913C48">
          <w:rPr>
            <w:rStyle w:val="Hyperlink"/>
          </w:rPr>
          <w:t>CONTROL DEFINITION AND ASCERTAINMENT</w:t>
        </w:r>
        <w:r w:rsidR="005251BF">
          <w:rPr>
            <w:webHidden/>
          </w:rPr>
          <w:tab/>
        </w:r>
        <w:r w:rsidR="005251BF">
          <w:rPr>
            <w:webHidden/>
          </w:rPr>
          <w:fldChar w:fldCharType="begin"/>
        </w:r>
        <w:r w:rsidR="005251BF">
          <w:rPr>
            <w:webHidden/>
          </w:rPr>
          <w:instrText xml:space="preserve"> PAGEREF _Toc67488276 \h </w:instrText>
        </w:r>
        <w:r w:rsidR="005251BF">
          <w:rPr>
            <w:webHidden/>
          </w:rPr>
        </w:r>
        <w:r w:rsidR="005251BF">
          <w:rPr>
            <w:webHidden/>
          </w:rPr>
          <w:fldChar w:fldCharType="separate"/>
        </w:r>
        <w:r w:rsidR="005251BF">
          <w:rPr>
            <w:webHidden/>
          </w:rPr>
          <w:t>38</w:t>
        </w:r>
        <w:r w:rsidR="005251BF">
          <w:rPr>
            <w:webHidden/>
          </w:rPr>
          <w:fldChar w:fldCharType="end"/>
        </w:r>
      </w:hyperlink>
    </w:p>
    <w:p w14:paraId="6E9AF43B" w14:textId="53420CE5"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7" w:history="1">
        <w:r w:rsidR="005251BF" w:rsidRPr="00913C48">
          <w:rPr>
            <w:rStyle w:val="Hyperlink"/>
          </w:rPr>
          <w:t>ETIOLOGIC PERIOD</w:t>
        </w:r>
        <w:r w:rsidR="005251BF">
          <w:rPr>
            <w:webHidden/>
          </w:rPr>
          <w:tab/>
        </w:r>
        <w:r w:rsidR="005251BF">
          <w:rPr>
            <w:webHidden/>
          </w:rPr>
          <w:fldChar w:fldCharType="begin"/>
        </w:r>
        <w:r w:rsidR="005251BF">
          <w:rPr>
            <w:webHidden/>
          </w:rPr>
          <w:instrText xml:space="preserve"> PAGEREF _Toc67488277 \h </w:instrText>
        </w:r>
        <w:r w:rsidR="005251BF">
          <w:rPr>
            <w:webHidden/>
          </w:rPr>
        </w:r>
        <w:r w:rsidR="005251BF">
          <w:rPr>
            <w:webHidden/>
          </w:rPr>
          <w:fldChar w:fldCharType="separate"/>
        </w:r>
        <w:r w:rsidR="005251BF">
          <w:rPr>
            <w:webHidden/>
          </w:rPr>
          <w:t>39</w:t>
        </w:r>
        <w:r w:rsidR="005251BF">
          <w:rPr>
            <w:webHidden/>
          </w:rPr>
          <w:fldChar w:fldCharType="end"/>
        </w:r>
      </w:hyperlink>
    </w:p>
    <w:p w14:paraId="499863E2" w14:textId="2C7C8BA5"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8" w:history="1">
        <w:r w:rsidR="005251BF" w:rsidRPr="00913C48">
          <w:rPr>
            <w:rStyle w:val="Hyperlink"/>
          </w:rPr>
          <w:t>DATA COLLECTION</w:t>
        </w:r>
        <w:r w:rsidR="005251BF">
          <w:rPr>
            <w:webHidden/>
          </w:rPr>
          <w:tab/>
        </w:r>
        <w:r w:rsidR="005251BF">
          <w:rPr>
            <w:webHidden/>
          </w:rPr>
          <w:fldChar w:fldCharType="begin"/>
        </w:r>
        <w:r w:rsidR="005251BF">
          <w:rPr>
            <w:webHidden/>
          </w:rPr>
          <w:instrText xml:space="preserve"> PAGEREF _Toc67488278 \h </w:instrText>
        </w:r>
        <w:r w:rsidR="005251BF">
          <w:rPr>
            <w:webHidden/>
          </w:rPr>
        </w:r>
        <w:r w:rsidR="005251BF">
          <w:rPr>
            <w:webHidden/>
          </w:rPr>
          <w:fldChar w:fldCharType="separate"/>
        </w:r>
        <w:r w:rsidR="005251BF">
          <w:rPr>
            <w:webHidden/>
          </w:rPr>
          <w:t>39</w:t>
        </w:r>
        <w:r w:rsidR="005251BF">
          <w:rPr>
            <w:webHidden/>
          </w:rPr>
          <w:fldChar w:fldCharType="end"/>
        </w:r>
      </w:hyperlink>
    </w:p>
    <w:p w14:paraId="763CB708" w14:textId="1DA28431"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79" w:history="1">
        <w:r w:rsidR="005251BF" w:rsidRPr="00913C48">
          <w:rPr>
            <w:rStyle w:val="Hyperlink"/>
          </w:rPr>
          <w:t>CONFIDENTIALITY</w:t>
        </w:r>
        <w:r w:rsidR="005251BF">
          <w:rPr>
            <w:webHidden/>
          </w:rPr>
          <w:tab/>
        </w:r>
        <w:r w:rsidR="005251BF">
          <w:rPr>
            <w:webHidden/>
          </w:rPr>
          <w:fldChar w:fldCharType="begin"/>
        </w:r>
        <w:r w:rsidR="005251BF">
          <w:rPr>
            <w:webHidden/>
          </w:rPr>
          <w:instrText xml:space="preserve"> PAGEREF _Toc67488279 \h </w:instrText>
        </w:r>
        <w:r w:rsidR="005251BF">
          <w:rPr>
            <w:webHidden/>
          </w:rPr>
        </w:r>
        <w:r w:rsidR="005251BF">
          <w:rPr>
            <w:webHidden/>
          </w:rPr>
          <w:fldChar w:fldCharType="separate"/>
        </w:r>
        <w:r w:rsidR="005251BF">
          <w:rPr>
            <w:webHidden/>
          </w:rPr>
          <w:t>39</w:t>
        </w:r>
        <w:r w:rsidR="005251BF">
          <w:rPr>
            <w:webHidden/>
          </w:rPr>
          <w:fldChar w:fldCharType="end"/>
        </w:r>
      </w:hyperlink>
    </w:p>
    <w:p w14:paraId="12469742" w14:textId="4D0BFC88"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0" w:history="1">
        <w:r w:rsidR="005251BF" w:rsidRPr="00913C48">
          <w:rPr>
            <w:rStyle w:val="Hyperlink"/>
          </w:rPr>
          <w:t>EXPOSURE ASSESSMENT</w:t>
        </w:r>
        <w:r w:rsidR="005251BF">
          <w:rPr>
            <w:webHidden/>
          </w:rPr>
          <w:tab/>
        </w:r>
        <w:r w:rsidR="005251BF">
          <w:rPr>
            <w:webHidden/>
          </w:rPr>
          <w:fldChar w:fldCharType="begin"/>
        </w:r>
        <w:r w:rsidR="005251BF">
          <w:rPr>
            <w:webHidden/>
          </w:rPr>
          <w:instrText xml:space="preserve"> PAGEREF _Toc67488280 \h </w:instrText>
        </w:r>
        <w:r w:rsidR="005251BF">
          <w:rPr>
            <w:webHidden/>
          </w:rPr>
        </w:r>
        <w:r w:rsidR="005251BF">
          <w:rPr>
            <w:webHidden/>
          </w:rPr>
          <w:fldChar w:fldCharType="separate"/>
        </w:r>
        <w:r w:rsidR="005251BF">
          <w:rPr>
            <w:webHidden/>
          </w:rPr>
          <w:t>40</w:t>
        </w:r>
        <w:r w:rsidR="005251BF">
          <w:rPr>
            <w:webHidden/>
          </w:rPr>
          <w:fldChar w:fldCharType="end"/>
        </w:r>
      </w:hyperlink>
    </w:p>
    <w:p w14:paraId="39258170" w14:textId="2C5E2ABC"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1" w:history="1">
        <w:r w:rsidR="005251BF" w:rsidRPr="00913C48">
          <w:rPr>
            <w:rStyle w:val="Hyperlink"/>
          </w:rPr>
          <w:t>STATISTICAL ANALYSES</w:t>
        </w:r>
        <w:r w:rsidR="005251BF">
          <w:rPr>
            <w:webHidden/>
          </w:rPr>
          <w:tab/>
        </w:r>
        <w:r w:rsidR="005251BF">
          <w:rPr>
            <w:webHidden/>
          </w:rPr>
          <w:fldChar w:fldCharType="begin"/>
        </w:r>
        <w:r w:rsidR="005251BF">
          <w:rPr>
            <w:webHidden/>
          </w:rPr>
          <w:instrText xml:space="preserve"> PAGEREF _Toc67488281 \h </w:instrText>
        </w:r>
        <w:r w:rsidR="005251BF">
          <w:rPr>
            <w:webHidden/>
          </w:rPr>
        </w:r>
        <w:r w:rsidR="005251BF">
          <w:rPr>
            <w:webHidden/>
          </w:rPr>
          <w:fldChar w:fldCharType="separate"/>
        </w:r>
        <w:r w:rsidR="005251BF">
          <w:rPr>
            <w:webHidden/>
          </w:rPr>
          <w:t>51</w:t>
        </w:r>
        <w:r w:rsidR="005251BF">
          <w:rPr>
            <w:webHidden/>
          </w:rPr>
          <w:fldChar w:fldCharType="end"/>
        </w:r>
      </w:hyperlink>
    </w:p>
    <w:p w14:paraId="6EE383F2" w14:textId="07E96CAC"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2" w:history="1">
        <w:r w:rsidR="005251BF" w:rsidRPr="00913C48">
          <w:rPr>
            <w:rStyle w:val="Hyperlink"/>
          </w:rPr>
          <w:t>PEER REVIEW</w:t>
        </w:r>
        <w:r w:rsidR="005251BF">
          <w:rPr>
            <w:webHidden/>
          </w:rPr>
          <w:tab/>
        </w:r>
        <w:r w:rsidR="005251BF">
          <w:rPr>
            <w:webHidden/>
          </w:rPr>
          <w:fldChar w:fldCharType="begin"/>
        </w:r>
        <w:r w:rsidR="005251BF">
          <w:rPr>
            <w:webHidden/>
          </w:rPr>
          <w:instrText xml:space="preserve"> PAGEREF _Toc67488282 \h </w:instrText>
        </w:r>
        <w:r w:rsidR="005251BF">
          <w:rPr>
            <w:webHidden/>
          </w:rPr>
        </w:r>
        <w:r w:rsidR="005251BF">
          <w:rPr>
            <w:webHidden/>
          </w:rPr>
          <w:fldChar w:fldCharType="separate"/>
        </w:r>
        <w:r w:rsidR="005251BF">
          <w:rPr>
            <w:webHidden/>
          </w:rPr>
          <w:t>56</w:t>
        </w:r>
        <w:r w:rsidR="005251BF">
          <w:rPr>
            <w:webHidden/>
          </w:rPr>
          <w:fldChar w:fldCharType="end"/>
        </w:r>
      </w:hyperlink>
    </w:p>
    <w:p w14:paraId="2949C816" w14:textId="2C666460"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83" w:history="1">
        <w:r w:rsidR="005251BF" w:rsidRPr="00913C48">
          <w:rPr>
            <w:rStyle w:val="Hyperlink"/>
          </w:rPr>
          <w:t>RESULTS</w:t>
        </w:r>
        <w:r w:rsidR="005251BF">
          <w:rPr>
            <w:webHidden/>
          </w:rPr>
          <w:tab/>
        </w:r>
        <w:r w:rsidR="005251BF">
          <w:rPr>
            <w:webHidden/>
          </w:rPr>
          <w:fldChar w:fldCharType="begin"/>
        </w:r>
        <w:r w:rsidR="005251BF">
          <w:rPr>
            <w:webHidden/>
          </w:rPr>
          <w:instrText xml:space="preserve"> PAGEREF _Toc67488283 \h </w:instrText>
        </w:r>
        <w:r w:rsidR="005251BF">
          <w:rPr>
            <w:webHidden/>
          </w:rPr>
        </w:r>
        <w:r w:rsidR="005251BF">
          <w:rPr>
            <w:webHidden/>
          </w:rPr>
          <w:fldChar w:fldCharType="separate"/>
        </w:r>
        <w:r w:rsidR="005251BF">
          <w:rPr>
            <w:webHidden/>
          </w:rPr>
          <w:t>58</w:t>
        </w:r>
        <w:r w:rsidR="005251BF">
          <w:rPr>
            <w:webHidden/>
          </w:rPr>
          <w:fldChar w:fldCharType="end"/>
        </w:r>
      </w:hyperlink>
    </w:p>
    <w:p w14:paraId="0E8DC07F" w14:textId="68C76117"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4" w:history="1">
        <w:r w:rsidR="005251BF" w:rsidRPr="00913C48">
          <w:rPr>
            <w:rStyle w:val="Hyperlink"/>
          </w:rPr>
          <w:t>PARTICIPATION RATES</w:t>
        </w:r>
        <w:r w:rsidR="005251BF">
          <w:rPr>
            <w:webHidden/>
          </w:rPr>
          <w:tab/>
        </w:r>
        <w:r w:rsidR="005251BF">
          <w:rPr>
            <w:webHidden/>
          </w:rPr>
          <w:fldChar w:fldCharType="begin"/>
        </w:r>
        <w:r w:rsidR="005251BF">
          <w:rPr>
            <w:webHidden/>
          </w:rPr>
          <w:instrText xml:space="preserve"> PAGEREF _Toc67488284 \h </w:instrText>
        </w:r>
        <w:r w:rsidR="005251BF">
          <w:rPr>
            <w:webHidden/>
          </w:rPr>
        </w:r>
        <w:r w:rsidR="005251BF">
          <w:rPr>
            <w:webHidden/>
          </w:rPr>
          <w:fldChar w:fldCharType="separate"/>
        </w:r>
        <w:r w:rsidR="005251BF">
          <w:rPr>
            <w:webHidden/>
          </w:rPr>
          <w:t>58</w:t>
        </w:r>
        <w:r w:rsidR="005251BF">
          <w:rPr>
            <w:webHidden/>
          </w:rPr>
          <w:fldChar w:fldCharType="end"/>
        </w:r>
      </w:hyperlink>
    </w:p>
    <w:p w14:paraId="6F1E8D11" w14:textId="1BA6D5F3"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5" w:history="1">
        <w:r w:rsidR="005251BF" w:rsidRPr="00913C48">
          <w:rPr>
            <w:rStyle w:val="Hyperlink"/>
          </w:rPr>
          <w:t>RISK FACTOR CHARACTERISTICS OF THE STUDY POPULATION</w:t>
        </w:r>
        <w:r w:rsidR="005251BF">
          <w:rPr>
            <w:webHidden/>
          </w:rPr>
          <w:tab/>
        </w:r>
        <w:r w:rsidR="005251BF">
          <w:rPr>
            <w:webHidden/>
          </w:rPr>
          <w:fldChar w:fldCharType="begin"/>
        </w:r>
        <w:r w:rsidR="005251BF">
          <w:rPr>
            <w:webHidden/>
          </w:rPr>
          <w:instrText xml:space="preserve"> PAGEREF _Toc67488285 \h </w:instrText>
        </w:r>
        <w:r w:rsidR="005251BF">
          <w:rPr>
            <w:webHidden/>
          </w:rPr>
        </w:r>
        <w:r w:rsidR="005251BF">
          <w:rPr>
            <w:webHidden/>
          </w:rPr>
          <w:fldChar w:fldCharType="separate"/>
        </w:r>
        <w:r w:rsidR="005251BF">
          <w:rPr>
            <w:webHidden/>
          </w:rPr>
          <w:t>61</w:t>
        </w:r>
        <w:r w:rsidR="005251BF">
          <w:rPr>
            <w:webHidden/>
          </w:rPr>
          <w:fldChar w:fldCharType="end"/>
        </w:r>
      </w:hyperlink>
    </w:p>
    <w:p w14:paraId="0216C994" w14:textId="485A6988"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6" w:history="1">
        <w:r w:rsidR="005251BF" w:rsidRPr="00913C48">
          <w:rPr>
            <w:rStyle w:val="Hyperlink"/>
          </w:rPr>
          <w:t>DRINKING WATER CONTAMINANTS</w:t>
        </w:r>
        <w:r w:rsidR="005251BF">
          <w:rPr>
            <w:webHidden/>
          </w:rPr>
          <w:tab/>
        </w:r>
        <w:r w:rsidR="005251BF">
          <w:rPr>
            <w:webHidden/>
          </w:rPr>
          <w:fldChar w:fldCharType="begin"/>
        </w:r>
        <w:r w:rsidR="005251BF">
          <w:rPr>
            <w:webHidden/>
          </w:rPr>
          <w:instrText xml:space="preserve"> PAGEREF _Toc67488286 \h </w:instrText>
        </w:r>
        <w:r w:rsidR="005251BF">
          <w:rPr>
            <w:webHidden/>
          </w:rPr>
        </w:r>
        <w:r w:rsidR="005251BF">
          <w:rPr>
            <w:webHidden/>
          </w:rPr>
          <w:fldChar w:fldCharType="separate"/>
        </w:r>
        <w:r w:rsidR="005251BF">
          <w:rPr>
            <w:webHidden/>
          </w:rPr>
          <w:t>69</w:t>
        </w:r>
        <w:r w:rsidR="005251BF">
          <w:rPr>
            <w:webHidden/>
          </w:rPr>
          <w:fldChar w:fldCharType="end"/>
        </w:r>
      </w:hyperlink>
    </w:p>
    <w:p w14:paraId="3F3FE4BE" w14:textId="01237CEF"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87" w:history="1">
        <w:r w:rsidR="005251BF" w:rsidRPr="00913C48">
          <w:rPr>
            <w:rStyle w:val="Hyperlink"/>
          </w:rPr>
          <w:t>DISCUSSION</w:t>
        </w:r>
        <w:r w:rsidR="005251BF">
          <w:rPr>
            <w:webHidden/>
          </w:rPr>
          <w:tab/>
        </w:r>
        <w:r w:rsidR="005251BF">
          <w:rPr>
            <w:webHidden/>
          </w:rPr>
          <w:fldChar w:fldCharType="begin"/>
        </w:r>
        <w:r w:rsidR="005251BF">
          <w:rPr>
            <w:webHidden/>
          </w:rPr>
          <w:instrText xml:space="preserve"> PAGEREF _Toc67488287 \h </w:instrText>
        </w:r>
        <w:r w:rsidR="005251BF">
          <w:rPr>
            <w:webHidden/>
          </w:rPr>
        </w:r>
        <w:r w:rsidR="005251BF">
          <w:rPr>
            <w:webHidden/>
          </w:rPr>
          <w:fldChar w:fldCharType="separate"/>
        </w:r>
        <w:r w:rsidR="005251BF">
          <w:rPr>
            <w:webHidden/>
          </w:rPr>
          <w:t>95</w:t>
        </w:r>
        <w:r w:rsidR="005251BF">
          <w:rPr>
            <w:webHidden/>
          </w:rPr>
          <w:fldChar w:fldCharType="end"/>
        </w:r>
      </w:hyperlink>
    </w:p>
    <w:p w14:paraId="11372CCA" w14:textId="6D07C3CA"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8" w:history="1">
        <w:r w:rsidR="005251BF" w:rsidRPr="00913C48">
          <w:rPr>
            <w:rStyle w:val="Hyperlink"/>
          </w:rPr>
          <w:t>INTRODUCTION</w:t>
        </w:r>
        <w:r w:rsidR="005251BF">
          <w:rPr>
            <w:webHidden/>
          </w:rPr>
          <w:tab/>
        </w:r>
        <w:r w:rsidR="005251BF">
          <w:rPr>
            <w:webHidden/>
          </w:rPr>
          <w:fldChar w:fldCharType="begin"/>
        </w:r>
        <w:r w:rsidR="005251BF">
          <w:rPr>
            <w:webHidden/>
          </w:rPr>
          <w:instrText xml:space="preserve"> PAGEREF _Toc67488288 \h </w:instrText>
        </w:r>
        <w:r w:rsidR="005251BF">
          <w:rPr>
            <w:webHidden/>
          </w:rPr>
        </w:r>
        <w:r w:rsidR="005251BF">
          <w:rPr>
            <w:webHidden/>
          </w:rPr>
          <w:fldChar w:fldCharType="separate"/>
        </w:r>
        <w:r w:rsidR="005251BF">
          <w:rPr>
            <w:webHidden/>
          </w:rPr>
          <w:t>95</w:t>
        </w:r>
        <w:r w:rsidR="005251BF">
          <w:rPr>
            <w:webHidden/>
          </w:rPr>
          <w:fldChar w:fldCharType="end"/>
        </w:r>
      </w:hyperlink>
    </w:p>
    <w:p w14:paraId="0CBDEABF" w14:textId="06F224B0"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89" w:history="1">
        <w:r w:rsidR="005251BF" w:rsidRPr="00913C48">
          <w:rPr>
            <w:rStyle w:val="Hyperlink"/>
          </w:rPr>
          <w:t>CANCER TYPES</w:t>
        </w:r>
        <w:r w:rsidR="005251BF">
          <w:rPr>
            <w:webHidden/>
          </w:rPr>
          <w:tab/>
        </w:r>
        <w:r w:rsidR="005251BF">
          <w:rPr>
            <w:webHidden/>
          </w:rPr>
          <w:fldChar w:fldCharType="begin"/>
        </w:r>
        <w:r w:rsidR="005251BF">
          <w:rPr>
            <w:webHidden/>
          </w:rPr>
          <w:instrText xml:space="preserve"> PAGEREF _Toc67488289 \h </w:instrText>
        </w:r>
        <w:r w:rsidR="005251BF">
          <w:rPr>
            <w:webHidden/>
          </w:rPr>
        </w:r>
        <w:r w:rsidR="005251BF">
          <w:rPr>
            <w:webHidden/>
          </w:rPr>
          <w:fldChar w:fldCharType="separate"/>
        </w:r>
        <w:r w:rsidR="005251BF">
          <w:rPr>
            <w:webHidden/>
          </w:rPr>
          <w:t>97</w:t>
        </w:r>
        <w:r w:rsidR="005251BF">
          <w:rPr>
            <w:webHidden/>
          </w:rPr>
          <w:fldChar w:fldCharType="end"/>
        </w:r>
      </w:hyperlink>
    </w:p>
    <w:p w14:paraId="6CE35F0D" w14:textId="65BA4322"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0" w:history="1">
        <w:r w:rsidR="005251BF" w:rsidRPr="00913C48">
          <w:rPr>
            <w:rStyle w:val="Hyperlink"/>
          </w:rPr>
          <w:t>N-NITROSODIMETHYLAMINE (NDMA) AND CHILDHOOD CANCER</w:t>
        </w:r>
        <w:r w:rsidR="005251BF">
          <w:rPr>
            <w:webHidden/>
          </w:rPr>
          <w:tab/>
        </w:r>
        <w:r w:rsidR="005251BF">
          <w:rPr>
            <w:webHidden/>
          </w:rPr>
          <w:fldChar w:fldCharType="begin"/>
        </w:r>
        <w:r w:rsidR="005251BF">
          <w:rPr>
            <w:webHidden/>
          </w:rPr>
          <w:instrText xml:space="preserve"> PAGEREF _Toc67488290 \h </w:instrText>
        </w:r>
        <w:r w:rsidR="005251BF">
          <w:rPr>
            <w:webHidden/>
          </w:rPr>
        </w:r>
        <w:r w:rsidR="005251BF">
          <w:rPr>
            <w:webHidden/>
          </w:rPr>
          <w:fldChar w:fldCharType="separate"/>
        </w:r>
        <w:r w:rsidR="005251BF">
          <w:rPr>
            <w:webHidden/>
          </w:rPr>
          <w:t>98</w:t>
        </w:r>
        <w:r w:rsidR="005251BF">
          <w:rPr>
            <w:webHidden/>
          </w:rPr>
          <w:fldChar w:fldCharType="end"/>
        </w:r>
      </w:hyperlink>
    </w:p>
    <w:p w14:paraId="69C2625E" w14:textId="362062FA"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1" w:history="1">
        <w:r w:rsidR="005251BF" w:rsidRPr="00913C48">
          <w:rPr>
            <w:rStyle w:val="Hyperlink"/>
          </w:rPr>
          <w:t>TRICHLOROETHYLENE (TCE) AND CHILDHOOD CANCER</w:t>
        </w:r>
        <w:r w:rsidR="005251BF">
          <w:rPr>
            <w:webHidden/>
          </w:rPr>
          <w:tab/>
        </w:r>
        <w:r w:rsidR="005251BF">
          <w:rPr>
            <w:webHidden/>
          </w:rPr>
          <w:fldChar w:fldCharType="begin"/>
        </w:r>
        <w:r w:rsidR="005251BF">
          <w:rPr>
            <w:webHidden/>
          </w:rPr>
          <w:instrText xml:space="preserve"> PAGEREF _Toc67488291 \h </w:instrText>
        </w:r>
        <w:r w:rsidR="005251BF">
          <w:rPr>
            <w:webHidden/>
          </w:rPr>
        </w:r>
        <w:r w:rsidR="005251BF">
          <w:rPr>
            <w:webHidden/>
          </w:rPr>
          <w:fldChar w:fldCharType="separate"/>
        </w:r>
        <w:r w:rsidR="005251BF">
          <w:rPr>
            <w:webHidden/>
          </w:rPr>
          <w:t>99</w:t>
        </w:r>
        <w:r w:rsidR="005251BF">
          <w:rPr>
            <w:webHidden/>
          </w:rPr>
          <w:fldChar w:fldCharType="end"/>
        </w:r>
      </w:hyperlink>
    </w:p>
    <w:p w14:paraId="614498AC" w14:textId="5B5F6F4A"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2" w:history="1">
        <w:r w:rsidR="005251BF" w:rsidRPr="00913C48">
          <w:rPr>
            <w:rStyle w:val="Hyperlink"/>
          </w:rPr>
          <w:t>CARCINOGENIC EXPOSURES IN-UTERO</w:t>
        </w:r>
        <w:r w:rsidR="005251BF">
          <w:rPr>
            <w:webHidden/>
          </w:rPr>
          <w:tab/>
        </w:r>
        <w:r w:rsidR="005251BF">
          <w:rPr>
            <w:webHidden/>
          </w:rPr>
          <w:fldChar w:fldCharType="begin"/>
        </w:r>
        <w:r w:rsidR="005251BF">
          <w:rPr>
            <w:webHidden/>
          </w:rPr>
          <w:instrText xml:space="preserve"> PAGEREF _Toc67488292 \h </w:instrText>
        </w:r>
        <w:r w:rsidR="005251BF">
          <w:rPr>
            <w:webHidden/>
          </w:rPr>
        </w:r>
        <w:r w:rsidR="005251BF">
          <w:rPr>
            <w:webHidden/>
          </w:rPr>
          <w:fldChar w:fldCharType="separate"/>
        </w:r>
        <w:r w:rsidR="005251BF">
          <w:rPr>
            <w:webHidden/>
          </w:rPr>
          <w:t>99</w:t>
        </w:r>
        <w:r w:rsidR="005251BF">
          <w:rPr>
            <w:webHidden/>
          </w:rPr>
          <w:fldChar w:fldCharType="end"/>
        </w:r>
      </w:hyperlink>
    </w:p>
    <w:p w14:paraId="1FA1E73D" w14:textId="03545280"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3" w:history="1">
        <w:r w:rsidR="005251BF" w:rsidRPr="00913C48">
          <w:rPr>
            <w:rStyle w:val="Hyperlink"/>
          </w:rPr>
          <w:t>EXPOSURE ASSESSMENT</w:t>
        </w:r>
        <w:r w:rsidR="005251BF">
          <w:rPr>
            <w:webHidden/>
          </w:rPr>
          <w:tab/>
        </w:r>
        <w:r w:rsidR="005251BF">
          <w:rPr>
            <w:webHidden/>
          </w:rPr>
          <w:fldChar w:fldCharType="begin"/>
        </w:r>
        <w:r w:rsidR="005251BF">
          <w:rPr>
            <w:webHidden/>
          </w:rPr>
          <w:instrText xml:space="preserve"> PAGEREF _Toc67488293 \h </w:instrText>
        </w:r>
        <w:r w:rsidR="005251BF">
          <w:rPr>
            <w:webHidden/>
          </w:rPr>
        </w:r>
        <w:r w:rsidR="005251BF">
          <w:rPr>
            <w:webHidden/>
          </w:rPr>
          <w:fldChar w:fldCharType="separate"/>
        </w:r>
        <w:r w:rsidR="005251BF">
          <w:rPr>
            <w:webHidden/>
          </w:rPr>
          <w:t>100</w:t>
        </w:r>
        <w:r w:rsidR="005251BF">
          <w:rPr>
            <w:webHidden/>
          </w:rPr>
          <w:fldChar w:fldCharType="end"/>
        </w:r>
      </w:hyperlink>
    </w:p>
    <w:p w14:paraId="2130C017" w14:textId="67D6E742"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4" w:history="1">
        <w:r w:rsidR="005251BF" w:rsidRPr="00913C48">
          <w:rPr>
            <w:rStyle w:val="Hyperlink"/>
          </w:rPr>
          <w:t>RESPONSE RATES/SELECTION BIAS</w:t>
        </w:r>
        <w:r w:rsidR="005251BF">
          <w:rPr>
            <w:webHidden/>
          </w:rPr>
          <w:tab/>
        </w:r>
        <w:r w:rsidR="005251BF">
          <w:rPr>
            <w:webHidden/>
          </w:rPr>
          <w:fldChar w:fldCharType="begin"/>
        </w:r>
        <w:r w:rsidR="005251BF">
          <w:rPr>
            <w:webHidden/>
          </w:rPr>
          <w:instrText xml:space="preserve"> PAGEREF _Toc67488294 \h </w:instrText>
        </w:r>
        <w:r w:rsidR="005251BF">
          <w:rPr>
            <w:webHidden/>
          </w:rPr>
        </w:r>
        <w:r w:rsidR="005251BF">
          <w:rPr>
            <w:webHidden/>
          </w:rPr>
          <w:fldChar w:fldCharType="separate"/>
        </w:r>
        <w:r w:rsidR="005251BF">
          <w:rPr>
            <w:webHidden/>
          </w:rPr>
          <w:t>103</w:t>
        </w:r>
        <w:r w:rsidR="005251BF">
          <w:rPr>
            <w:webHidden/>
          </w:rPr>
          <w:fldChar w:fldCharType="end"/>
        </w:r>
      </w:hyperlink>
    </w:p>
    <w:p w14:paraId="6645FD48" w14:textId="1802938B"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5" w:history="1">
        <w:r w:rsidR="005251BF" w:rsidRPr="00913C48">
          <w:rPr>
            <w:rStyle w:val="Hyperlink"/>
          </w:rPr>
          <w:t>INFORMATION BIAS</w:t>
        </w:r>
        <w:r w:rsidR="005251BF">
          <w:rPr>
            <w:webHidden/>
          </w:rPr>
          <w:tab/>
        </w:r>
        <w:r w:rsidR="005251BF">
          <w:rPr>
            <w:webHidden/>
          </w:rPr>
          <w:fldChar w:fldCharType="begin"/>
        </w:r>
        <w:r w:rsidR="005251BF">
          <w:rPr>
            <w:webHidden/>
          </w:rPr>
          <w:instrText xml:space="preserve"> PAGEREF _Toc67488295 \h </w:instrText>
        </w:r>
        <w:r w:rsidR="005251BF">
          <w:rPr>
            <w:webHidden/>
          </w:rPr>
        </w:r>
        <w:r w:rsidR="005251BF">
          <w:rPr>
            <w:webHidden/>
          </w:rPr>
          <w:fldChar w:fldCharType="separate"/>
        </w:r>
        <w:r w:rsidR="005251BF">
          <w:rPr>
            <w:webHidden/>
          </w:rPr>
          <w:t>104</w:t>
        </w:r>
        <w:r w:rsidR="005251BF">
          <w:rPr>
            <w:webHidden/>
          </w:rPr>
          <w:fldChar w:fldCharType="end"/>
        </w:r>
      </w:hyperlink>
    </w:p>
    <w:p w14:paraId="2612A593" w14:textId="38154EB0"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6" w:history="1">
        <w:r w:rsidR="005251BF" w:rsidRPr="00913C48">
          <w:rPr>
            <w:rStyle w:val="Hyperlink"/>
          </w:rPr>
          <w:t>CONFOUNDING</w:t>
        </w:r>
        <w:r w:rsidR="005251BF">
          <w:rPr>
            <w:webHidden/>
          </w:rPr>
          <w:tab/>
        </w:r>
        <w:r w:rsidR="005251BF">
          <w:rPr>
            <w:webHidden/>
          </w:rPr>
          <w:fldChar w:fldCharType="begin"/>
        </w:r>
        <w:r w:rsidR="005251BF">
          <w:rPr>
            <w:webHidden/>
          </w:rPr>
          <w:instrText xml:space="preserve"> PAGEREF _Toc67488296 \h </w:instrText>
        </w:r>
        <w:r w:rsidR="005251BF">
          <w:rPr>
            <w:webHidden/>
          </w:rPr>
        </w:r>
        <w:r w:rsidR="005251BF">
          <w:rPr>
            <w:webHidden/>
          </w:rPr>
          <w:fldChar w:fldCharType="separate"/>
        </w:r>
        <w:r w:rsidR="005251BF">
          <w:rPr>
            <w:webHidden/>
          </w:rPr>
          <w:t>106</w:t>
        </w:r>
        <w:r w:rsidR="005251BF">
          <w:rPr>
            <w:webHidden/>
          </w:rPr>
          <w:fldChar w:fldCharType="end"/>
        </w:r>
      </w:hyperlink>
    </w:p>
    <w:p w14:paraId="3466B9E4" w14:textId="6DB862F2"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7" w:history="1">
        <w:r w:rsidR="005251BF" w:rsidRPr="00913C48">
          <w:rPr>
            <w:rStyle w:val="Hyperlink"/>
          </w:rPr>
          <w:t>JOINT EXPOSURE TO NDMA AND TCE</w:t>
        </w:r>
        <w:r w:rsidR="005251BF">
          <w:rPr>
            <w:webHidden/>
          </w:rPr>
          <w:tab/>
        </w:r>
        <w:r w:rsidR="005251BF">
          <w:rPr>
            <w:webHidden/>
          </w:rPr>
          <w:fldChar w:fldCharType="begin"/>
        </w:r>
        <w:r w:rsidR="005251BF">
          <w:rPr>
            <w:webHidden/>
          </w:rPr>
          <w:instrText xml:space="preserve"> PAGEREF _Toc67488297 \h </w:instrText>
        </w:r>
        <w:r w:rsidR="005251BF">
          <w:rPr>
            <w:webHidden/>
          </w:rPr>
        </w:r>
        <w:r w:rsidR="005251BF">
          <w:rPr>
            <w:webHidden/>
          </w:rPr>
          <w:fldChar w:fldCharType="separate"/>
        </w:r>
        <w:r w:rsidR="005251BF">
          <w:rPr>
            <w:webHidden/>
          </w:rPr>
          <w:t>107</w:t>
        </w:r>
        <w:r w:rsidR="005251BF">
          <w:rPr>
            <w:webHidden/>
          </w:rPr>
          <w:fldChar w:fldCharType="end"/>
        </w:r>
      </w:hyperlink>
    </w:p>
    <w:p w14:paraId="63F63039" w14:textId="39396872" w:rsidR="005251BF" w:rsidRDefault="00C2588D" w:rsidP="005251BF">
      <w:pPr>
        <w:pStyle w:val="TOC2"/>
        <w:tabs>
          <w:tab w:val="clear" w:pos="9350"/>
          <w:tab w:val="right" w:leader="dot" w:pos="8190"/>
        </w:tabs>
        <w:rPr>
          <w:rFonts w:asciiTheme="minorHAnsi" w:eastAsiaTheme="minorEastAsia" w:hAnsiTheme="minorHAnsi" w:cstheme="minorBidi"/>
          <w:smallCaps w:val="0"/>
          <w:sz w:val="22"/>
          <w:szCs w:val="22"/>
        </w:rPr>
      </w:pPr>
      <w:hyperlink w:anchor="_Toc67488298" w:history="1">
        <w:r w:rsidR="005251BF" w:rsidRPr="00913C48">
          <w:rPr>
            <w:rStyle w:val="Hyperlink"/>
          </w:rPr>
          <w:t>OTHER RISK FACTORS FOR CHILDHOOD CANCER</w:t>
        </w:r>
        <w:r w:rsidR="005251BF">
          <w:rPr>
            <w:webHidden/>
          </w:rPr>
          <w:tab/>
        </w:r>
        <w:r w:rsidR="005251BF">
          <w:rPr>
            <w:webHidden/>
          </w:rPr>
          <w:fldChar w:fldCharType="begin"/>
        </w:r>
        <w:r w:rsidR="005251BF">
          <w:rPr>
            <w:webHidden/>
          </w:rPr>
          <w:instrText xml:space="preserve"> PAGEREF _Toc67488298 \h </w:instrText>
        </w:r>
        <w:r w:rsidR="005251BF">
          <w:rPr>
            <w:webHidden/>
          </w:rPr>
        </w:r>
        <w:r w:rsidR="005251BF">
          <w:rPr>
            <w:webHidden/>
          </w:rPr>
          <w:fldChar w:fldCharType="separate"/>
        </w:r>
        <w:r w:rsidR="005251BF">
          <w:rPr>
            <w:webHidden/>
          </w:rPr>
          <w:t>108</w:t>
        </w:r>
        <w:r w:rsidR="005251BF">
          <w:rPr>
            <w:webHidden/>
          </w:rPr>
          <w:fldChar w:fldCharType="end"/>
        </w:r>
      </w:hyperlink>
    </w:p>
    <w:p w14:paraId="76A4F716" w14:textId="498B8AEB"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299" w:history="1">
        <w:r w:rsidR="005251BF" w:rsidRPr="00913C48">
          <w:rPr>
            <w:rStyle w:val="Hyperlink"/>
          </w:rPr>
          <w:t>CONCLUSIONS</w:t>
        </w:r>
        <w:r w:rsidR="005251BF">
          <w:rPr>
            <w:webHidden/>
          </w:rPr>
          <w:tab/>
        </w:r>
        <w:r w:rsidR="005251BF">
          <w:rPr>
            <w:webHidden/>
          </w:rPr>
          <w:fldChar w:fldCharType="begin"/>
        </w:r>
        <w:r w:rsidR="005251BF">
          <w:rPr>
            <w:webHidden/>
          </w:rPr>
          <w:instrText xml:space="preserve"> PAGEREF _Toc67488299 \h </w:instrText>
        </w:r>
        <w:r w:rsidR="005251BF">
          <w:rPr>
            <w:webHidden/>
          </w:rPr>
        </w:r>
        <w:r w:rsidR="005251BF">
          <w:rPr>
            <w:webHidden/>
          </w:rPr>
          <w:fldChar w:fldCharType="separate"/>
        </w:r>
        <w:r w:rsidR="005251BF">
          <w:rPr>
            <w:webHidden/>
          </w:rPr>
          <w:t>112</w:t>
        </w:r>
        <w:r w:rsidR="005251BF">
          <w:rPr>
            <w:webHidden/>
          </w:rPr>
          <w:fldChar w:fldCharType="end"/>
        </w:r>
      </w:hyperlink>
    </w:p>
    <w:p w14:paraId="31A7F4EA" w14:textId="34C00C23" w:rsidR="005251BF" w:rsidRDefault="00C2588D" w:rsidP="005251BF">
      <w:pPr>
        <w:pStyle w:val="TOC1"/>
        <w:tabs>
          <w:tab w:val="clear" w:pos="9350"/>
          <w:tab w:val="right" w:leader="dot" w:pos="8190"/>
        </w:tabs>
        <w:rPr>
          <w:rFonts w:asciiTheme="minorHAnsi" w:eastAsiaTheme="minorEastAsia" w:hAnsiTheme="minorHAnsi" w:cstheme="minorBidi"/>
          <w:b w:val="0"/>
          <w:bCs w:val="0"/>
          <w:caps w:val="0"/>
          <w:sz w:val="22"/>
          <w:szCs w:val="22"/>
        </w:rPr>
      </w:pPr>
      <w:hyperlink w:anchor="_Toc67488300" w:history="1">
        <w:r w:rsidR="005251BF" w:rsidRPr="00913C48">
          <w:rPr>
            <w:rStyle w:val="Hyperlink"/>
          </w:rPr>
          <w:t>REFERENCES</w:t>
        </w:r>
        <w:r w:rsidR="005251BF">
          <w:rPr>
            <w:webHidden/>
          </w:rPr>
          <w:tab/>
        </w:r>
        <w:r w:rsidR="005251BF">
          <w:rPr>
            <w:webHidden/>
          </w:rPr>
          <w:fldChar w:fldCharType="begin"/>
        </w:r>
        <w:r w:rsidR="005251BF">
          <w:rPr>
            <w:webHidden/>
          </w:rPr>
          <w:instrText xml:space="preserve"> PAGEREF _Toc67488300 \h </w:instrText>
        </w:r>
        <w:r w:rsidR="005251BF">
          <w:rPr>
            <w:webHidden/>
          </w:rPr>
        </w:r>
        <w:r w:rsidR="005251BF">
          <w:rPr>
            <w:webHidden/>
          </w:rPr>
          <w:fldChar w:fldCharType="separate"/>
        </w:r>
        <w:r w:rsidR="005251BF">
          <w:rPr>
            <w:webHidden/>
          </w:rPr>
          <w:t>113</w:t>
        </w:r>
        <w:r w:rsidR="005251BF">
          <w:rPr>
            <w:webHidden/>
          </w:rPr>
          <w:fldChar w:fldCharType="end"/>
        </w:r>
      </w:hyperlink>
    </w:p>
    <w:p w14:paraId="47DD5657" w14:textId="136B7A78" w:rsidR="00CB3EBA" w:rsidRDefault="008124C3" w:rsidP="00113D54">
      <w:pPr>
        <w:spacing w:line="240" w:lineRule="auto"/>
        <w:jc w:val="center"/>
      </w:pPr>
      <w:r w:rsidRPr="00E43A72">
        <w:fldChar w:fldCharType="end"/>
      </w:r>
    </w:p>
    <w:p w14:paraId="496430C2" w14:textId="77777777" w:rsidR="00CB3EBA" w:rsidRDefault="00CB3EBA">
      <w:pPr>
        <w:spacing w:after="0" w:line="240" w:lineRule="auto"/>
      </w:pPr>
      <w:r>
        <w:br w:type="page"/>
      </w:r>
    </w:p>
    <w:p w14:paraId="4EABE78F" w14:textId="11461A1B" w:rsidR="00402B0D" w:rsidRPr="00E43A72" w:rsidRDefault="00402B0D" w:rsidP="00113D54">
      <w:pPr>
        <w:spacing w:line="240" w:lineRule="auto"/>
        <w:jc w:val="center"/>
        <w:rPr>
          <w:i/>
          <w:iCs/>
          <w:sz w:val="22"/>
        </w:rPr>
      </w:pPr>
      <w:r w:rsidRPr="00E43A72">
        <w:rPr>
          <w:b/>
        </w:rPr>
        <w:lastRenderedPageBreak/>
        <w:t>LIST OF TABLES</w:t>
      </w:r>
    </w:p>
    <w:p w14:paraId="1C7362DA" w14:textId="5E734991" w:rsidR="00B54AEF" w:rsidRPr="00E43A72" w:rsidRDefault="00FF48C4">
      <w:pPr>
        <w:pStyle w:val="TableofFigures"/>
        <w:tabs>
          <w:tab w:val="right" w:leader="dot" w:pos="8198"/>
        </w:tabs>
        <w:rPr>
          <w:rFonts w:ascii="Adobe Caslon Pro" w:eastAsiaTheme="minorEastAsia" w:hAnsi="Adobe Caslon Pro" w:cstheme="minorBidi"/>
          <w:iCs w:val="0"/>
          <w:noProof/>
          <w:szCs w:val="24"/>
        </w:rPr>
      </w:pPr>
      <w:r w:rsidRPr="00E43A72">
        <w:rPr>
          <w:rFonts w:ascii="Adobe Caslon Pro" w:hAnsi="Adobe Caslon Pro"/>
          <w:iCs w:val="0"/>
          <w:sz w:val="20"/>
        </w:rPr>
        <w:fldChar w:fldCharType="begin"/>
      </w:r>
      <w:r w:rsidRPr="00E43A72">
        <w:rPr>
          <w:rFonts w:ascii="Adobe Caslon Pro" w:hAnsi="Adobe Caslon Pro"/>
          <w:iCs w:val="0"/>
          <w:sz w:val="20"/>
        </w:rPr>
        <w:instrText xml:space="preserve"> TOC \h \z \c "Table" </w:instrText>
      </w:r>
      <w:r w:rsidRPr="00E43A72">
        <w:rPr>
          <w:rFonts w:ascii="Adobe Caslon Pro" w:hAnsi="Adobe Caslon Pro"/>
          <w:iCs w:val="0"/>
          <w:sz w:val="20"/>
        </w:rPr>
        <w:fldChar w:fldCharType="separate"/>
      </w:r>
      <w:hyperlink w:anchor="_Toc45714880" w:history="1">
        <w:r w:rsidR="00B54AEF" w:rsidRPr="00E43A72">
          <w:rPr>
            <w:rStyle w:val="Hyperlink"/>
            <w:rFonts w:ascii="Adobe Caslon Pro" w:hAnsi="Adobe Caslon Pro"/>
            <w:noProof/>
            <w:szCs w:val="24"/>
          </w:rPr>
          <w:t>Table 1. Childhood Cancer Incidence  in Wilmington, MA, 1987-1995</w:t>
        </w:r>
        <w:r w:rsidR="00B54AEF" w:rsidRPr="00E43A72">
          <w:rPr>
            <w:rFonts w:ascii="Adobe Caslon Pro" w:hAnsi="Adobe Caslon Pro"/>
            <w:noProof/>
            <w:webHidden/>
            <w:szCs w:val="24"/>
          </w:rPr>
          <w:tab/>
        </w:r>
        <w:r w:rsidR="00B54AEF" w:rsidRPr="00E43A72">
          <w:rPr>
            <w:rFonts w:ascii="Adobe Caslon Pro" w:hAnsi="Adobe Caslon Pro"/>
            <w:noProof/>
            <w:webHidden/>
            <w:szCs w:val="24"/>
          </w:rPr>
          <w:fldChar w:fldCharType="begin"/>
        </w:r>
        <w:r w:rsidR="00B54AEF" w:rsidRPr="00E43A72">
          <w:rPr>
            <w:rFonts w:ascii="Adobe Caslon Pro" w:hAnsi="Adobe Caslon Pro"/>
            <w:noProof/>
            <w:webHidden/>
            <w:szCs w:val="24"/>
          </w:rPr>
          <w:instrText xml:space="preserve"> PAGEREF _Toc45714880 \h </w:instrText>
        </w:r>
        <w:r w:rsidR="00B54AEF" w:rsidRPr="00E43A72">
          <w:rPr>
            <w:rFonts w:ascii="Adobe Caslon Pro" w:hAnsi="Adobe Caslon Pro"/>
            <w:noProof/>
            <w:webHidden/>
            <w:szCs w:val="24"/>
          </w:rPr>
        </w:r>
        <w:r w:rsidR="00B54AEF" w:rsidRPr="00E43A72">
          <w:rPr>
            <w:rFonts w:ascii="Adobe Caslon Pro" w:hAnsi="Adobe Caslon Pro"/>
            <w:noProof/>
            <w:webHidden/>
            <w:szCs w:val="24"/>
          </w:rPr>
          <w:fldChar w:fldCharType="separate"/>
        </w:r>
        <w:r w:rsidR="00977423">
          <w:rPr>
            <w:rFonts w:ascii="Adobe Caslon Pro" w:hAnsi="Adobe Caslon Pro"/>
            <w:noProof/>
            <w:webHidden/>
            <w:szCs w:val="24"/>
          </w:rPr>
          <w:t>7</w:t>
        </w:r>
        <w:r w:rsidR="00B54AEF" w:rsidRPr="00E43A72">
          <w:rPr>
            <w:rFonts w:ascii="Adobe Caslon Pro" w:hAnsi="Adobe Caslon Pro"/>
            <w:noProof/>
            <w:webHidden/>
            <w:szCs w:val="24"/>
          </w:rPr>
          <w:fldChar w:fldCharType="end"/>
        </w:r>
      </w:hyperlink>
    </w:p>
    <w:p w14:paraId="11A400C4" w14:textId="55878952"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1" w:history="1">
        <w:r w:rsidR="00B54AEF" w:rsidRPr="00E43A72">
          <w:rPr>
            <w:rStyle w:val="Hyperlink"/>
            <w:rFonts w:ascii="Adobe Caslon Pro" w:hAnsi="Adobe Caslon Pro"/>
            <w:noProof/>
          </w:rPr>
          <w:t>Table 2. Types of Cancer Diagnosed Among Wilmington Children, 1990-2000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_Toc45714881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11</w:t>
        </w:r>
        <w:r w:rsidR="00B54AEF" w:rsidRPr="00E43A72">
          <w:rPr>
            <w:rFonts w:ascii="Adobe Caslon Pro" w:hAnsi="Adobe Caslon Pro"/>
            <w:noProof/>
            <w:webHidden/>
          </w:rPr>
          <w:fldChar w:fldCharType="end"/>
        </w:r>
      </w:hyperlink>
    </w:p>
    <w:p w14:paraId="5BBE2230" w14:textId="2063B37E"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2" w:history="1">
        <w:r w:rsidR="00B54AEF" w:rsidRPr="00E43A72">
          <w:rPr>
            <w:rStyle w:val="Hyperlink"/>
            <w:rFonts w:ascii="Adobe Caslon Pro" w:hAnsi="Adobe Caslon Pro"/>
            <w:noProof/>
          </w:rPr>
          <w:t>Table 3. Summary of NDMA Drinking Water Guidelines</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_Toc45714882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33</w:t>
        </w:r>
        <w:r w:rsidR="00B54AEF" w:rsidRPr="00E43A72">
          <w:rPr>
            <w:rFonts w:ascii="Adobe Caslon Pro" w:hAnsi="Adobe Caslon Pro"/>
            <w:noProof/>
            <w:webHidden/>
          </w:rPr>
          <w:fldChar w:fldCharType="end"/>
        </w:r>
      </w:hyperlink>
    </w:p>
    <w:p w14:paraId="2832741D" w14:textId="411B3B5F"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3" w:history="1">
        <w:r w:rsidR="00B54AEF" w:rsidRPr="00E43A72">
          <w:rPr>
            <w:rStyle w:val="Hyperlink"/>
            <w:rFonts w:ascii="Adobe Caslon Pro" w:hAnsi="Adobe Caslon Pro"/>
            <w:noProof/>
          </w:rPr>
          <w:t>Table 4. NDMA and TCE Exposure Metrics Used for Data Analysis</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_Toc45714883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54</w:t>
        </w:r>
        <w:r w:rsidR="00B54AEF" w:rsidRPr="00E43A72">
          <w:rPr>
            <w:rFonts w:ascii="Adobe Caslon Pro" w:hAnsi="Adobe Caslon Pro"/>
            <w:noProof/>
            <w:webHidden/>
          </w:rPr>
          <w:fldChar w:fldCharType="end"/>
        </w:r>
      </w:hyperlink>
    </w:p>
    <w:p w14:paraId="329D4CDC" w14:textId="3836B315"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4" w:history="1">
        <w:r w:rsidR="00B54AEF" w:rsidRPr="00E43A72">
          <w:rPr>
            <w:rStyle w:val="Hyperlink"/>
            <w:rFonts w:ascii="Adobe Caslon Pro" w:hAnsi="Adobe Caslon Pro"/>
            <w:noProof/>
          </w:rPr>
          <w:t>Table 5. Case-control contingency table with matched pair possibilities</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_Toc45714884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55</w:t>
        </w:r>
        <w:r w:rsidR="00B54AEF" w:rsidRPr="00E43A72">
          <w:rPr>
            <w:rFonts w:ascii="Adobe Caslon Pro" w:hAnsi="Adobe Caslon Pro"/>
            <w:noProof/>
            <w:webHidden/>
          </w:rPr>
          <w:fldChar w:fldCharType="end"/>
        </w:r>
      </w:hyperlink>
    </w:p>
    <w:p w14:paraId="579A62F8" w14:textId="60A2E99E"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5" w:history="1">
        <w:r w:rsidR="00B54AEF" w:rsidRPr="00E43A72">
          <w:rPr>
            <w:rStyle w:val="Hyperlink"/>
            <w:rFonts w:ascii="Adobe Caslon Pro" w:hAnsi="Adobe Caslon Pro"/>
            <w:noProof/>
          </w:rPr>
          <w:t>Table 6. Characteristics of 21 eligible Wilmington childhood cancer cases, 1990-2000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_Toc45714885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64</w:t>
        </w:r>
        <w:r w:rsidR="00B54AEF" w:rsidRPr="00E43A72">
          <w:rPr>
            <w:rFonts w:ascii="Adobe Caslon Pro" w:hAnsi="Adobe Caslon Pro"/>
            <w:noProof/>
            <w:webHidden/>
          </w:rPr>
          <w:fldChar w:fldCharType="end"/>
        </w:r>
      </w:hyperlink>
    </w:p>
    <w:p w14:paraId="58D3B622" w14:textId="6591556F"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6" w:history="1">
        <w:r w:rsidR="00B54AEF" w:rsidRPr="00E43A72">
          <w:rPr>
            <w:rStyle w:val="Hyperlink"/>
            <w:rFonts w:ascii="Adobe Caslon Pro" w:hAnsi="Adobe Caslon Pro"/>
            <w:noProof/>
          </w:rPr>
          <w:t>Table 7. Select demographic and risk factor characteristics among cases and controls of the Wilmington Childhood Cancer Study</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_Toc45714886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69</w:t>
        </w:r>
        <w:r w:rsidR="00B54AEF" w:rsidRPr="00E43A72">
          <w:rPr>
            <w:rFonts w:ascii="Adobe Caslon Pro" w:hAnsi="Adobe Caslon Pro"/>
            <w:noProof/>
            <w:webHidden/>
          </w:rPr>
          <w:fldChar w:fldCharType="end"/>
        </w:r>
      </w:hyperlink>
    </w:p>
    <w:p w14:paraId="4CFF21B9" w14:textId="4FC80F7C"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7" w:history="1">
        <w:r w:rsidR="00B54AEF" w:rsidRPr="00E43A72">
          <w:rPr>
            <w:rStyle w:val="Hyperlink"/>
            <w:rFonts w:ascii="Adobe Caslon Pro" w:hAnsi="Adobe Caslon Pro"/>
            <w:noProof/>
          </w:rPr>
          <w:t>Table 8. Estimated residential NDMA concentrations among the Wilmington study population for maternal</w:t>
        </w:r>
        <w:r w:rsidR="00B54AEF" w:rsidRPr="00E43A72">
          <w:rPr>
            <w:rStyle w:val="Hyperlink"/>
            <w:rFonts w:ascii="Adobe Caslon Pro" w:hAnsi="Adobe Caslon Pro"/>
            <w:noProof/>
            <w:vertAlign w:val="superscript"/>
          </w:rPr>
          <w:t xml:space="preserve">a </w:t>
        </w:r>
        <w:r w:rsidR="00B54AEF" w:rsidRPr="00E43A72">
          <w:rPr>
            <w:rStyle w:val="Hyperlink"/>
            <w:rFonts w:ascii="Adobe Caslon Pro" w:hAnsi="Adobe Caslon Pro"/>
            <w:noProof/>
          </w:rPr>
          <w:t>and childhood</w:t>
        </w:r>
        <w:r w:rsidR="00B54AEF" w:rsidRPr="00E43A72">
          <w:rPr>
            <w:rStyle w:val="Hyperlink"/>
            <w:rFonts w:ascii="Adobe Caslon Pro" w:hAnsi="Adobe Caslon Pro"/>
            <w:noProof/>
            <w:vertAlign w:val="superscript"/>
          </w:rPr>
          <w:t>b</w:t>
        </w:r>
        <w:r w:rsidR="00B54AEF" w:rsidRPr="00E43A72">
          <w:rPr>
            <w:rStyle w:val="Hyperlink"/>
            <w:rFonts w:ascii="Adobe Caslon Pro" w:hAnsi="Adobe Caslon Pro"/>
            <w:noProof/>
          </w:rPr>
          <w:t xml:space="preserve"> exposure periods</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_Toc45714887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79</w:t>
        </w:r>
        <w:r w:rsidR="00B54AEF" w:rsidRPr="00E43A72">
          <w:rPr>
            <w:rFonts w:ascii="Adobe Caslon Pro" w:hAnsi="Adobe Caslon Pro"/>
            <w:noProof/>
            <w:webHidden/>
          </w:rPr>
          <w:fldChar w:fldCharType="end"/>
        </w:r>
      </w:hyperlink>
    </w:p>
    <w:p w14:paraId="72BD9B35" w14:textId="26B8C2C9"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8" w:history="1">
        <w:r w:rsidR="00B54AEF" w:rsidRPr="00E43A72">
          <w:rPr>
            <w:rStyle w:val="Hyperlink"/>
            <w:rFonts w:ascii="Adobe Caslon Pro" w:hAnsi="Adobe Caslon Pro"/>
            <w:noProof/>
          </w:rPr>
          <w:t>Table 9. Presence of NDMA in drinking water and odds of childhood cancer among children living in Wilmington, MA, 1974-2000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_Toc45714888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80</w:t>
        </w:r>
        <w:r w:rsidR="00B54AEF" w:rsidRPr="00E43A72">
          <w:rPr>
            <w:rFonts w:ascii="Adobe Caslon Pro" w:hAnsi="Adobe Caslon Pro"/>
            <w:noProof/>
            <w:webHidden/>
          </w:rPr>
          <w:fldChar w:fldCharType="end"/>
        </w:r>
      </w:hyperlink>
    </w:p>
    <w:p w14:paraId="6EF83AC2" w14:textId="66D0147F"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89" w:history="1">
        <w:r w:rsidR="00B54AEF" w:rsidRPr="00E43A72">
          <w:rPr>
            <w:rStyle w:val="Hyperlink"/>
            <w:rFonts w:ascii="Adobe Caslon Pro" w:hAnsi="Adobe Caslon Pro"/>
            <w:noProof/>
          </w:rPr>
          <w:t>Table 10. Average estimated concentration of NDMA in drinking water* (zero, low, high) and odds of childhood cancer among children living in Wilmington, MA, 1974-2000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_Toc45714889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81</w:t>
        </w:r>
        <w:r w:rsidR="00B54AEF" w:rsidRPr="00E43A72">
          <w:rPr>
            <w:rFonts w:ascii="Adobe Caslon Pro" w:hAnsi="Adobe Caslon Pro"/>
            <w:noProof/>
            <w:webHidden/>
          </w:rPr>
          <w:fldChar w:fldCharType="end"/>
        </w:r>
      </w:hyperlink>
    </w:p>
    <w:p w14:paraId="43F32414" w14:textId="79922879"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0" w:history="1">
        <w:r w:rsidR="00B54AEF" w:rsidRPr="00E43A72">
          <w:rPr>
            <w:rStyle w:val="Hyperlink"/>
            <w:rFonts w:ascii="Adobe Caslon Pro" w:hAnsi="Adobe Caslon Pro"/>
            <w:noProof/>
          </w:rPr>
          <w:t>Table 11. Estimated residential TCE concentrations among the Wilmington study population for maternal</w:t>
        </w:r>
        <w:r w:rsidR="00B54AEF" w:rsidRPr="00E43A72">
          <w:rPr>
            <w:rStyle w:val="Hyperlink"/>
            <w:rFonts w:ascii="Adobe Caslon Pro" w:hAnsi="Adobe Caslon Pro"/>
            <w:noProof/>
            <w:vertAlign w:val="superscript"/>
          </w:rPr>
          <w:t>a</w:t>
        </w:r>
        <w:r w:rsidR="00B54AEF" w:rsidRPr="00E43A72">
          <w:rPr>
            <w:rStyle w:val="Hyperlink"/>
            <w:rFonts w:ascii="Adobe Caslon Pro" w:hAnsi="Adobe Caslon Pro"/>
            <w:noProof/>
          </w:rPr>
          <w:t xml:space="preserve"> and childhood</w:t>
        </w:r>
        <w:r w:rsidR="00B54AEF" w:rsidRPr="00E43A72">
          <w:rPr>
            <w:rStyle w:val="Hyperlink"/>
            <w:rFonts w:ascii="Adobe Caslon Pro" w:hAnsi="Adobe Caslon Pro"/>
            <w:noProof/>
            <w:vertAlign w:val="superscript"/>
          </w:rPr>
          <w:t>b</w:t>
        </w:r>
        <w:r w:rsidR="00B54AEF" w:rsidRPr="00E43A72">
          <w:rPr>
            <w:rStyle w:val="Hyperlink"/>
            <w:rFonts w:ascii="Adobe Caslon Pro" w:hAnsi="Adobe Caslon Pro"/>
            <w:noProof/>
          </w:rPr>
          <w:t xml:space="preserve"> exposure periods</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_Toc45714890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86</w:t>
        </w:r>
        <w:r w:rsidR="00B54AEF" w:rsidRPr="00E43A72">
          <w:rPr>
            <w:rFonts w:ascii="Adobe Caslon Pro" w:hAnsi="Adobe Caslon Pro"/>
            <w:noProof/>
            <w:webHidden/>
          </w:rPr>
          <w:fldChar w:fldCharType="end"/>
        </w:r>
      </w:hyperlink>
    </w:p>
    <w:p w14:paraId="61BBF9FE" w14:textId="494D0655"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1" w:history="1">
        <w:r w:rsidR="00B54AEF" w:rsidRPr="00E43A72">
          <w:rPr>
            <w:rStyle w:val="Hyperlink"/>
            <w:rFonts w:ascii="Adobe Caslon Pro" w:hAnsi="Adobe Caslon Pro"/>
            <w:noProof/>
          </w:rPr>
          <w:t>Table 12. Presence of NDMA and TCE in maternal residential drinking water among cases and controls of the Wilmington Childhood Cancer Study (n=73)</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_Toc45714891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89</w:t>
        </w:r>
        <w:r w:rsidR="00B54AEF" w:rsidRPr="00E43A72">
          <w:rPr>
            <w:rFonts w:ascii="Adobe Caslon Pro" w:hAnsi="Adobe Caslon Pro"/>
            <w:noProof/>
            <w:webHidden/>
          </w:rPr>
          <w:fldChar w:fldCharType="end"/>
        </w:r>
      </w:hyperlink>
    </w:p>
    <w:p w14:paraId="0372603E" w14:textId="23B9A2DD"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2" w:history="1">
        <w:r w:rsidR="00B54AEF" w:rsidRPr="00E43A72">
          <w:rPr>
            <w:rStyle w:val="Hyperlink"/>
            <w:rFonts w:ascii="Adobe Caslon Pro" w:hAnsi="Adobe Caslon Pro"/>
            <w:noProof/>
          </w:rPr>
          <w:t>Table 13. Presence of TCE in drinking water and odds of childhood cancer among children living in Wilmington, MA, 1981-2000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_Toc45714892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91</w:t>
        </w:r>
        <w:r w:rsidR="00B54AEF" w:rsidRPr="00E43A72">
          <w:rPr>
            <w:rFonts w:ascii="Adobe Caslon Pro" w:hAnsi="Adobe Caslon Pro"/>
            <w:noProof/>
            <w:webHidden/>
          </w:rPr>
          <w:fldChar w:fldCharType="end"/>
        </w:r>
      </w:hyperlink>
    </w:p>
    <w:p w14:paraId="55E2CB44" w14:textId="4287C2F9"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3" w:history="1">
        <w:r w:rsidR="00B54AEF" w:rsidRPr="00E43A72">
          <w:rPr>
            <w:rStyle w:val="Hyperlink"/>
            <w:rFonts w:ascii="Adobe Caslon Pro" w:hAnsi="Adobe Caslon Pro"/>
            <w:noProof/>
          </w:rPr>
          <w:t>Table 14. Average estimated concentration of TCE in drinking water* (zero, low, high) and odds of childhood cancer among children living in Wilmington, MA, 1981-2000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_Toc45714893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94</w:t>
        </w:r>
        <w:r w:rsidR="00B54AEF" w:rsidRPr="00E43A72">
          <w:rPr>
            <w:rFonts w:ascii="Adobe Caslon Pro" w:hAnsi="Adobe Caslon Pro"/>
            <w:noProof/>
            <w:webHidden/>
          </w:rPr>
          <w:fldChar w:fldCharType="end"/>
        </w:r>
      </w:hyperlink>
    </w:p>
    <w:p w14:paraId="789CD800" w14:textId="233C4AD6"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4" w:history="1">
        <w:r w:rsidR="00B54AEF" w:rsidRPr="00E43A72">
          <w:rPr>
            <w:rStyle w:val="Hyperlink"/>
            <w:rFonts w:ascii="Adobe Caslon Pro" w:hAnsi="Adobe Caslon Pro"/>
            <w:noProof/>
          </w:rPr>
          <w:t>Table 15. Reported use of bottled water as the primary source of home drinking water by mothers during the year before child’s birth among participants of the Wilmington Cancer Study, 1972-2000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_Toc45714894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95</w:t>
        </w:r>
        <w:r w:rsidR="00B54AEF" w:rsidRPr="00E43A72">
          <w:rPr>
            <w:rFonts w:ascii="Adobe Caslon Pro" w:hAnsi="Adobe Caslon Pro"/>
            <w:noProof/>
            <w:webHidden/>
          </w:rPr>
          <w:fldChar w:fldCharType="end"/>
        </w:r>
      </w:hyperlink>
    </w:p>
    <w:p w14:paraId="34177236" w14:textId="042CCE66"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5" w:history="1">
        <w:r w:rsidR="00B54AEF" w:rsidRPr="00E43A72">
          <w:rPr>
            <w:rStyle w:val="Hyperlink"/>
            <w:rFonts w:ascii="Adobe Caslon Pro" w:hAnsi="Adobe Caslon Pro"/>
            <w:noProof/>
          </w:rPr>
          <w:t>Table 16. Maternal average estimated concentration of NDMA in drinking water (zero, low, high), after accounting for reported bottled water usage, and odds of childhood cancer among children living in Wilmington, MA, 1974-2000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_Toc45714895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96</w:t>
        </w:r>
        <w:r w:rsidR="00B54AEF" w:rsidRPr="00E43A72">
          <w:rPr>
            <w:rFonts w:ascii="Adobe Caslon Pro" w:hAnsi="Adobe Caslon Pro"/>
            <w:noProof/>
            <w:webHidden/>
          </w:rPr>
          <w:fldChar w:fldCharType="end"/>
        </w:r>
      </w:hyperlink>
    </w:p>
    <w:p w14:paraId="02853EFD" w14:textId="26345CE5"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6" w:history="1">
        <w:r w:rsidR="00B54AEF" w:rsidRPr="00E43A72">
          <w:rPr>
            <w:rStyle w:val="Hyperlink"/>
            <w:rFonts w:ascii="Adobe Caslon Pro" w:hAnsi="Adobe Caslon Pro"/>
            <w:noProof/>
          </w:rPr>
          <w:t>Table 17. Maternal average estimated concentration of TCE in drinking water (zero, low, high), after accounting for reported bottled water usage, and odds of childhood cancer among children living in Wilmington, MA, 1981-2000</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_Toc45714896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99</w:t>
        </w:r>
        <w:r w:rsidR="00B54AEF" w:rsidRPr="00E43A72">
          <w:rPr>
            <w:rFonts w:ascii="Adobe Caslon Pro" w:hAnsi="Adobe Caslon Pro"/>
            <w:noProof/>
            <w:webHidden/>
          </w:rPr>
          <w:fldChar w:fldCharType="end"/>
        </w:r>
      </w:hyperlink>
    </w:p>
    <w:p w14:paraId="4CCE1A52" w14:textId="433C8660" w:rsidR="00B54AEF"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4897" w:history="1">
        <w:r w:rsidR="00B54AEF" w:rsidRPr="00E43A72">
          <w:rPr>
            <w:rStyle w:val="Hyperlink"/>
            <w:rFonts w:ascii="Adobe Caslon Pro" w:hAnsi="Adobe Caslon Pro"/>
            <w:noProof/>
          </w:rPr>
          <w:t>Table 18. Presence of NDMA and TCE in maternal residential drinking water and odds of childhood cancer among children living in Wilmington, MA, 1974-2000 (n=73).</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_Toc45714897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102</w:t>
        </w:r>
        <w:r w:rsidR="00B54AEF" w:rsidRPr="00E43A72">
          <w:rPr>
            <w:rFonts w:ascii="Adobe Caslon Pro" w:hAnsi="Adobe Caslon Pro"/>
            <w:noProof/>
            <w:webHidden/>
          </w:rPr>
          <w:fldChar w:fldCharType="end"/>
        </w:r>
      </w:hyperlink>
    </w:p>
    <w:p w14:paraId="19D48E4A" w14:textId="73A471EC" w:rsidR="00B54AEF" w:rsidRPr="00E43A72" w:rsidRDefault="00C2588D" w:rsidP="00CB3EBA">
      <w:pPr>
        <w:pStyle w:val="TableofFigures"/>
        <w:tabs>
          <w:tab w:val="right" w:leader="dot" w:pos="8198"/>
        </w:tabs>
        <w:spacing w:after="360"/>
        <w:rPr>
          <w:rFonts w:ascii="Adobe Caslon Pro" w:eastAsiaTheme="minorEastAsia" w:hAnsi="Adobe Caslon Pro" w:cstheme="minorBidi"/>
          <w:iCs w:val="0"/>
          <w:noProof/>
          <w:sz w:val="22"/>
          <w:szCs w:val="22"/>
        </w:rPr>
      </w:pPr>
      <w:hyperlink w:anchor="_Toc45714898" w:history="1">
        <w:r w:rsidR="00B54AEF" w:rsidRPr="00E43A72">
          <w:rPr>
            <w:rStyle w:val="Hyperlink"/>
            <w:rFonts w:ascii="Adobe Caslon Pro" w:hAnsi="Adobe Caslon Pro"/>
            <w:noProof/>
          </w:rPr>
          <w:t>Table 19. Odds ratios and 95% confidence intervals for the association between NDMA in drinking water and any childhood cancer following adjustment for confounding variables</w:t>
        </w:r>
        <w:r w:rsidR="00B54AEF" w:rsidRPr="00E43A72">
          <w:rPr>
            <w:rFonts w:ascii="Adobe Caslon Pro" w:hAnsi="Adobe Caslon Pro"/>
            <w:noProof/>
            <w:webHidden/>
          </w:rPr>
          <w:tab/>
        </w:r>
        <w:r w:rsidR="00B54AEF" w:rsidRPr="00E43A72">
          <w:rPr>
            <w:rFonts w:ascii="Adobe Caslon Pro" w:hAnsi="Adobe Caslon Pro"/>
            <w:noProof/>
            <w:webHidden/>
          </w:rPr>
          <w:fldChar w:fldCharType="begin"/>
        </w:r>
        <w:r w:rsidR="00B54AEF" w:rsidRPr="00E43A72">
          <w:rPr>
            <w:rFonts w:ascii="Adobe Caslon Pro" w:hAnsi="Adobe Caslon Pro"/>
            <w:noProof/>
            <w:webHidden/>
          </w:rPr>
          <w:instrText xml:space="preserve"> PAGEREF _Toc45714898 \h </w:instrText>
        </w:r>
        <w:r w:rsidR="00B54AEF" w:rsidRPr="00E43A72">
          <w:rPr>
            <w:rFonts w:ascii="Adobe Caslon Pro" w:hAnsi="Adobe Caslon Pro"/>
            <w:noProof/>
            <w:webHidden/>
          </w:rPr>
        </w:r>
        <w:r w:rsidR="00B54AEF" w:rsidRPr="00E43A72">
          <w:rPr>
            <w:rFonts w:ascii="Adobe Caslon Pro" w:hAnsi="Adobe Caslon Pro"/>
            <w:noProof/>
            <w:webHidden/>
          </w:rPr>
          <w:fldChar w:fldCharType="separate"/>
        </w:r>
        <w:r w:rsidR="00977423">
          <w:rPr>
            <w:rFonts w:ascii="Adobe Caslon Pro" w:hAnsi="Adobe Caslon Pro"/>
            <w:noProof/>
            <w:webHidden/>
          </w:rPr>
          <w:t>104</w:t>
        </w:r>
        <w:r w:rsidR="00B54AEF" w:rsidRPr="00E43A72">
          <w:rPr>
            <w:rFonts w:ascii="Adobe Caslon Pro" w:hAnsi="Adobe Caslon Pro"/>
            <w:noProof/>
            <w:webHidden/>
          </w:rPr>
          <w:fldChar w:fldCharType="end"/>
        </w:r>
      </w:hyperlink>
    </w:p>
    <w:p w14:paraId="13998B54" w14:textId="5159093B" w:rsidR="00E94645" w:rsidRPr="00FE1972" w:rsidRDefault="00FF48C4" w:rsidP="00FE1972">
      <w:pPr>
        <w:jc w:val="center"/>
      </w:pPr>
      <w:r w:rsidRPr="00E43A72">
        <w:rPr>
          <w:iCs/>
          <w:sz w:val="20"/>
          <w:szCs w:val="20"/>
        </w:rPr>
        <w:fldChar w:fldCharType="end"/>
      </w:r>
      <w:r w:rsidR="00E94645" w:rsidRPr="00E43A72">
        <w:rPr>
          <w:b/>
          <w:szCs w:val="32"/>
        </w:rPr>
        <w:t>LIST OF FIGURES</w:t>
      </w:r>
    </w:p>
    <w:p w14:paraId="60348ED7" w14:textId="2D173F8E" w:rsidR="00BC6405" w:rsidRPr="00E43A72" w:rsidRDefault="003C1176">
      <w:pPr>
        <w:pStyle w:val="TableofFigures"/>
        <w:tabs>
          <w:tab w:val="right" w:leader="dot" w:pos="8198"/>
        </w:tabs>
        <w:rPr>
          <w:rFonts w:ascii="Adobe Caslon Pro" w:eastAsiaTheme="minorEastAsia" w:hAnsi="Adobe Caslon Pro" w:cstheme="minorBidi"/>
          <w:iCs w:val="0"/>
          <w:noProof/>
          <w:sz w:val="22"/>
          <w:szCs w:val="22"/>
        </w:rPr>
      </w:pPr>
      <w:r w:rsidRPr="00E43A72">
        <w:rPr>
          <w:rFonts w:ascii="Adobe Caslon Pro" w:hAnsi="Adobe Caslon Pro"/>
          <w:sz w:val="32"/>
          <w:szCs w:val="32"/>
        </w:rPr>
        <w:fldChar w:fldCharType="begin"/>
      </w:r>
      <w:r w:rsidRPr="00E43A72">
        <w:rPr>
          <w:rFonts w:ascii="Adobe Caslon Pro" w:hAnsi="Adobe Caslon Pro"/>
          <w:sz w:val="32"/>
          <w:szCs w:val="32"/>
        </w:rPr>
        <w:instrText xml:space="preserve"> TOC \h \z \c "Figure" </w:instrText>
      </w:r>
      <w:r w:rsidRPr="00E43A72">
        <w:rPr>
          <w:rFonts w:ascii="Adobe Caslon Pro" w:hAnsi="Adobe Caslon Pro"/>
          <w:sz w:val="32"/>
          <w:szCs w:val="32"/>
        </w:rPr>
        <w:fldChar w:fldCharType="separate"/>
      </w:r>
      <w:hyperlink w:anchor="_Toc45717776" w:history="1">
        <w:r w:rsidR="00BC6405" w:rsidRPr="00E43A72">
          <w:rPr>
            <w:rStyle w:val="Hyperlink"/>
            <w:rFonts w:ascii="Adobe Caslon Pro" w:hAnsi="Adobe Caslon Pro"/>
            <w:noProof/>
          </w:rPr>
          <w:t>Figure 1. Map of Wilmington, MA</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_Toc45717776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2</w:t>
        </w:r>
        <w:r w:rsidR="00BC6405" w:rsidRPr="00E43A72">
          <w:rPr>
            <w:rFonts w:ascii="Adobe Caslon Pro" w:hAnsi="Adobe Caslon Pro"/>
            <w:noProof/>
            <w:webHidden/>
          </w:rPr>
          <w:fldChar w:fldCharType="end"/>
        </w:r>
      </w:hyperlink>
    </w:p>
    <w:p w14:paraId="5B58C1CB" w14:textId="178BCE06"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77" w:history="1">
        <w:r w:rsidR="00BC6405" w:rsidRPr="00E43A72">
          <w:rPr>
            <w:rStyle w:val="Hyperlink"/>
            <w:rFonts w:ascii="Adobe Caslon Pro" w:hAnsi="Adobe Caslon Pro"/>
            <w:noProof/>
          </w:rPr>
          <w:t>Figure 2. Childhood cancer cases diagnosed in Wilmington, MA, by year (1987-2000)</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_Toc45717777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8</w:t>
        </w:r>
        <w:r w:rsidR="00BC6405" w:rsidRPr="00E43A72">
          <w:rPr>
            <w:rFonts w:ascii="Adobe Caslon Pro" w:hAnsi="Adobe Caslon Pro"/>
            <w:noProof/>
            <w:webHidden/>
          </w:rPr>
          <w:fldChar w:fldCharType="end"/>
        </w:r>
      </w:hyperlink>
    </w:p>
    <w:p w14:paraId="770F73F7" w14:textId="5CE8EC32"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78" w:history="1">
        <w:r w:rsidR="00BC6405" w:rsidRPr="00E43A72">
          <w:rPr>
            <w:rStyle w:val="Hyperlink"/>
            <w:rFonts w:ascii="Adobe Caslon Pro" w:hAnsi="Adobe Caslon Pro"/>
            <w:noProof/>
          </w:rPr>
          <w:t>Figure 3. Childhood cancer cases diagnosed in Wilmington, MA, by year (2001-2015)</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_Toc45717778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10</w:t>
        </w:r>
        <w:r w:rsidR="00BC6405" w:rsidRPr="00E43A72">
          <w:rPr>
            <w:rFonts w:ascii="Adobe Caslon Pro" w:hAnsi="Adobe Caslon Pro"/>
            <w:noProof/>
            <w:webHidden/>
          </w:rPr>
          <w:fldChar w:fldCharType="end"/>
        </w:r>
      </w:hyperlink>
    </w:p>
    <w:p w14:paraId="26E0C82A" w14:textId="786C84AE"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r:id="rId16" w:anchor="_Toc45717779" w:history="1">
        <w:r w:rsidR="00BC6405" w:rsidRPr="00E43A72">
          <w:rPr>
            <w:rStyle w:val="Hyperlink"/>
            <w:rFonts w:ascii="Adobe Caslon Pro" w:hAnsi="Adobe Caslon Pro"/>
            <w:noProof/>
          </w:rPr>
          <w:t>Figure 4. Map of the Wilmington Water Distribution System in the year 2000</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_Toc45717779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26</w:t>
        </w:r>
        <w:r w:rsidR="00BC6405" w:rsidRPr="00E43A72">
          <w:rPr>
            <w:rFonts w:ascii="Adobe Caslon Pro" w:hAnsi="Adobe Caslon Pro"/>
            <w:noProof/>
            <w:webHidden/>
          </w:rPr>
          <w:fldChar w:fldCharType="end"/>
        </w:r>
      </w:hyperlink>
    </w:p>
    <w:p w14:paraId="186BA96F" w14:textId="6BDF3E38"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0" w:history="1">
        <w:r w:rsidR="00BC6405" w:rsidRPr="00E43A72">
          <w:rPr>
            <w:rStyle w:val="Hyperlink"/>
            <w:rFonts w:ascii="Adobe Caslon Pro" w:hAnsi="Adobe Caslon Pro"/>
            <w:noProof/>
          </w:rPr>
          <w:t xml:space="preserve">Figure 5. </w:t>
        </w:r>
        <w:r w:rsidR="00BC6405" w:rsidRPr="00E43A72">
          <w:rPr>
            <w:rStyle w:val="Hyperlink"/>
            <w:rFonts w:ascii="Adobe Caslon Pro" w:hAnsi="Adobe Caslon Pro"/>
            <w:noProof/>
            <w:spacing w:val="-8"/>
          </w:rPr>
          <w:t>Average annual simulated NDMA concentrations in water mains of the Wilmington public drinking water distribution system for select years from 1975 to 2000.</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_Toc45717780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46</w:t>
        </w:r>
        <w:r w:rsidR="00BC6405" w:rsidRPr="00E43A72">
          <w:rPr>
            <w:rFonts w:ascii="Adobe Caslon Pro" w:hAnsi="Adobe Caslon Pro"/>
            <w:noProof/>
            <w:webHidden/>
          </w:rPr>
          <w:fldChar w:fldCharType="end"/>
        </w:r>
      </w:hyperlink>
    </w:p>
    <w:p w14:paraId="3AA78A69" w14:textId="5FD8FC21" w:rsidR="00113D54" w:rsidRDefault="00C2588D" w:rsidP="00113D54">
      <w:pPr>
        <w:pStyle w:val="TableofFigures"/>
        <w:tabs>
          <w:tab w:val="right" w:leader="dot" w:pos="8198"/>
        </w:tabs>
        <w:spacing w:before="240"/>
        <w:rPr>
          <w:rFonts w:ascii="Adobe Caslon Pro" w:hAnsi="Adobe Caslon Pro"/>
          <w:noProof/>
        </w:rPr>
      </w:pPr>
      <w:hyperlink w:anchor="_Toc45717781" w:history="1">
        <w:r w:rsidR="00BC6405" w:rsidRPr="00E43A72">
          <w:rPr>
            <w:rStyle w:val="Hyperlink"/>
            <w:rFonts w:ascii="Adobe Caslon Pro" w:hAnsi="Adobe Caslon Pro"/>
            <w:noProof/>
          </w:rPr>
          <w:t>Figure 6. Average annual simulated TCE concentrations in water mains of the Wilmington public drinking water distribution system for select years from 1981 to 1989</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_Toc45717781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50</w:t>
        </w:r>
        <w:r w:rsidR="00BC6405" w:rsidRPr="00E43A72">
          <w:rPr>
            <w:rFonts w:ascii="Adobe Caslon Pro" w:hAnsi="Adobe Caslon Pro"/>
            <w:noProof/>
            <w:webHidden/>
          </w:rPr>
          <w:fldChar w:fldCharType="end"/>
        </w:r>
      </w:hyperlink>
      <w:r w:rsidR="00113D54">
        <w:rPr>
          <w:rFonts w:ascii="Adobe Caslon Pro" w:hAnsi="Adobe Caslon Pro"/>
          <w:noProof/>
        </w:rPr>
        <w:t xml:space="preserve">   </w:t>
      </w:r>
    </w:p>
    <w:p w14:paraId="109E268D" w14:textId="0C1832BA" w:rsidR="00BC6405" w:rsidRPr="00E43A72" w:rsidRDefault="00C2588D" w:rsidP="00113D54">
      <w:pPr>
        <w:pStyle w:val="TableofFigures"/>
        <w:tabs>
          <w:tab w:val="right" w:leader="dot" w:pos="8198"/>
        </w:tabs>
        <w:spacing w:before="240"/>
        <w:rPr>
          <w:rFonts w:ascii="Adobe Caslon Pro" w:eastAsiaTheme="minorEastAsia" w:hAnsi="Adobe Caslon Pro" w:cstheme="minorBidi"/>
          <w:iCs w:val="0"/>
          <w:noProof/>
          <w:sz w:val="22"/>
          <w:szCs w:val="22"/>
        </w:rPr>
      </w:pPr>
      <w:hyperlink w:anchor="_Toc45717782" w:history="1">
        <w:r w:rsidR="00BC6405" w:rsidRPr="00E43A72">
          <w:rPr>
            <w:rStyle w:val="Hyperlink"/>
            <w:rFonts w:ascii="Adobe Caslon Pro" w:hAnsi="Adobe Caslon Pro"/>
            <w:noProof/>
          </w:rPr>
          <w:t>Figure 7. Recruitment and participation among 22 Wilmington childhood cancer cases (23 diagnoses), 1990-2000</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_Toc45717782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59</w:t>
        </w:r>
        <w:r w:rsidR="00BC6405" w:rsidRPr="00E43A72">
          <w:rPr>
            <w:rFonts w:ascii="Adobe Caslon Pro" w:hAnsi="Adobe Caslon Pro"/>
            <w:noProof/>
            <w:webHidden/>
          </w:rPr>
          <w:fldChar w:fldCharType="end"/>
        </w:r>
      </w:hyperlink>
    </w:p>
    <w:p w14:paraId="1E39A4A6" w14:textId="27A7111F"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3" w:history="1">
        <w:r w:rsidR="00BC6405" w:rsidRPr="00E43A72">
          <w:rPr>
            <w:rStyle w:val="Hyperlink"/>
            <w:rFonts w:ascii="Adobe Caslon Pro" w:hAnsi="Adobe Caslon Pro"/>
            <w:noProof/>
          </w:rPr>
          <w:t>Figure 8. Recruitment and participation of 305 potential controls for the Wilmington Childhood Cancer Study, 1990-2000</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_Toc45717783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60</w:t>
        </w:r>
        <w:r w:rsidR="00BC6405" w:rsidRPr="00E43A72">
          <w:rPr>
            <w:rFonts w:ascii="Adobe Caslon Pro" w:hAnsi="Adobe Caslon Pro"/>
            <w:noProof/>
            <w:webHidden/>
          </w:rPr>
          <w:fldChar w:fldCharType="end"/>
        </w:r>
      </w:hyperlink>
    </w:p>
    <w:p w14:paraId="246E3B57" w14:textId="2E5BDD05"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4" w:history="1">
        <w:r w:rsidR="00BC6405" w:rsidRPr="00E43A72">
          <w:rPr>
            <w:rStyle w:val="Hyperlink"/>
            <w:rFonts w:ascii="Adobe Caslon Pro" w:hAnsi="Adobe Caslon Pro"/>
            <w:noProof/>
          </w:rPr>
          <w:t>Figure 9. Case:Control Ratio for the Wilmington Childhood Cancer Study, 1990-2000</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_Toc45717784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62</w:t>
        </w:r>
        <w:r w:rsidR="00BC6405" w:rsidRPr="00E43A72">
          <w:rPr>
            <w:rFonts w:ascii="Adobe Caslon Pro" w:hAnsi="Adobe Caslon Pro"/>
            <w:noProof/>
            <w:webHidden/>
          </w:rPr>
          <w:fldChar w:fldCharType="end"/>
        </w:r>
      </w:hyperlink>
    </w:p>
    <w:p w14:paraId="33E73393" w14:textId="0DE5666A"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5" w:history="1">
        <w:r w:rsidR="00BC6405" w:rsidRPr="00E43A72">
          <w:rPr>
            <w:rStyle w:val="Hyperlink"/>
            <w:rFonts w:ascii="Adobe Caslon Pro" w:hAnsi="Adobe Caslon Pro"/>
            <w:noProof/>
          </w:rPr>
          <w:t>Figure 10. Average modeled monthly NDMA concentrations (ng/L) in drinking water during the 12 months before birth for mothers in the Wilmington Childhood Cancer Study (n=92)</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_Toc45717785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77</w:t>
        </w:r>
        <w:r w:rsidR="00BC6405" w:rsidRPr="00E43A72">
          <w:rPr>
            <w:rFonts w:ascii="Adobe Caslon Pro" w:hAnsi="Adobe Caslon Pro"/>
            <w:noProof/>
            <w:webHidden/>
          </w:rPr>
          <w:fldChar w:fldCharType="end"/>
        </w:r>
      </w:hyperlink>
    </w:p>
    <w:p w14:paraId="47B2665E" w14:textId="1445B364"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6" w:history="1">
        <w:r w:rsidR="00BC6405" w:rsidRPr="00E43A72">
          <w:rPr>
            <w:rStyle w:val="Hyperlink"/>
            <w:rFonts w:ascii="Adobe Caslon Pro" w:hAnsi="Adobe Caslon Pro"/>
            <w:noProof/>
          </w:rPr>
          <w:t>Figure 11. Average modeled monthly NDMA concentrations (ng/L) in drinking water for children in the Wilmington Childhood Cancer Study (n=92)</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_Toc45717786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78</w:t>
        </w:r>
        <w:r w:rsidR="00BC6405" w:rsidRPr="00E43A72">
          <w:rPr>
            <w:rFonts w:ascii="Adobe Caslon Pro" w:hAnsi="Adobe Caslon Pro"/>
            <w:noProof/>
            <w:webHidden/>
          </w:rPr>
          <w:fldChar w:fldCharType="end"/>
        </w:r>
      </w:hyperlink>
    </w:p>
    <w:p w14:paraId="220E076E" w14:textId="7F2B7673"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7" w:history="1">
        <w:r w:rsidR="00BC6405" w:rsidRPr="00E43A72">
          <w:rPr>
            <w:rStyle w:val="Hyperlink"/>
            <w:rFonts w:ascii="Adobe Caslon Pro" w:hAnsi="Adobe Caslon Pro"/>
            <w:noProof/>
          </w:rPr>
          <w:t>Figure 12. Odds ratios and 95% confidence intervals for the association between childhood cancer and average estimated NDMA concentrations in drinking water during maternal (the year before birth) and childhood exposure periods</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_Toc45717787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82</w:t>
        </w:r>
        <w:r w:rsidR="00BC6405" w:rsidRPr="00E43A72">
          <w:rPr>
            <w:rFonts w:ascii="Adobe Caslon Pro" w:hAnsi="Adobe Caslon Pro"/>
            <w:noProof/>
            <w:webHidden/>
          </w:rPr>
          <w:fldChar w:fldCharType="end"/>
        </w:r>
      </w:hyperlink>
    </w:p>
    <w:p w14:paraId="0F3FD44A" w14:textId="6B390369"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8" w:history="1">
        <w:r w:rsidR="00BC6405" w:rsidRPr="00E43A72">
          <w:rPr>
            <w:rStyle w:val="Hyperlink"/>
            <w:rFonts w:ascii="Adobe Caslon Pro" w:hAnsi="Adobe Caslon Pro"/>
            <w:noProof/>
          </w:rPr>
          <w:t>Figure 13. Average modeled monthly TCE concentrations (µg/L) in drinking water during the 12 months before birth for mothers in the Wilmington Childhood Cancer study (n=73)</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_Toc45717788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84</w:t>
        </w:r>
        <w:r w:rsidR="00BC6405" w:rsidRPr="00E43A72">
          <w:rPr>
            <w:rFonts w:ascii="Adobe Caslon Pro" w:hAnsi="Adobe Caslon Pro"/>
            <w:noProof/>
            <w:webHidden/>
          </w:rPr>
          <w:fldChar w:fldCharType="end"/>
        </w:r>
      </w:hyperlink>
    </w:p>
    <w:p w14:paraId="1EBFDFBF" w14:textId="3AEE805B"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89" w:history="1">
        <w:r w:rsidR="00BC6405" w:rsidRPr="00E43A72">
          <w:rPr>
            <w:rStyle w:val="Hyperlink"/>
            <w:rFonts w:ascii="Adobe Caslon Pro" w:hAnsi="Adobe Caslon Pro"/>
            <w:noProof/>
          </w:rPr>
          <w:t>Figure 14. Average modeled monthly TCE concentrations (µg/L) in drinking water for children in the Wilmington Childhood Cancer Study (n=58)</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_Toc45717789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85</w:t>
        </w:r>
        <w:r w:rsidR="00BC6405" w:rsidRPr="00E43A72">
          <w:rPr>
            <w:rFonts w:ascii="Adobe Caslon Pro" w:hAnsi="Adobe Caslon Pro"/>
            <w:noProof/>
            <w:webHidden/>
          </w:rPr>
          <w:fldChar w:fldCharType="end"/>
        </w:r>
      </w:hyperlink>
    </w:p>
    <w:p w14:paraId="41F75317" w14:textId="39E50D27"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90" w:history="1">
        <w:r w:rsidR="00BC6405" w:rsidRPr="00E43A72">
          <w:rPr>
            <w:rStyle w:val="Hyperlink"/>
            <w:rFonts w:ascii="Adobe Caslon Pro" w:hAnsi="Adobe Caslon Pro"/>
            <w:noProof/>
          </w:rPr>
          <w:t>Figure 15. Scatterplot of average maternal NDMA and TCE concentrations among participants of the Wilmington Childhood Cancer Study, n=73</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_Toc45717790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90</w:t>
        </w:r>
        <w:r w:rsidR="00BC6405" w:rsidRPr="00E43A72">
          <w:rPr>
            <w:rFonts w:ascii="Adobe Caslon Pro" w:hAnsi="Adobe Caslon Pro"/>
            <w:noProof/>
            <w:webHidden/>
          </w:rPr>
          <w:fldChar w:fldCharType="end"/>
        </w:r>
      </w:hyperlink>
    </w:p>
    <w:p w14:paraId="483B75BE" w14:textId="78E7E694"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91" w:history="1">
        <w:r w:rsidR="00BC6405" w:rsidRPr="00E43A72">
          <w:rPr>
            <w:rStyle w:val="Hyperlink"/>
            <w:rFonts w:ascii="Adobe Caslon Pro" w:hAnsi="Adobe Caslon Pro"/>
            <w:noProof/>
          </w:rPr>
          <w:t>Figure 16. Odds ratios and 95% confidence intervals for the association between childhood cancer and average estimated NDMA concentrations in maternal drinking water during the year before birth, after adjustment for reported bottle water usage.</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_Toc45717791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97</w:t>
        </w:r>
        <w:r w:rsidR="00BC6405" w:rsidRPr="00E43A72">
          <w:rPr>
            <w:rFonts w:ascii="Adobe Caslon Pro" w:hAnsi="Adobe Caslon Pro"/>
            <w:noProof/>
            <w:webHidden/>
          </w:rPr>
          <w:fldChar w:fldCharType="end"/>
        </w:r>
      </w:hyperlink>
    </w:p>
    <w:p w14:paraId="2C20D271" w14:textId="6A52A464"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92" w:history="1">
        <w:r w:rsidR="00BC6405" w:rsidRPr="00E43A72">
          <w:rPr>
            <w:rStyle w:val="Hyperlink"/>
            <w:rFonts w:ascii="Adobe Caslon Pro" w:hAnsi="Adobe Caslon Pro"/>
            <w:noProof/>
          </w:rPr>
          <w:t>Figure 17. Range of uncertainty in odds ratios for the association between childhood cancer and average estimated NDMA concentrations (zero, low, high) in maternal drinking water (during the year before birth) based on eight alternative exposure simulations.</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_Toc45717792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107</w:t>
        </w:r>
        <w:r w:rsidR="00BC6405" w:rsidRPr="00E43A72">
          <w:rPr>
            <w:rFonts w:ascii="Adobe Caslon Pro" w:hAnsi="Adobe Caslon Pro"/>
            <w:noProof/>
            <w:webHidden/>
          </w:rPr>
          <w:fldChar w:fldCharType="end"/>
        </w:r>
      </w:hyperlink>
    </w:p>
    <w:p w14:paraId="0235F96B" w14:textId="72E1A326" w:rsidR="00BC6405" w:rsidRPr="00E43A72" w:rsidRDefault="00C2588D">
      <w:pPr>
        <w:pStyle w:val="TableofFigures"/>
        <w:tabs>
          <w:tab w:val="right" w:leader="dot" w:pos="8198"/>
        </w:tabs>
        <w:rPr>
          <w:rFonts w:ascii="Adobe Caslon Pro" w:eastAsiaTheme="minorEastAsia" w:hAnsi="Adobe Caslon Pro" w:cstheme="minorBidi"/>
          <w:iCs w:val="0"/>
          <w:noProof/>
          <w:sz w:val="22"/>
          <w:szCs w:val="22"/>
        </w:rPr>
      </w:pPr>
      <w:hyperlink w:anchor="_Toc45717793" w:history="1">
        <w:r w:rsidR="00BC6405" w:rsidRPr="00E43A72">
          <w:rPr>
            <w:rStyle w:val="Hyperlink"/>
            <w:rFonts w:ascii="Adobe Caslon Pro" w:hAnsi="Adobe Caslon Pro"/>
            <w:noProof/>
          </w:rPr>
          <w:t>Figure 18. Range of uncertainty in odds ratios for the association between childhood cancer and average estimated NDMA concentrations (zero, low, high) in childhood drinking water  based on eight alternative exposure simulations.</w:t>
        </w:r>
        <w:r w:rsidR="00BC6405" w:rsidRPr="00E43A72">
          <w:rPr>
            <w:rFonts w:ascii="Adobe Caslon Pro" w:hAnsi="Adobe Caslon Pro"/>
            <w:noProof/>
            <w:webHidden/>
          </w:rPr>
          <w:tab/>
        </w:r>
        <w:r w:rsidR="00BC6405" w:rsidRPr="00E43A72">
          <w:rPr>
            <w:rFonts w:ascii="Adobe Caslon Pro" w:hAnsi="Adobe Caslon Pro"/>
            <w:noProof/>
            <w:webHidden/>
          </w:rPr>
          <w:fldChar w:fldCharType="begin"/>
        </w:r>
        <w:r w:rsidR="00BC6405" w:rsidRPr="00E43A72">
          <w:rPr>
            <w:rFonts w:ascii="Adobe Caslon Pro" w:hAnsi="Adobe Caslon Pro"/>
            <w:noProof/>
            <w:webHidden/>
          </w:rPr>
          <w:instrText xml:space="preserve"> PAGEREF _Toc45717793 \h </w:instrText>
        </w:r>
        <w:r w:rsidR="00BC6405" w:rsidRPr="00E43A72">
          <w:rPr>
            <w:rFonts w:ascii="Adobe Caslon Pro" w:hAnsi="Adobe Caslon Pro"/>
            <w:noProof/>
            <w:webHidden/>
          </w:rPr>
        </w:r>
        <w:r w:rsidR="00BC6405" w:rsidRPr="00E43A72">
          <w:rPr>
            <w:rFonts w:ascii="Adobe Caslon Pro" w:hAnsi="Adobe Caslon Pro"/>
            <w:noProof/>
            <w:webHidden/>
          </w:rPr>
          <w:fldChar w:fldCharType="separate"/>
        </w:r>
        <w:r w:rsidR="00977423">
          <w:rPr>
            <w:rFonts w:ascii="Adobe Caslon Pro" w:hAnsi="Adobe Caslon Pro"/>
            <w:noProof/>
            <w:webHidden/>
          </w:rPr>
          <w:t>108</w:t>
        </w:r>
        <w:r w:rsidR="00BC6405" w:rsidRPr="00E43A72">
          <w:rPr>
            <w:rFonts w:ascii="Adobe Caslon Pro" w:hAnsi="Adobe Caslon Pro"/>
            <w:noProof/>
            <w:webHidden/>
          </w:rPr>
          <w:fldChar w:fldCharType="end"/>
        </w:r>
      </w:hyperlink>
    </w:p>
    <w:p w14:paraId="576F8A32" w14:textId="522F06B6" w:rsidR="00AA0731" w:rsidRPr="00D55BEA" w:rsidRDefault="003C1176" w:rsidP="00FE1972">
      <w:pPr>
        <w:jc w:val="center"/>
        <w:rPr>
          <w:b/>
          <w:sz w:val="28"/>
          <w:szCs w:val="32"/>
        </w:rPr>
      </w:pPr>
      <w:r w:rsidRPr="00E43A72">
        <w:rPr>
          <w:sz w:val="32"/>
          <w:szCs w:val="32"/>
        </w:rPr>
        <w:lastRenderedPageBreak/>
        <w:fldChar w:fldCharType="end"/>
      </w:r>
      <w:r w:rsidR="00AA0731" w:rsidRPr="00776865">
        <w:rPr>
          <w:b/>
          <w:color w:val="009BA4"/>
          <w:sz w:val="28"/>
          <w:szCs w:val="32"/>
        </w:rPr>
        <w:t>LIST OF APPENDICES</w:t>
      </w:r>
    </w:p>
    <w:p w14:paraId="6D158491" w14:textId="77777777" w:rsidR="00AA0731" w:rsidRPr="00080AD4" w:rsidRDefault="00A43168" w:rsidP="004E1E5D">
      <w:r w:rsidRPr="00080AD4">
        <w:t>Appendix A:</w:t>
      </w:r>
      <w:r w:rsidRPr="00080AD4">
        <w:tab/>
        <w:t>Physician consent and participant recruitment letters</w:t>
      </w:r>
    </w:p>
    <w:p w14:paraId="6D8B97CC" w14:textId="77777777" w:rsidR="00AA0731" w:rsidRPr="00080AD4" w:rsidRDefault="00AA0731" w:rsidP="004E1E5D">
      <w:r w:rsidRPr="00080AD4">
        <w:t>Appendix B:</w:t>
      </w:r>
      <w:r w:rsidRPr="00080AD4">
        <w:tab/>
      </w:r>
      <w:r w:rsidR="00A43168" w:rsidRPr="00080AD4">
        <w:t>Participant</w:t>
      </w:r>
      <w:r w:rsidR="00696769" w:rsidRPr="00080AD4">
        <w:t xml:space="preserve"> </w:t>
      </w:r>
      <w:r w:rsidR="00A43168" w:rsidRPr="00080AD4">
        <w:t>q</w:t>
      </w:r>
      <w:r w:rsidR="00696769" w:rsidRPr="00080AD4">
        <w:t>uestionnaire</w:t>
      </w:r>
      <w:r w:rsidR="0068152C" w:rsidRPr="00080AD4">
        <w:t xml:space="preserve"> and interview guide</w:t>
      </w:r>
    </w:p>
    <w:p w14:paraId="1F4B6752" w14:textId="445DF71A" w:rsidR="00AA0731" w:rsidRPr="00080AD4" w:rsidRDefault="00AA0731" w:rsidP="00581398">
      <w:pPr>
        <w:spacing w:line="296" w:lineRule="exact"/>
      </w:pPr>
      <w:r w:rsidRPr="00080AD4">
        <w:t>Appendix C:</w:t>
      </w:r>
      <w:r w:rsidRPr="00080AD4">
        <w:tab/>
      </w:r>
      <w:bookmarkStart w:id="3" w:name="_Hlk67314175"/>
      <w:r w:rsidR="0068152C" w:rsidRPr="00080AD4">
        <w:t xml:space="preserve">Modeling </w:t>
      </w:r>
      <w:r w:rsidR="00103A13">
        <w:rPr>
          <w:i/>
        </w:rPr>
        <w:t>n</w:t>
      </w:r>
      <w:r w:rsidR="0068152C" w:rsidRPr="00080AD4">
        <w:t>-</w:t>
      </w:r>
      <w:proofErr w:type="spellStart"/>
      <w:r w:rsidR="00103A13">
        <w:t>n</w:t>
      </w:r>
      <w:r w:rsidR="0068152C" w:rsidRPr="00080AD4">
        <w:t>itrosodimethylamine</w:t>
      </w:r>
      <w:proofErr w:type="spellEnd"/>
      <w:r w:rsidR="0068152C" w:rsidRPr="00080AD4">
        <w:t xml:space="preserve"> </w:t>
      </w:r>
      <w:r w:rsidR="00C2588D">
        <w:t>a</w:t>
      </w:r>
      <w:r w:rsidR="0068152C" w:rsidRPr="00080AD4">
        <w:t xml:space="preserve">nd </w:t>
      </w:r>
      <w:r w:rsidR="00103A13">
        <w:t>t</w:t>
      </w:r>
      <w:r w:rsidR="0068152C" w:rsidRPr="00080AD4">
        <w:t xml:space="preserve">richloroethylene </w:t>
      </w:r>
      <w:r w:rsidR="00103A13">
        <w:t>c</w:t>
      </w:r>
      <w:r w:rsidR="0068152C" w:rsidRPr="00080AD4">
        <w:t xml:space="preserve">oncentrations </w:t>
      </w:r>
      <w:r w:rsidR="00103A13">
        <w:t>i</w:t>
      </w:r>
      <w:r w:rsidR="0068152C" w:rsidRPr="00080AD4">
        <w:t xml:space="preserve">n </w:t>
      </w:r>
      <w:r w:rsidR="00103A13">
        <w:t>t</w:t>
      </w:r>
      <w:r w:rsidR="0068152C" w:rsidRPr="00080AD4">
        <w:t xml:space="preserve">he Wilmington, Massachusetts, </w:t>
      </w:r>
      <w:r w:rsidR="00103A13">
        <w:t>w</w:t>
      </w:r>
      <w:r w:rsidR="0068152C" w:rsidRPr="00080AD4">
        <w:t xml:space="preserve">ater </w:t>
      </w:r>
      <w:r w:rsidR="00103A13">
        <w:t>s</w:t>
      </w:r>
      <w:r w:rsidR="0068152C" w:rsidRPr="00080AD4">
        <w:t xml:space="preserve">upply </w:t>
      </w:r>
      <w:r w:rsidR="00103A13">
        <w:t>s</w:t>
      </w:r>
      <w:r w:rsidR="0068152C" w:rsidRPr="00080AD4">
        <w:t xml:space="preserve">ystem: 1974 </w:t>
      </w:r>
      <w:r w:rsidR="00103A13">
        <w:t>t</w:t>
      </w:r>
      <w:r w:rsidR="0068152C" w:rsidRPr="00080AD4">
        <w:t>o 2000</w:t>
      </w:r>
      <w:bookmarkEnd w:id="3"/>
    </w:p>
    <w:p w14:paraId="2AC77228" w14:textId="77777777" w:rsidR="00AA0731" w:rsidRPr="00080AD4" w:rsidRDefault="00AA0731" w:rsidP="004E1E5D">
      <w:r w:rsidRPr="00080AD4">
        <w:t>Appendix D:</w:t>
      </w:r>
      <w:r w:rsidRPr="00080AD4">
        <w:tab/>
      </w:r>
      <w:r w:rsidR="00A43168" w:rsidRPr="00080AD4">
        <w:t>Complete questionnaire summary results and associations with childhood cancer</w:t>
      </w:r>
    </w:p>
    <w:p w14:paraId="4073394E" w14:textId="6E68DE4B" w:rsidR="00971A68" w:rsidRDefault="00AA0731" w:rsidP="004E1E5D">
      <w:r w:rsidRPr="00080AD4">
        <w:t>Appendix E:</w:t>
      </w:r>
      <w:r w:rsidRPr="00080AD4">
        <w:tab/>
      </w:r>
      <w:r w:rsidR="00267126" w:rsidRPr="00080AD4">
        <w:t>Confounding analysis results</w:t>
      </w:r>
    </w:p>
    <w:p w14:paraId="2933C64E" w14:textId="1343F26F" w:rsidR="00EE0D05" w:rsidRDefault="003743D3" w:rsidP="00655389">
      <w:pPr>
        <w:spacing w:after="0" w:line="240" w:lineRule="auto"/>
        <w:sectPr w:rsidR="00EE0D05" w:rsidSect="004242FD">
          <w:headerReference w:type="first" r:id="rId17"/>
          <w:footerReference w:type="first" r:id="rId18"/>
          <w:pgSz w:w="12240" w:h="15840"/>
          <w:pgMar w:top="1728" w:right="1872" w:bottom="2160" w:left="2160" w:header="720" w:footer="720" w:gutter="0"/>
          <w:pgNumType w:fmt="lowerRoman" w:start="2"/>
          <w:cols w:space="720"/>
          <w:titlePg/>
          <w:docGrid w:linePitch="360"/>
        </w:sectPr>
      </w:pPr>
      <w:r w:rsidRPr="00F80B1F">
        <w:br w:type="page"/>
      </w:r>
      <w:bookmarkStart w:id="4" w:name="_Toc365640898"/>
    </w:p>
    <w:p w14:paraId="5A19FFB9" w14:textId="19E6FD33" w:rsidR="008D1590" w:rsidRPr="00855BF3" w:rsidRDefault="00924831" w:rsidP="003477EB">
      <w:pPr>
        <w:pStyle w:val="Heading1"/>
      </w:pPr>
      <w:bookmarkStart w:id="5" w:name="_Toc67488259"/>
      <w:r>
        <w:lastRenderedPageBreak/>
        <w:t>EXECUTIVE SUMMARY</w:t>
      </w:r>
      <w:bookmarkEnd w:id="5"/>
    </w:p>
    <w:p w14:paraId="3274549E" w14:textId="67D86F1E" w:rsidR="008D1590" w:rsidRPr="001A4D0E" w:rsidRDefault="001A4D0E" w:rsidP="009B5DA2">
      <w:pPr>
        <w:pStyle w:val="Heading2"/>
      </w:pPr>
      <w:bookmarkStart w:id="6" w:name="_Toc67488260"/>
      <w:r>
        <w:t>STUDY HIGHLIGHTS</w:t>
      </w:r>
      <w:bookmarkEnd w:id="6"/>
    </w:p>
    <w:p w14:paraId="33DF0744" w14:textId="77777777" w:rsidR="008D1590" w:rsidRPr="00923155" w:rsidRDefault="008D1590" w:rsidP="00D9542B">
      <w:pPr>
        <w:pStyle w:val="ListParagraph"/>
        <w:numPr>
          <w:ilvl w:val="0"/>
          <w:numId w:val="42"/>
        </w:numPr>
      </w:pPr>
      <w:r w:rsidRPr="00923155">
        <w:t>Elevated rates and an unusual pattern of childhood cancer in the town of Wilmington during the 1990s led to the undertaking of a broad environmental case-control study by the Massachusetts Department of Public Health (DPH).</w:t>
      </w:r>
    </w:p>
    <w:p w14:paraId="0E269BB1" w14:textId="77777777" w:rsidR="008D1590" w:rsidRPr="00923155" w:rsidRDefault="008D1590" w:rsidP="00D9542B">
      <w:pPr>
        <w:pStyle w:val="ListParagraph"/>
        <w:numPr>
          <w:ilvl w:val="0"/>
          <w:numId w:val="42"/>
        </w:numPr>
      </w:pPr>
      <w:r w:rsidRPr="00923155">
        <w:t>DPH interviewed each study participant and matched control to collect detailed information on residential history and major cancer risk factors including maternal health behaviors; family and child medical histories; and occupational or household exposures such as pesticides and solvents.</w:t>
      </w:r>
    </w:p>
    <w:p w14:paraId="7A2F7C8F" w14:textId="77777777" w:rsidR="008D1590" w:rsidRPr="00923155" w:rsidRDefault="008D1590" w:rsidP="00D9542B">
      <w:pPr>
        <w:pStyle w:val="ListParagraph"/>
        <w:numPr>
          <w:ilvl w:val="0"/>
          <w:numId w:val="42"/>
        </w:numPr>
      </w:pPr>
      <w:r w:rsidRPr="00923155">
        <w:t xml:space="preserve">In 2003, a carcinogenic compound, </w:t>
      </w:r>
      <w:r w:rsidRPr="00923155">
        <w:rPr>
          <w:i/>
        </w:rPr>
        <w:t>n</w:t>
      </w:r>
      <w:r w:rsidRPr="00923155">
        <w:t>-</w:t>
      </w:r>
      <w:proofErr w:type="spellStart"/>
      <w:r w:rsidRPr="00923155">
        <w:t>nitrosodimethlyamine</w:t>
      </w:r>
      <w:proofErr w:type="spellEnd"/>
      <w:r w:rsidRPr="00923155">
        <w:t xml:space="preserve"> (NDMA), was found in the groundwater supplying part of the town’s public drinking water. This discovery prompted a comprehensive water modeling effort to reconstruct historical concentrations of NDMA at the residences of each study participant for each month between 1974 and 2000. An additional carcinogenic contaminant, trichloroethylene (TCE), was also present in the water supply during part of the study period and the report details analyses related to both compounds. </w:t>
      </w:r>
    </w:p>
    <w:p w14:paraId="0ACA810C" w14:textId="77777777" w:rsidR="008D1590" w:rsidRPr="00923155" w:rsidRDefault="008D1590" w:rsidP="00D9542B">
      <w:pPr>
        <w:pStyle w:val="ListParagraph"/>
        <w:numPr>
          <w:ilvl w:val="0"/>
          <w:numId w:val="42"/>
        </w:numPr>
      </w:pPr>
      <w:r w:rsidRPr="00923155">
        <w:t>Despite limitations, including a small sample size and modeled exposure estimates, study results show an association between childhood cancer and prenatal exposure to NDMA, or NDMA and TCE. This association is observed consistently in a series of analyses and the results are statistically significant with respect to the subset of leukemia or lymphoma diagnoses. These associations exhibit a dose-response trend in which higher estimated exposures result in higher odds of cancer and the associations remained positive even after adjustment for other known risk factors.</w:t>
      </w:r>
    </w:p>
    <w:p w14:paraId="10BEACB9" w14:textId="11443707" w:rsidR="00821633" w:rsidRDefault="008D1590" w:rsidP="00D9542B">
      <w:pPr>
        <w:pStyle w:val="ListParagraph"/>
        <w:numPr>
          <w:ilvl w:val="0"/>
          <w:numId w:val="42"/>
        </w:numPr>
      </w:pPr>
      <w:r w:rsidRPr="00923155">
        <w:t>Childhood cancer incidence returned to expected rates beginning in 2001.</w:t>
      </w:r>
    </w:p>
    <w:p w14:paraId="7B61E4EB" w14:textId="348F784A" w:rsidR="006E645F" w:rsidRDefault="00821633" w:rsidP="00655389">
      <w:pPr>
        <w:spacing w:after="0" w:line="240" w:lineRule="auto"/>
      </w:pPr>
      <w:r>
        <w:br w:type="page"/>
      </w:r>
    </w:p>
    <w:p w14:paraId="52672E4E" w14:textId="629E0474" w:rsidR="008D1590" w:rsidRPr="00C330D0" w:rsidRDefault="008D1590" w:rsidP="009B5DA2">
      <w:pPr>
        <w:pStyle w:val="Heading2"/>
      </w:pPr>
      <w:bookmarkStart w:id="7" w:name="_Toc45612612"/>
      <w:bookmarkStart w:id="8" w:name="_Toc67488261"/>
      <w:r w:rsidRPr="00C330D0">
        <w:lastRenderedPageBreak/>
        <w:t>B</w:t>
      </w:r>
      <w:r w:rsidRPr="00EE3207">
        <w:t>ACK</w:t>
      </w:r>
      <w:r w:rsidRPr="00C330D0">
        <w:t>GROUND</w:t>
      </w:r>
      <w:bookmarkEnd w:id="7"/>
      <w:bookmarkEnd w:id="8"/>
    </w:p>
    <w:p w14:paraId="215C9C78" w14:textId="06D68C68" w:rsidR="003477EB" w:rsidRPr="00530F3B" w:rsidRDefault="003477EB" w:rsidP="003477EB">
      <w:pPr>
        <w:pStyle w:val="BodyText"/>
        <w:spacing w:before="240"/>
        <w:ind w:right="115"/>
        <w:rPr>
          <w:rFonts w:eastAsia="Adobe Caslon Pro" w:cstheme="minorBidi"/>
        </w:rPr>
      </w:pPr>
      <w:bookmarkStart w:id="9" w:name="_Toc45612613"/>
      <w:r>
        <w:rPr>
          <w:color w:val="231F20"/>
        </w:rPr>
        <w:t xml:space="preserve">The </w:t>
      </w:r>
      <w:r>
        <w:rPr>
          <w:color w:val="231F20"/>
          <w:spacing w:val="5"/>
        </w:rPr>
        <w:t>Massachusetts</w:t>
      </w:r>
      <w:r>
        <w:rPr>
          <w:color w:val="231F20"/>
          <w:spacing w:val="12"/>
        </w:rPr>
        <w:t xml:space="preserve"> </w:t>
      </w:r>
      <w:r>
        <w:rPr>
          <w:color w:val="231F20"/>
          <w:spacing w:val="5"/>
        </w:rPr>
        <w:t>Department</w:t>
      </w:r>
      <w:r>
        <w:rPr>
          <w:color w:val="231F20"/>
          <w:spacing w:val="12"/>
        </w:rPr>
        <w:t xml:space="preserve"> </w:t>
      </w:r>
      <w:r>
        <w:rPr>
          <w:color w:val="231F20"/>
          <w:spacing w:val="3"/>
        </w:rPr>
        <w:t>of</w:t>
      </w:r>
      <w:r>
        <w:rPr>
          <w:color w:val="231F20"/>
          <w:spacing w:val="12"/>
        </w:rPr>
        <w:t xml:space="preserve"> </w:t>
      </w:r>
      <w:r>
        <w:rPr>
          <w:color w:val="231F20"/>
          <w:spacing w:val="5"/>
        </w:rPr>
        <w:t>Public</w:t>
      </w:r>
      <w:r>
        <w:rPr>
          <w:color w:val="231F20"/>
          <w:spacing w:val="12"/>
        </w:rPr>
        <w:t xml:space="preserve"> </w:t>
      </w:r>
      <w:r>
        <w:rPr>
          <w:color w:val="231F20"/>
          <w:spacing w:val="5"/>
        </w:rPr>
        <w:t>Health</w:t>
      </w:r>
      <w:r>
        <w:rPr>
          <w:color w:val="231F20"/>
          <w:spacing w:val="12"/>
        </w:rPr>
        <w:t xml:space="preserve"> </w:t>
      </w:r>
      <w:r>
        <w:rPr>
          <w:color w:val="231F20"/>
          <w:spacing w:val="5"/>
        </w:rPr>
        <w:t>(MDPH)</w:t>
      </w:r>
      <w:r>
        <w:rPr>
          <w:color w:val="231F20"/>
          <w:spacing w:val="12"/>
        </w:rPr>
        <w:t xml:space="preserve"> </w:t>
      </w:r>
      <w:r>
        <w:rPr>
          <w:color w:val="231F20"/>
          <w:spacing w:val="4"/>
        </w:rPr>
        <w:t>was</w:t>
      </w:r>
      <w:r>
        <w:rPr>
          <w:color w:val="231F20"/>
          <w:spacing w:val="12"/>
        </w:rPr>
        <w:t xml:space="preserve"> </w:t>
      </w:r>
      <w:r>
        <w:rPr>
          <w:color w:val="231F20"/>
          <w:spacing w:val="4"/>
        </w:rPr>
        <w:t>ask</w:t>
      </w:r>
      <w:r w:rsidR="00394B41">
        <w:rPr>
          <w:color w:val="231F20"/>
          <w:spacing w:val="4"/>
          <w:lang w:val="en-US"/>
        </w:rPr>
        <w:t xml:space="preserve">ed </w:t>
      </w:r>
      <w:r>
        <w:rPr>
          <w:color w:val="231F20"/>
          <w:spacing w:val="6"/>
        </w:rPr>
        <w:t>to</w:t>
      </w:r>
      <w:r>
        <w:rPr>
          <w:color w:val="231F20"/>
          <w:spacing w:val="48"/>
        </w:rPr>
        <w:t xml:space="preserve"> </w:t>
      </w:r>
      <w:r>
        <w:rPr>
          <w:color w:val="231F20"/>
          <w:spacing w:val="5"/>
        </w:rPr>
        <w:t>investigate</w:t>
      </w:r>
      <w:r>
        <w:rPr>
          <w:color w:val="231F20"/>
          <w:spacing w:val="12"/>
        </w:rPr>
        <w:t xml:space="preserve"> </w:t>
      </w:r>
      <w:r>
        <w:rPr>
          <w:color w:val="231F20"/>
        </w:rPr>
        <w:t>a</w:t>
      </w:r>
      <w:r>
        <w:rPr>
          <w:color w:val="231F20"/>
          <w:spacing w:val="12"/>
        </w:rPr>
        <w:t xml:space="preserve"> </w:t>
      </w:r>
      <w:r>
        <w:rPr>
          <w:color w:val="231F20"/>
          <w:spacing w:val="5"/>
        </w:rPr>
        <w:t>suspected</w:t>
      </w:r>
      <w:r>
        <w:rPr>
          <w:color w:val="231F20"/>
          <w:spacing w:val="12"/>
        </w:rPr>
        <w:t xml:space="preserve"> </w:t>
      </w:r>
      <w:r>
        <w:rPr>
          <w:color w:val="231F20"/>
          <w:spacing w:val="5"/>
        </w:rPr>
        <w:t>cluster</w:t>
      </w:r>
      <w:r>
        <w:rPr>
          <w:color w:val="231F20"/>
          <w:spacing w:val="12"/>
        </w:rPr>
        <w:t xml:space="preserve"> </w:t>
      </w:r>
      <w:r>
        <w:rPr>
          <w:color w:val="231F20"/>
          <w:spacing w:val="3"/>
        </w:rPr>
        <w:t>of</w:t>
      </w:r>
      <w:r>
        <w:rPr>
          <w:color w:val="231F20"/>
          <w:spacing w:val="12"/>
        </w:rPr>
        <w:t xml:space="preserve"> </w:t>
      </w:r>
      <w:r>
        <w:rPr>
          <w:color w:val="231F20"/>
          <w:spacing w:val="5"/>
        </w:rPr>
        <w:t>childhood</w:t>
      </w:r>
      <w:r>
        <w:rPr>
          <w:color w:val="231F20"/>
          <w:spacing w:val="12"/>
        </w:rPr>
        <w:t xml:space="preserve"> </w:t>
      </w:r>
      <w:r>
        <w:rPr>
          <w:color w:val="231F20"/>
          <w:spacing w:val="5"/>
        </w:rPr>
        <w:t>cancer</w:t>
      </w:r>
      <w:r>
        <w:rPr>
          <w:color w:val="231F20"/>
          <w:spacing w:val="12"/>
        </w:rPr>
        <w:t xml:space="preserve"> </w:t>
      </w:r>
      <w:r>
        <w:rPr>
          <w:color w:val="231F20"/>
          <w:spacing w:val="3"/>
        </w:rPr>
        <w:t>in</w:t>
      </w:r>
      <w:r>
        <w:rPr>
          <w:color w:val="231F20"/>
          <w:spacing w:val="8"/>
        </w:rPr>
        <w:t xml:space="preserve"> </w:t>
      </w:r>
      <w:r>
        <w:rPr>
          <w:color w:val="231F20"/>
          <w:spacing w:val="5"/>
        </w:rPr>
        <w:t>Wilmington,</w:t>
      </w:r>
      <w:r>
        <w:rPr>
          <w:color w:val="231F20"/>
          <w:spacing w:val="-5"/>
        </w:rPr>
        <w:t xml:space="preserve"> </w:t>
      </w:r>
      <w:r>
        <w:rPr>
          <w:color w:val="231F20"/>
          <w:spacing w:val="6"/>
        </w:rPr>
        <w:t>MA.</w:t>
      </w:r>
      <w:r>
        <w:t xml:space="preserve"> </w:t>
      </w:r>
      <w:r>
        <w:rPr>
          <w:color w:val="231F20"/>
          <w:spacing w:val="1"/>
        </w:rPr>
        <w:t>Local</w:t>
      </w:r>
      <w:r>
        <w:rPr>
          <w:color w:val="231F20"/>
        </w:rPr>
        <w:t xml:space="preserve"> </w:t>
      </w:r>
      <w:r>
        <w:rPr>
          <w:color w:val="231F20"/>
          <w:spacing w:val="-1"/>
        </w:rPr>
        <w:t>residents</w:t>
      </w:r>
      <w:r>
        <w:rPr>
          <w:color w:val="231F20"/>
        </w:rPr>
        <w:t xml:space="preserve"> and the local </w:t>
      </w:r>
      <w:r>
        <w:rPr>
          <w:color w:val="231F20"/>
          <w:spacing w:val="-1"/>
        </w:rPr>
        <w:t>board</w:t>
      </w:r>
      <w:r>
        <w:rPr>
          <w:color w:val="231F20"/>
        </w:rPr>
        <w:t xml:space="preserve"> of health </w:t>
      </w:r>
      <w:r>
        <w:rPr>
          <w:color w:val="231F20"/>
          <w:spacing w:val="-2"/>
        </w:rPr>
        <w:t>were</w:t>
      </w:r>
      <w:r>
        <w:rPr>
          <w:color w:val="231F20"/>
        </w:rPr>
        <w:t xml:space="preserve"> </w:t>
      </w:r>
      <w:r>
        <w:rPr>
          <w:color w:val="231F20"/>
          <w:spacing w:val="-1"/>
        </w:rPr>
        <w:t>concerned</w:t>
      </w:r>
      <w:r>
        <w:rPr>
          <w:color w:val="231F20"/>
        </w:rPr>
        <w:t xml:space="preserve"> about what </w:t>
      </w:r>
      <w:r>
        <w:rPr>
          <w:color w:val="231F20"/>
          <w:spacing w:val="-1"/>
        </w:rPr>
        <w:t>appeared</w:t>
      </w:r>
      <w:r>
        <w:rPr>
          <w:color w:val="231F20"/>
          <w:spacing w:val="59"/>
        </w:rPr>
        <w:t xml:space="preserve"> </w:t>
      </w:r>
      <w:r>
        <w:rPr>
          <w:color w:val="231F20"/>
          <w:spacing w:val="3"/>
        </w:rPr>
        <w:t>to</w:t>
      </w:r>
      <w:r>
        <w:rPr>
          <w:color w:val="231F20"/>
          <w:spacing w:val="12"/>
        </w:rPr>
        <w:t xml:space="preserve"> </w:t>
      </w:r>
      <w:r>
        <w:rPr>
          <w:color w:val="231F20"/>
          <w:spacing w:val="3"/>
        </w:rPr>
        <w:t>be</w:t>
      </w:r>
      <w:r>
        <w:rPr>
          <w:color w:val="231F20"/>
          <w:spacing w:val="12"/>
        </w:rPr>
        <w:t xml:space="preserve"> </w:t>
      </w:r>
      <w:r>
        <w:rPr>
          <w:color w:val="231F20"/>
          <w:spacing w:val="3"/>
        </w:rPr>
        <w:t>an</w:t>
      </w:r>
      <w:r>
        <w:rPr>
          <w:color w:val="231F20"/>
          <w:spacing w:val="12"/>
        </w:rPr>
        <w:t xml:space="preserve"> </w:t>
      </w:r>
      <w:r>
        <w:rPr>
          <w:color w:val="231F20"/>
          <w:spacing w:val="5"/>
        </w:rPr>
        <w:t>unusual</w:t>
      </w:r>
      <w:r>
        <w:rPr>
          <w:color w:val="231F20"/>
          <w:spacing w:val="12"/>
        </w:rPr>
        <w:t xml:space="preserve"> </w:t>
      </w:r>
      <w:r>
        <w:rPr>
          <w:color w:val="231F20"/>
          <w:spacing w:val="5"/>
        </w:rPr>
        <w:t>number</w:t>
      </w:r>
      <w:r>
        <w:rPr>
          <w:color w:val="231F20"/>
          <w:spacing w:val="12"/>
        </w:rPr>
        <w:t xml:space="preserve"> </w:t>
      </w:r>
      <w:r>
        <w:rPr>
          <w:color w:val="231F20"/>
          <w:spacing w:val="3"/>
        </w:rPr>
        <w:t>of</w:t>
      </w:r>
      <w:r>
        <w:rPr>
          <w:color w:val="231F20"/>
          <w:spacing w:val="12"/>
        </w:rPr>
        <w:t xml:space="preserve"> </w:t>
      </w:r>
      <w:r>
        <w:rPr>
          <w:color w:val="231F20"/>
          <w:spacing w:val="5"/>
        </w:rPr>
        <w:t>childhood</w:t>
      </w:r>
      <w:r>
        <w:rPr>
          <w:color w:val="231F20"/>
          <w:spacing w:val="12"/>
        </w:rPr>
        <w:t xml:space="preserve"> </w:t>
      </w:r>
      <w:r>
        <w:rPr>
          <w:color w:val="231F20"/>
          <w:spacing w:val="5"/>
        </w:rPr>
        <w:t>cancer</w:t>
      </w:r>
      <w:r>
        <w:rPr>
          <w:color w:val="231F20"/>
          <w:spacing w:val="12"/>
        </w:rPr>
        <w:t xml:space="preserve"> </w:t>
      </w:r>
      <w:r>
        <w:rPr>
          <w:color w:val="231F20"/>
          <w:spacing w:val="5"/>
        </w:rPr>
        <w:t>cases</w:t>
      </w:r>
      <w:r>
        <w:rPr>
          <w:color w:val="231F20"/>
          <w:spacing w:val="12"/>
        </w:rPr>
        <w:t xml:space="preserve"> </w:t>
      </w:r>
      <w:r>
        <w:rPr>
          <w:color w:val="231F20"/>
          <w:spacing w:val="5"/>
        </w:rPr>
        <w:t>during</w:t>
      </w:r>
      <w:r>
        <w:rPr>
          <w:color w:val="231F20"/>
          <w:spacing w:val="12"/>
        </w:rPr>
        <w:t xml:space="preserve"> </w:t>
      </w:r>
      <w:r>
        <w:rPr>
          <w:color w:val="231F20"/>
          <w:spacing w:val="4"/>
        </w:rPr>
        <w:t>the</w:t>
      </w:r>
      <w:r>
        <w:rPr>
          <w:color w:val="231F20"/>
          <w:spacing w:val="12"/>
        </w:rPr>
        <w:t xml:space="preserve"> </w:t>
      </w:r>
      <w:r>
        <w:rPr>
          <w:color w:val="231F20"/>
          <w:spacing w:val="5"/>
        </w:rPr>
        <w:t>1990s.</w:t>
      </w:r>
      <w:r>
        <w:rPr>
          <w:color w:val="231F20"/>
          <w:spacing w:val="-5"/>
        </w:rPr>
        <w:t xml:space="preserve"> </w:t>
      </w:r>
      <w:r>
        <w:rPr>
          <w:color w:val="231F20"/>
          <w:spacing w:val="5"/>
        </w:rPr>
        <w:t>After</w:t>
      </w:r>
      <w:r>
        <w:rPr>
          <w:color w:val="231F20"/>
          <w:spacing w:val="12"/>
        </w:rPr>
        <w:t xml:space="preserve"> </w:t>
      </w:r>
      <w:r>
        <w:rPr>
          <w:color w:val="231F20"/>
        </w:rPr>
        <w:t>a</w:t>
      </w:r>
      <w:r>
        <w:rPr>
          <w:color w:val="231F20"/>
          <w:spacing w:val="26"/>
        </w:rPr>
        <w:t xml:space="preserve"> </w:t>
      </w:r>
      <w:r>
        <w:rPr>
          <w:color w:val="231F20"/>
        </w:rPr>
        <w:t>review</w:t>
      </w:r>
      <w:r>
        <w:rPr>
          <w:color w:val="231F20"/>
          <w:spacing w:val="-1"/>
        </w:rPr>
        <w:t xml:space="preserve"> </w:t>
      </w:r>
      <w:r>
        <w:rPr>
          <w:color w:val="231F20"/>
        </w:rPr>
        <w:t>of</w:t>
      </w:r>
      <w:r>
        <w:rPr>
          <w:color w:val="231F20"/>
          <w:spacing w:val="-1"/>
        </w:rPr>
        <w:t xml:space="preserve"> </w:t>
      </w:r>
      <w:r>
        <w:rPr>
          <w:color w:val="231F20"/>
        </w:rPr>
        <w:t>cancer incidence</w:t>
      </w:r>
      <w:r>
        <w:rPr>
          <w:color w:val="231F20"/>
          <w:spacing w:val="-1"/>
        </w:rPr>
        <w:t xml:space="preserve"> </w:t>
      </w:r>
      <w:r>
        <w:rPr>
          <w:color w:val="231F20"/>
        </w:rPr>
        <w:t>data for</w:t>
      </w:r>
      <w:r>
        <w:rPr>
          <w:color w:val="231F20"/>
          <w:spacing w:val="-1"/>
        </w:rPr>
        <w:t xml:space="preserve"> </w:t>
      </w:r>
      <w:r>
        <w:rPr>
          <w:color w:val="231F20"/>
        </w:rPr>
        <w:t xml:space="preserve">the </w:t>
      </w:r>
      <w:r>
        <w:rPr>
          <w:color w:val="231F20"/>
          <w:spacing w:val="-1"/>
        </w:rPr>
        <w:t xml:space="preserve">years </w:t>
      </w:r>
      <w:r>
        <w:rPr>
          <w:color w:val="231F20"/>
        </w:rPr>
        <w:t xml:space="preserve">in </w:t>
      </w:r>
      <w:r>
        <w:rPr>
          <w:color w:val="231F20"/>
          <w:spacing w:val="-1"/>
        </w:rPr>
        <w:t>question,</w:t>
      </w:r>
      <w:r>
        <w:rPr>
          <w:color w:val="231F20"/>
          <w:spacing w:val="-18"/>
        </w:rPr>
        <w:t xml:space="preserve"> </w:t>
      </w:r>
      <w:r>
        <w:rPr>
          <w:color w:val="231F20"/>
        </w:rPr>
        <w:t>the MDPH</w:t>
      </w:r>
      <w:r>
        <w:rPr>
          <w:color w:val="231F20"/>
          <w:spacing w:val="-1"/>
        </w:rPr>
        <w:t xml:space="preserve"> co</w:t>
      </w:r>
      <w:r>
        <w:rPr>
          <w:color w:val="231F20"/>
          <w:spacing w:val="-2"/>
        </w:rPr>
        <w:t>nfir</w:t>
      </w:r>
      <w:r>
        <w:rPr>
          <w:color w:val="231F20"/>
          <w:spacing w:val="-1"/>
        </w:rPr>
        <w:t>med</w:t>
      </w:r>
      <w:r>
        <w:t xml:space="preserve"> </w:t>
      </w:r>
      <w:r>
        <w:rPr>
          <w:color w:val="231F20"/>
          <w:spacing w:val="4"/>
        </w:rPr>
        <w:t>the</w:t>
      </w:r>
      <w:r>
        <w:rPr>
          <w:color w:val="231F20"/>
          <w:spacing w:val="12"/>
        </w:rPr>
        <w:t xml:space="preserve"> </w:t>
      </w:r>
      <w:r>
        <w:rPr>
          <w:color w:val="231F20"/>
          <w:spacing w:val="4"/>
        </w:rPr>
        <w:t>presence</w:t>
      </w:r>
      <w:r>
        <w:rPr>
          <w:color w:val="231F20"/>
          <w:spacing w:val="12"/>
        </w:rPr>
        <w:t xml:space="preserve"> </w:t>
      </w:r>
      <w:r>
        <w:rPr>
          <w:color w:val="231F20"/>
          <w:spacing w:val="3"/>
        </w:rPr>
        <w:t>of</w:t>
      </w:r>
      <w:r>
        <w:rPr>
          <w:color w:val="231F20"/>
          <w:spacing w:val="12"/>
        </w:rPr>
        <w:t xml:space="preserve"> </w:t>
      </w:r>
      <w:r>
        <w:rPr>
          <w:color w:val="231F20"/>
          <w:spacing w:val="3"/>
        </w:rPr>
        <w:t>an</w:t>
      </w:r>
      <w:r>
        <w:rPr>
          <w:color w:val="231F20"/>
          <w:spacing w:val="12"/>
        </w:rPr>
        <w:t xml:space="preserve"> </w:t>
      </w:r>
      <w:r>
        <w:rPr>
          <w:color w:val="231F20"/>
          <w:spacing w:val="5"/>
        </w:rPr>
        <w:t>unusual</w:t>
      </w:r>
      <w:r>
        <w:rPr>
          <w:color w:val="231F20"/>
          <w:spacing w:val="12"/>
        </w:rPr>
        <w:t xml:space="preserve"> </w:t>
      </w:r>
      <w:r>
        <w:rPr>
          <w:color w:val="231F20"/>
          <w:spacing w:val="5"/>
        </w:rPr>
        <w:t>pattern</w:t>
      </w:r>
      <w:r>
        <w:rPr>
          <w:color w:val="231F20"/>
          <w:spacing w:val="12"/>
        </w:rPr>
        <w:t xml:space="preserve"> </w:t>
      </w:r>
      <w:r>
        <w:rPr>
          <w:color w:val="231F20"/>
          <w:spacing w:val="3"/>
        </w:rPr>
        <w:t>of</w:t>
      </w:r>
      <w:r>
        <w:rPr>
          <w:color w:val="231F20"/>
          <w:spacing w:val="12"/>
        </w:rPr>
        <w:t xml:space="preserve"> </w:t>
      </w:r>
      <w:r>
        <w:rPr>
          <w:color w:val="231F20"/>
          <w:spacing w:val="5"/>
        </w:rPr>
        <w:t>cancer</w:t>
      </w:r>
      <w:r>
        <w:rPr>
          <w:color w:val="231F20"/>
          <w:spacing w:val="12"/>
        </w:rPr>
        <w:t xml:space="preserve"> </w:t>
      </w:r>
      <w:r>
        <w:rPr>
          <w:color w:val="231F20"/>
          <w:spacing w:val="4"/>
        </w:rPr>
        <w:t>among</w:t>
      </w:r>
      <w:r>
        <w:rPr>
          <w:color w:val="231F20"/>
          <w:spacing w:val="12"/>
        </w:rPr>
        <w:t xml:space="preserve"> </w:t>
      </w:r>
      <w:r>
        <w:rPr>
          <w:color w:val="231F20"/>
          <w:spacing w:val="5"/>
        </w:rPr>
        <w:t>children</w:t>
      </w:r>
      <w:r>
        <w:rPr>
          <w:color w:val="231F20"/>
          <w:spacing w:val="12"/>
        </w:rPr>
        <w:t xml:space="preserve"> </w:t>
      </w:r>
      <w:r>
        <w:rPr>
          <w:color w:val="231F20"/>
          <w:spacing w:val="4"/>
        </w:rPr>
        <w:t>and</w:t>
      </w:r>
      <w:r>
        <w:rPr>
          <w:color w:val="231F20"/>
          <w:spacing w:val="12"/>
        </w:rPr>
        <w:t xml:space="preserve"> </w:t>
      </w:r>
      <w:r>
        <w:rPr>
          <w:color w:val="231F20"/>
          <w:spacing w:val="5"/>
        </w:rPr>
        <w:t>adolescents</w:t>
      </w:r>
      <w:r>
        <w:t xml:space="preserve"> </w:t>
      </w:r>
      <w:r>
        <w:rPr>
          <w:color w:val="231F20"/>
          <w:spacing w:val="5"/>
        </w:rPr>
        <w:t>(aged</w:t>
      </w:r>
      <w:r>
        <w:rPr>
          <w:color w:val="231F20"/>
          <w:spacing w:val="14"/>
        </w:rPr>
        <w:t xml:space="preserve"> </w:t>
      </w:r>
      <w:r>
        <w:rPr>
          <w:color w:val="231F20"/>
        </w:rPr>
        <w:t>≤</w:t>
      </w:r>
      <w:r>
        <w:rPr>
          <w:color w:val="231F20"/>
          <w:spacing w:val="14"/>
        </w:rPr>
        <w:t xml:space="preserve"> </w:t>
      </w:r>
      <w:r>
        <w:rPr>
          <w:color w:val="231F20"/>
          <w:spacing w:val="3"/>
        </w:rPr>
        <w:t>19</w:t>
      </w:r>
      <w:r>
        <w:rPr>
          <w:color w:val="231F20"/>
          <w:spacing w:val="14"/>
        </w:rPr>
        <w:t xml:space="preserve"> </w:t>
      </w:r>
      <w:r>
        <w:rPr>
          <w:color w:val="231F20"/>
          <w:spacing w:val="5"/>
        </w:rPr>
        <w:t>years)</w:t>
      </w:r>
      <w:r>
        <w:rPr>
          <w:color w:val="231F20"/>
          <w:spacing w:val="14"/>
        </w:rPr>
        <w:t xml:space="preserve"> </w:t>
      </w:r>
      <w:r>
        <w:rPr>
          <w:color w:val="231F20"/>
          <w:spacing w:val="5"/>
        </w:rPr>
        <w:t>within</w:t>
      </w:r>
      <w:r>
        <w:rPr>
          <w:color w:val="231F20"/>
          <w:spacing w:val="14"/>
        </w:rPr>
        <w:t xml:space="preserve"> </w:t>
      </w:r>
      <w:r>
        <w:rPr>
          <w:color w:val="231F20"/>
          <w:spacing w:val="4"/>
        </w:rPr>
        <w:t>two</w:t>
      </w:r>
      <w:r>
        <w:rPr>
          <w:color w:val="231F20"/>
          <w:spacing w:val="14"/>
        </w:rPr>
        <w:t xml:space="preserve"> </w:t>
      </w:r>
      <w:r>
        <w:rPr>
          <w:color w:val="231F20"/>
          <w:spacing w:val="5"/>
        </w:rPr>
        <w:t>census</w:t>
      </w:r>
      <w:r>
        <w:rPr>
          <w:color w:val="231F20"/>
          <w:spacing w:val="14"/>
        </w:rPr>
        <w:t xml:space="preserve"> </w:t>
      </w:r>
      <w:r>
        <w:rPr>
          <w:color w:val="231F20"/>
          <w:spacing w:val="5"/>
        </w:rPr>
        <w:t>tracts</w:t>
      </w:r>
      <w:r>
        <w:rPr>
          <w:color w:val="231F20"/>
          <w:spacing w:val="14"/>
        </w:rPr>
        <w:t xml:space="preserve"> </w:t>
      </w:r>
      <w:r>
        <w:rPr>
          <w:color w:val="231F20"/>
          <w:spacing w:val="6"/>
        </w:rPr>
        <w:t>located</w:t>
      </w:r>
      <w:r>
        <w:rPr>
          <w:color w:val="231F20"/>
          <w:spacing w:val="14"/>
        </w:rPr>
        <w:t xml:space="preserve"> </w:t>
      </w:r>
      <w:r>
        <w:rPr>
          <w:color w:val="231F20"/>
          <w:spacing w:val="3"/>
        </w:rPr>
        <w:t>in</w:t>
      </w:r>
      <w:r>
        <w:rPr>
          <w:color w:val="231F20"/>
          <w:spacing w:val="14"/>
        </w:rPr>
        <w:t xml:space="preserve"> </w:t>
      </w:r>
      <w:r>
        <w:rPr>
          <w:color w:val="231F20"/>
          <w:spacing w:val="4"/>
        </w:rPr>
        <w:t>the</w:t>
      </w:r>
      <w:r>
        <w:rPr>
          <w:color w:val="231F20"/>
          <w:spacing w:val="14"/>
        </w:rPr>
        <w:t xml:space="preserve"> </w:t>
      </w:r>
      <w:r>
        <w:rPr>
          <w:color w:val="231F20"/>
          <w:spacing w:val="6"/>
        </w:rPr>
        <w:t>southern</w:t>
      </w:r>
      <w:r>
        <w:rPr>
          <w:color w:val="231F20"/>
          <w:spacing w:val="14"/>
        </w:rPr>
        <w:t xml:space="preserve"> </w:t>
      </w:r>
      <w:r>
        <w:rPr>
          <w:color w:val="231F20"/>
          <w:spacing w:val="4"/>
        </w:rPr>
        <w:t>and</w:t>
      </w:r>
      <w:r>
        <w:rPr>
          <w:color w:val="231F20"/>
          <w:spacing w:val="14"/>
        </w:rPr>
        <w:t xml:space="preserve"> </w:t>
      </w:r>
      <w:r>
        <w:rPr>
          <w:color w:val="231F20"/>
          <w:spacing w:val="5"/>
        </w:rPr>
        <w:t>western</w:t>
      </w:r>
      <w:r>
        <w:rPr>
          <w:color w:val="231F20"/>
          <w:spacing w:val="72"/>
        </w:rPr>
        <w:t xml:space="preserve"> </w:t>
      </w:r>
      <w:r>
        <w:rPr>
          <w:color w:val="231F20"/>
          <w:spacing w:val="5"/>
        </w:rPr>
        <w:t>portions</w:t>
      </w:r>
      <w:r>
        <w:rPr>
          <w:color w:val="231F20"/>
          <w:spacing w:val="12"/>
        </w:rPr>
        <w:t xml:space="preserve"> </w:t>
      </w:r>
      <w:r>
        <w:rPr>
          <w:color w:val="231F20"/>
          <w:spacing w:val="3"/>
        </w:rPr>
        <w:t>of</w:t>
      </w:r>
      <w:r>
        <w:rPr>
          <w:color w:val="231F20"/>
          <w:spacing w:val="12"/>
        </w:rPr>
        <w:t xml:space="preserve"> </w:t>
      </w:r>
      <w:r>
        <w:rPr>
          <w:color w:val="231F20"/>
          <w:spacing w:val="4"/>
        </w:rPr>
        <w:t>the</w:t>
      </w:r>
      <w:r>
        <w:rPr>
          <w:color w:val="231F20"/>
          <w:spacing w:val="12"/>
        </w:rPr>
        <w:t xml:space="preserve"> </w:t>
      </w:r>
      <w:r>
        <w:rPr>
          <w:color w:val="231F20"/>
          <w:spacing w:val="4"/>
        </w:rPr>
        <w:t>town.</w:t>
      </w:r>
      <w:r>
        <w:rPr>
          <w:color w:val="231F20"/>
          <w:spacing w:val="-5"/>
        </w:rPr>
        <w:t xml:space="preserve"> </w:t>
      </w:r>
      <w:r>
        <w:rPr>
          <w:color w:val="231F20"/>
          <w:spacing w:val="3"/>
        </w:rPr>
        <w:t>Consequently,</w:t>
      </w:r>
      <w:r>
        <w:rPr>
          <w:color w:val="231F20"/>
          <w:spacing w:val="-5"/>
        </w:rPr>
        <w:t xml:space="preserve"> </w:t>
      </w:r>
      <w:r>
        <w:rPr>
          <w:color w:val="231F20"/>
          <w:spacing w:val="4"/>
        </w:rPr>
        <w:t>the</w:t>
      </w:r>
      <w:r>
        <w:rPr>
          <w:color w:val="231F20"/>
          <w:spacing w:val="12"/>
        </w:rPr>
        <w:t xml:space="preserve"> </w:t>
      </w:r>
      <w:r>
        <w:rPr>
          <w:color w:val="231F20"/>
          <w:spacing w:val="5"/>
        </w:rPr>
        <w:t>MDPH</w:t>
      </w:r>
      <w:r>
        <w:rPr>
          <w:color w:val="231F20"/>
          <w:spacing w:val="12"/>
        </w:rPr>
        <w:t xml:space="preserve"> </w:t>
      </w:r>
      <w:r>
        <w:rPr>
          <w:color w:val="231F20"/>
          <w:spacing w:val="5"/>
        </w:rPr>
        <w:t>initiated</w:t>
      </w:r>
      <w:r>
        <w:rPr>
          <w:color w:val="231F20"/>
          <w:spacing w:val="12"/>
        </w:rPr>
        <w:t xml:space="preserve"> </w:t>
      </w:r>
      <w:r>
        <w:rPr>
          <w:color w:val="231F20"/>
          <w:spacing w:val="3"/>
        </w:rPr>
        <w:t>an</w:t>
      </w:r>
      <w:r>
        <w:rPr>
          <w:color w:val="231F20"/>
          <w:spacing w:val="12"/>
        </w:rPr>
        <w:t xml:space="preserve"> </w:t>
      </w:r>
      <w:r>
        <w:rPr>
          <w:color w:val="231F20"/>
          <w:spacing w:val="6"/>
        </w:rPr>
        <w:t>epidemiologic</w:t>
      </w:r>
      <w:r>
        <w:t xml:space="preserve"> </w:t>
      </w:r>
      <w:r>
        <w:rPr>
          <w:color w:val="231F20"/>
          <w:spacing w:val="5"/>
        </w:rPr>
        <w:t>case-control</w:t>
      </w:r>
      <w:r>
        <w:rPr>
          <w:color w:val="231F20"/>
          <w:spacing w:val="12"/>
        </w:rPr>
        <w:t xml:space="preserve"> </w:t>
      </w:r>
      <w:r>
        <w:rPr>
          <w:color w:val="231F20"/>
          <w:spacing w:val="4"/>
        </w:rPr>
        <w:t>study</w:t>
      </w:r>
      <w:r>
        <w:rPr>
          <w:color w:val="231F20"/>
          <w:spacing w:val="12"/>
        </w:rPr>
        <w:t xml:space="preserve"> </w:t>
      </w:r>
      <w:r>
        <w:rPr>
          <w:color w:val="231F20"/>
          <w:spacing w:val="3"/>
        </w:rPr>
        <w:t>to</w:t>
      </w:r>
      <w:r>
        <w:rPr>
          <w:color w:val="231F20"/>
          <w:spacing w:val="12"/>
        </w:rPr>
        <w:t xml:space="preserve"> </w:t>
      </w:r>
      <w:r>
        <w:rPr>
          <w:color w:val="231F20"/>
          <w:spacing w:val="5"/>
        </w:rPr>
        <w:t>investigate</w:t>
      </w:r>
      <w:r>
        <w:rPr>
          <w:color w:val="231F20"/>
          <w:spacing w:val="12"/>
        </w:rPr>
        <w:t xml:space="preserve"> </w:t>
      </w:r>
      <w:r>
        <w:rPr>
          <w:color w:val="231F20"/>
          <w:spacing w:val="4"/>
        </w:rPr>
        <w:t>factors</w:t>
      </w:r>
      <w:r>
        <w:rPr>
          <w:color w:val="231F20"/>
          <w:spacing w:val="12"/>
        </w:rPr>
        <w:t xml:space="preserve"> </w:t>
      </w:r>
      <w:r>
        <w:rPr>
          <w:color w:val="231F20"/>
          <w:spacing w:val="4"/>
        </w:rPr>
        <w:t>that</w:t>
      </w:r>
      <w:r>
        <w:rPr>
          <w:color w:val="231F20"/>
          <w:spacing w:val="12"/>
        </w:rPr>
        <w:t xml:space="preserve"> </w:t>
      </w:r>
      <w:r>
        <w:rPr>
          <w:color w:val="231F20"/>
          <w:spacing w:val="3"/>
        </w:rPr>
        <w:t>may</w:t>
      </w:r>
      <w:r>
        <w:rPr>
          <w:color w:val="231F20"/>
          <w:spacing w:val="12"/>
        </w:rPr>
        <w:t xml:space="preserve"> </w:t>
      </w:r>
      <w:r>
        <w:rPr>
          <w:color w:val="231F20"/>
          <w:spacing w:val="3"/>
        </w:rPr>
        <w:t>be</w:t>
      </w:r>
      <w:r>
        <w:rPr>
          <w:color w:val="231F20"/>
          <w:spacing w:val="12"/>
        </w:rPr>
        <w:t xml:space="preserve"> </w:t>
      </w:r>
      <w:r>
        <w:rPr>
          <w:color w:val="231F20"/>
          <w:spacing w:val="5"/>
        </w:rPr>
        <w:t>associated</w:t>
      </w:r>
      <w:r>
        <w:rPr>
          <w:color w:val="231F20"/>
          <w:spacing w:val="12"/>
        </w:rPr>
        <w:t xml:space="preserve"> </w:t>
      </w:r>
      <w:r>
        <w:rPr>
          <w:color w:val="231F20"/>
          <w:spacing w:val="4"/>
        </w:rPr>
        <w:t>with</w:t>
      </w:r>
      <w:r>
        <w:rPr>
          <w:color w:val="231F20"/>
          <w:spacing w:val="12"/>
        </w:rPr>
        <w:t xml:space="preserve"> </w:t>
      </w:r>
      <w:r>
        <w:rPr>
          <w:color w:val="231F20"/>
          <w:spacing w:val="6"/>
        </w:rPr>
        <w:t>cancer</w:t>
      </w:r>
      <w:r>
        <w:rPr>
          <w:color w:val="231F20"/>
          <w:spacing w:val="56"/>
        </w:rPr>
        <w:t xml:space="preserve"> </w:t>
      </w:r>
      <w:r>
        <w:rPr>
          <w:color w:val="231F20"/>
          <w:spacing w:val="5"/>
        </w:rPr>
        <w:t>development</w:t>
      </w:r>
      <w:r>
        <w:rPr>
          <w:color w:val="231F20"/>
          <w:spacing w:val="12"/>
        </w:rPr>
        <w:t xml:space="preserve"> </w:t>
      </w:r>
      <w:r>
        <w:rPr>
          <w:color w:val="231F20"/>
          <w:spacing w:val="3"/>
        </w:rPr>
        <w:t>in</w:t>
      </w:r>
      <w:r>
        <w:rPr>
          <w:color w:val="231F20"/>
          <w:spacing w:val="12"/>
        </w:rPr>
        <w:t xml:space="preserve"> </w:t>
      </w:r>
      <w:r>
        <w:rPr>
          <w:color w:val="231F20"/>
          <w:spacing w:val="4"/>
        </w:rPr>
        <w:t>the</w:t>
      </w:r>
      <w:r>
        <w:rPr>
          <w:color w:val="231F20"/>
          <w:spacing w:val="12"/>
        </w:rPr>
        <w:t xml:space="preserve"> </w:t>
      </w:r>
      <w:r>
        <w:rPr>
          <w:color w:val="231F20"/>
          <w:spacing w:val="4"/>
        </w:rPr>
        <w:t>town</w:t>
      </w:r>
      <w:r>
        <w:rPr>
          <w:color w:val="231F20"/>
          <w:spacing w:val="12"/>
        </w:rPr>
        <w:t xml:space="preserve"> </w:t>
      </w:r>
      <w:r>
        <w:rPr>
          <w:color w:val="231F20"/>
          <w:spacing w:val="3"/>
        </w:rPr>
        <w:t>of</w:t>
      </w:r>
      <w:r>
        <w:rPr>
          <w:color w:val="231F20"/>
          <w:spacing w:val="8"/>
        </w:rPr>
        <w:t xml:space="preserve"> </w:t>
      </w:r>
      <w:r>
        <w:rPr>
          <w:color w:val="231F20"/>
          <w:spacing w:val="5"/>
        </w:rPr>
        <w:t>Wilmington</w:t>
      </w:r>
      <w:r>
        <w:rPr>
          <w:color w:val="231F20"/>
          <w:spacing w:val="12"/>
        </w:rPr>
        <w:t xml:space="preserve"> </w:t>
      </w:r>
      <w:r>
        <w:rPr>
          <w:color w:val="231F20"/>
          <w:spacing w:val="4"/>
        </w:rPr>
        <w:t>among</w:t>
      </w:r>
      <w:r>
        <w:rPr>
          <w:color w:val="231F20"/>
          <w:spacing w:val="12"/>
        </w:rPr>
        <w:t xml:space="preserve"> </w:t>
      </w:r>
      <w:r>
        <w:rPr>
          <w:color w:val="231F20"/>
          <w:spacing w:val="5"/>
        </w:rPr>
        <w:t>children</w:t>
      </w:r>
      <w:r>
        <w:rPr>
          <w:color w:val="231F20"/>
          <w:spacing w:val="12"/>
        </w:rPr>
        <w:t xml:space="preserve"> </w:t>
      </w:r>
      <w:r>
        <w:rPr>
          <w:color w:val="231F20"/>
          <w:spacing w:val="4"/>
        </w:rPr>
        <w:t>and</w:t>
      </w:r>
      <w:r>
        <w:rPr>
          <w:color w:val="231F20"/>
          <w:spacing w:val="12"/>
        </w:rPr>
        <w:t xml:space="preserve"> </w:t>
      </w:r>
      <w:r>
        <w:rPr>
          <w:color w:val="231F20"/>
          <w:spacing w:val="5"/>
        </w:rPr>
        <w:t>adolescents</w:t>
      </w:r>
      <w:r>
        <w:rPr>
          <w:color w:val="231F20"/>
          <w:spacing w:val="52"/>
        </w:rPr>
        <w:t xml:space="preserve"> </w:t>
      </w:r>
      <w:r>
        <w:rPr>
          <w:color w:val="231F20"/>
        </w:rPr>
        <w:t xml:space="preserve">diagnosed </w:t>
      </w:r>
      <w:r>
        <w:rPr>
          <w:color w:val="231F20"/>
          <w:spacing w:val="-1"/>
        </w:rPr>
        <w:t>between</w:t>
      </w:r>
      <w:r>
        <w:rPr>
          <w:color w:val="231F20"/>
        </w:rPr>
        <w:t xml:space="preserve"> 1990 and 2000.</w:t>
      </w:r>
    </w:p>
    <w:p w14:paraId="78EB7C42" w14:textId="77777777" w:rsidR="003477EB" w:rsidRDefault="003477EB" w:rsidP="003477EB">
      <w:pPr>
        <w:pStyle w:val="BodyText"/>
        <w:spacing w:before="240"/>
        <w:ind w:right="115"/>
      </w:pPr>
      <w:r>
        <w:rPr>
          <w:color w:val="231F20"/>
          <w:spacing w:val="3"/>
        </w:rPr>
        <w:t xml:space="preserve">Shortly </w:t>
      </w:r>
      <w:r>
        <w:rPr>
          <w:color w:val="231F20"/>
          <w:spacing w:val="2"/>
        </w:rPr>
        <w:t>after</w:t>
      </w:r>
      <w:r>
        <w:rPr>
          <w:color w:val="231F20"/>
          <w:spacing w:val="3"/>
        </w:rPr>
        <w:t xml:space="preserve"> </w:t>
      </w:r>
      <w:r>
        <w:rPr>
          <w:color w:val="231F20"/>
          <w:spacing w:val="1"/>
        </w:rPr>
        <w:t>initiation</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3"/>
        </w:rPr>
        <w:t xml:space="preserve"> </w:t>
      </w:r>
      <w:r>
        <w:rPr>
          <w:color w:val="231F20"/>
          <w:spacing w:val="-2"/>
        </w:rPr>
        <w:t>study,</w:t>
      </w:r>
      <w:r>
        <w:rPr>
          <w:color w:val="231F20"/>
          <w:spacing w:val="-12"/>
        </w:rPr>
        <w:t xml:space="preserve"> </w:t>
      </w:r>
      <w:r>
        <w:rPr>
          <w:color w:val="231F20"/>
        </w:rPr>
        <w:t>a</w:t>
      </w:r>
      <w:r>
        <w:rPr>
          <w:color w:val="231F20"/>
          <w:spacing w:val="3"/>
        </w:rPr>
        <w:t xml:space="preserve"> </w:t>
      </w:r>
      <w:r>
        <w:rPr>
          <w:color w:val="231F20"/>
          <w:spacing w:val="1"/>
        </w:rPr>
        <w:t>specific</w:t>
      </w:r>
      <w:r>
        <w:rPr>
          <w:color w:val="231F20"/>
        </w:rPr>
        <w:t xml:space="preserve"> </w:t>
      </w:r>
      <w:r>
        <w:rPr>
          <w:color w:val="231F20"/>
          <w:spacing w:val="2"/>
        </w:rPr>
        <w:t>drinking</w:t>
      </w:r>
      <w:r>
        <w:rPr>
          <w:color w:val="231F20"/>
          <w:spacing w:val="4"/>
        </w:rPr>
        <w:t xml:space="preserve"> </w:t>
      </w:r>
      <w:r>
        <w:rPr>
          <w:color w:val="231F20"/>
          <w:spacing w:val="1"/>
        </w:rPr>
        <w:t>water</w:t>
      </w:r>
      <w:r>
        <w:rPr>
          <w:color w:val="231F20"/>
          <w:spacing w:val="3"/>
        </w:rPr>
        <w:t xml:space="preserve"> </w:t>
      </w:r>
      <w:r>
        <w:rPr>
          <w:color w:val="231F20"/>
          <w:spacing w:val="1"/>
        </w:rPr>
        <w:t>contaminant</w:t>
      </w:r>
      <w:r>
        <w:rPr>
          <w:color w:val="231F20"/>
          <w:spacing w:val="3"/>
        </w:rPr>
        <w:t xml:space="preserve"> </w:t>
      </w:r>
      <w:r>
        <w:rPr>
          <w:color w:val="231F20"/>
          <w:spacing w:val="2"/>
        </w:rPr>
        <w:t>and</w:t>
      </w:r>
      <w:r>
        <w:rPr>
          <w:color w:val="231F20"/>
          <w:spacing w:val="60"/>
        </w:rPr>
        <w:t xml:space="preserve"> </w:t>
      </w:r>
      <w:r>
        <w:rPr>
          <w:color w:val="231F20"/>
          <w:spacing w:val="-1"/>
        </w:rPr>
        <w:t>carcinogen,</w:t>
      </w:r>
      <w:r>
        <w:rPr>
          <w:color w:val="231F20"/>
          <w:spacing w:val="-17"/>
        </w:rPr>
        <w:t xml:space="preserve"> </w:t>
      </w:r>
      <w:r>
        <w:rPr>
          <w:i/>
          <w:color w:val="231F20"/>
          <w:spacing w:val="-1"/>
        </w:rPr>
        <w:t>n</w:t>
      </w:r>
      <w:r>
        <w:rPr>
          <w:color w:val="231F20"/>
          <w:spacing w:val="-1"/>
        </w:rPr>
        <w:t>-</w:t>
      </w:r>
      <w:proofErr w:type="spellStart"/>
      <w:r>
        <w:rPr>
          <w:color w:val="231F20"/>
          <w:spacing w:val="-1"/>
        </w:rPr>
        <w:t>nitrosodimethylamine</w:t>
      </w:r>
      <w:proofErr w:type="spellEnd"/>
      <w:r>
        <w:rPr>
          <w:color w:val="231F20"/>
        </w:rPr>
        <w:t xml:space="preserve"> (NDMA),</w:t>
      </w:r>
      <w:r>
        <w:rPr>
          <w:color w:val="231F20"/>
          <w:spacing w:val="-17"/>
        </w:rPr>
        <w:t xml:space="preserve"> </w:t>
      </w:r>
      <w:r>
        <w:rPr>
          <w:color w:val="231F20"/>
        </w:rPr>
        <w:t xml:space="preserve">was detected in an </w:t>
      </w:r>
      <w:r>
        <w:rPr>
          <w:color w:val="231F20"/>
          <w:spacing w:val="-1"/>
        </w:rPr>
        <w:t>aquifer</w:t>
      </w:r>
      <w:r>
        <w:rPr>
          <w:color w:val="231F20"/>
        </w:rPr>
        <w:t xml:space="preserve"> </w:t>
      </w:r>
      <w:r>
        <w:rPr>
          <w:color w:val="231F20"/>
          <w:spacing w:val="-1"/>
        </w:rPr>
        <w:t>providing</w:t>
      </w:r>
      <w:r>
        <w:rPr>
          <w:color w:val="231F20"/>
          <w:spacing w:val="79"/>
        </w:rPr>
        <w:t xml:space="preserve"> </w:t>
      </w:r>
      <w:r>
        <w:rPr>
          <w:color w:val="231F20"/>
        </w:rPr>
        <w:t>part</w:t>
      </w:r>
      <w:r>
        <w:rPr>
          <w:color w:val="231F20"/>
          <w:spacing w:val="-5"/>
        </w:rPr>
        <w:t xml:space="preserve"> </w:t>
      </w:r>
      <w:r>
        <w:rPr>
          <w:color w:val="231F20"/>
        </w:rPr>
        <w:t>of</w:t>
      </w:r>
      <w:r>
        <w:rPr>
          <w:color w:val="231F20"/>
          <w:spacing w:val="-4"/>
        </w:rPr>
        <w:t xml:space="preserve"> </w:t>
      </w:r>
      <w:r>
        <w:rPr>
          <w:color w:val="231F20"/>
        </w:rPr>
        <w:t>the</w:t>
      </w:r>
      <w:r>
        <w:rPr>
          <w:color w:val="231F20"/>
          <w:spacing w:val="-8"/>
        </w:rPr>
        <w:t xml:space="preserve"> </w:t>
      </w:r>
      <w:r>
        <w:rPr>
          <w:color w:val="231F20"/>
        </w:rPr>
        <w:t>Wilmington</w:t>
      </w:r>
      <w:r>
        <w:rPr>
          <w:color w:val="231F20"/>
          <w:spacing w:val="-4"/>
        </w:rPr>
        <w:t xml:space="preserve"> </w:t>
      </w:r>
      <w:r>
        <w:rPr>
          <w:color w:val="231F20"/>
        </w:rPr>
        <w:t>drinking</w:t>
      </w:r>
      <w:r>
        <w:rPr>
          <w:color w:val="231F20"/>
          <w:spacing w:val="-4"/>
        </w:rPr>
        <w:t xml:space="preserve"> </w:t>
      </w:r>
      <w:r>
        <w:rPr>
          <w:color w:val="231F20"/>
        </w:rPr>
        <w:t>water</w:t>
      </w:r>
      <w:r>
        <w:rPr>
          <w:color w:val="231F20"/>
          <w:spacing w:val="-5"/>
        </w:rPr>
        <w:t xml:space="preserve"> </w:t>
      </w:r>
      <w:r>
        <w:rPr>
          <w:color w:val="231F20"/>
          <w:spacing w:val="-3"/>
        </w:rPr>
        <w:t>supply.</w:t>
      </w:r>
      <w:r>
        <w:rPr>
          <w:color w:val="231F20"/>
          <w:spacing w:val="-30"/>
        </w:rPr>
        <w:t xml:space="preserve"> </w:t>
      </w:r>
      <w:r>
        <w:rPr>
          <w:color w:val="231F20"/>
        </w:rPr>
        <w:t>The</w:t>
      </w:r>
      <w:r>
        <w:rPr>
          <w:color w:val="231F20"/>
          <w:spacing w:val="-4"/>
        </w:rPr>
        <w:t xml:space="preserve"> </w:t>
      </w:r>
      <w:r>
        <w:rPr>
          <w:color w:val="231F20"/>
          <w:spacing w:val="-1"/>
        </w:rPr>
        <w:t>contamination</w:t>
      </w:r>
      <w:r>
        <w:rPr>
          <w:color w:val="231F20"/>
          <w:spacing w:val="-4"/>
        </w:rPr>
        <w:t xml:space="preserve"> </w:t>
      </w:r>
      <w:r>
        <w:rPr>
          <w:color w:val="231F20"/>
          <w:spacing w:val="-1"/>
        </w:rPr>
        <w:t>occurred</w:t>
      </w:r>
      <w:r>
        <w:rPr>
          <w:color w:val="231F20"/>
          <w:spacing w:val="-4"/>
        </w:rPr>
        <w:t xml:space="preserve"> </w:t>
      </w:r>
      <w:r>
        <w:rPr>
          <w:color w:val="231F20"/>
        </w:rPr>
        <w:t>as</w:t>
      </w:r>
      <w:r>
        <w:t xml:space="preserve"> </w:t>
      </w:r>
      <w:r>
        <w:rPr>
          <w:color w:val="231F20"/>
        </w:rPr>
        <w:t>a</w:t>
      </w:r>
      <w:r>
        <w:rPr>
          <w:color w:val="231F20"/>
          <w:spacing w:val="12"/>
        </w:rPr>
        <w:t xml:space="preserve"> </w:t>
      </w:r>
      <w:r>
        <w:rPr>
          <w:color w:val="231F20"/>
          <w:spacing w:val="4"/>
        </w:rPr>
        <w:t>result</w:t>
      </w:r>
      <w:r>
        <w:rPr>
          <w:color w:val="231F20"/>
          <w:spacing w:val="12"/>
        </w:rPr>
        <w:t xml:space="preserve"> </w:t>
      </w:r>
      <w:r>
        <w:rPr>
          <w:color w:val="231F20"/>
          <w:spacing w:val="3"/>
        </w:rPr>
        <w:t>of</w:t>
      </w:r>
      <w:r>
        <w:rPr>
          <w:color w:val="231F20"/>
          <w:spacing w:val="12"/>
        </w:rPr>
        <w:t xml:space="preserve"> </w:t>
      </w:r>
      <w:r>
        <w:rPr>
          <w:color w:val="231F20"/>
          <w:spacing w:val="5"/>
        </w:rPr>
        <w:t>activities</w:t>
      </w:r>
      <w:r>
        <w:rPr>
          <w:color w:val="231F20"/>
          <w:spacing w:val="12"/>
        </w:rPr>
        <w:t xml:space="preserve"> </w:t>
      </w:r>
      <w:r>
        <w:rPr>
          <w:color w:val="231F20"/>
          <w:spacing w:val="3"/>
        </w:rPr>
        <w:t>at</w:t>
      </w:r>
      <w:r>
        <w:rPr>
          <w:color w:val="231F20"/>
          <w:spacing w:val="12"/>
        </w:rPr>
        <w:t xml:space="preserve"> </w:t>
      </w:r>
      <w:r>
        <w:rPr>
          <w:color w:val="231F20"/>
        </w:rPr>
        <w:t>a</w:t>
      </w:r>
      <w:r>
        <w:rPr>
          <w:color w:val="231F20"/>
          <w:spacing w:val="12"/>
        </w:rPr>
        <w:t xml:space="preserve"> </w:t>
      </w:r>
      <w:r>
        <w:rPr>
          <w:color w:val="231F20"/>
          <w:spacing w:val="5"/>
        </w:rPr>
        <w:t>chemical</w:t>
      </w:r>
      <w:r>
        <w:rPr>
          <w:color w:val="231F20"/>
          <w:spacing w:val="12"/>
        </w:rPr>
        <w:t xml:space="preserve"> </w:t>
      </w:r>
      <w:r>
        <w:rPr>
          <w:color w:val="231F20"/>
          <w:spacing w:val="5"/>
        </w:rPr>
        <w:t>manufacturing</w:t>
      </w:r>
      <w:r>
        <w:rPr>
          <w:color w:val="231F20"/>
          <w:spacing w:val="12"/>
        </w:rPr>
        <w:t xml:space="preserve"> </w:t>
      </w:r>
      <w:r>
        <w:rPr>
          <w:color w:val="231F20"/>
          <w:spacing w:val="5"/>
        </w:rPr>
        <w:t>facility</w:t>
      </w:r>
      <w:r>
        <w:rPr>
          <w:color w:val="231F20"/>
          <w:spacing w:val="12"/>
        </w:rPr>
        <w:t xml:space="preserve"> </w:t>
      </w:r>
      <w:r>
        <w:rPr>
          <w:color w:val="231F20"/>
          <w:spacing w:val="5"/>
        </w:rPr>
        <w:t>operating</w:t>
      </w:r>
      <w:r>
        <w:rPr>
          <w:color w:val="231F20"/>
          <w:spacing w:val="12"/>
        </w:rPr>
        <w:t xml:space="preserve"> </w:t>
      </w:r>
      <w:r>
        <w:rPr>
          <w:color w:val="231F20"/>
          <w:spacing w:val="3"/>
        </w:rPr>
        <w:t>in</w:t>
      </w:r>
      <w:r>
        <w:rPr>
          <w:color w:val="231F20"/>
          <w:spacing w:val="12"/>
        </w:rPr>
        <w:t xml:space="preserve"> </w:t>
      </w:r>
      <w:r>
        <w:rPr>
          <w:color w:val="231F20"/>
          <w:spacing w:val="4"/>
        </w:rPr>
        <w:t>the</w:t>
      </w:r>
      <w:r>
        <w:rPr>
          <w:color w:val="231F20"/>
          <w:spacing w:val="12"/>
        </w:rPr>
        <w:t xml:space="preserve"> </w:t>
      </w:r>
      <w:r>
        <w:rPr>
          <w:color w:val="231F20"/>
          <w:spacing w:val="4"/>
        </w:rPr>
        <w:t>south-</w:t>
      </w:r>
      <w:r>
        <w:rPr>
          <w:color w:val="231F20"/>
          <w:spacing w:val="58"/>
        </w:rPr>
        <w:t xml:space="preserve"> </w:t>
      </w:r>
      <w:r>
        <w:rPr>
          <w:color w:val="231F20"/>
          <w:spacing w:val="5"/>
        </w:rPr>
        <w:t>eastern</w:t>
      </w:r>
      <w:r>
        <w:rPr>
          <w:color w:val="231F20"/>
          <w:spacing w:val="12"/>
        </w:rPr>
        <w:t xml:space="preserve"> </w:t>
      </w:r>
      <w:r>
        <w:rPr>
          <w:color w:val="231F20"/>
          <w:spacing w:val="5"/>
        </w:rPr>
        <w:t>corner</w:t>
      </w:r>
      <w:r>
        <w:rPr>
          <w:color w:val="231F20"/>
          <w:spacing w:val="12"/>
        </w:rPr>
        <w:t xml:space="preserve"> </w:t>
      </w:r>
      <w:r>
        <w:rPr>
          <w:color w:val="231F20"/>
          <w:spacing w:val="3"/>
        </w:rPr>
        <w:t>of</w:t>
      </w:r>
      <w:r>
        <w:rPr>
          <w:color w:val="231F20"/>
          <w:spacing w:val="12"/>
        </w:rPr>
        <w:t xml:space="preserve"> </w:t>
      </w:r>
      <w:r>
        <w:rPr>
          <w:color w:val="231F20"/>
          <w:spacing w:val="4"/>
        </w:rPr>
        <w:t>town</w:t>
      </w:r>
      <w:r>
        <w:rPr>
          <w:color w:val="231F20"/>
          <w:spacing w:val="12"/>
        </w:rPr>
        <w:t xml:space="preserve"> </w:t>
      </w:r>
      <w:r>
        <w:rPr>
          <w:color w:val="231F20"/>
          <w:spacing w:val="3"/>
        </w:rPr>
        <w:t>from</w:t>
      </w:r>
      <w:r>
        <w:rPr>
          <w:color w:val="231F20"/>
          <w:spacing w:val="12"/>
        </w:rPr>
        <w:t xml:space="preserve"> </w:t>
      </w:r>
      <w:r>
        <w:rPr>
          <w:color w:val="231F20"/>
          <w:spacing w:val="5"/>
        </w:rPr>
        <w:t>1953–1986.</w:t>
      </w:r>
      <w:r>
        <w:rPr>
          <w:color w:val="231F20"/>
          <w:spacing w:val="-16"/>
        </w:rPr>
        <w:t xml:space="preserve"> </w:t>
      </w:r>
      <w:r>
        <w:rPr>
          <w:color w:val="231F20"/>
          <w:spacing w:val="4"/>
        </w:rPr>
        <w:t>The</w:t>
      </w:r>
      <w:r>
        <w:rPr>
          <w:color w:val="231F20"/>
          <w:spacing w:val="12"/>
        </w:rPr>
        <w:t xml:space="preserve"> </w:t>
      </w:r>
      <w:r>
        <w:rPr>
          <w:color w:val="231F20"/>
          <w:spacing w:val="4"/>
        </w:rPr>
        <w:t>site,</w:t>
      </w:r>
      <w:r>
        <w:rPr>
          <w:color w:val="231F20"/>
          <w:spacing w:val="-5"/>
        </w:rPr>
        <w:t xml:space="preserve"> </w:t>
      </w:r>
      <w:r>
        <w:rPr>
          <w:color w:val="231F20"/>
          <w:spacing w:val="4"/>
        </w:rPr>
        <w:t>known</w:t>
      </w:r>
      <w:r>
        <w:rPr>
          <w:color w:val="231F20"/>
          <w:spacing w:val="12"/>
        </w:rPr>
        <w:t xml:space="preserve"> </w:t>
      </w:r>
      <w:r>
        <w:rPr>
          <w:color w:val="231F20"/>
          <w:spacing w:val="3"/>
        </w:rPr>
        <w:t>as</w:t>
      </w:r>
      <w:r>
        <w:rPr>
          <w:color w:val="231F20"/>
          <w:spacing w:val="12"/>
        </w:rPr>
        <w:t xml:space="preserve"> </w:t>
      </w:r>
      <w:r>
        <w:rPr>
          <w:color w:val="231F20"/>
          <w:spacing w:val="4"/>
        </w:rPr>
        <w:t>the</w:t>
      </w:r>
      <w:r>
        <w:rPr>
          <w:color w:val="231F20"/>
          <w:spacing w:val="12"/>
        </w:rPr>
        <w:t xml:space="preserve"> </w:t>
      </w:r>
      <w:r>
        <w:rPr>
          <w:color w:val="231F20"/>
          <w:spacing w:val="5"/>
        </w:rPr>
        <w:t>Olin</w:t>
      </w:r>
      <w:r>
        <w:rPr>
          <w:color w:val="231F20"/>
          <w:spacing w:val="12"/>
        </w:rPr>
        <w:t xml:space="preserve"> </w:t>
      </w:r>
      <w:r>
        <w:rPr>
          <w:color w:val="231F20"/>
          <w:spacing w:val="4"/>
        </w:rPr>
        <w:t>Chemical</w:t>
      </w:r>
      <w:r>
        <w:rPr>
          <w:color w:val="231F20"/>
          <w:spacing w:val="28"/>
        </w:rPr>
        <w:t xml:space="preserve"> </w:t>
      </w:r>
      <w:r>
        <w:rPr>
          <w:color w:val="231F20"/>
          <w:spacing w:val="-1"/>
        </w:rPr>
        <w:t>site,</w:t>
      </w:r>
      <w:r>
        <w:rPr>
          <w:color w:val="231F20"/>
          <w:spacing w:val="-17"/>
        </w:rPr>
        <w:t xml:space="preserve"> </w:t>
      </w:r>
      <w:r>
        <w:rPr>
          <w:color w:val="231F20"/>
        </w:rPr>
        <w:t xml:space="preserve">was later designated a Superfund </w:t>
      </w:r>
      <w:r>
        <w:rPr>
          <w:color w:val="231F20"/>
          <w:spacing w:val="-1"/>
        </w:rPr>
        <w:t>National</w:t>
      </w:r>
      <w:r>
        <w:rPr>
          <w:color w:val="231F20"/>
        </w:rPr>
        <w:t xml:space="preserve"> </w:t>
      </w:r>
      <w:r>
        <w:rPr>
          <w:color w:val="231F20"/>
          <w:spacing w:val="-1"/>
        </w:rPr>
        <w:t>Priorities</w:t>
      </w:r>
      <w:r>
        <w:rPr>
          <w:color w:val="231F20"/>
        </w:rPr>
        <w:t xml:space="preserve"> List site </w:t>
      </w:r>
      <w:r>
        <w:rPr>
          <w:color w:val="231F20"/>
          <w:spacing w:val="-2"/>
        </w:rPr>
        <w:t>by</w:t>
      </w:r>
      <w:r>
        <w:rPr>
          <w:color w:val="231F20"/>
        </w:rPr>
        <w:t xml:space="preserve"> the US </w:t>
      </w:r>
      <w:r>
        <w:rPr>
          <w:color w:val="231F20"/>
          <w:spacing w:val="-1"/>
        </w:rPr>
        <w:t>Environmental</w:t>
      </w:r>
      <w:r>
        <w:rPr>
          <w:color w:val="231F20"/>
        </w:rPr>
        <w:t xml:space="preserve"> </w:t>
      </w:r>
      <w:r>
        <w:rPr>
          <w:color w:val="231F20"/>
          <w:spacing w:val="-1"/>
        </w:rPr>
        <w:t>Protection</w:t>
      </w:r>
      <w:r>
        <w:rPr>
          <w:color w:val="231F20"/>
        </w:rPr>
        <w:t xml:space="preserve"> </w:t>
      </w:r>
      <w:r>
        <w:rPr>
          <w:color w:val="231F20"/>
          <w:spacing w:val="-3"/>
        </w:rPr>
        <w:t>Agency.</w:t>
      </w:r>
      <w:r>
        <w:rPr>
          <w:color w:val="231F20"/>
          <w:spacing w:val="-17"/>
        </w:rPr>
        <w:t xml:space="preserve"> </w:t>
      </w:r>
      <w:r>
        <w:rPr>
          <w:color w:val="231F20"/>
          <w:spacing w:val="-2"/>
        </w:rPr>
        <w:t>Potential</w:t>
      </w:r>
      <w:r>
        <w:rPr>
          <w:color w:val="231F20"/>
        </w:rPr>
        <w:t xml:space="preserve"> </w:t>
      </w:r>
      <w:r>
        <w:rPr>
          <w:color w:val="231F20"/>
          <w:spacing w:val="-1"/>
        </w:rPr>
        <w:t>exposure</w:t>
      </w:r>
      <w:r>
        <w:rPr>
          <w:color w:val="231F20"/>
        </w:rPr>
        <w:t xml:space="preserve"> to NDMA and to another </w:t>
      </w:r>
      <w:r>
        <w:rPr>
          <w:color w:val="231F20"/>
          <w:spacing w:val="-1"/>
        </w:rPr>
        <w:t>carcinogenic</w:t>
      </w:r>
      <w:r>
        <w:rPr>
          <w:color w:val="231F20"/>
        </w:rPr>
        <w:t xml:space="preserve"> drinking water </w:t>
      </w:r>
      <w:r>
        <w:rPr>
          <w:color w:val="231F20"/>
          <w:spacing w:val="-1"/>
        </w:rPr>
        <w:t>contaminant</w:t>
      </w:r>
      <w:r>
        <w:rPr>
          <w:color w:val="231F20"/>
        </w:rPr>
        <w:t xml:space="preserve"> </w:t>
      </w:r>
      <w:r>
        <w:rPr>
          <w:color w:val="231F20"/>
          <w:spacing w:val="-1"/>
        </w:rPr>
        <w:t>known</w:t>
      </w:r>
      <w:r>
        <w:rPr>
          <w:color w:val="231F20"/>
        </w:rPr>
        <w:t xml:space="preserve"> to </w:t>
      </w:r>
      <w:r>
        <w:rPr>
          <w:color w:val="231F20"/>
          <w:spacing w:val="-1"/>
        </w:rPr>
        <w:t>have</w:t>
      </w:r>
      <w:r>
        <w:rPr>
          <w:color w:val="231F20"/>
        </w:rPr>
        <w:t xml:space="preserve"> been </w:t>
      </w:r>
      <w:r>
        <w:rPr>
          <w:color w:val="231F20"/>
          <w:spacing w:val="-1"/>
        </w:rPr>
        <w:t>present</w:t>
      </w:r>
      <w:r>
        <w:rPr>
          <w:color w:val="231F20"/>
        </w:rPr>
        <w:t xml:space="preserve"> in </w:t>
      </w:r>
      <w:r>
        <w:rPr>
          <w:color w:val="231F20"/>
          <w:spacing w:val="1"/>
        </w:rPr>
        <w:t xml:space="preserve">the </w:t>
      </w:r>
      <w:r>
        <w:rPr>
          <w:color w:val="231F20"/>
          <w:spacing w:val="2"/>
        </w:rPr>
        <w:t>Wilmington</w:t>
      </w:r>
      <w:r>
        <w:rPr>
          <w:color w:val="231F20"/>
          <w:spacing w:val="56"/>
        </w:rPr>
        <w:t xml:space="preserve"> </w:t>
      </w:r>
      <w:r>
        <w:rPr>
          <w:color w:val="231F20"/>
          <w:spacing w:val="1"/>
        </w:rPr>
        <w:t>public</w:t>
      </w:r>
      <w:r>
        <w:rPr>
          <w:color w:val="231F20"/>
          <w:spacing w:val="4"/>
        </w:rPr>
        <w:t xml:space="preserve"> </w:t>
      </w:r>
      <w:r>
        <w:rPr>
          <w:color w:val="231F20"/>
          <w:spacing w:val="2"/>
        </w:rPr>
        <w:t>drinking</w:t>
      </w:r>
      <w:r>
        <w:rPr>
          <w:color w:val="231F20"/>
          <w:spacing w:val="4"/>
        </w:rPr>
        <w:t xml:space="preserve"> </w:t>
      </w:r>
      <w:r>
        <w:rPr>
          <w:color w:val="231F20"/>
          <w:spacing w:val="1"/>
        </w:rPr>
        <w:t>water</w:t>
      </w:r>
      <w:r>
        <w:rPr>
          <w:color w:val="231F20"/>
          <w:spacing w:val="4"/>
        </w:rPr>
        <w:t xml:space="preserve"> </w:t>
      </w:r>
      <w:r>
        <w:rPr>
          <w:color w:val="231F20"/>
          <w:spacing w:val="1"/>
        </w:rPr>
        <w:t>distribution</w:t>
      </w:r>
      <w:r>
        <w:rPr>
          <w:color w:val="231F20"/>
          <w:spacing w:val="4"/>
        </w:rPr>
        <w:t xml:space="preserve"> </w:t>
      </w:r>
      <w:r>
        <w:rPr>
          <w:color w:val="231F20"/>
          <w:spacing w:val="2"/>
        </w:rPr>
        <w:t>system</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1970s</w:t>
      </w:r>
      <w:r>
        <w:rPr>
          <w:color w:val="231F20"/>
          <w:spacing w:val="4"/>
        </w:rPr>
        <w:t xml:space="preserve"> </w:t>
      </w:r>
      <w:r>
        <w:rPr>
          <w:color w:val="231F20"/>
          <w:spacing w:val="1"/>
        </w:rPr>
        <w:t>and</w:t>
      </w:r>
      <w:r>
        <w:rPr>
          <w:color w:val="231F20"/>
          <w:spacing w:val="4"/>
        </w:rPr>
        <w:t xml:space="preserve"> </w:t>
      </w:r>
      <w:r>
        <w:rPr>
          <w:color w:val="231F20"/>
        </w:rPr>
        <w:t>1980s,</w:t>
      </w:r>
      <w:r>
        <w:rPr>
          <w:color w:val="231F20"/>
          <w:spacing w:val="-17"/>
        </w:rPr>
        <w:t xml:space="preserve"> </w:t>
      </w:r>
      <w:r>
        <w:rPr>
          <w:color w:val="231F20"/>
          <w:spacing w:val="-1"/>
        </w:rPr>
        <w:t>trichloroethylene</w:t>
      </w:r>
      <w:r>
        <w:rPr>
          <w:color w:val="231F20"/>
          <w:spacing w:val="74"/>
        </w:rPr>
        <w:t xml:space="preserve"> </w:t>
      </w:r>
      <w:r>
        <w:rPr>
          <w:color w:val="231F20"/>
        </w:rPr>
        <w:t>(TCE),</w:t>
      </w:r>
      <w:r>
        <w:rPr>
          <w:color w:val="231F20"/>
          <w:spacing w:val="-17"/>
        </w:rPr>
        <w:t xml:space="preserve"> </w:t>
      </w:r>
      <w:r>
        <w:rPr>
          <w:color w:val="231F20"/>
        </w:rPr>
        <w:t xml:space="preserve">became the focus of this </w:t>
      </w:r>
      <w:r>
        <w:rPr>
          <w:color w:val="231F20"/>
          <w:spacing w:val="-1"/>
        </w:rPr>
        <w:t>investigation.</w:t>
      </w:r>
    </w:p>
    <w:p w14:paraId="056691E0" w14:textId="7812D8B0" w:rsidR="008D1590" w:rsidRPr="00923155" w:rsidRDefault="008D1590" w:rsidP="009B5DA2">
      <w:pPr>
        <w:pStyle w:val="Heading2"/>
        <w:rPr>
          <w:lang w:val="en"/>
        </w:rPr>
      </w:pPr>
      <w:bookmarkStart w:id="10" w:name="_Toc67488262"/>
      <w:r w:rsidRPr="00923155">
        <w:rPr>
          <w:lang w:val="en"/>
        </w:rPr>
        <w:t>METHODS</w:t>
      </w:r>
      <w:bookmarkEnd w:id="9"/>
      <w:bookmarkEnd w:id="10"/>
    </w:p>
    <w:p w14:paraId="7CFA43FF" w14:textId="63DD6C6C" w:rsidR="003477EB" w:rsidRDefault="003477EB" w:rsidP="003477EB">
      <w:pPr>
        <w:pStyle w:val="BodyText"/>
        <w:spacing w:before="240"/>
        <w:ind w:right="288"/>
        <w:rPr>
          <w:color w:val="231F20"/>
          <w:spacing w:val="-1"/>
        </w:rPr>
      </w:pPr>
      <w:r>
        <w:rPr>
          <w:color w:val="231F20"/>
        </w:rPr>
        <w:t xml:space="preserve">Cases of childhood and </w:t>
      </w:r>
      <w:r>
        <w:rPr>
          <w:color w:val="231F20"/>
          <w:spacing w:val="-1"/>
        </w:rPr>
        <w:t>adolescent</w:t>
      </w:r>
      <w:r>
        <w:rPr>
          <w:color w:val="231F20"/>
        </w:rPr>
        <w:t xml:space="preserve"> cancer occurring in</w:t>
      </w:r>
      <w:r>
        <w:rPr>
          <w:color w:val="231F20"/>
          <w:spacing w:val="-4"/>
        </w:rPr>
        <w:t xml:space="preserve"> </w:t>
      </w:r>
      <w:r>
        <w:rPr>
          <w:color w:val="231F20"/>
        </w:rPr>
        <w:t>Wilmington,</w:t>
      </w:r>
      <w:r>
        <w:rPr>
          <w:color w:val="231F20"/>
          <w:spacing w:val="-17"/>
        </w:rPr>
        <w:t xml:space="preserve"> </w:t>
      </w:r>
      <w:r>
        <w:rPr>
          <w:color w:val="231F20"/>
        </w:rPr>
        <w:t>MA,</w:t>
      </w:r>
      <w:r>
        <w:rPr>
          <w:color w:val="231F20"/>
          <w:spacing w:val="-17"/>
        </w:rPr>
        <w:t xml:space="preserve"> </w:t>
      </w:r>
      <w:r>
        <w:rPr>
          <w:color w:val="231F20"/>
        </w:rPr>
        <w:t>during</w:t>
      </w:r>
      <w:r>
        <w:rPr>
          <w:color w:val="231F20"/>
          <w:spacing w:val="40"/>
        </w:rPr>
        <w:t xml:space="preserve"> </w:t>
      </w:r>
      <w:r>
        <w:rPr>
          <w:color w:val="231F20"/>
        </w:rPr>
        <w:t>the</w:t>
      </w:r>
      <w:r>
        <w:rPr>
          <w:color w:val="231F20"/>
          <w:spacing w:val="-1"/>
        </w:rPr>
        <w:t xml:space="preserve"> </w:t>
      </w:r>
      <w:r>
        <w:rPr>
          <w:color w:val="231F20"/>
        </w:rPr>
        <w:t>period</w:t>
      </w:r>
      <w:r>
        <w:rPr>
          <w:color w:val="231F20"/>
          <w:spacing w:val="-1"/>
        </w:rPr>
        <w:t xml:space="preserve"> </w:t>
      </w:r>
      <w:r>
        <w:rPr>
          <w:color w:val="231F20"/>
        </w:rPr>
        <w:t>of</w:t>
      </w:r>
      <w:r>
        <w:rPr>
          <w:color w:val="231F20"/>
          <w:spacing w:val="-1"/>
        </w:rPr>
        <w:t xml:space="preserve"> concern </w:t>
      </w:r>
      <w:r>
        <w:rPr>
          <w:color w:val="231F20"/>
          <w:spacing w:val="-2"/>
        </w:rPr>
        <w:t>were</w:t>
      </w:r>
      <w:r>
        <w:rPr>
          <w:color w:val="231F20"/>
          <w:spacing w:val="-1"/>
        </w:rPr>
        <w:t xml:space="preserve"> </w:t>
      </w:r>
      <w:r>
        <w:rPr>
          <w:color w:val="231F20"/>
        </w:rPr>
        <w:t>identified</w:t>
      </w:r>
      <w:r>
        <w:rPr>
          <w:color w:val="231F20"/>
          <w:spacing w:val="-1"/>
        </w:rPr>
        <w:t xml:space="preserve"> through </w:t>
      </w:r>
      <w:r>
        <w:rPr>
          <w:color w:val="231F20"/>
        </w:rPr>
        <w:t>the</w:t>
      </w:r>
      <w:r>
        <w:rPr>
          <w:color w:val="231F20"/>
          <w:spacing w:val="-1"/>
        </w:rPr>
        <w:t xml:space="preserve"> </w:t>
      </w:r>
      <w:r>
        <w:rPr>
          <w:color w:val="231F20"/>
        </w:rPr>
        <w:t>MDPH</w:t>
      </w:r>
      <w:r>
        <w:rPr>
          <w:color w:val="231F20"/>
          <w:spacing w:val="-1"/>
        </w:rPr>
        <w:t xml:space="preserve"> Massachusetts </w:t>
      </w:r>
      <w:r>
        <w:rPr>
          <w:color w:val="231F20"/>
        </w:rPr>
        <w:t>Cancer</w:t>
      </w:r>
      <w:r>
        <w:rPr>
          <w:color w:val="231F20"/>
          <w:spacing w:val="59"/>
        </w:rPr>
        <w:t xml:space="preserve"> </w:t>
      </w:r>
      <w:r>
        <w:rPr>
          <w:color w:val="231F20"/>
          <w:spacing w:val="2"/>
        </w:rPr>
        <w:t>Registry</w:t>
      </w:r>
      <w:r>
        <w:rPr>
          <w:color w:val="231F20"/>
          <w:spacing w:val="4"/>
        </w:rPr>
        <w:t xml:space="preserve"> </w:t>
      </w:r>
      <w:r>
        <w:rPr>
          <w:color w:val="231F20"/>
          <w:spacing w:val="1"/>
        </w:rPr>
        <w:t>and</w:t>
      </w:r>
      <w:r>
        <w:rPr>
          <w:color w:val="231F20"/>
          <w:spacing w:val="4"/>
        </w:rPr>
        <w:t xml:space="preserve"> </w:t>
      </w:r>
      <w:r>
        <w:rPr>
          <w:color w:val="231F20"/>
          <w:spacing w:val="1"/>
        </w:rPr>
        <w:t>through</w:t>
      </w:r>
      <w:r>
        <w:rPr>
          <w:color w:val="231F20"/>
          <w:spacing w:val="4"/>
        </w:rPr>
        <w:t xml:space="preserve"> </w:t>
      </w:r>
      <w:r>
        <w:rPr>
          <w:color w:val="231F20"/>
          <w:spacing w:val="1"/>
        </w:rPr>
        <w:t>Massachusetts</w:t>
      </w:r>
      <w:r>
        <w:rPr>
          <w:color w:val="231F20"/>
          <w:spacing w:val="4"/>
        </w:rPr>
        <w:t xml:space="preserve"> </w:t>
      </w:r>
      <w:r>
        <w:rPr>
          <w:color w:val="231F20"/>
          <w:spacing w:val="1"/>
        </w:rPr>
        <w:t>hospital</w:t>
      </w:r>
      <w:r>
        <w:rPr>
          <w:color w:val="231F20"/>
          <w:spacing w:val="4"/>
        </w:rPr>
        <w:t xml:space="preserve"> </w:t>
      </w:r>
      <w:r>
        <w:rPr>
          <w:color w:val="231F20"/>
          <w:spacing w:val="1"/>
        </w:rPr>
        <w:t>discharge</w:t>
      </w:r>
      <w:r>
        <w:rPr>
          <w:color w:val="231F20"/>
          <w:spacing w:val="4"/>
        </w:rPr>
        <w:t xml:space="preserve"> </w:t>
      </w:r>
      <w:r>
        <w:rPr>
          <w:color w:val="231F20"/>
          <w:spacing w:val="1"/>
        </w:rPr>
        <w:t>records.</w:t>
      </w:r>
      <w:r>
        <w:rPr>
          <w:color w:val="231F20"/>
          <w:spacing w:val="-12"/>
        </w:rPr>
        <w:t xml:space="preserve"> </w:t>
      </w:r>
      <w:r>
        <w:rPr>
          <w:color w:val="231F20"/>
          <w:spacing w:val="1"/>
        </w:rPr>
        <w:t>Eligible</w:t>
      </w:r>
      <w:r>
        <w:rPr>
          <w:color w:val="231F20"/>
          <w:spacing w:val="4"/>
        </w:rPr>
        <w:t xml:space="preserve"> </w:t>
      </w:r>
      <w:r>
        <w:rPr>
          <w:color w:val="231F20"/>
          <w:spacing w:val="2"/>
        </w:rPr>
        <w:t>cases</w:t>
      </w:r>
      <w:r>
        <w:rPr>
          <w:color w:val="231F20"/>
          <w:spacing w:val="90"/>
        </w:rPr>
        <w:t xml:space="preserve"> </w:t>
      </w:r>
      <w:r>
        <w:rPr>
          <w:color w:val="231F20"/>
          <w:spacing w:val="-2"/>
        </w:rPr>
        <w:t>were</w:t>
      </w:r>
      <w:r>
        <w:rPr>
          <w:color w:val="231F20"/>
          <w:spacing w:val="-1"/>
        </w:rPr>
        <w:t xml:space="preserve"> </w:t>
      </w:r>
      <w:r>
        <w:rPr>
          <w:color w:val="231F20"/>
        </w:rPr>
        <w:t>those</w:t>
      </w:r>
      <w:r>
        <w:rPr>
          <w:color w:val="231F20"/>
          <w:spacing w:val="-1"/>
        </w:rPr>
        <w:t xml:space="preserve"> </w:t>
      </w:r>
      <w:r>
        <w:rPr>
          <w:color w:val="231F20"/>
        </w:rPr>
        <w:t>diagnosed with</w:t>
      </w:r>
      <w:r>
        <w:rPr>
          <w:color w:val="231F20"/>
          <w:spacing w:val="-1"/>
        </w:rPr>
        <w:t xml:space="preserve"> </w:t>
      </w:r>
      <w:r>
        <w:rPr>
          <w:color w:val="231F20"/>
        </w:rPr>
        <w:t>a first</w:t>
      </w:r>
      <w:r>
        <w:rPr>
          <w:color w:val="231F20"/>
          <w:spacing w:val="-1"/>
        </w:rPr>
        <w:t xml:space="preserve"> </w:t>
      </w:r>
      <w:r>
        <w:rPr>
          <w:color w:val="231F20"/>
          <w:spacing w:val="1"/>
        </w:rPr>
        <w:t>primary</w:t>
      </w:r>
      <w:r>
        <w:rPr>
          <w:color w:val="231F20"/>
          <w:spacing w:val="-1"/>
        </w:rPr>
        <w:t xml:space="preserve"> </w:t>
      </w:r>
      <w:r>
        <w:rPr>
          <w:color w:val="231F20"/>
        </w:rPr>
        <w:t>cancer prior</w:t>
      </w:r>
      <w:r>
        <w:rPr>
          <w:color w:val="231F20"/>
          <w:spacing w:val="-1"/>
        </w:rPr>
        <w:t xml:space="preserve"> </w:t>
      </w:r>
      <w:r>
        <w:rPr>
          <w:color w:val="231F20"/>
        </w:rPr>
        <w:t>to their</w:t>
      </w:r>
      <w:r>
        <w:rPr>
          <w:color w:val="231F20"/>
          <w:spacing w:val="-1"/>
        </w:rPr>
        <w:t xml:space="preserve"> </w:t>
      </w:r>
      <w:r>
        <w:rPr>
          <w:color w:val="231F20"/>
        </w:rPr>
        <w:t>20th</w:t>
      </w:r>
      <w:r>
        <w:rPr>
          <w:color w:val="231F20"/>
          <w:spacing w:val="-1"/>
        </w:rPr>
        <w:t xml:space="preserve"> </w:t>
      </w:r>
      <w:r>
        <w:rPr>
          <w:color w:val="231F20"/>
          <w:spacing w:val="-3"/>
        </w:rPr>
        <w:t>birthday,</w:t>
      </w:r>
      <w:r>
        <w:rPr>
          <w:color w:val="231F20"/>
          <w:spacing w:val="-17"/>
        </w:rPr>
        <w:t xml:space="preserve"> </w:t>
      </w:r>
      <w:r>
        <w:rPr>
          <w:color w:val="231F20"/>
        </w:rPr>
        <w:t>with</w:t>
      </w:r>
      <w:r>
        <w:rPr>
          <w:color w:val="231F20"/>
          <w:spacing w:val="34"/>
        </w:rPr>
        <w:t xml:space="preserve"> </w:t>
      </w:r>
      <w:r>
        <w:rPr>
          <w:color w:val="231F20"/>
        </w:rPr>
        <w:t>a</w:t>
      </w:r>
      <w:r>
        <w:rPr>
          <w:color w:val="231F20"/>
          <w:spacing w:val="4"/>
        </w:rPr>
        <w:t xml:space="preserve"> </w:t>
      </w:r>
      <w:r>
        <w:rPr>
          <w:color w:val="231F20"/>
          <w:spacing w:val="1"/>
        </w:rPr>
        <w:t>diagnosis</w:t>
      </w:r>
      <w:r>
        <w:rPr>
          <w:color w:val="231F20"/>
          <w:spacing w:val="4"/>
        </w:rPr>
        <w:t xml:space="preserve"> </w:t>
      </w:r>
      <w:r>
        <w:rPr>
          <w:color w:val="231F20"/>
          <w:spacing w:val="1"/>
        </w:rPr>
        <w:t>date</w:t>
      </w:r>
      <w:r>
        <w:rPr>
          <w:color w:val="231F20"/>
          <w:spacing w:val="4"/>
        </w:rPr>
        <w:t xml:space="preserve"> </w:t>
      </w:r>
      <w:r>
        <w:rPr>
          <w:color w:val="231F20"/>
          <w:spacing w:val="1"/>
        </w:rPr>
        <w:t>between</w:t>
      </w:r>
      <w:r>
        <w:rPr>
          <w:color w:val="231F20"/>
          <w:spacing w:val="4"/>
        </w:rPr>
        <w:t xml:space="preserve"> </w:t>
      </w:r>
      <w:r>
        <w:rPr>
          <w:color w:val="231F20"/>
          <w:spacing w:val="2"/>
        </w:rPr>
        <w:t>January</w:t>
      </w:r>
      <w:r>
        <w:rPr>
          <w:color w:val="231F20"/>
          <w:spacing w:val="4"/>
        </w:rPr>
        <w:t xml:space="preserve"> </w:t>
      </w:r>
      <w:r>
        <w:rPr>
          <w:color w:val="231F20"/>
          <w:spacing w:val="1"/>
        </w:rPr>
        <w:t>1,</w:t>
      </w:r>
      <w:r>
        <w:rPr>
          <w:color w:val="231F20"/>
          <w:spacing w:val="-12"/>
        </w:rPr>
        <w:t xml:space="preserve"> </w:t>
      </w:r>
      <w:r>
        <w:rPr>
          <w:color w:val="231F20"/>
          <w:spacing w:val="1"/>
        </w:rPr>
        <w:t>1990</w:t>
      </w:r>
      <w:r>
        <w:rPr>
          <w:color w:val="231F20"/>
          <w:spacing w:val="4"/>
        </w:rPr>
        <w:t xml:space="preserve"> </w:t>
      </w:r>
      <w:r>
        <w:rPr>
          <w:color w:val="231F20"/>
          <w:spacing w:val="1"/>
        </w:rPr>
        <w:t>and</w:t>
      </w:r>
      <w:r>
        <w:rPr>
          <w:color w:val="231F20"/>
          <w:spacing w:val="4"/>
        </w:rPr>
        <w:t xml:space="preserve"> </w:t>
      </w:r>
      <w:r>
        <w:rPr>
          <w:color w:val="231F20"/>
          <w:spacing w:val="1"/>
        </w:rPr>
        <w:t>December</w:t>
      </w:r>
      <w:r>
        <w:rPr>
          <w:color w:val="231F20"/>
          <w:spacing w:val="4"/>
        </w:rPr>
        <w:t xml:space="preserve"> </w:t>
      </w:r>
      <w:r>
        <w:rPr>
          <w:color w:val="231F20"/>
          <w:spacing w:val="1"/>
        </w:rPr>
        <w:t>31,</w:t>
      </w:r>
      <w:r>
        <w:rPr>
          <w:color w:val="231F20"/>
          <w:spacing w:val="-12"/>
        </w:rPr>
        <w:t xml:space="preserve"> </w:t>
      </w:r>
      <w:r>
        <w:rPr>
          <w:color w:val="231F20"/>
          <w:spacing w:val="1"/>
        </w:rPr>
        <w:t>2000,</w:t>
      </w:r>
      <w:r>
        <w:rPr>
          <w:color w:val="231F20"/>
          <w:spacing w:val="-12"/>
        </w:rPr>
        <w:t xml:space="preserve"> </w:t>
      </w:r>
      <w:r>
        <w:rPr>
          <w:color w:val="231F20"/>
          <w:spacing w:val="1"/>
        </w:rPr>
        <w:t>and</w:t>
      </w:r>
      <w:r>
        <w:rPr>
          <w:color w:val="231F20"/>
          <w:spacing w:val="4"/>
        </w:rPr>
        <w:t xml:space="preserve"> </w:t>
      </w:r>
      <w:r>
        <w:rPr>
          <w:color w:val="231F20"/>
          <w:spacing w:val="1"/>
        </w:rPr>
        <w:t>who</w:t>
      </w:r>
      <w:r>
        <w:rPr>
          <w:color w:val="231F20"/>
          <w:spacing w:val="4"/>
        </w:rPr>
        <w:t xml:space="preserve"> </w:t>
      </w:r>
      <w:r>
        <w:rPr>
          <w:color w:val="231F20"/>
        </w:rPr>
        <w:t>were</w:t>
      </w:r>
      <w:r>
        <w:rPr>
          <w:color w:val="231F20"/>
          <w:spacing w:val="72"/>
        </w:rPr>
        <w:t xml:space="preserve"> </w:t>
      </w:r>
      <w:r>
        <w:rPr>
          <w:color w:val="231F20"/>
          <w:spacing w:val="1"/>
        </w:rPr>
        <w:t>residents</w:t>
      </w:r>
      <w:r>
        <w:rPr>
          <w:color w:val="231F20"/>
          <w:spacing w:val="4"/>
        </w:rPr>
        <w:t xml:space="preserve"> </w:t>
      </w:r>
      <w:r>
        <w:rPr>
          <w:color w:val="231F20"/>
          <w:spacing w:val="1"/>
        </w:rPr>
        <w:t xml:space="preserve">of </w:t>
      </w:r>
      <w:r>
        <w:rPr>
          <w:color w:val="231F20"/>
          <w:spacing w:val="2"/>
        </w:rPr>
        <w:t>Wilmington</w:t>
      </w:r>
      <w:r>
        <w:rPr>
          <w:color w:val="231F20"/>
          <w:spacing w:val="4"/>
        </w:rPr>
        <w:t xml:space="preserve"> </w:t>
      </w:r>
      <w:r>
        <w:rPr>
          <w:color w:val="231F20"/>
          <w:spacing w:val="1"/>
        </w:rPr>
        <w:t>at</w:t>
      </w:r>
      <w:r>
        <w:rPr>
          <w:color w:val="231F20"/>
          <w:spacing w:val="4"/>
        </w:rPr>
        <w:t xml:space="preserve"> </w:t>
      </w:r>
      <w:r>
        <w:rPr>
          <w:color w:val="231F20"/>
          <w:spacing w:val="1"/>
        </w:rPr>
        <w:t>the</w:t>
      </w:r>
      <w:r>
        <w:rPr>
          <w:color w:val="231F20"/>
          <w:spacing w:val="4"/>
        </w:rPr>
        <w:t xml:space="preserve"> </w:t>
      </w:r>
      <w:r>
        <w:rPr>
          <w:color w:val="231F20"/>
          <w:spacing w:val="1"/>
        </w:rPr>
        <w:t>time</w:t>
      </w:r>
      <w:r>
        <w:rPr>
          <w:color w:val="231F20"/>
          <w:spacing w:val="4"/>
        </w:rPr>
        <w:t xml:space="preserve"> </w:t>
      </w:r>
      <w:r>
        <w:rPr>
          <w:color w:val="231F20"/>
          <w:spacing w:val="1"/>
        </w:rPr>
        <w:t>of</w:t>
      </w:r>
      <w:r>
        <w:rPr>
          <w:color w:val="231F20"/>
          <w:spacing w:val="4"/>
        </w:rPr>
        <w:t xml:space="preserve"> </w:t>
      </w:r>
      <w:r>
        <w:rPr>
          <w:color w:val="231F20"/>
          <w:spacing w:val="1"/>
        </w:rPr>
        <w:t>diagnosis.</w:t>
      </w:r>
      <w:r>
        <w:rPr>
          <w:color w:val="231F20"/>
          <w:spacing w:val="-12"/>
        </w:rPr>
        <w:t xml:space="preserve"> </w:t>
      </w:r>
      <w:r>
        <w:rPr>
          <w:color w:val="231F20"/>
          <w:spacing w:val="1"/>
        </w:rPr>
        <w:t>One</w:t>
      </w:r>
      <w:r>
        <w:rPr>
          <w:color w:val="231F20"/>
          <w:spacing w:val="4"/>
        </w:rPr>
        <w:t xml:space="preserve"> </w:t>
      </w:r>
      <w:r>
        <w:rPr>
          <w:color w:val="231F20"/>
          <w:spacing w:val="2"/>
        </w:rPr>
        <w:t>case</w:t>
      </w:r>
      <w:r>
        <w:rPr>
          <w:color w:val="231F20"/>
          <w:spacing w:val="4"/>
        </w:rPr>
        <w:t xml:space="preserve"> </w:t>
      </w:r>
      <w:r>
        <w:rPr>
          <w:color w:val="231F20"/>
          <w:spacing w:val="1"/>
        </w:rPr>
        <w:t>of</w:t>
      </w:r>
      <w:r>
        <w:rPr>
          <w:color w:val="231F20"/>
          <w:spacing w:val="4"/>
        </w:rPr>
        <w:t xml:space="preserve"> </w:t>
      </w:r>
      <w:r>
        <w:rPr>
          <w:color w:val="231F20"/>
          <w:spacing w:val="1"/>
        </w:rPr>
        <w:t>melanoma</w:t>
      </w:r>
      <w:r>
        <w:rPr>
          <w:color w:val="231F20"/>
          <w:spacing w:val="4"/>
        </w:rPr>
        <w:t xml:space="preserve"> </w:t>
      </w:r>
      <w:r>
        <w:rPr>
          <w:color w:val="231F20"/>
          <w:spacing w:val="2"/>
        </w:rPr>
        <w:t>that</w:t>
      </w:r>
      <w:r>
        <w:rPr>
          <w:color w:val="231F20"/>
          <w:spacing w:val="54"/>
        </w:rPr>
        <w:t xml:space="preserve"> </w:t>
      </w:r>
      <w:r>
        <w:rPr>
          <w:color w:val="231F20"/>
        </w:rPr>
        <w:t xml:space="preserve">was </w:t>
      </w:r>
      <w:r>
        <w:rPr>
          <w:color w:val="231F20"/>
          <w:spacing w:val="1"/>
        </w:rPr>
        <w:t>otherwise</w:t>
      </w:r>
      <w:r>
        <w:rPr>
          <w:color w:val="231F20"/>
        </w:rPr>
        <w:t xml:space="preserve"> </w:t>
      </w:r>
      <w:r>
        <w:rPr>
          <w:color w:val="231F20"/>
          <w:spacing w:val="-1"/>
        </w:rPr>
        <w:t>eligible,</w:t>
      </w:r>
      <w:r>
        <w:rPr>
          <w:color w:val="231F20"/>
          <w:spacing w:val="-17"/>
        </w:rPr>
        <w:t xml:space="preserve"> </w:t>
      </w:r>
      <w:r>
        <w:rPr>
          <w:color w:val="231F20"/>
        </w:rPr>
        <w:t xml:space="preserve">was excluded since sunlight </w:t>
      </w:r>
      <w:r>
        <w:rPr>
          <w:color w:val="231F20"/>
          <w:spacing w:val="-1"/>
        </w:rPr>
        <w:t>exposure</w:t>
      </w:r>
      <w:r>
        <w:rPr>
          <w:color w:val="231F20"/>
        </w:rPr>
        <w:t xml:space="preserve"> is the major risk </w:t>
      </w:r>
      <w:r>
        <w:rPr>
          <w:color w:val="231F20"/>
          <w:spacing w:val="-1"/>
        </w:rPr>
        <w:t>factor</w:t>
      </w:r>
      <w:r>
        <w:rPr>
          <w:color w:val="231F20"/>
          <w:spacing w:val="40"/>
        </w:rPr>
        <w:t xml:space="preserve"> </w:t>
      </w:r>
      <w:r>
        <w:rPr>
          <w:color w:val="231F20"/>
        </w:rPr>
        <w:t>for that cancer type,</w:t>
      </w:r>
      <w:r>
        <w:rPr>
          <w:color w:val="231F20"/>
          <w:spacing w:val="-17"/>
        </w:rPr>
        <w:t xml:space="preserve"> </w:t>
      </w:r>
      <w:r>
        <w:rPr>
          <w:color w:val="231F20"/>
        </w:rPr>
        <w:t xml:space="preserve">making the case unlikely to be </w:t>
      </w:r>
      <w:r>
        <w:rPr>
          <w:color w:val="231F20"/>
          <w:spacing w:val="-1"/>
        </w:rPr>
        <w:t>relevant</w:t>
      </w:r>
      <w:r>
        <w:rPr>
          <w:color w:val="231F20"/>
        </w:rPr>
        <w:t xml:space="preserve"> to this </w:t>
      </w:r>
      <w:r>
        <w:rPr>
          <w:color w:val="231F20"/>
          <w:spacing w:val="-1"/>
        </w:rPr>
        <w:t>environmental</w:t>
      </w:r>
      <w:r>
        <w:rPr>
          <w:color w:val="231F20"/>
          <w:spacing w:val="46"/>
        </w:rPr>
        <w:t xml:space="preserve"> </w:t>
      </w:r>
      <w:r>
        <w:rPr>
          <w:color w:val="231F20"/>
          <w:spacing w:val="-1"/>
        </w:rPr>
        <w:t>investigation.</w:t>
      </w:r>
    </w:p>
    <w:p w14:paraId="1077DBA4" w14:textId="77777777" w:rsidR="003477EB" w:rsidRDefault="003477EB" w:rsidP="003477EB">
      <w:pPr>
        <w:pStyle w:val="BodyText"/>
        <w:spacing w:before="240" w:line="264" w:lineRule="auto"/>
        <w:ind w:right="60"/>
      </w:pPr>
      <w:bookmarkStart w:id="11" w:name="_Toc45612614"/>
      <w:r>
        <w:rPr>
          <w:color w:val="231F20"/>
        </w:rPr>
        <w:t xml:space="preserve">Eighteen out of twenty-one eligible </w:t>
      </w:r>
      <w:r>
        <w:rPr>
          <w:color w:val="231F20"/>
          <w:spacing w:val="-1"/>
        </w:rPr>
        <w:t>children</w:t>
      </w:r>
      <w:r>
        <w:rPr>
          <w:color w:val="231F20"/>
        </w:rPr>
        <w:t xml:space="preserve"> and </w:t>
      </w:r>
      <w:r>
        <w:rPr>
          <w:color w:val="231F20"/>
          <w:spacing w:val="-1"/>
        </w:rPr>
        <w:t>adolescents</w:t>
      </w:r>
      <w:r>
        <w:rPr>
          <w:color w:val="231F20"/>
        </w:rPr>
        <w:t xml:space="preserve"> </w:t>
      </w:r>
      <w:r>
        <w:rPr>
          <w:color w:val="231F20"/>
          <w:spacing w:val="-2"/>
        </w:rPr>
        <w:t>were</w:t>
      </w:r>
      <w:r>
        <w:rPr>
          <w:color w:val="231F20"/>
        </w:rPr>
        <w:t xml:space="preserve"> </w:t>
      </w:r>
      <w:r>
        <w:rPr>
          <w:color w:val="231F20"/>
          <w:spacing w:val="-1"/>
        </w:rPr>
        <w:t>enrolled</w:t>
      </w:r>
      <w:r>
        <w:rPr>
          <w:color w:val="231F20"/>
        </w:rPr>
        <w:t xml:space="preserve"> in the</w:t>
      </w:r>
      <w:r>
        <w:rPr>
          <w:color w:val="231F20"/>
          <w:spacing w:val="49"/>
        </w:rPr>
        <w:t xml:space="preserve"> </w:t>
      </w:r>
      <w:r>
        <w:rPr>
          <w:color w:val="231F20"/>
          <w:spacing w:val="-4"/>
        </w:rPr>
        <w:t>study.</w:t>
      </w:r>
      <w:r>
        <w:rPr>
          <w:color w:val="231F20"/>
          <w:spacing w:val="-17"/>
        </w:rPr>
        <w:t xml:space="preserve"> </w:t>
      </w:r>
      <w:r>
        <w:rPr>
          <w:color w:val="231F20"/>
        </w:rPr>
        <w:t xml:space="preserve">In </w:t>
      </w:r>
      <w:r>
        <w:rPr>
          <w:color w:val="231F20"/>
          <w:spacing w:val="-1"/>
        </w:rPr>
        <w:t>addition,</w:t>
      </w:r>
      <w:r>
        <w:rPr>
          <w:color w:val="231F20"/>
          <w:spacing w:val="-17"/>
        </w:rPr>
        <w:t xml:space="preserve"> </w:t>
      </w:r>
      <w:r>
        <w:rPr>
          <w:color w:val="231F20"/>
        </w:rPr>
        <w:t xml:space="preserve">seventy-four </w:t>
      </w:r>
      <w:r>
        <w:rPr>
          <w:color w:val="231F20"/>
          <w:spacing w:val="-1"/>
        </w:rPr>
        <w:t>control</w:t>
      </w:r>
      <w:r>
        <w:rPr>
          <w:color w:val="231F20"/>
        </w:rPr>
        <w:t xml:space="preserve"> </w:t>
      </w:r>
      <w:r>
        <w:rPr>
          <w:color w:val="231F20"/>
          <w:spacing w:val="-1"/>
        </w:rPr>
        <w:t>children</w:t>
      </w:r>
      <w:r>
        <w:rPr>
          <w:color w:val="231F20"/>
        </w:rPr>
        <w:t xml:space="preserve"> and </w:t>
      </w:r>
      <w:r>
        <w:rPr>
          <w:color w:val="231F20"/>
          <w:spacing w:val="-1"/>
        </w:rPr>
        <w:t>adolescents</w:t>
      </w:r>
      <w:r>
        <w:rPr>
          <w:color w:val="231F20"/>
        </w:rPr>
        <w:t xml:space="preserve"> </w:t>
      </w:r>
      <w:r>
        <w:rPr>
          <w:color w:val="231F20"/>
          <w:spacing w:val="-1"/>
        </w:rPr>
        <w:t>(approximately</w:t>
      </w:r>
      <w:r>
        <w:rPr>
          <w:color w:val="231F20"/>
          <w:spacing w:val="79"/>
        </w:rPr>
        <w:t xml:space="preserve"> </w:t>
      </w:r>
      <w:r>
        <w:rPr>
          <w:color w:val="231F20"/>
          <w:spacing w:val="4"/>
        </w:rPr>
        <w:t>four</w:t>
      </w:r>
      <w:r>
        <w:rPr>
          <w:color w:val="231F20"/>
          <w:spacing w:val="12"/>
        </w:rPr>
        <w:t xml:space="preserve"> </w:t>
      </w:r>
      <w:r>
        <w:rPr>
          <w:color w:val="231F20"/>
          <w:spacing w:val="4"/>
        </w:rPr>
        <w:t>controls</w:t>
      </w:r>
      <w:r>
        <w:rPr>
          <w:color w:val="231F20"/>
          <w:spacing w:val="12"/>
        </w:rPr>
        <w:t xml:space="preserve"> </w:t>
      </w:r>
      <w:r>
        <w:rPr>
          <w:color w:val="231F20"/>
          <w:spacing w:val="4"/>
        </w:rPr>
        <w:t>per</w:t>
      </w:r>
      <w:r>
        <w:rPr>
          <w:color w:val="231F20"/>
          <w:spacing w:val="12"/>
        </w:rPr>
        <w:t xml:space="preserve"> </w:t>
      </w:r>
      <w:r>
        <w:rPr>
          <w:color w:val="231F20"/>
          <w:spacing w:val="5"/>
        </w:rPr>
        <w:t>case</w:t>
      </w:r>
      <w:r>
        <w:rPr>
          <w:color w:val="231F20"/>
          <w:spacing w:val="12"/>
        </w:rPr>
        <w:t xml:space="preserve"> </w:t>
      </w:r>
      <w:r>
        <w:rPr>
          <w:color w:val="231F20"/>
          <w:spacing w:val="5"/>
        </w:rPr>
        <w:t>matched</w:t>
      </w:r>
      <w:r>
        <w:rPr>
          <w:color w:val="231F20"/>
          <w:spacing w:val="12"/>
        </w:rPr>
        <w:t xml:space="preserve"> </w:t>
      </w:r>
      <w:r>
        <w:rPr>
          <w:color w:val="231F20"/>
          <w:spacing w:val="2"/>
        </w:rPr>
        <w:t>on</w:t>
      </w:r>
      <w:r>
        <w:rPr>
          <w:color w:val="231F20"/>
          <w:spacing w:val="12"/>
        </w:rPr>
        <w:t xml:space="preserve"> </w:t>
      </w:r>
      <w:r>
        <w:rPr>
          <w:color w:val="231F20"/>
          <w:spacing w:val="3"/>
        </w:rPr>
        <w:t>age</w:t>
      </w:r>
      <w:r>
        <w:rPr>
          <w:color w:val="231F20"/>
          <w:spacing w:val="12"/>
        </w:rPr>
        <w:t xml:space="preserve"> </w:t>
      </w:r>
      <w:r>
        <w:rPr>
          <w:color w:val="231F20"/>
          <w:spacing w:val="4"/>
        </w:rPr>
        <w:t>and</w:t>
      </w:r>
      <w:r>
        <w:rPr>
          <w:color w:val="231F20"/>
          <w:spacing w:val="12"/>
        </w:rPr>
        <w:t xml:space="preserve"> </w:t>
      </w:r>
      <w:r>
        <w:rPr>
          <w:color w:val="231F20"/>
          <w:spacing w:val="4"/>
        </w:rPr>
        <w:t>sex)</w:t>
      </w:r>
      <w:r>
        <w:rPr>
          <w:color w:val="231F20"/>
          <w:spacing w:val="12"/>
        </w:rPr>
        <w:t xml:space="preserve"> </w:t>
      </w:r>
      <w:r>
        <w:rPr>
          <w:color w:val="231F20"/>
          <w:spacing w:val="3"/>
        </w:rPr>
        <w:t>were</w:t>
      </w:r>
      <w:r>
        <w:rPr>
          <w:color w:val="231F20"/>
          <w:spacing w:val="12"/>
        </w:rPr>
        <w:t xml:space="preserve"> </w:t>
      </w:r>
      <w:r>
        <w:rPr>
          <w:color w:val="231F20"/>
          <w:spacing w:val="5"/>
        </w:rPr>
        <w:t>enrolled</w:t>
      </w:r>
      <w:r>
        <w:rPr>
          <w:color w:val="231F20"/>
          <w:spacing w:val="12"/>
        </w:rPr>
        <w:t xml:space="preserve"> </w:t>
      </w:r>
      <w:r>
        <w:rPr>
          <w:color w:val="231F20"/>
          <w:spacing w:val="3"/>
        </w:rPr>
        <w:t>in</w:t>
      </w:r>
      <w:r>
        <w:rPr>
          <w:color w:val="231F20"/>
          <w:spacing w:val="12"/>
        </w:rPr>
        <w:t xml:space="preserve"> </w:t>
      </w:r>
      <w:r>
        <w:rPr>
          <w:color w:val="231F20"/>
          <w:spacing w:val="4"/>
        </w:rPr>
        <w:t>the</w:t>
      </w:r>
      <w:r>
        <w:rPr>
          <w:color w:val="231F20"/>
          <w:spacing w:val="12"/>
        </w:rPr>
        <w:t xml:space="preserve"> </w:t>
      </w:r>
      <w:r>
        <w:rPr>
          <w:color w:val="231F20"/>
          <w:spacing w:val="1"/>
        </w:rPr>
        <w:t>study.</w:t>
      </w:r>
      <w:r>
        <w:t xml:space="preserve"> </w:t>
      </w:r>
      <w:r>
        <w:rPr>
          <w:color w:val="231F20"/>
          <w:spacing w:val="-1"/>
        </w:rPr>
        <w:t>Controls</w:t>
      </w:r>
      <w:r>
        <w:rPr>
          <w:color w:val="231F20"/>
        </w:rPr>
        <w:t xml:space="preserve"> </w:t>
      </w:r>
      <w:r>
        <w:rPr>
          <w:color w:val="231F20"/>
          <w:spacing w:val="-2"/>
        </w:rPr>
        <w:t>were</w:t>
      </w:r>
      <w:r>
        <w:rPr>
          <w:color w:val="231F20"/>
        </w:rPr>
        <w:t xml:space="preserve"> randomly selected </w:t>
      </w:r>
      <w:r>
        <w:rPr>
          <w:color w:val="231F20"/>
          <w:spacing w:val="-2"/>
        </w:rPr>
        <w:t>from</w:t>
      </w:r>
      <w:r>
        <w:rPr>
          <w:color w:val="231F20"/>
        </w:rPr>
        <w:t xml:space="preserve"> public school </w:t>
      </w:r>
      <w:r>
        <w:rPr>
          <w:color w:val="231F20"/>
          <w:spacing w:val="-1"/>
        </w:rPr>
        <w:t>rosters</w:t>
      </w:r>
      <w:r>
        <w:rPr>
          <w:color w:val="231F20"/>
        </w:rPr>
        <w:t xml:space="preserve"> and</w:t>
      </w:r>
      <w:r>
        <w:rPr>
          <w:color w:val="231F20"/>
          <w:spacing w:val="-4"/>
        </w:rPr>
        <w:t xml:space="preserve"> </w:t>
      </w:r>
      <w:r>
        <w:rPr>
          <w:color w:val="231F20"/>
        </w:rPr>
        <w:t>Wilmington high</w:t>
      </w:r>
      <w:r>
        <w:rPr>
          <w:color w:val="231F20"/>
          <w:spacing w:val="41"/>
        </w:rPr>
        <w:t xml:space="preserve"> </w:t>
      </w:r>
      <w:r>
        <w:rPr>
          <w:color w:val="231F20"/>
        </w:rPr>
        <w:t xml:space="preserve">school </w:t>
      </w:r>
      <w:r>
        <w:rPr>
          <w:color w:val="231F20"/>
          <w:spacing w:val="-1"/>
        </w:rPr>
        <w:t>yearbooks</w:t>
      </w:r>
      <w:r>
        <w:rPr>
          <w:color w:val="231F20"/>
        </w:rPr>
        <w:t xml:space="preserve"> and </w:t>
      </w:r>
      <w:r>
        <w:rPr>
          <w:color w:val="231F20"/>
          <w:spacing w:val="-2"/>
        </w:rPr>
        <w:t>were</w:t>
      </w:r>
      <w:r>
        <w:rPr>
          <w:color w:val="231F20"/>
        </w:rPr>
        <w:t xml:space="preserve"> </w:t>
      </w:r>
      <w:r>
        <w:rPr>
          <w:color w:val="231F20"/>
          <w:spacing w:val="-1"/>
        </w:rPr>
        <w:t>required</w:t>
      </w:r>
      <w:r>
        <w:rPr>
          <w:color w:val="231F20"/>
        </w:rPr>
        <w:t xml:space="preserve"> to </w:t>
      </w:r>
      <w:r>
        <w:rPr>
          <w:color w:val="231F20"/>
          <w:spacing w:val="-1"/>
        </w:rPr>
        <w:t>have</w:t>
      </w:r>
      <w:r>
        <w:rPr>
          <w:color w:val="231F20"/>
        </w:rPr>
        <w:t xml:space="preserve"> </w:t>
      </w:r>
      <w:r>
        <w:rPr>
          <w:color w:val="231F20"/>
          <w:spacing w:val="-1"/>
        </w:rPr>
        <w:t>lived</w:t>
      </w:r>
      <w:r>
        <w:rPr>
          <w:color w:val="231F20"/>
        </w:rPr>
        <w:t xml:space="preserve"> in</w:t>
      </w:r>
      <w:r>
        <w:rPr>
          <w:color w:val="231F20"/>
          <w:spacing w:val="-4"/>
        </w:rPr>
        <w:t xml:space="preserve"> </w:t>
      </w:r>
      <w:r>
        <w:rPr>
          <w:color w:val="231F20"/>
        </w:rPr>
        <w:t>Wilmington during the same</w:t>
      </w:r>
      <w:r>
        <w:rPr>
          <w:color w:val="231F20"/>
          <w:spacing w:val="49"/>
        </w:rPr>
        <w:t xml:space="preserve"> </w:t>
      </w:r>
      <w:r>
        <w:rPr>
          <w:color w:val="231F20"/>
          <w:spacing w:val="-1"/>
        </w:rPr>
        <w:t>month</w:t>
      </w:r>
      <w:r>
        <w:rPr>
          <w:color w:val="231F20"/>
          <w:spacing w:val="-4"/>
        </w:rPr>
        <w:t xml:space="preserve"> </w:t>
      </w:r>
      <w:r>
        <w:rPr>
          <w:color w:val="231F20"/>
        </w:rPr>
        <w:t>and</w:t>
      </w:r>
      <w:r>
        <w:rPr>
          <w:color w:val="231F20"/>
          <w:spacing w:val="-3"/>
        </w:rPr>
        <w:t xml:space="preserve"> </w:t>
      </w:r>
      <w:r>
        <w:rPr>
          <w:color w:val="231F20"/>
          <w:spacing w:val="-1"/>
        </w:rPr>
        <w:t>year</w:t>
      </w:r>
      <w:r>
        <w:rPr>
          <w:color w:val="231F20"/>
          <w:spacing w:val="-3"/>
        </w:rPr>
        <w:t xml:space="preserve"> </w:t>
      </w:r>
      <w:r>
        <w:rPr>
          <w:color w:val="231F20"/>
        </w:rPr>
        <w:t>of</w:t>
      </w:r>
      <w:r>
        <w:rPr>
          <w:color w:val="231F20"/>
          <w:spacing w:val="-3"/>
        </w:rPr>
        <w:t xml:space="preserve"> </w:t>
      </w:r>
      <w:r>
        <w:rPr>
          <w:color w:val="231F20"/>
        </w:rPr>
        <w:t>their</w:t>
      </w:r>
      <w:r>
        <w:rPr>
          <w:color w:val="231F20"/>
          <w:spacing w:val="-3"/>
        </w:rPr>
        <w:t xml:space="preserve"> </w:t>
      </w:r>
      <w:r>
        <w:rPr>
          <w:color w:val="231F20"/>
        </w:rPr>
        <w:t>matched</w:t>
      </w:r>
      <w:r>
        <w:rPr>
          <w:color w:val="231F20"/>
          <w:spacing w:val="-4"/>
        </w:rPr>
        <w:t xml:space="preserve"> </w:t>
      </w:r>
      <w:r>
        <w:rPr>
          <w:color w:val="231F20"/>
          <w:spacing w:val="-2"/>
        </w:rPr>
        <w:t>case’s</w:t>
      </w:r>
      <w:r>
        <w:rPr>
          <w:color w:val="231F20"/>
          <w:spacing w:val="-3"/>
        </w:rPr>
        <w:t xml:space="preserve"> </w:t>
      </w:r>
      <w:r>
        <w:rPr>
          <w:color w:val="231F20"/>
        </w:rPr>
        <w:t>cancer</w:t>
      </w:r>
      <w:r>
        <w:rPr>
          <w:color w:val="231F20"/>
          <w:spacing w:val="-3"/>
        </w:rPr>
        <w:t xml:space="preserve"> </w:t>
      </w:r>
      <w:r>
        <w:rPr>
          <w:color w:val="231F20"/>
        </w:rPr>
        <w:t>diagnosis.</w:t>
      </w:r>
      <w:r>
        <w:rPr>
          <w:color w:val="231F20"/>
          <w:spacing w:val="-30"/>
        </w:rPr>
        <w:t xml:space="preserve"> </w:t>
      </w:r>
      <w:r>
        <w:rPr>
          <w:color w:val="231F20"/>
        </w:rPr>
        <w:t>The</w:t>
      </w:r>
      <w:r>
        <w:rPr>
          <w:color w:val="231F20"/>
          <w:spacing w:val="-3"/>
        </w:rPr>
        <w:t xml:space="preserve"> </w:t>
      </w:r>
      <w:r>
        <w:rPr>
          <w:color w:val="231F20"/>
          <w:spacing w:val="-1"/>
        </w:rPr>
        <w:t>parents</w:t>
      </w:r>
      <w:r>
        <w:rPr>
          <w:color w:val="231F20"/>
          <w:spacing w:val="-3"/>
        </w:rPr>
        <w:t xml:space="preserve"> </w:t>
      </w:r>
      <w:r>
        <w:rPr>
          <w:color w:val="231F20"/>
        </w:rPr>
        <w:t>of</w:t>
      </w:r>
      <w:r>
        <w:rPr>
          <w:color w:val="231F20"/>
          <w:spacing w:val="-3"/>
        </w:rPr>
        <w:t xml:space="preserve"> </w:t>
      </w:r>
      <w:r>
        <w:rPr>
          <w:color w:val="231F20"/>
        </w:rPr>
        <w:t>all</w:t>
      </w:r>
      <w:r>
        <w:rPr>
          <w:color w:val="231F20"/>
          <w:spacing w:val="-3"/>
        </w:rPr>
        <w:t xml:space="preserve"> </w:t>
      </w:r>
      <w:r>
        <w:rPr>
          <w:color w:val="231F20"/>
        </w:rPr>
        <w:t>study</w:t>
      </w:r>
      <w:r>
        <w:rPr>
          <w:color w:val="231F20"/>
          <w:spacing w:val="26"/>
        </w:rPr>
        <w:t xml:space="preserve"> </w:t>
      </w:r>
      <w:r>
        <w:rPr>
          <w:color w:val="231F20"/>
        </w:rPr>
        <w:t xml:space="preserve">participants </w:t>
      </w:r>
      <w:r>
        <w:rPr>
          <w:color w:val="231F20"/>
          <w:spacing w:val="-1"/>
        </w:rPr>
        <w:t>completed</w:t>
      </w:r>
      <w:r>
        <w:rPr>
          <w:color w:val="231F20"/>
        </w:rPr>
        <w:t xml:space="preserve"> a </w:t>
      </w:r>
      <w:r>
        <w:rPr>
          <w:color w:val="231F20"/>
          <w:spacing w:val="-1"/>
        </w:rPr>
        <w:lastRenderedPageBreak/>
        <w:t>comprehensive</w:t>
      </w:r>
      <w:r>
        <w:rPr>
          <w:color w:val="231F20"/>
        </w:rPr>
        <w:t xml:space="preserve"> structured </w:t>
      </w:r>
      <w:r>
        <w:rPr>
          <w:color w:val="231F20"/>
          <w:spacing w:val="1"/>
        </w:rPr>
        <w:t>interview</w:t>
      </w:r>
      <w:r>
        <w:rPr>
          <w:color w:val="231F20"/>
        </w:rPr>
        <w:t xml:space="preserve"> to collect </w:t>
      </w:r>
      <w:r>
        <w:rPr>
          <w:color w:val="231F20"/>
          <w:spacing w:val="-1"/>
        </w:rPr>
        <w:t>residential</w:t>
      </w:r>
      <w:r>
        <w:rPr>
          <w:color w:val="231F20"/>
          <w:spacing w:val="54"/>
        </w:rPr>
        <w:t xml:space="preserve"> </w:t>
      </w:r>
      <w:r>
        <w:rPr>
          <w:color w:val="231F20"/>
        </w:rPr>
        <w:t xml:space="preserve">histories as </w:t>
      </w:r>
      <w:r>
        <w:rPr>
          <w:color w:val="231F20"/>
          <w:spacing w:val="-1"/>
        </w:rPr>
        <w:t>well</w:t>
      </w:r>
      <w:r>
        <w:rPr>
          <w:color w:val="231F20"/>
        </w:rPr>
        <w:t xml:space="preserve"> as risk </w:t>
      </w:r>
      <w:r>
        <w:rPr>
          <w:color w:val="231F20"/>
          <w:spacing w:val="-1"/>
        </w:rPr>
        <w:t>factor</w:t>
      </w:r>
      <w:r>
        <w:rPr>
          <w:color w:val="231F20"/>
        </w:rPr>
        <w:t xml:space="preserve"> information such as maternal </w:t>
      </w:r>
      <w:r>
        <w:rPr>
          <w:color w:val="231F20"/>
          <w:spacing w:val="-1"/>
        </w:rPr>
        <w:t>alcohol</w:t>
      </w:r>
      <w:r>
        <w:rPr>
          <w:color w:val="231F20"/>
        </w:rPr>
        <w:t xml:space="preserve"> </w:t>
      </w:r>
      <w:r>
        <w:rPr>
          <w:color w:val="231F20"/>
          <w:spacing w:val="-1"/>
        </w:rPr>
        <w:t>use,</w:t>
      </w:r>
      <w:r>
        <w:rPr>
          <w:color w:val="231F20"/>
          <w:spacing w:val="-17"/>
        </w:rPr>
        <w:t xml:space="preserve"> </w:t>
      </w:r>
      <w:r>
        <w:rPr>
          <w:color w:val="231F20"/>
          <w:spacing w:val="-1"/>
        </w:rPr>
        <w:t>smoking</w:t>
      </w:r>
      <w:r>
        <w:rPr>
          <w:color w:val="231F20"/>
          <w:spacing w:val="51"/>
        </w:rPr>
        <w:t xml:space="preserve"> </w:t>
      </w:r>
      <w:r>
        <w:rPr>
          <w:color w:val="231F20"/>
        </w:rPr>
        <w:t>status,</w:t>
      </w:r>
      <w:r>
        <w:rPr>
          <w:color w:val="231F20"/>
          <w:spacing w:val="-17"/>
        </w:rPr>
        <w:t xml:space="preserve"> </w:t>
      </w:r>
      <w:r>
        <w:rPr>
          <w:color w:val="231F20"/>
        </w:rPr>
        <w:t xml:space="preserve">and </w:t>
      </w:r>
      <w:r>
        <w:rPr>
          <w:color w:val="231F20"/>
          <w:spacing w:val="-1"/>
        </w:rPr>
        <w:t>reproductive</w:t>
      </w:r>
      <w:r>
        <w:rPr>
          <w:color w:val="231F20"/>
        </w:rPr>
        <w:t xml:space="preserve"> </w:t>
      </w:r>
      <w:r>
        <w:rPr>
          <w:color w:val="231F20"/>
          <w:spacing w:val="1"/>
        </w:rPr>
        <w:t>history;</w:t>
      </w:r>
      <w:r>
        <w:rPr>
          <w:color w:val="231F20"/>
          <w:spacing w:val="-8"/>
        </w:rPr>
        <w:t xml:space="preserve"> </w:t>
      </w:r>
      <w:r>
        <w:rPr>
          <w:color w:val="231F20"/>
          <w:spacing w:val="-1"/>
        </w:rPr>
        <w:t>child/adolescent’s</w:t>
      </w:r>
      <w:r>
        <w:rPr>
          <w:color w:val="231F20"/>
        </w:rPr>
        <w:t xml:space="preserve"> medical </w:t>
      </w:r>
      <w:r>
        <w:rPr>
          <w:color w:val="231F20"/>
          <w:spacing w:val="1"/>
        </w:rPr>
        <w:t>history;</w:t>
      </w:r>
      <w:r>
        <w:rPr>
          <w:color w:val="231F20"/>
          <w:spacing w:val="-8"/>
        </w:rPr>
        <w:t xml:space="preserve"> </w:t>
      </w:r>
      <w:r>
        <w:rPr>
          <w:color w:val="231F20"/>
          <w:spacing w:val="-1"/>
        </w:rPr>
        <w:t>child/adolescent’s</w:t>
      </w:r>
      <w:r>
        <w:rPr>
          <w:color w:val="231F20"/>
          <w:spacing w:val="92"/>
        </w:rPr>
        <w:t xml:space="preserve"> </w:t>
      </w:r>
      <w:r>
        <w:rPr>
          <w:color w:val="231F20"/>
          <w:spacing w:val="-1"/>
        </w:rPr>
        <w:t>daycare,</w:t>
      </w:r>
      <w:r>
        <w:rPr>
          <w:color w:val="231F20"/>
          <w:spacing w:val="-19"/>
        </w:rPr>
        <w:t xml:space="preserve"> </w:t>
      </w:r>
      <w:r>
        <w:rPr>
          <w:color w:val="231F20"/>
        </w:rPr>
        <w:t>school,</w:t>
      </w:r>
      <w:r>
        <w:rPr>
          <w:color w:val="231F20"/>
          <w:spacing w:val="-18"/>
        </w:rPr>
        <w:t xml:space="preserve"> </w:t>
      </w:r>
      <w:r>
        <w:rPr>
          <w:color w:val="231F20"/>
          <w:spacing w:val="-2"/>
        </w:rPr>
        <w:t>camp,</w:t>
      </w:r>
      <w:r>
        <w:rPr>
          <w:color w:val="231F20"/>
          <w:spacing w:val="-18"/>
        </w:rPr>
        <w:t xml:space="preserve"> </w:t>
      </w:r>
      <w:r>
        <w:rPr>
          <w:color w:val="231F20"/>
        </w:rPr>
        <w:t>and</w:t>
      </w:r>
      <w:r>
        <w:rPr>
          <w:color w:val="231F20"/>
          <w:spacing w:val="-1"/>
        </w:rPr>
        <w:t xml:space="preserve"> recreational</w:t>
      </w:r>
      <w:r>
        <w:rPr>
          <w:color w:val="231F20"/>
          <w:spacing w:val="-2"/>
        </w:rPr>
        <w:t xml:space="preserve"> </w:t>
      </w:r>
      <w:r>
        <w:rPr>
          <w:color w:val="231F20"/>
          <w:spacing w:val="1"/>
        </w:rPr>
        <w:t>history</w:t>
      </w:r>
      <w:r>
        <w:rPr>
          <w:color w:val="231F20"/>
          <w:spacing w:val="-2"/>
        </w:rPr>
        <w:t xml:space="preserve"> </w:t>
      </w:r>
      <w:r>
        <w:rPr>
          <w:color w:val="231F20"/>
        </w:rPr>
        <w:t>for</w:t>
      </w:r>
      <w:r>
        <w:rPr>
          <w:color w:val="231F20"/>
          <w:spacing w:val="-1"/>
        </w:rPr>
        <w:t xml:space="preserve"> </w:t>
      </w:r>
      <w:r>
        <w:rPr>
          <w:color w:val="231F20"/>
        </w:rPr>
        <w:t>specific</w:t>
      </w:r>
      <w:r>
        <w:rPr>
          <w:color w:val="231F20"/>
          <w:spacing w:val="-2"/>
        </w:rPr>
        <w:t xml:space="preserve"> </w:t>
      </w:r>
      <w:r>
        <w:rPr>
          <w:color w:val="231F20"/>
        </w:rPr>
        <w:t>locations</w:t>
      </w:r>
      <w:r>
        <w:rPr>
          <w:color w:val="231F20"/>
          <w:spacing w:val="-1"/>
        </w:rPr>
        <w:t xml:space="preserve"> </w:t>
      </w:r>
      <w:r>
        <w:rPr>
          <w:color w:val="231F20"/>
        </w:rPr>
        <w:t>in</w:t>
      </w:r>
      <w:r>
        <w:rPr>
          <w:color w:val="231F20"/>
          <w:spacing w:val="-6"/>
        </w:rPr>
        <w:t xml:space="preserve"> </w:t>
      </w:r>
      <w:r>
        <w:rPr>
          <w:color w:val="231F20"/>
        </w:rPr>
        <w:t>Wilmington;</w:t>
      </w:r>
      <w:r>
        <w:rPr>
          <w:color w:val="231F20"/>
          <w:spacing w:val="33"/>
        </w:rPr>
        <w:t xml:space="preserve"> </w:t>
      </w:r>
      <w:r>
        <w:rPr>
          <w:color w:val="231F20"/>
          <w:spacing w:val="-1"/>
        </w:rPr>
        <w:t>occupational</w:t>
      </w:r>
      <w:r>
        <w:rPr>
          <w:color w:val="231F20"/>
        </w:rPr>
        <w:t xml:space="preserve"> </w:t>
      </w:r>
      <w:r>
        <w:rPr>
          <w:color w:val="231F20"/>
          <w:spacing w:val="1"/>
        </w:rPr>
        <w:t>history</w:t>
      </w:r>
      <w:r>
        <w:rPr>
          <w:color w:val="231F20"/>
        </w:rPr>
        <w:t xml:space="preserve"> for </w:t>
      </w:r>
      <w:r>
        <w:rPr>
          <w:color w:val="231F20"/>
          <w:spacing w:val="-1"/>
        </w:rPr>
        <w:t>each</w:t>
      </w:r>
      <w:r>
        <w:rPr>
          <w:color w:val="231F20"/>
        </w:rPr>
        <w:t xml:space="preserve"> child or </w:t>
      </w:r>
      <w:r>
        <w:rPr>
          <w:color w:val="231F20"/>
          <w:spacing w:val="-1"/>
        </w:rPr>
        <w:t>adolescent</w:t>
      </w:r>
      <w:r>
        <w:rPr>
          <w:color w:val="231F20"/>
        </w:rPr>
        <w:t xml:space="preserve"> (if applicable) and </w:t>
      </w:r>
      <w:r>
        <w:rPr>
          <w:color w:val="231F20"/>
          <w:spacing w:val="-1"/>
        </w:rPr>
        <w:t>parent;</w:t>
      </w:r>
      <w:r>
        <w:rPr>
          <w:color w:val="231F20"/>
          <w:spacing w:val="-8"/>
        </w:rPr>
        <w:t xml:space="preserve"> </w:t>
      </w:r>
      <w:r>
        <w:rPr>
          <w:color w:val="231F20"/>
        </w:rPr>
        <w:t>and</w:t>
      </w:r>
      <w:r>
        <w:rPr>
          <w:color w:val="231F20"/>
          <w:spacing w:val="60"/>
        </w:rPr>
        <w:t xml:space="preserve"> </w:t>
      </w:r>
      <w:r>
        <w:rPr>
          <w:color w:val="231F20"/>
        </w:rPr>
        <w:t xml:space="preserve">potential household </w:t>
      </w:r>
      <w:r>
        <w:rPr>
          <w:color w:val="231F20"/>
          <w:spacing w:val="-1"/>
        </w:rPr>
        <w:t>exposures</w:t>
      </w:r>
      <w:r>
        <w:rPr>
          <w:color w:val="231F20"/>
        </w:rPr>
        <w:t xml:space="preserve"> such as pesticides and solvents.</w:t>
      </w:r>
    </w:p>
    <w:p w14:paraId="6131EA95" w14:textId="77777777" w:rsidR="003477EB" w:rsidRDefault="003477EB" w:rsidP="003477EB">
      <w:pPr>
        <w:pStyle w:val="BodyText"/>
        <w:spacing w:before="240" w:line="264" w:lineRule="auto"/>
        <w:ind w:right="60"/>
      </w:pPr>
      <w:r>
        <w:rPr>
          <w:color w:val="231F20"/>
          <w:spacing w:val="-1"/>
        </w:rPr>
        <w:t>Utilizing</w:t>
      </w:r>
      <w:r>
        <w:rPr>
          <w:color w:val="231F20"/>
        </w:rPr>
        <w:t xml:space="preserve"> </w:t>
      </w:r>
      <w:r>
        <w:rPr>
          <w:color w:val="231F20"/>
          <w:spacing w:val="-1"/>
        </w:rPr>
        <w:t>residential</w:t>
      </w:r>
      <w:r>
        <w:rPr>
          <w:color w:val="231F20"/>
        </w:rPr>
        <w:t xml:space="preserve"> </w:t>
      </w:r>
      <w:r>
        <w:rPr>
          <w:color w:val="231F20"/>
          <w:spacing w:val="1"/>
        </w:rPr>
        <w:t>history</w:t>
      </w:r>
      <w:r>
        <w:rPr>
          <w:color w:val="231F20"/>
        </w:rPr>
        <w:t xml:space="preserve"> information collected during participant </w:t>
      </w:r>
      <w:r>
        <w:rPr>
          <w:color w:val="231F20"/>
          <w:spacing w:val="1"/>
        </w:rPr>
        <w:t>interviews,</w:t>
      </w:r>
      <w:r>
        <w:rPr>
          <w:color w:val="231F20"/>
          <w:spacing w:val="44"/>
        </w:rPr>
        <w:t xml:space="preserve"> </w:t>
      </w:r>
      <w:r>
        <w:rPr>
          <w:color w:val="231F20"/>
        </w:rPr>
        <w:t xml:space="preserve">MDPH estimated </w:t>
      </w:r>
      <w:r>
        <w:rPr>
          <w:color w:val="231F20"/>
          <w:spacing w:val="-1"/>
        </w:rPr>
        <w:t>exposure</w:t>
      </w:r>
      <w:r>
        <w:rPr>
          <w:color w:val="231F20"/>
        </w:rPr>
        <w:t xml:space="preserve"> to NDMA for the period 1974–2000 using sophisticated</w:t>
      </w:r>
      <w:r>
        <w:rPr>
          <w:color w:val="231F20"/>
          <w:spacing w:val="30"/>
        </w:rPr>
        <w:t xml:space="preserve"> </w:t>
      </w:r>
      <w:r>
        <w:rPr>
          <w:color w:val="231F20"/>
          <w:spacing w:val="-1"/>
        </w:rPr>
        <w:t xml:space="preserve">computer </w:t>
      </w:r>
      <w:r>
        <w:rPr>
          <w:color w:val="231F20"/>
        </w:rPr>
        <w:t xml:space="preserve">models to </w:t>
      </w:r>
      <w:r>
        <w:rPr>
          <w:color w:val="231F20"/>
          <w:spacing w:val="-1"/>
        </w:rPr>
        <w:t>replicate</w:t>
      </w:r>
      <w:r>
        <w:rPr>
          <w:color w:val="231F20"/>
        </w:rPr>
        <w:t xml:space="preserve"> historical</w:t>
      </w:r>
      <w:r>
        <w:rPr>
          <w:color w:val="231F20"/>
          <w:spacing w:val="-1"/>
        </w:rPr>
        <w:t xml:space="preserve"> groundwater</w:t>
      </w:r>
      <w:r>
        <w:rPr>
          <w:color w:val="231F20"/>
        </w:rPr>
        <w:t xml:space="preserve"> </w:t>
      </w:r>
      <w:r>
        <w:rPr>
          <w:color w:val="231F20"/>
          <w:spacing w:val="-5"/>
        </w:rPr>
        <w:t>flo</w:t>
      </w:r>
      <w:r>
        <w:rPr>
          <w:color w:val="231F20"/>
          <w:spacing w:val="-4"/>
        </w:rPr>
        <w:t>w,</w:t>
      </w:r>
      <w:r>
        <w:rPr>
          <w:color w:val="231F20"/>
          <w:spacing w:val="-17"/>
        </w:rPr>
        <w:t xml:space="preserve"> </w:t>
      </w:r>
      <w:r>
        <w:rPr>
          <w:color w:val="231F20"/>
        </w:rPr>
        <w:t>transport of</w:t>
      </w:r>
      <w:r>
        <w:rPr>
          <w:color w:val="231F20"/>
          <w:spacing w:val="-1"/>
        </w:rPr>
        <w:t xml:space="preserve"> </w:t>
      </w:r>
      <w:r>
        <w:rPr>
          <w:color w:val="231F20"/>
        </w:rPr>
        <w:t>NDMA</w:t>
      </w:r>
      <w:r>
        <w:rPr>
          <w:color w:val="231F20"/>
          <w:spacing w:val="61"/>
        </w:rPr>
        <w:t xml:space="preserve"> </w:t>
      </w:r>
      <w:r>
        <w:rPr>
          <w:color w:val="231F20"/>
          <w:spacing w:val="-1"/>
        </w:rPr>
        <w:t>through</w:t>
      </w:r>
      <w:r>
        <w:rPr>
          <w:color w:val="231F20"/>
        </w:rPr>
        <w:t xml:space="preserve"> the </w:t>
      </w:r>
      <w:r>
        <w:rPr>
          <w:color w:val="231F20"/>
          <w:spacing w:val="-2"/>
        </w:rPr>
        <w:t>groundwater,</w:t>
      </w:r>
      <w:r>
        <w:rPr>
          <w:color w:val="231F20"/>
          <w:spacing w:val="-17"/>
        </w:rPr>
        <w:t xml:space="preserve"> </w:t>
      </w:r>
      <w:r>
        <w:rPr>
          <w:color w:val="231F20"/>
        </w:rPr>
        <w:t xml:space="preserve">and distribution of NDMA </w:t>
      </w:r>
      <w:r>
        <w:rPr>
          <w:color w:val="231F20"/>
          <w:spacing w:val="-1"/>
        </w:rPr>
        <w:t>throughout</w:t>
      </w:r>
      <w:r>
        <w:rPr>
          <w:color w:val="231F20"/>
        </w:rPr>
        <w:t xml:space="preserve"> the</w:t>
      </w:r>
      <w:r>
        <w:rPr>
          <w:color w:val="231F20"/>
          <w:spacing w:val="-4"/>
        </w:rPr>
        <w:t xml:space="preserve"> </w:t>
      </w:r>
      <w:r>
        <w:rPr>
          <w:color w:val="231F20"/>
        </w:rPr>
        <w:t>Wilmington</w:t>
      </w:r>
      <w:r>
        <w:rPr>
          <w:color w:val="231F20"/>
          <w:spacing w:val="45"/>
        </w:rPr>
        <w:t xml:space="preserve"> </w:t>
      </w:r>
      <w:r>
        <w:rPr>
          <w:color w:val="231F20"/>
        </w:rPr>
        <w:t>public drinking water system.</w:t>
      </w:r>
      <w:r>
        <w:rPr>
          <w:color w:val="231F20"/>
          <w:spacing w:val="-28"/>
        </w:rPr>
        <w:t xml:space="preserve"> </w:t>
      </w:r>
      <w:r>
        <w:rPr>
          <w:color w:val="231F20"/>
          <w:spacing w:val="-1"/>
        </w:rPr>
        <w:t>TCE</w:t>
      </w:r>
      <w:r>
        <w:rPr>
          <w:color w:val="231F20"/>
        </w:rPr>
        <w:t xml:space="preserve"> was modeled </w:t>
      </w:r>
      <w:r>
        <w:rPr>
          <w:color w:val="231F20"/>
          <w:spacing w:val="-1"/>
        </w:rPr>
        <w:t>over</w:t>
      </w:r>
      <w:r>
        <w:rPr>
          <w:color w:val="231F20"/>
        </w:rPr>
        <w:t xml:space="preserve"> the period 1981–2000.</w:t>
      </w:r>
      <w:r>
        <w:t xml:space="preserve"> </w:t>
      </w:r>
      <w:r>
        <w:rPr>
          <w:color w:val="231F20"/>
        </w:rPr>
        <w:t>Modeling of</w:t>
      </w:r>
      <w:r>
        <w:rPr>
          <w:color w:val="231F20"/>
          <w:spacing w:val="-11"/>
        </w:rPr>
        <w:t xml:space="preserve"> </w:t>
      </w:r>
      <w:r>
        <w:rPr>
          <w:color w:val="231F20"/>
          <w:spacing w:val="-1"/>
        </w:rPr>
        <w:t>TCE</w:t>
      </w:r>
      <w:r>
        <w:rPr>
          <w:color w:val="231F20"/>
        </w:rPr>
        <w:t xml:space="preserve"> </w:t>
      </w:r>
      <w:r>
        <w:rPr>
          <w:color w:val="231F20"/>
          <w:spacing w:val="-1"/>
        </w:rPr>
        <w:t>concentrations</w:t>
      </w:r>
      <w:r>
        <w:rPr>
          <w:color w:val="231F20"/>
        </w:rPr>
        <w:t xml:space="preserve"> prior to 1981 was not possible due to the absence</w:t>
      </w:r>
      <w:r>
        <w:rPr>
          <w:color w:val="231F20"/>
          <w:spacing w:val="27"/>
        </w:rPr>
        <w:t xml:space="preserve"> </w:t>
      </w:r>
      <w:r>
        <w:rPr>
          <w:color w:val="231F20"/>
        </w:rPr>
        <w:t xml:space="preserve">of earlier sampling data </w:t>
      </w:r>
      <w:r>
        <w:rPr>
          <w:color w:val="231F20"/>
          <w:spacing w:val="-1"/>
        </w:rPr>
        <w:t>along</w:t>
      </w:r>
      <w:r>
        <w:rPr>
          <w:color w:val="231F20"/>
        </w:rPr>
        <w:t xml:space="preserve"> with the lack of a </w:t>
      </w:r>
      <w:r>
        <w:rPr>
          <w:color w:val="231F20"/>
          <w:spacing w:val="-1"/>
        </w:rPr>
        <w:t>known</w:t>
      </w:r>
      <w:r>
        <w:rPr>
          <w:color w:val="231F20"/>
        </w:rPr>
        <w:t xml:space="preserve"> </w:t>
      </w:r>
      <w:r>
        <w:rPr>
          <w:color w:val="231F20"/>
          <w:spacing w:val="-1"/>
        </w:rPr>
        <w:t>source</w:t>
      </w:r>
      <w:r>
        <w:rPr>
          <w:color w:val="231F20"/>
        </w:rPr>
        <w:t xml:space="preserve"> within the </w:t>
      </w:r>
      <w:r>
        <w:rPr>
          <w:color w:val="231F20"/>
          <w:spacing w:val="-2"/>
        </w:rPr>
        <w:t xml:space="preserve">aquifer. </w:t>
      </w:r>
      <w:r>
        <w:rPr>
          <w:color w:val="231F20"/>
          <w:spacing w:val="-1"/>
        </w:rPr>
        <w:t>Each</w:t>
      </w:r>
      <w:r>
        <w:rPr>
          <w:color w:val="231F20"/>
        </w:rPr>
        <w:t xml:space="preserve"> </w:t>
      </w:r>
      <w:r>
        <w:rPr>
          <w:color w:val="231F20"/>
          <w:spacing w:val="-1"/>
        </w:rPr>
        <w:t>contaminant</w:t>
      </w:r>
      <w:r>
        <w:rPr>
          <w:color w:val="231F20"/>
        </w:rPr>
        <w:t xml:space="preserve"> was evaluated for an </w:t>
      </w:r>
      <w:r>
        <w:rPr>
          <w:color w:val="231F20"/>
          <w:spacing w:val="-1"/>
        </w:rPr>
        <w:t>association</w:t>
      </w:r>
      <w:r>
        <w:rPr>
          <w:color w:val="231F20"/>
        </w:rPr>
        <w:t xml:space="preserve"> with the odds of childhood/</w:t>
      </w:r>
      <w:r>
        <w:rPr>
          <w:color w:val="231F20"/>
          <w:spacing w:val="50"/>
        </w:rPr>
        <w:t xml:space="preserve"> </w:t>
      </w:r>
      <w:r>
        <w:rPr>
          <w:color w:val="231F20"/>
          <w:spacing w:val="-1"/>
        </w:rPr>
        <w:t>adolescent</w:t>
      </w:r>
      <w:r>
        <w:rPr>
          <w:color w:val="231F20"/>
        </w:rPr>
        <w:t xml:space="preserve"> cancer based </w:t>
      </w:r>
      <w:r>
        <w:rPr>
          <w:color w:val="231F20"/>
          <w:spacing w:val="-1"/>
        </w:rPr>
        <w:t>on</w:t>
      </w:r>
      <w:r>
        <w:rPr>
          <w:color w:val="231F20"/>
        </w:rPr>
        <w:t xml:space="preserve"> </w:t>
      </w:r>
      <w:r>
        <w:rPr>
          <w:color w:val="231F20"/>
          <w:spacing w:val="-1"/>
        </w:rPr>
        <w:t>exposure</w:t>
      </w:r>
      <w:r>
        <w:rPr>
          <w:color w:val="231F20"/>
        </w:rPr>
        <w:t xml:space="preserve"> during </w:t>
      </w:r>
      <w:r>
        <w:rPr>
          <w:color w:val="231F20"/>
          <w:spacing w:val="-1"/>
        </w:rPr>
        <w:t>two</w:t>
      </w:r>
      <w:r>
        <w:rPr>
          <w:color w:val="231F20"/>
        </w:rPr>
        <w:t xml:space="preserve"> etiologic periods:</w:t>
      </w:r>
      <w:r>
        <w:rPr>
          <w:color w:val="231F20"/>
          <w:spacing w:val="-8"/>
        </w:rPr>
        <w:t xml:space="preserve"> </w:t>
      </w:r>
      <w:r>
        <w:rPr>
          <w:color w:val="231F20"/>
        </w:rPr>
        <w:t>the maternal</w:t>
      </w:r>
      <w:r>
        <w:rPr>
          <w:color w:val="231F20"/>
          <w:spacing w:val="44"/>
        </w:rPr>
        <w:t xml:space="preserve"> </w:t>
      </w:r>
      <w:r>
        <w:rPr>
          <w:color w:val="231F20"/>
          <w:spacing w:val="-1"/>
        </w:rPr>
        <w:t xml:space="preserve">exposure </w:t>
      </w:r>
      <w:r>
        <w:rPr>
          <w:color w:val="231F20"/>
        </w:rPr>
        <w:t>period</w:t>
      </w:r>
      <w:r>
        <w:rPr>
          <w:color w:val="231F20"/>
          <w:spacing w:val="-1"/>
        </w:rPr>
        <w:t xml:space="preserve"> </w:t>
      </w:r>
      <w:r>
        <w:rPr>
          <w:color w:val="231F20"/>
        </w:rPr>
        <w:t>defined as</w:t>
      </w:r>
      <w:r>
        <w:rPr>
          <w:color w:val="231F20"/>
          <w:spacing w:val="-1"/>
        </w:rPr>
        <w:t xml:space="preserve"> </w:t>
      </w:r>
      <w:r>
        <w:rPr>
          <w:color w:val="231F20"/>
        </w:rPr>
        <w:t>the</w:t>
      </w:r>
      <w:r>
        <w:rPr>
          <w:color w:val="231F20"/>
          <w:spacing w:val="-1"/>
        </w:rPr>
        <w:t xml:space="preserve"> year</w:t>
      </w:r>
      <w:r>
        <w:rPr>
          <w:color w:val="231F20"/>
        </w:rPr>
        <w:t xml:space="preserve"> prior</w:t>
      </w:r>
      <w:r>
        <w:rPr>
          <w:color w:val="231F20"/>
          <w:spacing w:val="-1"/>
        </w:rPr>
        <w:t xml:space="preserve"> </w:t>
      </w:r>
      <w:r>
        <w:rPr>
          <w:color w:val="231F20"/>
        </w:rPr>
        <w:t>to</w:t>
      </w:r>
      <w:r>
        <w:rPr>
          <w:color w:val="231F20"/>
          <w:spacing w:val="-1"/>
        </w:rPr>
        <w:t xml:space="preserve"> </w:t>
      </w:r>
      <w:r>
        <w:rPr>
          <w:color w:val="231F20"/>
        </w:rPr>
        <w:t xml:space="preserve">the </w:t>
      </w:r>
      <w:r>
        <w:rPr>
          <w:color w:val="231F20"/>
          <w:spacing w:val="-1"/>
        </w:rPr>
        <w:t xml:space="preserve">child/adolescent’s </w:t>
      </w:r>
      <w:r>
        <w:rPr>
          <w:color w:val="231F20"/>
        </w:rPr>
        <w:t>birth</w:t>
      </w:r>
      <w:r>
        <w:rPr>
          <w:color w:val="231F20"/>
          <w:spacing w:val="-1"/>
        </w:rPr>
        <w:t xml:space="preserve"> (representing</w:t>
      </w:r>
      <w:r>
        <w:rPr>
          <w:color w:val="231F20"/>
          <w:spacing w:val="67"/>
        </w:rPr>
        <w:t xml:space="preserve"> </w:t>
      </w:r>
      <w:r>
        <w:rPr>
          <w:rFonts w:eastAsia="Adobe Caslon Pro" w:cs="Adobe Caslon Pro"/>
          <w:i/>
          <w:color w:val="231F20"/>
          <w:spacing w:val="-1"/>
        </w:rPr>
        <w:t>in-utero</w:t>
      </w:r>
      <w:r>
        <w:rPr>
          <w:rFonts w:eastAsia="Adobe Caslon Pro" w:cs="Adobe Caslon Pro"/>
          <w:i/>
          <w:color w:val="231F20"/>
          <w:spacing w:val="5"/>
        </w:rPr>
        <w:t xml:space="preserve"> </w:t>
      </w:r>
      <w:r>
        <w:rPr>
          <w:color w:val="231F20"/>
          <w:spacing w:val="-1"/>
        </w:rPr>
        <w:t>exposure)</w:t>
      </w:r>
      <w:r>
        <w:rPr>
          <w:color w:val="231F20"/>
        </w:rPr>
        <w:t xml:space="preserve"> and the childhood </w:t>
      </w:r>
      <w:r>
        <w:rPr>
          <w:color w:val="231F20"/>
          <w:spacing w:val="-1"/>
        </w:rPr>
        <w:t>exposure</w:t>
      </w:r>
      <w:r>
        <w:rPr>
          <w:color w:val="231F20"/>
        </w:rPr>
        <w:t xml:space="preserve"> period </w:t>
      </w:r>
      <w:r>
        <w:rPr>
          <w:color w:val="231F20"/>
          <w:spacing w:val="-1"/>
        </w:rPr>
        <w:t>encompassing</w:t>
      </w:r>
      <w:r>
        <w:rPr>
          <w:color w:val="231F20"/>
        </w:rPr>
        <w:t xml:space="preserve"> all of childhood/</w:t>
      </w:r>
      <w:r>
        <w:rPr>
          <w:color w:val="231F20"/>
          <w:spacing w:val="65"/>
        </w:rPr>
        <w:t xml:space="preserve"> </w:t>
      </w:r>
      <w:r>
        <w:rPr>
          <w:color w:val="231F20"/>
          <w:spacing w:val="-1"/>
        </w:rPr>
        <w:t>adolescence</w:t>
      </w:r>
      <w:r>
        <w:rPr>
          <w:color w:val="231F20"/>
        </w:rPr>
        <w:t xml:space="preserve"> </w:t>
      </w:r>
      <w:r>
        <w:rPr>
          <w:color w:val="231F20"/>
          <w:spacing w:val="-2"/>
        </w:rPr>
        <w:t>from</w:t>
      </w:r>
      <w:r>
        <w:rPr>
          <w:color w:val="231F20"/>
        </w:rPr>
        <w:t xml:space="preserve"> the </w:t>
      </w:r>
      <w:r>
        <w:rPr>
          <w:color w:val="231F20"/>
          <w:spacing w:val="-1"/>
        </w:rPr>
        <w:t>month</w:t>
      </w:r>
      <w:r>
        <w:rPr>
          <w:color w:val="231F20"/>
        </w:rPr>
        <w:t xml:space="preserve"> of birth to the date of diagnosis for </w:t>
      </w:r>
      <w:r>
        <w:rPr>
          <w:color w:val="231F20"/>
          <w:spacing w:val="-1"/>
        </w:rPr>
        <w:t>each</w:t>
      </w:r>
      <w:r>
        <w:rPr>
          <w:color w:val="231F20"/>
        </w:rPr>
        <w:t xml:space="preserve"> case and their</w:t>
      </w:r>
      <w:r>
        <w:rPr>
          <w:color w:val="231F20"/>
          <w:spacing w:val="49"/>
        </w:rPr>
        <w:t xml:space="preserve"> </w:t>
      </w:r>
      <w:r>
        <w:rPr>
          <w:color w:val="231F20"/>
        </w:rPr>
        <w:t xml:space="preserve">matched </w:t>
      </w:r>
      <w:r>
        <w:rPr>
          <w:color w:val="231F20"/>
          <w:spacing w:val="-1"/>
        </w:rPr>
        <w:t>control.</w:t>
      </w:r>
    </w:p>
    <w:p w14:paraId="53014552" w14:textId="421D0E6B" w:rsidR="003477EB" w:rsidRDefault="003477EB" w:rsidP="003477EB">
      <w:pPr>
        <w:pStyle w:val="BodyText"/>
        <w:spacing w:before="240" w:line="264" w:lineRule="auto"/>
        <w:ind w:right="205"/>
      </w:pPr>
      <w:r>
        <w:rPr>
          <w:color w:val="231F20"/>
        </w:rPr>
        <w:t xml:space="preserve">Modeled </w:t>
      </w:r>
      <w:r>
        <w:rPr>
          <w:color w:val="231F20"/>
          <w:spacing w:val="-1"/>
        </w:rPr>
        <w:t>concentrations</w:t>
      </w:r>
      <w:r>
        <w:rPr>
          <w:color w:val="231F20"/>
        </w:rPr>
        <w:t xml:space="preserve"> of NDMA and</w:t>
      </w:r>
      <w:r>
        <w:rPr>
          <w:color w:val="231F20"/>
          <w:spacing w:val="-11"/>
        </w:rPr>
        <w:t xml:space="preserve"> </w:t>
      </w:r>
      <w:r>
        <w:rPr>
          <w:color w:val="231F20"/>
          <w:spacing w:val="-1"/>
        </w:rPr>
        <w:t>TCE</w:t>
      </w:r>
      <w:r>
        <w:rPr>
          <w:color w:val="231F20"/>
        </w:rPr>
        <w:t xml:space="preserve"> in the water at </w:t>
      </w:r>
      <w:r>
        <w:rPr>
          <w:color w:val="231F20"/>
          <w:spacing w:val="-1"/>
        </w:rPr>
        <w:t>each</w:t>
      </w:r>
      <w:r>
        <w:rPr>
          <w:color w:val="231F20"/>
        </w:rPr>
        <w:t xml:space="preserve"> </w:t>
      </w:r>
      <w:r>
        <w:rPr>
          <w:color w:val="231F20"/>
          <w:spacing w:val="-1"/>
        </w:rPr>
        <w:t>residential</w:t>
      </w:r>
      <w:r>
        <w:rPr>
          <w:color w:val="231F20"/>
        </w:rPr>
        <w:t xml:space="preserve"> </w:t>
      </w:r>
      <w:r>
        <w:rPr>
          <w:color w:val="231F20"/>
          <w:spacing w:val="-1"/>
        </w:rPr>
        <w:t>address</w:t>
      </w:r>
      <w:r>
        <w:rPr>
          <w:color w:val="231F20"/>
          <w:spacing w:val="49"/>
        </w:rPr>
        <w:t xml:space="preserve"> </w:t>
      </w:r>
      <w:r>
        <w:rPr>
          <w:color w:val="231F20"/>
          <w:spacing w:val="-2"/>
        </w:rPr>
        <w:t>were</w:t>
      </w:r>
      <w:r>
        <w:rPr>
          <w:color w:val="231F20"/>
          <w:spacing w:val="-3"/>
        </w:rPr>
        <w:t xml:space="preserve"> </w:t>
      </w:r>
      <w:r>
        <w:rPr>
          <w:color w:val="231F20"/>
        </w:rPr>
        <w:t>used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spacing w:val="-1"/>
        </w:rPr>
        <w:t>surrogate</w:t>
      </w:r>
      <w:r>
        <w:rPr>
          <w:color w:val="231F20"/>
          <w:spacing w:val="-3"/>
        </w:rPr>
        <w:t xml:space="preserve"> </w:t>
      </w:r>
      <w:r>
        <w:rPr>
          <w:color w:val="231F20"/>
        </w:rPr>
        <w:t>for</w:t>
      </w:r>
      <w:r>
        <w:rPr>
          <w:color w:val="231F20"/>
          <w:spacing w:val="-3"/>
        </w:rPr>
        <w:t xml:space="preserve"> </w:t>
      </w:r>
      <w:r>
        <w:rPr>
          <w:color w:val="231F20"/>
        </w:rPr>
        <w:t>potential</w:t>
      </w:r>
      <w:r>
        <w:rPr>
          <w:color w:val="231F20"/>
          <w:spacing w:val="-3"/>
        </w:rPr>
        <w:t xml:space="preserve"> </w:t>
      </w:r>
      <w:r>
        <w:rPr>
          <w:color w:val="231F20"/>
          <w:spacing w:val="-1"/>
        </w:rPr>
        <w:t>exposure.</w:t>
      </w:r>
      <w:r>
        <w:rPr>
          <w:color w:val="231F20"/>
          <w:spacing w:val="-29"/>
        </w:rPr>
        <w:t xml:space="preserve"> </w:t>
      </w:r>
      <w:r>
        <w:rPr>
          <w:color w:val="231F20"/>
        </w:rPr>
        <w:t>The</w:t>
      </w:r>
      <w:r>
        <w:rPr>
          <w:color w:val="231F20"/>
          <w:spacing w:val="-3"/>
        </w:rPr>
        <w:t xml:space="preserve"> </w:t>
      </w:r>
      <w:r>
        <w:rPr>
          <w:color w:val="231F20"/>
        </w:rPr>
        <w:t>estimated</w:t>
      </w:r>
      <w:r>
        <w:rPr>
          <w:color w:val="231F20"/>
          <w:spacing w:val="-3"/>
        </w:rPr>
        <w:t xml:space="preserve"> </w:t>
      </w:r>
      <w:r>
        <w:rPr>
          <w:color w:val="231F20"/>
          <w:spacing w:val="-1"/>
        </w:rPr>
        <w:t>average</w:t>
      </w:r>
      <w:r>
        <w:rPr>
          <w:color w:val="231F20"/>
          <w:spacing w:val="-3"/>
        </w:rPr>
        <w:t xml:space="preserve"> </w:t>
      </w:r>
      <w:r>
        <w:rPr>
          <w:color w:val="231F20"/>
        </w:rPr>
        <w:t>of</w:t>
      </w:r>
      <w:r>
        <w:rPr>
          <w:color w:val="231F20"/>
          <w:spacing w:val="-3"/>
        </w:rPr>
        <w:t xml:space="preserve"> </w:t>
      </w:r>
      <w:r>
        <w:rPr>
          <w:color w:val="231F20"/>
        </w:rPr>
        <w:t>all</w:t>
      </w:r>
      <w:r>
        <w:rPr>
          <w:color w:val="231F20"/>
          <w:spacing w:val="-3"/>
        </w:rPr>
        <w:t xml:space="preserve"> </w:t>
      </w:r>
      <w:r>
        <w:rPr>
          <w:color w:val="231F20"/>
          <w:spacing w:val="-1"/>
        </w:rPr>
        <w:t>non-zero</w:t>
      </w:r>
      <w:r>
        <w:rPr>
          <w:color w:val="231F20"/>
          <w:spacing w:val="51"/>
        </w:rPr>
        <w:t xml:space="preserve"> </w:t>
      </w:r>
      <w:r>
        <w:rPr>
          <w:color w:val="231F20"/>
        </w:rPr>
        <w:t xml:space="preserve">monthly </w:t>
      </w:r>
      <w:r>
        <w:rPr>
          <w:color w:val="231F20"/>
          <w:spacing w:val="-1"/>
        </w:rPr>
        <w:t>concentrations</w:t>
      </w:r>
      <w:r>
        <w:rPr>
          <w:color w:val="231F20"/>
        </w:rPr>
        <w:t xml:space="preserve"> of NDMA was used as the </w:t>
      </w:r>
      <w:r>
        <w:rPr>
          <w:color w:val="231F20"/>
          <w:spacing w:val="-1"/>
        </w:rPr>
        <w:t>measure</w:t>
      </w:r>
      <w:r>
        <w:rPr>
          <w:color w:val="231F20"/>
        </w:rPr>
        <w:t xml:space="preserve"> of </w:t>
      </w:r>
      <w:r>
        <w:rPr>
          <w:color w:val="231F20"/>
          <w:spacing w:val="-1"/>
        </w:rPr>
        <w:t>exposure</w:t>
      </w:r>
      <w:r>
        <w:rPr>
          <w:color w:val="231F20"/>
        </w:rPr>
        <w:t xml:space="preserve"> </w:t>
      </w:r>
      <w:r>
        <w:rPr>
          <w:color w:val="231F20"/>
          <w:spacing w:val="1"/>
        </w:rPr>
        <w:t>to</w:t>
      </w:r>
      <w:r>
        <w:rPr>
          <w:color w:val="231F20"/>
          <w:spacing w:val="4"/>
        </w:rPr>
        <w:t xml:space="preserve"> </w:t>
      </w:r>
      <w:r>
        <w:rPr>
          <w:color w:val="231F20"/>
          <w:spacing w:val="1"/>
        </w:rPr>
        <w:t>NDMA.</w:t>
      </w:r>
      <w:r>
        <w:t xml:space="preserve"> </w:t>
      </w:r>
      <w:r>
        <w:rPr>
          <w:color w:val="231F20"/>
        </w:rPr>
        <w:t xml:space="preserve">The </w:t>
      </w:r>
      <w:r>
        <w:rPr>
          <w:color w:val="231F20"/>
          <w:spacing w:val="1"/>
        </w:rPr>
        <w:t xml:space="preserve">estimated average of all non-zero </w:t>
      </w:r>
      <w:r>
        <w:rPr>
          <w:color w:val="231F20"/>
          <w:spacing w:val="2"/>
        </w:rPr>
        <w:t>monthly</w:t>
      </w:r>
      <w:r>
        <w:rPr>
          <w:color w:val="231F20"/>
        </w:rPr>
        <w:t xml:space="preserve"> </w:t>
      </w:r>
      <w:r>
        <w:rPr>
          <w:color w:val="231F20"/>
          <w:spacing w:val="1"/>
        </w:rPr>
        <w:t>concentrations of</w:t>
      </w:r>
      <w:r>
        <w:rPr>
          <w:color w:val="231F20"/>
          <w:spacing w:val="-8"/>
        </w:rPr>
        <w:t xml:space="preserve"> </w:t>
      </w:r>
      <w:r>
        <w:rPr>
          <w:color w:val="231F20"/>
          <w:spacing w:val="-1"/>
        </w:rPr>
        <w:t>TCE</w:t>
      </w:r>
      <w:r>
        <w:rPr>
          <w:color w:val="231F20"/>
          <w:spacing w:val="-3"/>
        </w:rPr>
        <w:t xml:space="preserve"> </w:t>
      </w:r>
      <w:r>
        <w:rPr>
          <w:color w:val="231F20"/>
        </w:rPr>
        <w:t>was</w:t>
      </w:r>
      <w:r>
        <w:rPr>
          <w:color w:val="231F20"/>
          <w:spacing w:val="-3"/>
        </w:rPr>
        <w:t xml:space="preserve"> </w:t>
      </w:r>
      <w:r>
        <w:rPr>
          <w:color w:val="231F20"/>
        </w:rPr>
        <w:t>used</w:t>
      </w:r>
      <w:r>
        <w:rPr>
          <w:color w:val="231F20"/>
          <w:spacing w:val="60"/>
        </w:rPr>
        <w:t xml:space="preserve"> </w:t>
      </w:r>
      <w:r>
        <w:rPr>
          <w:color w:val="231F20"/>
        </w:rPr>
        <w:t xml:space="preserve">as the </w:t>
      </w:r>
      <w:r>
        <w:rPr>
          <w:color w:val="231F20"/>
          <w:spacing w:val="-1"/>
        </w:rPr>
        <w:t>measure</w:t>
      </w:r>
      <w:r>
        <w:rPr>
          <w:color w:val="231F20"/>
        </w:rPr>
        <w:t xml:space="preserve"> of </w:t>
      </w:r>
      <w:r>
        <w:rPr>
          <w:color w:val="231F20"/>
          <w:spacing w:val="-1"/>
        </w:rPr>
        <w:t>exposure</w:t>
      </w:r>
      <w:r>
        <w:rPr>
          <w:color w:val="231F20"/>
        </w:rPr>
        <w:t xml:space="preserve"> to</w:t>
      </w:r>
      <w:r>
        <w:rPr>
          <w:color w:val="231F20"/>
          <w:spacing w:val="-11"/>
        </w:rPr>
        <w:t xml:space="preserve"> </w:t>
      </w:r>
      <w:r>
        <w:rPr>
          <w:color w:val="231F20"/>
          <w:spacing w:val="-1"/>
        </w:rPr>
        <w:t>TCE.</w:t>
      </w:r>
      <w:r>
        <w:rPr>
          <w:color w:val="231F20"/>
          <w:spacing w:val="-17"/>
        </w:rPr>
        <w:t xml:space="preserve"> </w:t>
      </w:r>
      <w:r>
        <w:rPr>
          <w:color w:val="231F20"/>
        </w:rPr>
        <w:t>Analyses of NDMA and</w:t>
      </w:r>
      <w:r>
        <w:rPr>
          <w:color w:val="231F20"/>
          <w:spacing w:val="-11"/>
        </w:rPr>
        <w:t xml:space="preserve"> </w:t>
      </w:r>
      <w:r>
        <w:rPr>
          <w:color w:val="231F20"/>
          <w:spacing w:val="-1"/>
        </w:rPr>
        <w:t>TCE</w:t>
      </w:r>
      <w:r>
        <w:rPr>
          <w:color w:val="231F20"/>
        </w:rPr>
        <w:t xml:space="preserve"> </w:t>
      </w:r>
      <w:r>
        <w:rPr>
          <w:color w:val="231F20"/>
          <w:spacing w:val="-1"/>
        </w:rPr>
        <w:t>exposure</w:t>
      </w:r>
      <w:r>
        <w:rPr>
          <w:color w:val="231F20"/>
        </w:rPr>
        <w:t xml:space="preserve"> </w:t>
      </w:r>
      <w:r>
        <w:rPr>
          <w:color w:val="231F20"/>
          <w:spacing w:val="-2"/>
        </w:rPr>
        <w:t>were</w:t>
      </w:r>
      <w:r>
        <w:t xml:space="preserve"> </w:t>
      </w:r>
      <w:r>
        <w:rPr>
          <w:color w:val="231F20"/>
          <w:spacing w:val="-1"/>
        </w:rPr>
        <w:t>conducted</w:t>
      </w:r>
      <w:r>
        <w:rPr>
          <w:color w:val="231F20"/>
        </w:rPr>
        <w:t xml:space="preserve"> as </w:t>
      </w:r>
      <w:r>
        <w:rPr>
          <w:color w:val="231F20"/>
          <w:spacing w:val="-1"/>
        </w:rPr>
        <w:t>dichotomous</w:t>
      </w:r>
      <w:r>
        <w:rPr>
          <w:color w:val="231F20"/>
        </w:rPr>
        <w:t xml:space="preserve"> (ever/never) and as categorical </w:t>
      </w:r>
      <w:r>
        <w:rPr>
          <w:color w:val="231F20"/>
          <w:spacing w:val="-1"/>
        </w:rPr>
        <w:t>(zero/low/high)</w:t>
      </w:r>
      <w:r>
        <w:rPr>
          <w:color w:val="231F20"/>
        </w:rPr>
        <w:t xml:space="preserve"> </w:t>
      </w:r>
      <w:r>
        <w:rPr>
          <w:color w:val="231F20"/>
          <w:spacing w:val="-1"/>
        </w:rPr>
        <w:t>where</w:t>
      </w:r>
      <w:r>
        <w:rPr>
          <w:color w:val="231F20"/>
        </w:rPr>
        <w:t xml:space="preserve"> the</w:t>
      </w:r>
      <w:r>
        <w:rPr>
          <w:color w:val="231F20"/>
          <w:spacing w:val="73"/>
        </w:rPr>
        <w:t xml:space="preserve"> </w:t>
      </w:r>
      <w:r>
        <w:rPr>
          <w:color w:val="231F20"/>
          <w:spacing w:val="-1"/>
        </w:rPr>
        <w:t>division</w:t>
      </w:r>
      <w:r>
        <w:rPr>
          <w:color w:val="231F20"/>
        </w:rPr>
        <w:t xml:space="preserve"> </w:t>
      </w:r>
      <w:r>
        <w:rPr>
          <w:color w:val="231F20"/>
          <w:spacing w:val="-1"/>
        </w:rPr>
        <w:t>between</w:t>
      </w:r>
      <w:r>
        <w:rPr>
          <w:color w:val="231F20"/>
        </w:rPr>
        <w:t xml:space="preserve"> </w:t>
      </w:r>
      <w:r>
        <w:rPr>
          <w:color w:val="231F20"/>
          <w:spacing w:val="-1"/>
        </w:rPr>
        <w:t>low</w:t>
      </w:r>
      <w:r>
        <w:rPr>
          <w:color w:val="231F20"/>
        </w:rPr>
        <w:t xml:space="preserve"> and high was based </w:t>
      </w:r>
      <w:r>
        <w:rPr>
          <w:color w:val="231F20"/>
          <w:spacing w:val="-1"/>
        </w:rPr>
        <w:t>on</w:t>
      </w:r>
      <w:r>
        <w:rPr>
          <w:color w:val="231F20"/>
        </w:rPr>
        <w:t xml:space="preserve"> the median </w:t>
      </w:r>
      <w:r>
        <w:rPr>
          <w:color w:val="231F20"/>
          <w:spacing w:val="-1"/>
        </w:rPr>
        <w:t>average</w:t>
      </w:r>
      <w:r>
        <w:rPr>
          <w:color w:val="231F20"/>
        </w:rPr>
        <w:t xml:space="preserve"> </w:t>
      </w:r>
      <w:r>
        <w:rPr>
          <w:color w:val="231F20"/>
          <w:spacing w:val="-1"/>
        </w:rPr>
        <w:t>non-zero</w:t>
      </w:r>
      <w:r>
        <w:rPr>
          <w:color w:val="231F20"/>
        </w:rPr>
        <w:t xml:space="preserve"> monthly</w:t>
      </w:r>
      <w:r w:rsidR="00C2588D">
        <w:rPr>
          <w:color w:val="231F20"/>
          <w:lang w:val="en-US"/>
        </w:rPr>
        <w:t xml:space="preserve"> </w:t>
      </w:r>
      <w:r>
        <w:rPr>
          <w:color w:val="231F20"/>
          <w:spacing w:val="-1"/>
        </w:rPr>
        <w:t>concentration.</w:t>
      </w:r>
      <w:r>
        <w:rPr>
          <w:color w:val="231F20"/>
          <w:spacing w:val="-17"/>
        </w:rPr>
        <w:t xml:space="preserve"> </w:t>
      </w:r>
      <w:r>
        <w:rPr>
          <w:color w:val="231F20"/>
          <w:spacing w:val="-1"/>
        </w:rPr>
        <w:t>Participants</w:t>
      </w:r>
      <w:r>
        <w:rPr>
          <w:color w:val="231F20"/>
        </w:rPr>
        <w:t xml:space="preserve"> </w:t>
      </w:r>
      <w:r>
        <w:rPr>
          <w:color w:val="231F20"/>
          <w:spacing w:val="-2"/>
        </w:rPr>
        <w:t>were</w:t>
      </w:r>
      <w:r>
        <w:rPr>
          <w:color w:val="231F20"/>
        </w:rPr>
        <w:t xml:space="preserve"> asked about their </w:t>
      </w:r>
      <w:r>
        <w:rPr>
          <w:color w:val="231F20"/>
          <w:spacing w:val="1"/>
        </w:rPr>
        <w:t>primary</w:t>
      </w:r>
      <w:r>
        <w:rPr>
          <w:color w:val="231F20"/>
        </w:rPr>
        <w:t xml:space="preserve"> drinking water </w:t>
      </w:r>
      <w:r>
        <w:rPr>
          <w:color w:val="231F20"/>
          <w:spacing w:val="-1"/>
        </w:rPr>
        <w:t>source</w:t>
      </w:r>
      <w:r>
        <w:rPr>
          <w:color w:val="231F20"/>
        </w:rPr>
        <w:t xml:space="preserve"> for</w:t>
      </w:r>
      <w:r>
        <w:rPr>
          <w:color w:val="231F20"/>
          <w:spacing w:val="61"/>
        </w:rPr>
        <w:t xml:space="preserve"> </w:t>
      </w:r>
      <w:r>
        <w:rPr>
          <w:color w:val="231F20"/>
          <w:spacing w:val="-1"/>
        </w:rPr>
        <w:t>each</w:t>
      </w:r>
      <w:r>
        <w:rPr>
          <w:color w:val="231F20"/>
        </w:rPr>
        <w:t xml:space="preserve"> </w:t>
      </w:r>
      <w:r>
        <w:rPr>
          <w:color w:val="231F20"/>
          <w:spacing w:val="-1"/>
        </w:rPr>
        <w:t>residence</w:t>
      </w:r>
      <w:r>
        <w:rPr>
          <w:color w:val="231F20"/>
        </w:rPr>
        <w:t xml:space="preserve"> and analyses </w:t>
      </w:r>
      <w:r>
        <w:rPr>
          <w:color w:val="231F20"/>
          <w:spacing w:val="-2"/>
        </w:rPr>
        <w:t>were</w:t>
      </w:r>
      <w:r>
        <w:rPr>
          <w:color w:val="231F20"/>
        </w:rPr>
        <w:t xml:space="preserve"> also </w:t>
      </w:r>
      <w:r>
        <w:rPr>
          <w:color w:val="231F20"/>
          <w:spacing w:val="-1"/>
        </w:rPr>
        <w:t>conducted</w:t>
      </w:r>
      <w:r>
        <w:rPr>
          <w:color w:val="231F20"/>
        </w:rPr>
        <w:t xml:space="preserve"> to evaluate potential </w:t>
      </w:r>
      <w:r>
        <w:rPr>
          <w:color w:val="231F20"/>
          <w:spacing w:val="-1"/>
        </w:rPr>
        <w:t>exposure</w:t>
      </w:r>
      <w:r>
        <w:rPr>
          <w:color w:val="231F20"/>
        </w:rPr>
        <w:t xml:space="preserve"> while</w:t>
      </w:r>
      <w:r>
        <w:rPr>
          <w:color w:val="231F20"/>
          <w:spacing w:val="61"/>
        </w:rPr>
        <w:t xml:space="preserve"> </w:t>
      </w:r>
      <w:r>
        <w:rPr>
          <w:color w:val="231F20"/>
          <w:spacing w:val="-1"/>
        </w:rPr>
        <w:t>accounting</w:t>
      </w:r>
      <w:r>
        <w:rPr>
          <w:color w:val="231F20"/>
        </w:rPr>
        <w:t xml:space="preserve"> for bottled water </w:t>
      </w:r>
      <w:r>
        <w:rPr>
          <w:color w:val="231F20"/>
          <w:spacing w:val="-1"/>
        </w:rPr>
        <w:t>usage</w:t>
      </w:r>
      <w:r>
        <w:rPr>
          <w:color w:val="231F20"/>
        </w:rPr>
        <w:t xml:space="preserve"> during the maternal </w:t>
      </w:r>
      <w:r>
        <w:rPr>
          <w:color w:val="231F20"/>
          <w:spacing w:val="-1"/>
        </w:rPr>
        <w:t>exposure</w:t>
      </w:r>
      <w:r>
        <w:rPr>
          <w:color w:val="231F20"/>
        </w:rPr>
        <w:t xml:space="preserve"> period.</w:t>
      </w:r>
    </w:p>
    <w:p w14:paraId="72CD49E8" w14:textId="1DA4CDB8" w:rsidR="003477EB" w:rsidRDefault="003477EB" w:rsidP="003477EB">
      <w:pPr>
        <w:pStyle w:val="BodyText"/>
        <w:spacing w:before="240" w:line="264" w:lineRule="auto"/>
        <w:ind w:right="461"/>
        <w:rPr>
          <w:color w:val="231F20"/>
          <w:spacing w:val="-1"/>
        </w:rPr>
      </w:pPr>
      <w:r>
        <w:rPr>
          <w:color w:val="231F20"/>
          <w:spacing w:val="1"/>
        </w:rPr>
        <w:t>Analyses</w:t>
      </w:r>
      <w:r>
        <w:rPr>
          <w:color w:val="231F20"/>
          <w:spacing w:val="2"/>
        </w:rPr>
        <w:t xml:space="preserve"> </w:t>
      </w:r>
      <w:r>
        <w:rPr>
          <w:color w:val="231F20"/>
        </w:rPr>
        <w:t>of</w:t>
      </w:r>
      <w:r>
        <w:rPr>
          <w:color w:val="231F20"/>
          <w:spacing w:val="2"/>
        </w:rPr>
        <w:t xml:space="preserve"> </w:t>
      </w:r>
      <w:r>
        <w:rPr>
          <w:color w:val="231F20"/>
          <w:spacing w:val="1"/>
        </w:rPr>
        <w:t>risk</w:t>
      </w:r>
      <w:r>
        <w:rPr>
          <w:color w:val="231F20"/>
          <w:spacing w:val="2"/>
        </w:rPr>
        <w:t xml:space="preserve"> </w:t>
      </w:r>
      <w:r>
        <w:rPr>
          <w:color w:val="231F20"/>
        </w:rPr>
        <w:t>factors</w:t>
      </w:r>
      <w:r>
        <w:rPr>
          <w:color w:val="231F20"/>
          <w:spacing w:val="2"/>
        </w:rPr>
        <w:t xml:space="preserve"> </w:t>
      </w:r>
      <w:r>
        <w:rPr>
          <w:color w:val="231F20"/>
          <w:spacing w:val="-1"/>
        </w:rPr>
        <w:t>were</w:t>
      </w:r>
      <w:r>
        <w:rPr>
          <w:color w:val="231F20"/>
          <w:spacing w:val="2"/>
        </w:rPr>
        <w:t xml:space="preserve"> </w:t>
      </w:r>
      <w:r>
        <w:rPr>
          <w:color w:val="231F20"/>
        </w:rPr>
        <w:t>conducted</w:t>
      </w:r>
      <w:r>
        <w:rPr>
          <w:color w:val="231F20"/>
          <w:spacing w:val="2"/>
        </w:rPr>
        <w:t xml:space="preserve"> </w:t>
      </w:r>
      <w:r>
        <w:rPr>
          <w:color w:val="231F20"/>
        </w:rPr>
        <w:t>among</w:t>
      </w:r>
      <w:r>
        <w:rPr>
          <w:color w:val="231F20"/>
          <w:spacing w:val="2"/>
        </w:rPr>
        <w:t xml:space="preserve"> </w:t>
      </w:r>
      <w:r>
        <w:rPr>
          <w:color w:val="231F20"/>
          <w:spacing w:val="1"/>
        </w:rPr>
        <w:t>all</w:t>
      </w:r>
      <w:r>
        <w:rPr>
          <w:color w:val="231F20"/>
          <w:spacing w:val="2"/>
        </w:rPr>
        <w:t xml:space="preserve"> </w:t>
      </w:r>
      <w:r>
        <w:rPr>
          <w:color w:val="231F20"/>
        </w:rPr>
        <w:t>study</w:t>
      </w:r>
      <w:r>
        <w:rPr>
          <w:color w:val="231F20"/>
          <w:spacing w:val="2"/>
        </w:rPr>
        <w:t xml:space="preserve"> </w:t>
      </w:r>
      <w:r>
        <w:rPr>
          <w:color w:val="231F20"/>
          <w:spacing w:val="1"/>
        </w:rPr>
        <w:t>participants</w:t>
      </w:r>
      <w:r>
        <w:rPr>
          <w:color w:val="231F20"/>
          <w:spacing w:val="2"/>
        </w:rPr>
        <w:t xml:space="preserve"> </w:t>
      </w:r>
      <w:r>
        <w:rPr>
          <w:color w:val="231F20"/>
        </w:rPr>
        <w:t>combined</w:t>
      </w:r>
      <w:r>
        <w:rPr>
          <w:color w:val="231F20"/>
          <w:spacing w:val="71"/>
        </w:rPr>
        <w:t xml:space="preserve"> </w:t>
      </w:r>
      <w:r>
        <w:rPr>
          <w:color w:val="231F20"/>
        </w:rPr>
        <w:t>(the</w:t>
      </w:r>
      <w:r>
        <w:rPr>
          <w:color w:val="231F20"/>
          <w:spacing w:val="2"/>
        </w:rPr>
        <w:t xml:space="preserve"> </w:t>
      </w:r>
      <w:r>
        <w:rPr>
          <w:color w:val="231F20"/>
          <w:spacing w:val="1"/>
        </w:rPr>
        <w:t>All</w:t>
      </w:r>
      <w:r>
        <w:rPr>
          <w:color w:val="231F20"/>
          <w:spacing w:val="2"/>
        </w:rPr>
        <w:t xml:space="preserve"> </w:t>
      </w:r>
      <w:r>
        <w:rPr>
          <w:color w:val="231F20"/>
        </w:rPr>
        <w:t>Cancers</w:t>
      </w:r>
      <w:r>
        <w:rPr>
          <w:color w:val="231F20"/>
          <w:spacing w:val="2"/>
        </w:rPr>
        <w:t xml:space="preserve"> </w:t>
      </w:r>
      <w:r>
        <w:rPr>
          <w:color w:val="231F20"/>
        </w:rPr>
        <w:t>group)</w:t>
      </w:r>
      <w:r>
        <w:rPr>
          <w:color w:val="231F20"/>
          <w:spacing w:val="2"/>
        </w:rPr>
        <w:t xml:space="preserve"> </w:t>
      </w:r>
      <w:r>
        <w:rPr>
          <w:color w:val="231F20"/>
        </w:rPr>
        <w:t>and</w:t>
      </w:r>
      <w:r>
        <w:rPr>
          <w:color w:val="231F20"/>
          <w:spacing w:val="2"/>
        </w:rPr>
        <w:t xml:space="preserve"> </w:t>
      </w:r>
      <w:r>
        <w:rPr>
          <w:color w:val="231F20"/>
          <w:spacing w:val="1"/>
        </w:rPr>
        <w:t>separately</w:t>
      </w:r>
      <w:r>
        <w:rPr>
          <w:color w:val="231F20"/>
          <w:spacing w:val="2"/>
        </w:rPr>
        <w:t xml:space="preserve"> </w:t>
      </w:r>
      <w:r>
        <w:rPr>
          <w:color w:val="231F20"/>
          <w:spacing w:val="1"/>
        </w:rPr>
        <w:t>for</w:t>
      </w:r>
      <w:r>
        <w:rPr>
          <w:color w:val="231F20"/>
          <w:spacing w:val="2"/>
        </w:rPr>
        <w:t xml:space="preserve"> </w:t>
      </w:r>
      <w:r>
        <w:rPr>
          <w:color w:val="231F20"/>
        </w:rPr>
        <w:t>those</w:t>
      </w:r>
      <w:r>
        <w:rPr>
          <w:color w:val="231F20"/>
          <w:spacing w:val="2"/>
        </w:rPr>
        <w:t xml:space="preserve"> </w:t>
      </w:r>
      <w:r>
        <w:rPr>
          <w:color w:val="231F20"/>
        </w:rPr>
        <w:t>diagnosed</w:t>
      </w:r>
      <w:r>
        <w:rPr>
          <w:color w:val="231F20"/>
          <w:spacing w:val="2"/>
        </w:rPr>
        <w:t xml:space="preserve"> </w:t>
      </w:r>
      <w:r>
        <w:rPr>
          <w:color w:val="231F20"/>
          <w:spacing w:val="1"/>
        </w:rPr>
        <w:t>only</w:t>
      </w:r>
      <w:r>
        <w:rPr>
          <w:color w:val="231F20"/>
          <w:spacing w:val="2"/>
        </w:rPr>
        <w:t xml:space="preserve"> </w:t>
      </w:r>
      <w:r>
        <w:rPr>
          <w:color w:val="231F20"/>
        </w:rPr>
        <w:t>with</w:t>
      </w:r>
      <w:r>
        <w:rPr>
          <w:color w:val="231F20"/>
          <w:spacing w:val="2"/>
        </w:rPr>
        <w:t xml:space="preserve"> </w:t>
      </w:r>
      <w:r>
        <w:rPr>
          <w:color w:val="231F20"/>
        </w:rPr>
        <w:t>leukemia</w:t>
      </w:r>
      <w:r>
        <w:rPr>
          <w:color w:val="231F20"/>
          <w:spacing w:val="2"/>
        </w:rPr>
        <w:t xml:space="preserve"> </w:t>
      </w:r>
      <w:r>
        <w:rPr>
          <w:color w:val="231F20"/>
          <w:spacing w:val="1"/>
        </w:rPr>
        <w:t>or</w:t>
      </w:r>
      <w:r>
        <w:rPr>
          <w:color w:val="231F20"/>
          <w:spacing w:val="79"/>
        </w:rPr>
        <w:t xml:space="preserve"> </w:t>
      </w:r>
      <w:r>
        <w:rPr>
          <w:color w:val="231F20"/>
          <w:spacing w:val="1"/>
        </w:rPr>
        <w:t>lymphoma</w:t>
      </w:r>
      <w:r>
        <w:rPr>
          <w:color w:val="231F20"/>
          <w:spacing w:val="-4"/>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spacing w:val="1"/>
        </w:rPr>
        <w:t>matched</w:t>
      </w:r>
      <w:r>
        <w:rPr>
          <w:color w:val="231F20"/>
          <w:spacing w:val="-4"/>
        </w:rPr>
        <w:t xml:space="preserve"> </w:t>
      </w:r>
      <w:r>
        <w:rPr>
          <w:color w:val="231F20"/>
        </w:rPr>
        <w:t>controls</w:t>
      </w:r>
      <w:r>
        <w:rPr>
          <w:color w:val="231F20"/>
          <w:spacing w:val="-3"/>
        </w:rPr>
        <w:t xml:space="preserve"> </w:t>
      </w:r>
      <w:r>
        <w:rPr>
          <w:color w:val="231F20"/>
        </w:rPr>
        <w:t>(the</w:t>
      </w:r>
      <w:r>
        <w:rPr>
          <w:color w:val="231F20"/>
          <w:spacing w:val="-3"/>
        </w:rPr>
        <w:t xml:space="preserve"> </w:t>
      </w:r>
      <w:r>
        <w:rPr>
          <w:color w:val="231F20"/>
          <w:spacing w:val="1"/>
        </w:rPr>
        <w:t>Leukemia/Lymphoma</w:t>
      </w:r>
      <w:r>
        <w:rPr>
          <w:color w:val="231F20"/>
          <w:spacing w:val="-4"/>
        </w:rPr>
        <w:t xml:space="preserve"> </w:t>
      </w:r>
      <w:r>
        <w:rPr>
          <w:color w:val="231F20"/>
        </w:rPr>
        <w:t>subgroup).</w:t>
      </w:r>
      <w:r>
        <w:rPr>
          <w:color w:val="231F20"/>
          <w:spacing w:val="-28"/>
        </w:rPr>
        <w:t xml:space="preserve"> </w:t>
      </w:r>
      <w:r>
        <w:rPr>
          <w:color w:val="231F20"/>
          <w:spacing w:val="1"/>
        </w:rPr>
        <w:t>The</w:t>
      </w:r>
      <w:r>
        <w:t xml:space="preserve"> </w:t>
      </w:r>
      <w:r>
        <w:rPr>
          <w:color w:val="231F20"/>
        </w:rPr>
        <w:t>leukemia</w:t>
      </w:r>
      <w:r>
        <w:rPr>
          <w:color w:val="231F20"/>
          <w:spacing w:val="2"/>
        </w:rPr>
        <w:t xml:space="preserve"> </w:t>
      </w:r>
      <w:r>
        <w:rPr>
          <w:color w:val="231F20"/>
        </w:rPr>
        <w:t>and</w:t>
      </w:r>
      <w:r>
        <w:rPr>
          <w:color w:val="231F20"/>
          <w:spacing w:val="2"/>
        </w:rPr>
        <w:t xml:space="preserve"> </w:t>
      </w:r>
      <w:r>
        <w:rPr>
          <w:color w:val="231F20"/>
          <w:spacing w:val="1"/>
        </w:rPr>
        <w:t>lymphoma</w:t>
      </w:r>
      <w:r>
        <w:rPr>
          <w:color w:val="231F20"/>
          <w:spacing w:val="2"/>
        </w:rPr>
        <w:t xml:space="preserve"> </w:t>
      </w:r>
      <w:r>
        <w:rPr>
          <w:color w:val="231F20"/>
          <w:spacing w:val="1"/>
        </w:rPr>
        <w:t>cases</w:t>
      </w:r>
      <w:r>
        <w:rPr>
          <w:color w:val="231F20"/>
          <w:spacing w:val="2"/>
        </w:rPr>
        <w:t xml:space="preserve"> </w:t>
      </w:r>
      <w:r>
        <w:rPr>
          <w:color w:val="231F20"/>
          <w:spacing w:val="-1"/>
        </w:rPr>
        <w:t>were</w:t>
      </w:r>
      <w:r>
        <w:rPr>
          <w:color w:val="231F20"/>
          <w:spacing w:val="2"/>
        </w:rPr>
        <w:t xml:space="preserve"> analyzed </w:t>
      </w:r>
      <w:r>
        <w:rPr>
          <w:color w:val="231F20"/>
        </w:rPr>
        <w:t>together</w:t>
      </w:r>
      <w:r>
        <w:rPr>
          <w:color w:val="231F20"/>
          <w:spacing w:val="2"/>
        </w:rPr>
        <w:t xml:space="preserve"> </w:t>
      </w:r>
      <w:r>
        <w:rPr>
          <w:color w:val="231F20"/>
          <w:spacing w:val="1"/>
        </w:rPr>
        <w:t>because</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some</w:t>
      </w:r>
      <w:r>
        <w:rPr>
          <w:color w:val="231F20"/>
          <w:spacing w:val="2"/>
        </w:rPr>
        <w:t xml:space="preserve"> </w:t>
      </w:r>
      <w:r>
        <w:rPr>
          <w:color w:val="231F20"/>
        </w:rPr>
        <w:t>evidence</w:t>
      </w:r>
      <w:r>
        <w:rPr>
          <w:color w:val="231F20"/>
          <w:spacing w:val="54"/>
        </w:rPr>
        <w:t xml:space="preserve"> </w:t>
      </w:r>
      <w:r>
        <w:rPr>
          <w:color w:val="231F20"/>
        </w:rPr>
        <w:t xml:space="preserve">that these cancer </w:t>
      </w:r>
      <w:r>
        <w:rPr>
          <w:color w:val="231F20"/>
          <w:spacing w:val="1"/>
        </w:rPr>
        <w:t>types</w:t>
      </w:r>
      <w:r>
        <w:rPr>
          <w:color w:val="231F20"/>
        </w:rPr>
        <w:t xml:space="preserve"> </w:t>
      </w:r>
      <w:r>
        <w:rPr>
          <w:color w:val="231F20"/>
          <w:spacing w:val="-1"/>
        </w:rPr>
        <w:t>may</w:t>
      </w:r>
      <w:r>
        <w:rPr>
          <w:color w:val="231F20"/>
        </w:rPr>
        <w:t xml:space="preserve"> </w:t>
      </w:r>
      <w:r>
        <w:rPr>
          <w:color w:val="231F20"/>
          <w:spacing w:val="-1"/>
        </w:rPr>
        <w:t>share</w:t>
      </w:r>
      <w:r>
        <w:rPr>
          <w:color w:val="231F20"/>
        </w:rPr>
        <w:t xml:space="preserve"> a </w:t>
      </w:r>
      <w:r>
        <w:rPr>
          <w:color w:val="231F20"/>
          <w:spacing w:val="-1"/>
        </w:rPr>
        <w:t>more</w:t>
      </w:r>
      <w:r>
        <w:rPr>
          <w:color w:val="231F20"/>
        </w:rPr>
        <w:t xml:space="preserve"> similar etiology </w:t>
      </w:r>
      <w:r>
        <w:rPr>
          <w:color w:val="231F20"/>
          <w:spacing w:val="-1"/>
        </w:rPr>
        <w:t>compared</w:t>
      </w:r>
      <w:r>
        <w:rPr>
          <w:color w:val="231F20"/>
        </w:rPr>
        <w:t xml:space="preserve"> to all </w:t>
      </w:r>
      <w:r>
        <w:rPr>
          <w:color w:val="231F20"/>
          <w:spacing w:val="1"/>
        </w:rPr>
        <w:t>types</w:t>
      </w:r>
      <w:r>
        <w:rPr>
          <w:color w:val="231F20"/>
        </w:rPr>
        <w:t xml:space="preserve"> of</w:t>
      </w:r>
      <w:r>
        <w:rPr>
          <w:color w:val="231F20"/>
          <w:spacing w:val="34"/>
        </w:rPr>
        <w:t xml:space="preserve"> </w:t>
      </w:r>
      <w:r>
        <w:rPr>
          <w:color w:val="231F20"/>
        </w:rPr>
        <w:t xml:space="preserve">cancer </w:t>
      </w:r>
      <w:r>
        <w:rPr>
          <w:color w:val="231F20"/>
          <w:spacing w:val="-1"/>
        </w:rPr>
        <w:t>combined.</w:t>
      </w:r>
      <w:r>
        <w:rPr>
          <w:color w:val="231F20"/>
          <w:spacing w:val="-1"/>
        </w:rPr>
        <w:br w:type="page"/>
      </w:r>
    </w:p>
    <w:p w14:paraId="6E1E822E" w14:textId="0A139B4C" w:rsidR="008D1590" w:rsidRPr="00923155" w:rsidRDefault="008D1590" w:rsidP="009B5DA2">
      <w:pPr>
        <w:pStyle w:val="Heading2"/>
      </w:pPr>
      <w:bookmarkStart w:id="12" w:name="_Toc67488263"/>
      <w:r w:rsidRPr="00923155">
        <w:lastRenderedPageBreak/>
        <w:t>RESULTS</w:t>
      </w:r>
      <w:bookmarkEnd w:id="11"/>
      <w:bookmarkEnd w:id="12"/>
    </w:p>
    <w:p w14:paraId="23751181" w14:textId="77777777" w:rsidR="008D1590" w:rsidRPr="00923155" w:rsidRDefault="008D1590" w:rsidP="0010161F">
      <w:pPr>
        <w:pStyle w:val="Heading3"/>
      </w:pPr>
      <w:r w:rsidRPr="00923155">
        <w:t>Exposure Concentrations</w:t>
      </w:r>
    </w:p>
    <w:p w14:paraId="0CD2A7AD" w14:textId="18712D07" w:rsidR="003477EB" w:rsidRDefault="003477EB" w:rsidP="003477EB">
      <w:pPr>
        <w:pStyle w:val="BodyText"/>
        <w:spacing w:before="240"/>
        <w:ind w:right="112"/>
      </w:pPr>
      <w:r>
        <w:rPr>
          <w:color w:val="231F20"/>
        </w:rPr>
        <w:t>For</w:t>
      </w:r>
      <w:r>
        <w:rPr>
          <w:color w:val="231F20"/>
          <w:spacing w:val="12"/>
        </w:rPr>
        <w:t xml:space="preserve"> </w:t>
      </w:r>
      <w:r>
        <w:rPr>
          <w:color w:val="231F20"/>
          <w:spacing w:val="4"/>
        </w:rPr>
        <w:t>NDMA</w:t>
      </w:r>
      <w:r>
        <w:rPr>
          <w:color w:val="231F20"/>
          <w:spacing w:val="12"/>
        </w:rPr>
        <w:t xml:space="preserve"> </w:t>
      </w:r>
      <w:r>
        <w:rPr>
          <w:color w:val="231F20"/>
          <w:spacing w:val="4"/>
        </w:rPr>
        <w:t>exposure</w:t>
      </w:r>
      <w:r>
        <w:rPr>
          <w:color w:val="231F20"/>
          <w:spacing w:val="12"/>
        </w:rPr>
        <w:t xml:space="preserve"> </w:t>
      </w:r>
      <w:r>
        <w:rPr>
          <w:color w:val="231F20"/>
          <w:spacing w:val="3"/>
        </w:rPr>
        <w:t>in</w:t>
      </w:r>
      <w:r>
        <w:rPr>
          <w:color w:val="231F20"/>
          <w:spacing w:val="12"/>
        </w:rPr>
        <w:t xml:space="preserve"> </w:t>
      </w:r>
      <w:r>
        <w:rPr>
          <w:color w:val="231F20"/>
          <w:spacing w:val="4"/>
        </w:rPr>
        <w:t>the</w:t>
      </w:r>
      <w:r>
        <w:rPr>
          <w:color w:val="231F20"/>
          <w:spacing w:val="12"/>
        </w:rPr>
        <w:t xml:space="preserve"> </w:t>
      </w:r>
      <w:r>
        <w:rPr>
          <w:color w:val="231F20"/>
          <w:spacing w:val="4"/>
        </w:rPr>
        <w:t>All</w:t>
      </w:r>
      <w:r>
        <w:rPr>
          <w:color w:val="231F20"/>
          <w:spacing w:val="12"/>
        </w:rPr>
        <w:t xml:space="preserve"> </w:t>
      </w:r>
      <w:r>
        <w:rPr>
          <w:color w:val="231F20"/>
          <w:spacing w:val="5"/>
        </w:rPr>
        <w:t>Cancers</w:t>
      </w:r>
      <w:r>
        <w:rPr>
          <w:color w:val="231F20"/>
          <w:spacing w:val="12"/>
        </w:rPr>
        <w:t xml:space="preserve"> </w:t>
      </w:r>
      <w:r>
        <w:rPr>
          <w:color w:val="231F20"/>
          <w:spacing w:val="3"/>
        </w:rPr>
        <w:t>group,</w:t>
      </w:r>
      <w:r>
        <w:rPr>
          <w:color w:val="231F20"/>
          <w:spacing w:val="-5"/>
        </w:rPr>
        <w:t xml:space="preserve"> </w:t>
      </w:r>
      <w:r>
        <w:rPr>
          <w:color w:val="231F20"/>
          <w:spacing w:val="5"/>
        </w:rPr>
        <w:t>fifty</w:t>
      </w:r>
      <w:r>
        <w:rPr>
          <w:color w:val="231F20"/>
          <w:spacing w:val="12"/>
        </w:rPr>
        <w:t xml:space="preserve"> </w:t>
      </w:r>
      <w:r>
        <w:rPr>
          <w:color w:val="231F20"/>
          <w:spacing w:val="4"/>
        </w:rPr>
        <w:t>percent</w:t>
      </w:r>
      <w:r>
        <w:rPr>
          <w:color w:val="231F20"/>
          <w:spacing w:val="12"/>
        </w:rPr>
        <w:t xml:space="preserve"> </w:t>
      </w:r>
      <w:r>
        <w:rPr>
          <w:color w:val="231F20"/>
          <w:spacing w:val="4"/>
        </w:rPr>
        <w:t>(50%)</w:t>
      </w:r>
      <w:r>
        <w:rPr>
          <w:color w:val="231F20"/>
          <w:spacing w:val="12"/>
        </w:rPr>
        <w:t xml:space="preserve"> </w:t>
      </w:r>
      <w:r>
        <w:rPr>
          <w:color w:val="231F20"/>
          <w:spacing w:val="3"/>
        </w:rPr>
        <w:t>of</w:t>
      </w:r>
      <w:r>
        <w:rPr>
          <w:color w:val="231F20"/>
          <w:spacing w:val="12"/>
        </w:rPr>
        <w:t xml:space="preserve"> </w:t>
      </w:r>
      <w:r>
        <w:rPr>
          <w:color w:val="231F20"/>
          <w:spacing w:val="6"/>
        </w:rPr>
        <w:t>case</w:t>
      </w:r>
      <w:r>
        <w:rPr>
          <w:color w:val="231F20"/>
          <w:spacing w:val="62"/>
        </w:rPr>
        <w:t xml:space="preserve"> </w:t>
      </w:r>
      <w:r>
        <w:rPr>
          <w:color w:val="231F20"/>
        </w:rPr>
        <w:t xml:space="preserve">mothers </w:t>
      </w:r>
      <w:r>
        <w:rPr>
          <w:color w:val="231F20"/>
          <w:spacing w:val="-1"/>
        </w:rPr>
        <w:t>are</w:t>
      </w:r>
      <w:r>
        <w:rPr>
          <w:color w:val="231F20"/>
        </w:rPr>
        <w:t xml:space="preserve"> estimated to </w:t>
      </w:r>
      <w:r>
        <w:rPr>
          <w:color w:val="231F20"/>
          <w:spacing w:val="-1"/>
        </w:rPr>
        <w:t>have</w:t>
      </w:r>
      <w:r>
        <w:rPr>
          <w:color w:val="231F20"/>
        </w:rPr>
        <w:t xml:space="preserve"> </w:t>
      </w:r>
      <w:r>
        <w:rPr>
          <w:color w:val="231F20"/>
          <w:spacing w:val="-1"/>
        </w:rPr>
        <w:t>had</w:t>
      </w:r>
      <w:r>
        <w:rPr>
          <w:color w:val="231F20"/>
        </w:rPr>
        <w:t xml:space="preserve"> NDMA </w:t>
      </w:r>
      <w:r>
        <w:rPr>
          <w:color w:val="231F20"/>
          <w:spacing w:val="-1"/>
        </w:rPr>
        <w:t>present</w:t>
      </w:r>
      <w:r>
        <w:rPr>
          <w:color w:val="231F20"/>
        </w:rPr>
        <w:t xml:space="preserve"> in their tap water during at least</w:t>
      </w:r>
      <w:r>
        <w:rPr>
          <w:color w:val="231F20"/>
          <w:spacing w:val="30"/>
        </w:rPr>
        <w:t xml:space="preserve"> </w:t>
      </w:r>
      <w:r>
        <w:rPr>
          <w:color w:val="231F20"/>
          <w:spacing w:val="-1"/>
        </w:rPr>
        <w:t>one</w:t>
      </w:r>
      <w:r>
        <w:rPr>
          <w:color w:val="231F20"/>
        </w:rPr>
        <w:t xml:space="preserve"> </w:t>
      </w:r>
      <w:r>
        <w:rPr>
          <w:color w:val="231F20"/>
          <w:spacing w:val="-1"/>
        </w:rPr>
        <w:t>month</w:t>
      </w:r>
      <w:r>
        <w:rPr>
          <w:color w:val="231F20"/>
        </w:rPr>
        <w:t xml:space="preserve"> in the </w:t>
      </w:r>
      <w:r>
        <w:rPr>
          <w:color w:val="231F20"/>
          <w:spacing w:val="-1"/>
        </w:rPr>
        <w:t>year</w:t>
      </w:r>
      <w:r>
        <w:rPr>
          <w:color w:val="231F20"/>
        </w:rPr>
        <w:t xml:space="preserve"> prior to their </w:t>
      </w:r>
      <w:r>
        <w:rPr>
          <w:color w:val="231F20"/>
          <w:spacing w:val="-2"/>
        </w:rPr>
        <w:t>child’s</w:t>
      </w:r>
      <w:r>
        <w:rPr>
          <w:color w:val="231F20"/>
        </w:rPr>
        <w:t xml:space="preserve"> birth </w:t>
      </w:r>
      <w:r>
        <w:rPr>
          <w:color w:val="231F20"/>
          <w:spacing w:val="-1"/>
        </w:rPr>
        <w:t>compared</w:t>
      </w:r>
      <w:r>
        <w:rPr>
          <w:color w:val="231F20"/>
        </w:rPr>
        <w:t xml:space="preserve"> to 34% of </w:t>
      </w:r>
      <w:r>
        <w:rPr>
          <w:color w:val="231F20"/>
          <w:spacing w:val="-1"/>
        </w:rPr>
        <w:t>control</w:t>
      </w:r>
      <w:r>
        <w:rPr>
          <w:color w:val="231F20"/>
        </w:rPr>
        <w:t xml:space="preserve"> </w:t>
      </w:r>
      <w:r>
        <w:rPr>
          <w:color w:val="231F20"/>
          <w:spacing w:val="-1"/>
        </w:rPr>
        <w:t>moth-</w:t>
      </w:r>
      <w:r>
        <w:rPr>
          <w:color w:val="231F20"/>
          <w:spacing w:val="51"/>
        </w:rPr>
        <w:t xml:space="preserve"> </w:t>
      </w:r>
      <w:proofErr w:type="spellStart"/>
      <w:r>
        <w:rPr>
          <w:color w:val="231F20"/>
          <w:spacing w:val="-2"/>
        </w:rPr>
        <w:t>ers</w:t>
      </w:r>
      <w:proofErr w:type="spellEnd"/>
      <w:r>
        <w:rPr>
          <w:color w:val="231F20"/>
          <w:spacing w:val="-2"/>
        </w:rPr>
        <w:t>.</w:t>
      </w:r>
      <w:r>
        <w:rPr>
          <w:color w:val="231F20"/>
          <w:spacing w:val="-32"/>
        </w:rPr>
        <w:t xml:space="preserve"> </w:t>
      </w:r>
      <w:r>
        <w:rPr>
          <w:color w:val="231F20"/>
          <w:spacing w:val="-3"/>
        </w:rPr>
        <w:t>The</w:t>
      </w:r>
      <w:r>
        <w:rPr>
          <w:color w:val="231F20"/>
          <w:spacing w:val="-6"/>
        </w:rPr>
        <w:t xml:space="preserve"> </w:t>
      </w:r>
      <w:r>
        <w:rPr>
          <w:color w:val="231F20"/>
          <w:spacing w:val="-2"/>
        </w:rPr>
        <w:t>median</w:t>
      </w:r>
      <w:r>
        <w:rPr>
          <w:color w:val="231F20"/>
          <w:spacing w:val="-7"/>
        </w:rPr>
        <w:t xml:space="preserve"> </w:t>
      </w:r>
      <w:r>
        <w:rPr>
          <w:color w:val="231F20"/>
          <w:spacing w:val="-2"/>
        </w:rPr>
        <w:t>non-zero</w:t>
      </w:r>
      <w:r>
        <w:rPr>
          <w:color w:val="231F20"/>
          <w:spacing w:val="-6"/>
        </w:rPr>
        <w:t xml:space="preserve"> </w:t>
      </w:r>
      <w:r>
        <w:rPr>
          <w:color w:val="231F20"/>
          <w:spacing w:val="-2"/>
        </w:rPr>
        <w:t>monthly</w:t>
      </w:r>
      <w:r>
        <w:rPr>
          <w:color w:val="231F20"/>
          <w:spacing w:val="-6"/>
        </w:rPr>
        <w:t xml:space="preserve"> </w:t>
      </w:r>
      <w:r>
        <w:rPr>
          <w:color w:val="231F20"/>
          <w:spacing w:val="-2"/>
        </w:rPr>
        <w:t>concentration</w:t>
      </w:r>
      <w:r>
        <w:rPr>
          <w:color w:val="231F20"/>
          <w:spacing w:val="-6"/>
        </w:rPr>
        <w:t xml:space="preserve"> </w:t>
      </w:r>
      <w:r>
        <w:rPr>
          <w:color w:val="231F20"/>
          <w:spacing w:val="-2"/>
        </w:rPr>
        <w:t>estimated</w:t>
      </w:r>
      <w:r>
        <w:rPr>
          <w:color w:val="231F20"/>
          <w:spacing w:val="-6"/>
        </w:rPr>
        <w:t xml:space="preserve"> </w:t>
      </w:r>
      <w:r>
        <w:rPr>
          <w:color w:val="231F20"/>
          <w:spacing w:val="-1"/>
        </w:rPr>
        <w:t>at</w:t>
      </w:r>
      <w:r>
        <w:rPr>
          <w:color w:val="231F20"/>
          <w:spacing w:val="-7"/>
        </w:rPr>
        <w:t xml:space="preserve"> </w:t>
      </w:r>
      <w:r>
        <w:rPr>
          <w:color w:val="231F20"/>
          <w:spacing w:val="-2"/>
        </w:rPr>
        <w:t>the</w:t>
      </w:r>
      <w:r>
        <w:rPr>
          <w:color w:val="231F20"/>
          <w:spacing w:val="-6"/>
        </w:rPr>
        <w:t xml:space="preserve"> </w:t>
      </w:r>
      <w:r>
        <w:rPr>
          <w:color w:val="231F20"/>
          <w:spacing w:val="-2"/>
        </w:rPr>
        <w:t>tap</w:t>
      </w:r>
      <w:r>
        <w:rPr>
          <w:color w:val="231F20"/>
          <w:spacing w:val="-6"/>
        </w:rPr>
        <w:t xml:space="preserve"> </w:t>
      </w:r>
      <w:r>
        <w:rPr>
          <w:color w:val="231F20"/>
          <w:spacing w:val="-1"/>
        </w:rPr>
        <w:t>of</w:t>
      </w:r>
      <w:r>
        <w:rPr>
          <w:color w:val="231F20"/>
          <w:spacing w:val="-6"/>
        </w:rPr>
        <w:t xml:space="preserve"> </w:t>
      </w:r>
      <w:r>
        <w:rPr>
          <w:color w:val="231F20"/>
          <w:spacing w:val="-1"/>
        </w:rPr>
        <w:t>case</w:t>
      </w:r>
      <w:r>
        <w:rPr>
          <w:color w:val="231F20"/>
          <w:spacing w:val="-6"/>
        </w:rPr>
        <w:t xml:space="preserve"> </w:t>
      </w:r>
      <w:r>
        <w:rPr>
          <w:color w:val="231F20"/>
          <w:spacing w:val="-2"/>
        </w:rPr>
        <w:t>mothers</w:t>
      </w:r>
      <w:r>
        <w:rPr>
          <w:color w:val="231F20"/>
          <w:spacing w:val="43"/>
        </w:rPr>
        <w:t xml:space="preserve"> </w:t>
      </w:r>
      <w:r>
        <w:rPr>
          <w:color w:val="231F20"/>
        </w:rPr>
        <w:t>is</w:t>
      </w:r>
      <w:r>
        <w:rPr>
          <w:color w:val="231F20"/>
          <w:spacing w:val="-4"/>
        </w:rPr>
        <w:t xml:space="preserve"> </w:t>
      </w:r>
      <w:r>
        <w:rPr>
          <w:color w:val="231F20"/>
        </w:rPr>
        <w:t>52.2</w:t>
      </w:r>
      <w:r>
        <w:rPr>
          <w:color w:val="231F20"/>
          <w:spacing w:val="-3"/>
        </w:rPr>
        <w:t xml:space="preserve"> </w:t>
      </w:r>
      <w:r>
        <w:rPr>
          <w:color w:val="231F20"/>
        </w:rPr>
        <w:t>ng/L</w:t>
      </w:r>
      <w:r>
        <w:rPr>
          <w:color w:val="231F20"/>
          <w:spacing w:val="-3"/>
        </w:rPr>
        <w:t xml:space="preserve"> </w:t>
      </w:r>
      <w:r>
        <w:rPr>
          <w:color w:val="231F20"/>
          <w:spacing w:val="-1"/>
        </w:rPr>
        <w:t>compared</w:t>
      </w:r>
      <w:r>
        <w:rPr>
          <w:color w:val="231F20"/>
          <w:spacing w:val="-3"/>
        </w:rPr>
        <w:t xml:space="preserve"> </w:t>
      </w:r>
      <w:r>
        <w:rPr>
          <w:color w:val="231F20"/>
        </w:rPr>
        <w:t>to</w:t>
      </w:r>
      <w:r>
        <w:rPr>
          <w:color w:val="231F20"/>
          <w:spacing w:val="-3"/>
        </w:rPr>
        <w:t xml:space="preserve"> </w:t>
      </w:r>
      <w:r>
        <w:rPr>
          <w:color w:val="231F20"/>
        </w:rPr>
        <w:t>46.8</w:t>
      </w:r>
      <w:r>
        <w:rPr>
          <w:color w:val="231F20"/>
          <w:spacing w:val="-4"/>
        </w:rPr>
        <w:t xml:space="preserve"> </w:t>
      </w:r>
      <w:r>
        <w:rPr>
          <w:color w:val="231F20"/>
        </w:rPr>
        <w:t>ng/L</w:t>
      </w:r>
      <w:r>
        <w:rPr>
          <w:color w:val="231F20"/>
          <w:spacing w:val="-3"/>
        </w:rPr>
        <w:t xml:space="preserve"> </w:t>
      </w:r>
      <w:r>
        <w:rPr>
          <w:color w:val="231F20"/>
        </w:rPr>
        <w:t>for</w:t>
      </w:r>
      <w:r>
        <w:rPr>
          <w:color w:val="231F20"/>
          <w:spacing w:val="-3"/>
        </w:rPr>
        <w:t xml:space="preserve"> </w:t>
      </w:r>
      <w:r>
        <w:rPr>
          <w:color w:val="231F20"/>
          <w:spacing w:val="-1"/>
        </w:rPr>
        <w:t>control</w:t>
      </w:r>
      <w:r>
        <w:rPr>
          <w:color w:val="231F20"/>
          <w:spacing w:val="-3"/>
        </w:rPr>
        <w:t xml:space="preserve"> </w:t>
      </w:r>
      <w:r>
        <w:rPr>
          <w:color w:val="231F20"/>
        </w:rPr>
        <w:t>mothers.</w:t>
      </w:r>
      <w:r>
        <w:rPr>
          <w:color w:val="231F20"/>
          <w:spacing w:val="-30"/>
        </w:rPr>
        <w:t xml:space="preserve"> </w:t>
      </w:r>
      <w:r>
        <w:rPr>
          <w:color w:val="231F20"/>
        </w:rPr>
        <w:t>The</w:t>
      </w:r>
      <w:r>
        <w:rPr>
          <w:color w:val="231F20"/>
          <w:spacing w:val="-3"/>
        </w:rPr>
        <w:t xml:space="preserve"> </w:t>
      </w:r>
      <w:r>
        <w:rPr>
          <w:color w:val="231F20"/>
        </w:rPr>
        <w:t>likelihood</w:t>
      </w:r>
      <w:r>
        <w:rPr>
          <w:color w:val="231F20"/>
          <w:spacing w:val="-3"/>
        </w:rPr>
        <w:t xml:space="preserve"> </w:t>
      </w:r>
      <w:r>
        <w:rPr>
          <w:color w:val="231F20"/>
        </w:rPr>
        <w:t>of</w:t>
      </w:r>
      <w:r>
        <w:rPr>
          <w:color w:val="231F20"/>
          <w:spacing w:val="-3"/>
        </w:rPr>
        <w:t xml:space="preserve"> </w:t>
      </w:r>
      <w:r>
        <w:rPr>
          <w:color w:val="231F20"/>
        </w:rPr>
        <w:t>having</w:t>
      </w:r>
      <w:r>
        <w:rPr>
          <w:color w:val="231F20"/>
          <w:spacing w:val="27"/>
        </w:rPr>
        <w:t xml:space="preserve"> </w:t>
      </w:r>
      <w:r>
        <w:rPr>
          <w:color w:val="231F20"/>
          <w:spacing w:val="-1"/>
        </w:rPr>
        <w:t>had</w:t>
      </w:r>
      <w:r>
        <w:rPr>
          <w:color w:val="231F20"/>
        </w:rPr>
        <w:t xml:space="preserve"> </w:t>
      </w:r>
      <w:r>
        <w:rPr>
          <w:color w:val="231F20"/>
          <w:spacing w:val="-1"/>
        </w:rPr>
        <w:t>any</w:t>
      </w:r>
      <w:r>
        <w:rPr>
          <w:color w:val="231F20"/>
        </w:rPr>
        <w:t xml:space="preserve"> NDMA in </w:t>
      </w:r>
      <w:r>
        <w:rPr>
          <w:color w:val="231F20"/>
          <w:spacing w:val="-1"/>
        </w:rPr>
        <w:t>residential</w:t>
      </w:r>
      <w:r>
        <w:rPr>
          <w:color w:val="231F20"/>
        </w:rPr>
        <w:t xml:space="preserve"> tap water during childhood was similar for cases and</w:t>
      </w:r>
      <w:r>
        <w:rPr>
          <w:color w:val="231F20"/>
          <w:spacing w:val="32"/>
        </w:rPr>
        <w:t xml:space="preserve"> </w:t>
      </w:r>
      <w:r>
        <w:rPr>
          <w:color w:val="231F20"/>
          <w:spacing w:val="-3"/>
        </w:rPr>
        <w:t xml:space="preserve">controls </w:t>
      </w:r>
      <w:r>
        <w:rPr>
          <w:color w:val="231F20"/>
          <w:spacing w:val="-2"/>
        </w:rPr>
        <w:t>(78%</w:t>
      </w:r>
      <w:r>
        <w:rPr>
          <w:color w:val="231F20"/>
          <w:spacing w:val="56"/>
        </w:rPr>
        <w:t xml:space="preserve"> </w:t>
      </w:r>
      <w:r>
        <w:rPr>
          <w:color w:val="231F20"/>
          <w:spacing w:val="-1"/>
        </w:rPr>
        <w:t>vs.</w:t>
      </w:r>
      <w:r>
        <w:rPr>
          <w:color w:val="231F20"/>
          <w:spacing w:val="-20"/>
        </w:rPr>
        <w:t xml:space="preserve"> </w:t>
      </w:r>
      <w:r>
        <w:rPr>
          <w:color w:val="231F20"/>
          <w:spacing w:val="-2"/>
        </w:rPr>
        <w:t>84%).</w:t>
      </w:r>
      <w:r>
        <w:rPr>
          <w:color w:val="231F20"/>
          <w:spacing w:val="-20"/>
        </w:rPr>
        <w:t xml:space="preserve"> </w:t>
      </w:r>
      <w:r>
        <w:rPr>
          <w:color w:val="231F20"/>
          <w:spacing w:val="-2"/>
        </w:rPr>
        <w:t>Estimated</w:t>
      </w:r>
      <w:r>
        <w:rPr>
          <w:color w:val="231F20"/>
          <w:spacing w:val="-3"/>
        </w:rPr>
        <w:t xml:space="preserve"> </w:t>
      </w:r>
      <w:r>
        <w:rPr>
          <w:color w:val="231F20"/>
          <w:spacing w:val="-2"/>
        </w:rPr>
        <w:t>median</w:t>
      </w:r>
      <w:r>
        <w:rPr>
          <w:color w:val="231F20"/>
          <w:spacing w:val="-3"/>
        </w:rPr>
        <w:t xml:space="preserve"> </w:t>
      </w:r>
      <w:r>
        <w:rPr>
          <w:color w:val="231F20"/>
          <w:spacing w:val="-2"/>
        </w:rPr>
        <w:t>non-zero</w:t>
      </w:r>
      <w:r>
        <w:rPr>
          <w:color w:val="231F20"/>
          <w:spacing w:val="-3"/>
        </w:rPr>
        <w:t xml:space="preserve"> </w:t>
      </w:r>
      <w:r>
        <w:rPr>
          <w:color w:val="231F20"/>
          <w:spacing w:val="-2"/>
        </w:rPr>
        <w:t>concentrations</w:t>
      </w:r>
      <w:r>
        <w:rPr>
          <w:color w:val="231F20"/>
          <w:spacing w:val="-3"/>
        </w:rPr>
        <w:t xml:space="preserve"> </w:t>
      </w:r>
      <w:r>
        <w:rPr>
          <w:color w:val="231F20"/>
          <w:spacing w:val="-2"/>
        </w:rPr>
        <w:t>during</w:t>
      </w:r>
      <w:r>
        <w:rPr>
          <w:color w:val="231F20"/>
          <w:spacing w:val="-3"/>
        </w:rPr>
        <w:t xml:space="preserve"> </w:t>
      </w:r>
      <w:r>
        <w:rPr>
          <w:color w:val="231F20"/>
          <w:spacing w:val="-2"/>
        </w:rPr>
        <w:t>the</w:t>
      </w:r>
      <w:r>
        <w:rPr>
          <w:color w:val="231F20"/>
          <w:spacing w:val="-3"/>
        </w:rPr>
        <w:t xml:space="preserve"> </w:t>
      </w:r>
      <w:r>
        <w:rPr>
          <w:color w:val="231F20"/>
          <w:spacing w:val="-2"/>
        </w:rPr>
        <w:t>child-</w:t>
      </w:r>
      <w:r>
        <w:rPr>
          <w:color w:val="231F20"/>
          <w:spacing w:val="57"/>
        </w:rPr>
        <w:t xml:space="preserve"> </w:t>
      </w:r>
      <w:r>
        <w:rPr>
          <w:color w:val="231F20"/>
          <w:spacing w:val="-3"/>
        </w:rPr>
        <w:t>hood</w:t>
      </w:r>
      <w:r>
        <w:rPr>
          <w:color w:val="231F20"/>
          <w:spacing w:val="-5"/>
        </w:rPr>
        <w:t xml:space="preserve"> </w:t>
      </w:r>
      <w:r>
        <w:rPr>
          <w:color w:val="231F20"/>
          <w:spacing w:val="-2"/>
        </w:rPr>
        <w:t>period</w:t>
      </w:r>
      <w:r>
        <w:rPr>
          <w:color w:val="231F20"/>
          <w:spacing w:val="-5"/>
        </w:rPr>
        <w:t xml:space="preserve"> </w:t>
      </w:r>
      <w:r>
        <w:rPr>
          <w:color w:val="231F20"/>
          <w:spacing w:val="-3"/>
        </w:rPr>
        <w:t>were</w:t>
      </w:r>
      <w:r>
        <w:rPr>
          <w:color w:val="231F20"/>
          <w:spacing w:val="-5"/>
        </w:rPr>
        <w:t xml:space="preserve"> </w:t>
      </w:r>
      <w:r>
        <w:rPr>
          <w:color w:val="231F20"/>
          <w:spacing w:val="-3"/>
        </w:rPr>
        <w:t>also</w:t>
      </w:r>
      <w:r>
        <w:rPr>
          <w:color w:val="231F20"/>
          <w:spacing w:val="-5"/>
        </w:rPr>
        <w:t xml:space="preserve"> </w:t>
      </w:r>
      <w:r>
        <w:rPr>
          <w:color w:val="231F20"/>
          <w:spacing w:val="-3"/>
        </w:rPr>
        <w:t>higher</w:t>
      </w:r>
      <w:r>
        <w:rPr>
          <w:color w:val="231F20"/>
          <w:spacing w:val="-5"/>
        </w:rPr>
        <w:t xml:space="preserve"> </w:t>
      </w:r>
      <w:r>
        <w:rPr>
          <w:color w:val="231F20"/>
          <w:spacing w:val="-2"/>
        </w:rPr>
        <w:t>for</w:t>
      </w:r>
      <w:r>
        <w:rPr>
          <w:color w:val="231F20"/>
          <w:spacing w:val="-5"/>
        </w:rPr>
        <w:t xml:space="preserve"> </w:t>
      </w:r>
      <w:r>
        <w:rPr>
          <w:color w:val="231F20"/>
          <w:spacing w:val="-2"/>
        </w:rPr>
        <w:t>cases</w:t>
      </w:r>
      <w:r>
        <w:rPr>
          <w:color w:val="231F20"/>
          <w:spacing w:val="-5"/>
        </w:rPr>
        <w:t xml:space="preserve"> </w:t>
      </w:r>
      <w:r>
        <w:rPr>
          <w:color w:val="231F20"/>
          <w:spacing w:val="-3"/>
        </w:rPr>
        <w:t>compared</w:t>
      </w:r>
      <w:r>
        <w:rPr>
          <w:color w:val="231F20"/>
          <w:spacing w:val="-5"/>
        </w:rPr>
        <w:t xml:space="preserve"> </w:t>
      </w:r>
      <w:r>
        <w:rPr>
          <w:color w:val="231F20"/>
          <w:spacing w:val="-2"/>
        </w:rPr>
        <w:t>to</w:t>
      </w:r>
      <w:r>
        <w:rPr>
          <w:color w:val="231F20"/>
          <w:spacing w:val="-5"/>
        </w:rPr>
        <w:t xml:space="preserve"> </w:t>
      </w:r>
      <w:r>
        <w:rPr>
          <w:color w:val="231F20"/>
          <w:spacing w:val="-3"/>
        </w:rPr>
        <w:t>controls</w:t>
      </w:r>
      <w:r>
        <w:rPr>
          <w:color w:val="231F20"/>
          <w:spacing w:val="-5"/>
        </w:rPr>
        <w:t xml:space="preserve"> </w:t>
      </w:r>
      <w:r>
        <w:rPr>
          <w:color w:val="231F20"/>
          <w:spacing w:val="-2"/>
        </w:rPr>
        <w:t>(51</w:t>
      </w:r>
      <w:r>
        <w:rPr>
          <w:color w:val="231F20"/>
          <w:spacing w:val="-5"/>
        </w:rPr>
        <w:t xml:space="preserve"> </w:t>
      </w:r>
      <w:r>
        <w:rPr>
          <w:color w:val="231F20"/>
          <w:spacing w:val="-3"/>
        </w:rPr>
        <w:t>ng/L</w:t>
      </w:r>
      <w:r>
        <w:rPr>
          <w:color w:val="231F20"/>
          <w:spacing w:val="-5"/>
        </w:rPr>
        <w:t xml:space="preserve"> </w:t>
      </w:r>
      <w:r>
        <w:rPr>
          <w:color w:val="231F20"/>
          <w:spacing w:val="-3"/>
        </w:rPr>
        <w:t>versus</w:t>
      </w:r>
      <w:r>
        <w:rPr>
          <w:color w:val="231F20"/>
          <w:spacing w:val="-5"/>
        </w:rPr>
        <w:t xml:space="preserve"> </w:t>
      </w:r>
      <w:r>
        <w:rPr>
          <w:color w:val="231F20"/>
          <w:spacing w:val="-2"/>
        </w:rPr>
        <w:t>39</w:t>
      </w:r>
      <w:r>
        <w:rPr>
          <w:color w:val="231F20"/>
          <w:spacing w:val="-5"/>
        </w:rPr>
        <w:t xml:space="preserve"> </w:t>
      </w:r>
      <w:r>
        <w:rPr>
          <w:color w:val="231F20"/>
          <w:spacing w:val="-3"/>
        </w:rPr>
        <w:t>ng/L).</w:t>
      </w:r>
      <w:r>
        <w:rPr>
          <w:color w:val="231F20"/>
          <w:spacing w:val="35"/>
        </w:rPr>
        <w:t xml:space="preserve"> </w:t>
      </w:r>
      <w:r>
        <w:rPr>
          <w:color w:val="231F20"/>
          <w:spacing w:val="-2"/>
        </w:rPr>
        <w:t>Similar</w:t>
      </w:r>
      <w:r>
        <w:rPr>
          <w:color w:val="231F20"/>
          <w:spacing w:val="-3"/>
        </w:rPr>
        <w:t xml:space="preserve"> </w:t>
      </w:r>
      <w:r>
        <w:rPr>
          <w:color w:val="231F20"/>
          <w:spacing w:val="-2"/>
        </w:rPr>
        <w:t>results</w:t>
      </w:r>
      <w:r>
        <w:rPr>
          <w:color w:val="231F20"/>
          <w:spacing w:val="-3"/>
        </w:rPr>
        <w:t xml:space="preserve"> </w:t>
      </w:r>
      <w:r>
        <w:rPr>
          <w:color w:val="231F20"/>
          <w:spacing w:val="-2"/>
        </w:rPr>
        <w:t>are</w:t>
      </w:r>
      <w:r>
        <w:rPr>
          <w:color w:val="231F20"/>
          <w:spacing w:val="-3"/>
        </w:rPr>
        <w:t xml:space="preserve"> </w:t>
      </w:r>
      <w:r>
        <w:rPr>
          <w:color w:val="231F20"/>
          <w:spacing w:val="-2"/>
        </w:rPr>
        <w:t>seen</w:t>
      </w:r>
      <w:r>
        <w:rPr>
          <w:color w:val="231F20"/>
          <w:spacing w:val="-3"/>
        </w:rPr>
        <w:t xml:space="preserve"> </w:t>
      </w:r>
      <w:r>
        <w:rPr>
          <w:color w:val="231F20"/>
          <w:spacing w:val="-1"/>
        </w:rPr>
        <w:t>in</w:t>
      </w:r>
      <w:r>
        <w:rPr>
          <w:color w:val="231F20"/>
          <w:spacing w:val="-3"/>
        </w:rPr>
        <w:t xml:space="preserve"> </w:t>
      </w:r>
      <w:r>
        <w:rPr>
          <w:color w:val="231F20"/>
          <w:spacing w:val="-2"/>
        </w:rPr>
        <w:t>the</w:t>
      </w:r>
      <w:r>
        <w:rPr>
          <w:color w:val="231F20"/>
          <w:spacing w:val="-3"/>
        </w:rPr>
        <w:t xml:space="preserve"> </w:t>
      </w:r>
      <w:r>
        <w:rPr>
          <w:color w:val="231F20"/>
          <w:spacing w:val="-2"/>
        </w:rPr>
        <w:t>Leukemia/Lymphoma</w:t>
      </w:r>
      <w:r>
        <w:rPr>
          <w:color w:val="231F20"/>
          <w:spacing w:val="-3"/>
        </w:rPr>
        <w:t xml:space="preserve"> </w:t>
      </w:r>
      <w:r>
        <w:rPr>
          <w:color w:val="231F20"/>
          <w:spacing w:val="-2"/>
        </w:rPr>
        <w:t>subgroup</w:t>
      </w:r>
      <w:r>
        <w:rPr>
          <w:color w:val="231F20"/>
          <w:spacing w:val="-3"/>
        </w:rPr>
        <w:t xml:space="preserve"> </w:t>
      </w:r>
      <w:r>
        <w:rPr>
          <w:color w:val="231F20"/>
          <w:spacing w:val="-1"/>
        </w:rPr>
        <w:t>for</w:t>
      </w:r>
      <w:r>
        <w:rPr>
          <w:color w:val="231F20"/>
          <w:spacing w:val="-3"/>
        </w:rPr>
        <w:t xml:space="preserve"> </w:t>
      </w:r>
      <w:r>
        <w:rPr>
          <w:color w:val="231F20"/>
          <w:spacing w:val="-2"/>
        </w:rPr>
        <w:t>both</w:t>
      </w:r>
      <w:r>
        <w:rPr>
          <w:color w:val="231F20"/>
          <w:spacing w:val="-3"/>
        </w:rPr>
        <w:t xml:space="preserve"> </w:t>
      </w:r>
      <w:r>
        <w:rPr>
          <w:color w:val="231F20"/>
          <w:spacing w:val="-2"/>
        </w:rPr>
        <w:t>maternal</w:t>
      </w:r>
      <w:r>
        <w:rPr>
          <w:color w:val="231F20"/>
          <w:spacing w:val="-3"/>
        </w:rPr>
        <w:t xml:space="preserve"> </w:t>
      </w:r>
      <w:r>
        <w:rPr>
          <w:color w:val="231F20"/>
          <w:spacing w:val="-2"/>
        </w:rPr>
        <w:t>and</w:t>
      </w:r>
      <w:r>
        <w:rPr>
          <w:color w:val="231F20"/>
          <w:spacing w:val="43"/>
        </w:rPr>
        <w:t xml:space="preserve"> </w:t>
      </w:r>
      <w:r>
        <w:rPr>
          <w:color w:val="231F20"/>
        </w:rPr>
        <w:t xml:space="preserve">childhood NDMA </w:t>
      </w:r>
      <w:r>
        <w:rPr>
          <w:color w:val="231F20"/>
          <w:spacing w:val="-1"/>
        </w:rPr>
        <w:t>exposure.</w:t>
      </w:r>
    </w:p>
    <w:p w14:paraId="08773FDD" w14:textId="5D0AED76" w:rsidR="003477EB" w:rsidRDefault="003477EB" w:rsidP="003477EB">
      <w:pPr>
        <w:pStyle w:val="BodyText"/>
        <w:spacing w:before="240"/>
        <w:ind w:right="170"/>
      </w:pPr>
      <w:r>
        <w:rPr>
          <w:color w:val="231F20"/>
          <w:spacing w:val="-3"/>
        </w:rPr>
        <w:t>For</w:t>
      </w:r>
      <w:r>
        <w:rPr>
          <w:color w:val="231F20"/>
          <w:spacing w:val="-9"/>
        </w:rPr>
        <w:t xml:space="preserve"> </w:t>
      </w:r>
      <w:r>
        <w:rPr>
          <w:color w:val="231F20"/>
          <w:spacing w:val="-1"/>
        </w:rPr>
        <w:t>TCE</w:t>
      </w:r>
      <w:r>
        <w:rPr>
          <w:color w:val="231F20"/>
          <w:spacing w:val="2"/>
        </w:rPr>
        <w:t xml:space="preserve"> </w:t>
      </w:r>
      <w:r>
        <w:rPr>
          <w:color w:val="231F20"/>
        </w:rPr>
        <w:t>exposure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spacing w:val="1"/>
        </w:rPr>
        <w:t>All</w:t>
      </w:r>
      <w:r>
        <w:rPr>
          <w:color w:val="231F20"/>
          <w:spacing w:val="2"/>
        </w:rPr>
        <w:t xml:space="preserve"> </w:t>
      </w:r>
      <w:r>
        <w:rPr>
          <w:color w:val="231F20"/>
        </w:rPr>
        <w:t>Cancers</w:t>
      </w:r>
      <w:r>
        <w:rPr>
          <w:color w:val="231F20"/>
          <w:spacing w:val="2"/>
        </w:rPr>
        <w:t xml:space="preserve"> </w:t>
      </w:r>
      <w:r>
        <w:rPr>
          <w:color w:val="231F20"/>
          <w:spacing w:val="-1"/>
        </w:rPr>
        <w:t>group,</w:t>
      </w:r>
      <w:r>
        <w:rPr>
          <w:color w:val="231F20"/>
          <w:spacing w:val="-15"/>
        </w:rPr>
        <w:t xml:space="preserve"> </w:t>
      </w:r>
      <w:r>
        <w:rPr>
          <w:color w:val="231F20"/>
        </w:rPr>
        <w:t>mothers</w:t>
      </w:r>
      <w:r>
        <w:rPr>
          <w:color w:val="231F20"/>
          <w:spacing w:val="2"/>
        </w:rPr>
        <w:t xml:space="preserve"> </w:t>
      </w:r>
      <w:r>
        <w:rPr>
          <w:color w:val="231F20"/>
        </w:rPr>
        <w:t>of</w:t>
      </w:r>
      <w:r>
        <w:rPr>
          <w:color w:val="231F20"/>
          <w:spacing w:val="2"/>
        </w:rPr>
        <w:t xml:space="preserve"> </w:t>
      </w:r>
      <w:r>
        <w:rPr>
          <w:color w:val="231F20"/>
          <w:spacing w:val="1"/>
        </w:rPr>
        <w:t>cases</w:t>
      </w:r>
      <w:r>
        <w:rPr>
          <w:color w:val="231F20"/>
          <w:spacing w:val="2"/>
        </w:rPr>
        <w:t xml:space="preserve"> </w:t>
      </w:r>
      <w:r>
        <w:rPr>
          <w:color w:val="231F20"/>
          <w:spacing w:val="-1"/>
        </w:rPr>
        <w:t>were</w:t>
      </w:r>
      <w:r>
        <w:rPr>
          <w:color w:val="231F20"/>
          <w:spacing w:val="2"/>
        </w:rPr>
        <w:t xml:space="preserve"> </w:t>
      </w:r>
      <w:r>
        <w:rPr>
          <w:color w:val="231F20"/>
          <w:spacing w:val="1"/>
        </w:rPr>
        <w:t>slightly</w:t>
      </w:r>
      <w:r>
        <w:rPr>
          <w:color w:val="231F20"/>
          <w:spacing w:val="2"/>
        </w:rPr>
        <w:t xml:space="preserve"> </w:t>
      </w:r>
      <w:r>
        <w:rPr>
          <w:color w:val="231F20"/>
        </w:rPr>
        <w:t>more</w:t>
      </w:r>
      <w:r>
        <w:rPr>
          <w:color w:val="231F20"/>
          <w:spacing w:val="58"/>
        </w:rPr>
        <w:t xml:space="preserve"> </w:t>
      </w:r>
      <w:r>
        <w:rPr>
          <w:color w:val="231F20"/>
          <w:spacing w:val="1"/>
        </w:rPr>
        <w:t>likely</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had</w:t>
      </w:r>
      <w:r>
        <w:rPr>
          <w:color w:val="231F20"/>
          <w:spacing w:val="2"/>
        </w:rPr>
        <w:t xml:space="preserve"> </w:t>
      </w:r>
      <w:r>
        <w:rPr>
          <w:color w:val="231F20"/>
        </w:rPr>
        <w:t>any</w:t>
      </w:r>
      <w:r>
        <w:rPr>
          <w:color w:val="231F20"/>
          <w:spacing w:val="-9"/>
        </w:rPr>
        <w:t xml:space="preserve"> </w:t>
      </w:r>
      <w:r>
        <w:rPr>
          <w:color w:val="231F20"/>
          <w:spacing w:val="-1"/>
        </w:rPr>
        <w:t>TCE</w:t>
      </w:r>
      <w:r>
        <w:rPr>
          <w:color w:val="231F20"/>
          <w:spacing w:val="2"/>
        </w:rPr>
        <w:t xml:space="preserve"> </w:t>
      </w:r>
      <w:r>
        <w:rPr>
          <w:color w:val="231F20"/>
        </w:rPr>
        <w:t>in</w:t>
      </w:r>
      <w:r>
        <w:rPr>
          <w:color w:val="231F20"/>
          <w:spacing w:val="2"/>
        </w:rPr>
        <w:t xml:space="preserve"> </w:t>
      </w:r>
      <w:r>
        <w:rPr>
          <w:color w:val="231F20"/>
        </w:rPr>
        <w:t>their</w:t>
      </w:r>
      <w:r>
        <w:rPr>
          <w:color w:val="231F20"/>
          <w:spacing w:val="2"/>
        </w:rPr>
        <w:t xml:space="preserve"> </w:t>
      </w:r>
      <w:r>
        <w:rPr>
          <w:color w:val="231F20"/>
        </w:rPr>
        <w:t>residential</w:t>
      </w:r>
      <w:r>
        <w:rPr>
          <w:color w:val="231F20"/>
          <w:spacing w:val="2"/>
        </w:rPr>
        <w:t xml:space="preserve"> </w:t>
      </w:r>
      <w:r>
        <w:rPr>
          <w:color w:val="231F20"/>
        </w:rPr>
        <w:t>tap</w:t>
      </w:r>
      <w:r>
        <w:rPr>
          <w:color w:val="231F20"/>
          <w:spacing w:val="2"/>
        </w:rPr>
        <w:t xml:space="preserve"> </w:t>
      </w:r>
      <w:r>
        <w:rPr>
          <w:color w:val="231F20"/>
        </w:rPr>
        <w:t>water</w:t>
      </w:r>
      <w:r>
        <w:rPr>
          <w:color w:val="231F20"/>
          <w:spacing w:val="2"/>
        </w:rPr>
        <w:t xml:space="preserve"> </w:t>
      </w:r>
      <w:r>
        <w:rPr>
          <w:color w:val="231F20"/>
        </w:rPr>
        <w:t>compared</w:t>
      </w:r>
      <w:r>
        <w:rPr>
          <w:color w:val="231F20"/>
          <w:spacing w:val="2"/>
        </w:rPr>
        <w:t xml:space="preserve"> </w:t>
      </w:r>
      <w:r>
        <w:rPr>
          <w:color w:val="231F20"/>
        </w:rPr>
        <w:t>to</w:t>
      </w:r>
      <w:r>
        <w:rPr>
          <w:color w:val="231F20"/>
          <w:spacing w:val="2"/>
        </w:rPr>
        <w:t xml:space="preserve"> </w:t>
      </w:r>
      <w:r>
        <w:rPr>
          <w:color w:val="231F20"/>
        </w:rPr>
        <w:t>mothers</w:t>
      </w:r>
      <w:r>
        <w:rPr>
          <w:color w:val="231F20"/>
          <w:spacing w:val="2"/>
        </w:rPr>
        <w:t xml:space="preserve"> </w:t>
      </w:r>
      <w:r>
        <w:rPr>
          <w:color w:val="231F20"/>
          <w:spacing w:val="1"/>
        </w:rPr>
        <w:t>of</w:t>
      </w:r>
      <w:r>
        <w:rPr>
          <w:color w:val="231F20"/>
          <w:spacing w:val="73"/>
        </w:rPr>
        <w:t xml:space="preserve"> </w:t>
      </w:r>
      <w:r>
        <w:rPr>
          <w:color w:val="231F20"/>
        </w:rPr>
        <w:t>controls</w:t>
      </w:r>
      <w:r>
        <w:rPr>
          <w:color w:val="231F20"/>
          <w:spacing w:val="2"/>
        </w:rPr>
        <w:t xml:space="preserve"> </w:t>
      </w:r>
      <w:r>
        <w:rPr>
          <w:color w:val="231F20"/>
        </w:rPr>
        <w:t>(31%</w:t>
      </w:r>
      <w:r>
        <w:rPr>
          <w:color w:val="231F20"/>
          <w:spacing w:val="2"/>
        </w:rPr>
        <w:t xml:space="preserve"> </w:t>
      </w:r>
      <w:r>
        <w:rPr>
          <w:color w:val="231F20"/>
        </w:rPr>
        <w:t>compared</w:t>
      </w:r>
      <w:r>
        <w:rPr>
          <w:color w:val="231F20"/>
          <w:spacing w:val="2"/>
        </w:rPr>
        <w:t xml:space="preserve"> </w:t>
      </w:r>
      <w:r>
        <w:rPr>
          <w:color w:val="231F20"/>
        </w:rPr>
        <w:t>to</w:t>
      </w:r>
      <w:r>
        <w:rPr>
          <w:color w:val="231F20"/>
          <w:spacing w:val="2"/>
        </w:rPr>
        <w:t xml:space="preserve"> </w:t>
      </w:r>
      <w:r>
        <w:rPr>
          <w:color w:val="231F20"/>
        </w:rPr>
        <w:t>25%),</w:t>
      </w:r>
      <w:r>
        <w:rPr>
          <w:color w:val="231F20"/>
          <w:spacing w:val="-15"/>
        </w:rPr>
        <w:t xml:space="preserve"> </w:t>
      </w:r>
      <w:r>
        <w:rPr>
          <w:color w:val="231F20"/>
        </w:rPr>
        <w:t>but</w:t>
      </w:r>
      <w:r>
        <w:rPr>
          <w:color w:val="231F20"/>
          <w:spacing w:val="2"/>
        </w:rPr>
        <w:t xml:space="preserve"> </w:t>
      </w:r>
      <w:r>
        <w:rPr>
          <w:color w:val="231F20"/>
        </w:rPr>
        <w:t>median</w:t>
      </w:r>
      <w:r>
        <w:rPr>
          <w:color w:val="231F20"/>
          <w:spacing w:val="2"/>
        </w:rPr>
        <w:t xml:space="preserve"> </w:t>
      </w:r>
      <w:r>
        <w:rPr>
          <w:color w:val="231F20"/>
        </w:rPr>
        <w:t>concentrations</w:t>
      </w:r>
      <w:r>
        <w:rPr>
          <w:color w:val="231F20"/>
          <w:spacing w:val="2"/>
        </w:rPr>
        <w:t xml:space="preserve"> </w:t>
      </w:r>
      <w:r>
        <w:rPr>
          <w:color w:val="231F20"/>
          <w:spacing w:val="-1"/>
        </w:rPr>
        <w:t>were</w:t>
      </w:r>
      <w:r>
        <w:rPr>
          <w:color w:val="231F20"/>
          <w:spacing w:val="2"/>
        </w:rPr>
        <w:t xml:space="preserve"> </w:t>
      </w:r>
      <w:r>
        <w:rPr>
          <w:color w:val="231F20"/>
        </w:rPr>
        <w:t>similar</w:t>
      </w:r>
      <w:r>
        <w:rPr>
          <w:color w:val="231F20"/>
          <w:spacing w:val="2"/>
        </w:rPr>
        <w:t xml:space="preserve"> </w:t>
      </w:r>
      <w:r>
        <w:rPr>
          <w:color w:val="231F20"/>
        </w:rPr>
        <w:t>between</w:t>
      </w:r>
      <w:r>
        <w:rPr>
          <w:color w:val="231F20"/>
          <w:spacing w:val="93"/>
        </w:rPr>
        <w:t xml:space="preserve"> </w:t>
      </w:r>
      <w:r>
        <w:rPr>
          <w:color w:val="231F20"/>
        </w:rPr>
        <w:t>the</w:t>
      </w:r>
      <w:r>
        <w:rPr>
          <w:color w:val="231F20"/>
          <w:spacing w:val="-2"/>
        </w:rPr>
        <w:t xml:space="preserve"> </w:t>
      </w:r>
      <w:r>
        <w:rPr>
          <w:color w:val="231F20"/>
        </w:rPr>
        <w:t>two</w:t>
      </w:r>
      <w:r>
        <w:rPr>
          <w:color w:val="231F20"/>
          <w:spacing w:val="-1"/>
        </w:rPr>
        <w:t xml:space="preserve"> </w:t>
      </w:r>
      <w:r>
        <w:rPr>
          <w:color w:val="231F20"/>
        </w:rPr>
        <w:t>groups.</w:t>
      </w:r>
      <w:r>
        <w:rPr>
          <w:color w:val="231F20"/>
          <w:spacing w:val="-28"/>
        </w:rPr>
        <w:t xml:space="preserve"> </w:t>
      </w:r>
      <w:r>
        <w:rPr>
          <w:color w:val="231F20"/>
        </w:rPr>
        <w:t>The</w:t>
      </w:r>
      <w:r>
        <w:rPr>
          <w:color w:val="231F20"/>
          <w:spacing w:val="-1"/>
        </w:rPr>
        <w:t xml:space="preserve"> </w:t>
      </w:r>
      <w:r>
        <w:rPr>
          <w:color w:val="231F20"/>
        </w:rPr>
        <w:t>inverse</w:t>
      </w:r>
      <w:r>
        <w:rPr>
          <w:color w:val="231F20"/>
          <w:spacing w:val="-1"/>
        </w:rPr>
        <w:t xml:space="preserve"> </w:t>
      </w:r>
      <w:r>
        <w:rPr>
          <w:color w:val="231F20"/>
        </w:rPr>
        <w:t>is</w:t>
      </w:r>
      <w:r>
        <w:rPr>
          <w:color w:val="231F20"/>
          <w:spacing w:val="-1"/>
        </w:rPr>
        <w:t xml:space="preserve"> </w:t>
      </w:r>
      <w:r>
        <w:rPr>
          <w:color w:val="231F20"/>
          <w:spacing w:val="1"/>
        </w:rPr>
        <w:t>true</w:t>
      </w:r>
      <w:r>
        <w:rPr>
          <w:color w:val="231F20"/>
          <w:spacing w:val="-1"/>
        </w:rPr>
        <w:t xml:space="preserve"> </w:t>
      </w:r>
      <w:r>
        <w:rPr>
          <w:color w:val="231F20"/>
          <w:spacing w:val="1"/>
        </w:rPr>
        <w:t>for</w:t>
      </w:r>
      <w:r>
        <w:rPr>
          <w:color w:val="231F20"/>
          <w:spacing w:val="-2"/>
        </w:rPr>
        <w:t xml:space="preserve"> </w:t>
      </w:r>
      <w:r>
        <w:rPr>
          <w:color w:val="231F20"/>
        </w:rPr>
        <w:t>the</w:t>
      </w:r>
      <w:r>
        <w:rPr>
          <w:color w:val="231F20"/>
          <w:spacing w:val="-1"/>
        </w:rPr>
        <w:t xml:space="preserve"> </w:t>
      </w:r>
      <w:r>
        <w:rPr>
          <w:color w:val="231F20"/>
          <w:spacing w:val="1"/>
        </w:rPr>
        <w:t>childhood</w:t>
      </w:r>
      <w:r>
        <w:rPr>
          <w:color w:val="231F20"/>
          <w:spacing w:val="-1"/>
        </w:rPr>
        <w:t xml:space="preserve"> </w:t>
      </w:r>
      <w:r>
        <w:rPr>
          <w:color w:val="231F20"/>
        </w:rPr>
        <w:t>exposure</w:t>
      </w:r>
      <w:r>
        <w:rPr>
          <w:color w:val="231F20"/>
          <w:spacing w:val="-1"/>
        </w:rPr>
        <w:t xml:space="preserve"> </w:t>
      </w:r>
      <w:r>
        <w:rPr>
          <w:color w:val="231F20"/>
          <w:spacing w:val="1"/>
        </w:rPr>
        <w:t>period</w:t>
      </w:r>
      <w:r>
        <w:rPr>
          <w:color w:val="231F20"/>
          <w:spacing w:val="-1"/>
        </w:rPr>
        <w:t xml:space="preserve"> </w:t>
      </w:r>
      <w:r>
        <w:rPr>
          <w:color w:val="231F20"/>
        </w:rPr>
        <w:t>with</w:t>
      </w:r>
      <w:r>
        <w:rPr>
          <w:color w:val="231F20"/>
          <w:spacing w:val="-1"/>
        </w:rPr>
        <w:t xml:space="preserve"> </w:t>
      </w:r>
      <w:r>
        <w:rPr>
          <w:color w:val="231F20"/>
        </w:rPr>
        <w:t>controls</w:t>
      </w:r>
      <w:r>
        <w:rPr>
          <w:color w:val="231F20"/>
          <w:spacing w:val="57"/>
        </w:rPr>
        <w:t xml:space="preserve"> </w:t>
      </w:r>
      <w:r>
        <w:rPr>
          <w:color w:val="231F20"/>
        </w:rPr>
        <w:t>being</w:t>
      </w:r>
      <w:r>
        <w:rPr>
          <w:color w:val="231F20"/>
          <w:spacing w:val="2"/>
        </w:rPr>
        <w:t xml:space="preserve"> </w:t>
      </w:r>
      <w:r>
        <w:rPr>
          <w:color w:val="231F20"/>
          <w:spacing w:val="1"/>
        </w:rPr>
        <w:t>slightly</w:t>
      </w:r>
      <w:r>
        <w:rPr>
          <w:color w:val="231F20"/>
          <w:spacing w:val="2"/>
        </w:rPr>
        <w:t xml:space="preserve"> </w:t>
      </w:r>
      <w:r>
        <w:rPr>
          <w:color w:val="231F20"/>
        </w:rPr>
        <w:t>more</w:t>
      </w:r>
      <w:r>
        <w:rPr>
          <w:color w:val="231F20"/>
          <w:spacing w:val="2"/>
        </w:rPr>
        <w:t xml:space="preserve"> </w:t>
      </w:r>
      <w:r>
        <w:rPr>
          <w:color w:val="231F20"/>
          <w:spacing w:val="1"/>
        </w:rPr>
        <w:t>likely</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had</w:t>
      </w:r>
      <w:r>
        <w:rPr>
          <w:color w:val="231F20"/>
          <w:spacing w:val="2"/>
        </w:rPr>
        <w:t xml:space="preserve"> </w:t>
      </w:r>
      <w:r>
        <w:rPr>
          <w:color w:val="231F20"/>
        </w:rPr>
        <w:t>at</w:t>
      </w:r>
      <w:r>
        <w:rPr>
          <w:color w:val="231F20"/>
          <w:spacing w:val="2"/>
        </w:rPr>
        <w:t xml:space="preserve"> </w:t>
      </w:r>
      <w:r>
        <w:rPr>
          <w:color w:val="231F20"/>
        </w:rPr>
        <w:t>least</w:t>
      </w:r>
      <w:r>
        <w:rPr>
          <w:color w:val="231F20"/>
          <w:spacing w:val="2"/>
        </w:rPr>
        <w:t xml:space="preserve"> </w:t>
      </w:r>
      <w:r>
        <w:rPr>
          <w:color w:val="231F20"/>
        </w:rPr>
        <w:t>one</w:t>
      </w:r>
      <w:r>
        <w:rPr>
          <w:color w:val="231F20"/>
          <w:spacing w:val="2"/>
        </w:rPr>
        <w:t xml:space="preserve"> </w:t>
      </w:r>
      <w:r>
        <w:rPr>
          <w:color w:val="231F20"/>
        </w:rPr>
        <w:t>month</w:t>
      </w:r>
      <w:r>
        <w:rPr>
          <w:color w:val="231F20"/>
          <w:spacing w:val="2"/>
        </w:rPr>
        <w:t xml:space="preserve"> </w:t>
      </w:r>
      <w:r>
        <w:rPr>
          <w:color w:val="231F20"/>
        </w:rPr>
        <w:t>with</w:t>
      </w:r>
      <w:r>
        <w:rPr>
          <w:color w:val="231F20"/>
          <w:spacing w:val="-9"/>
        </w:rPr>
        <w:t xml:space="preserve"> </w:t>
      </w:r>
      <w:r>
        <w:rPr>
          <w:color w:val="231F20"/>
          <w:spacing w:val="-1"/>
        </w:rPr>
        <w:t>TCE</w:t>
      </w:r>
      <w:r>
        <w:rPr>
          <w:color w:val="231F20"/>
          <w:spacing w:val="2"/>
        </w:rPr>
        <w:t xml:space="preserve"> </w:t>
      </w:r>
      <w:r>
        <w:rPr>
          <w:color w:val="231F20"/>
        </w:rPr>
        <w:t>estimated</w:t>
      </w:r>
      <w:r>
        <w:rPr>
          <w:color w:val="231F20"/>
          <w:spacing w:val="2"/>
        </w:rPr>
        <w:t xml:space="preserve"> </w:t>
      </w:r>
      <w:r>
        <w:rPr>
          <w:color w:val="231F20"/>
          <w:spacing w:val="1"/>
        </w:rPr>
        <w:t>to</w:t>
      </w:r>
      <w:r>
        <w:rPr>
          <w:color w:val="231F20"/>
          <w:spacing w:val="65"/>
        </w:rPr>
        <w:t xml:space="preserve"> </w:t>
      </w:r>
      <w:r>
        <w:rPr>
          <w:color w:val="231F20"/>
        </w:rPr>
        <w:t>be</w:t>
      </w:r>
      <w:r>
        <w:rPr>
          <w:color w:val="231F20"/>
          <w:spacing w:val="1"/>
        </w:rPr>
        <w:t xml:space="preserve"> </w:t>
      </w:r>
      <w:r>
        <w:rPr>
          <w:color w:val="231F20"/>
        </w:rPr>
        <w:t>present</w:t>
      </w:r>
      <w:r>
        <w:rPr>
          <w:color w:val="231F20"/>
          <w:spacing w:val="2"/>
        </w:rPr>
        <w:t xml:space="preserve"> </w:t>
      </w:r>
      <w:r>
        <w:rPr>
          <w:color w:val="231F20"/>
        </w:rPr>
        <w:t>in</w:t>
      </w:r>
      <w:r>
        <w:rPr>
          <w:color w:val="231F20"/>
          <w:spacing w:val="2"/>
        </w:rPr>
        <w:t xml:space="preserve"> </w:t>
      </w:r>
      <w:r>
        <w:rPr>
          <w:color w:val="231F20"/>
        </w:rPr>
        <w:t>their</w:t>
      </w:r>
      <w:r>
        <w:rPr>
          <w:color w:val="231F20"/>
          <w:spacing w:val="2"/>
        </w:rPr>
        <w:t xml:space="preserve"> </w:t>
      </w:r>
      <w:r>
        <w:rPr>
          <w:color w:val="231F20"/>
        </w:rPr>
        <w:t>tap</w:t>
      </w:r>
      <w:r>
        <w:rPr>
          <w:color w:val="231F20"/>
          <w:spacing w:val="2"/>
        </w:rPr>
        <w:t xml:space="preserve"> </w:t>
      </w:r>
      <w:r>
        <w:rPr>
          <w:color w:val="231F20"/>
        </w:rPr>
        <w:t>water</w:t>
      </w:r>
      <w:r>
        <w:rPr>
          <w:color w:val="231F20"/>
          <w:spacing w:val="2"/>
        </w:rPr>
        <w:t xml:space="preserve"> </w:t>
      </w:r>
      <w:r>
        <w:rPr>
          <w:color w:val="231F20"/>
        </w:rPr>
        <w:t>(53%</w:t>
      </w:r>
      <w:r>
        <w:rPr>
          <w:color w:val="231F20"/>
          <w:spacing w:val="2"/>
        </w:rPr>
        <w:t xml:space="preserve"> </w:t>
      </w:r>
      <w:r>
        <w:rPr>
          <w:color w:val="231F20"/>
        </w:rPr>
        <w:t>of</w:t>
      </w:r>
      <w:r>
        <w:rPr>
          <w:color w:val="231F20"/>
          <w:spacing w:val="2"/>
        </w:rPr>
        <w:t xml:space="preserve"> </w:t>
      </w:r>
      <w:r>
        <w:rPr>
          <w:color w:val="231F20"/>
        </w:rPr>
        <w:t>controls</w:t>
      </w:r>
      <w:r>
        <w:rPr>
          <w:color w:val="231F20"/>
          <w:spacing w:val="2"/>
        </w:rPr>
        <w:t xml:space="preserve"> </w:t>
      </w:r>
      <w:r>
        <w:rPr>
          <w:color w:val="231F20"/>
        </w:rPr>
        <w:t>compared</w:t>
      </w:r>
      <w:r>
        <w:rPr>
          <w:color w:val="231F20"/>
          <w:spacing w:val="2"/>
        </w:rPr>
        <w:t xml:space="preserve"> </w:t>
      </w:r>
      <w:r>
        <w:rPr>
          <w:color w:val="231F20"/>
        </w:rPr>
        <w:t>to</w:t>
      </w:r>
      <w:r>
        <w:rPr>
          <w:color w:val="231F20"/>
          <w:spacing w:val="2"/>
        </w:rPr>
        <w:t xml:space="preserve"> </w:t>
      </w:r>
      <w:r>
        <w:rPr>
          <w:color w:val="231F20"/>
        </w:rPr>
        <w:t>46%</w:t>
      </w:r>
      <w:r>
        <w:rPr>
          <w:color w:val="231F20"/>
          <w:spacing w:val="2"/>
        </w:rPr>
        <w:t xml:space="preserve"> </w:t>
      </w:r>
      <w:r>
        <w:rPr>
          <w:color w:val="231F20"/>
        </w:rPr>
        <w:t>of</w:t>
      </w:r>
      <w:r>
        <w:rPr>
          <w:color w:val="231F20"/>
          <w:spacing w:val="2"/>
        </w:rPr>
        <w:t xml:space="preserve"> </w:t>
      </w:r>
      <w:r>
        <w:rPr>
          <w:color w:val="231F20"/>
          <w:spacing w:val="1"/>
        </w:rPr>
        <w:t>cases).</w:t>
      </w:r>
      <w:r>
        <w:rPr>
          <w:color w:val="231F20"/>
          <w:spacing w:val="-15"/>
        </w:rPr>
        <w:t xml:space="preserve"> </w:t>
      </w:r>
      <w:r>
        <w:rPr>
          <w:color w:val="231F20"/>
          <w:spacing w:val="-2"/>
        </w:rPr>
        <w:t>However,</w:t>
      </w:r>
      <w:r>
        <w:rPr>
          <w:color w:val="231F20"/>
          <w:spacing w:val="64"/>
        </w:rPr>
        <w:t xml:space="preserve"> </w:t>
      </w:r>
      <w:r>
        <w:rPr>
          <w:color w:val="231F20"/>
          <w:spacing w:val="5"/>
        </w:rPr>
        <w:t>estimated</w:t>
      </w:r>
      <w:r>
        <w:rPr>
          <w:color w:val="231F20"/>
          <w:spacing w:val="12"/>
        </w:rPr>
        <w:t xml:space="preserve"> </w:t>
      </w:r>
      <w:r>
        <w:rPr>
          <w:color w:val="231F20"/>
          <w:spacing w:val="5"/>
        </w:rPr>
        <w:t>median</w:t>
      </w:r>
      <w:r>
        <w:rPr>
          <w:color w:val="231F20"/>
          <w:spacing w:val="12"/>
        </w:rPr>
        <w:t xml:space="preserve"> </w:t>
      </w:r>
      <w:r>
        <w:rPr>
          <w:color w:val="231F20"/>
          <w:spacing w:val="5"/>
        </w:rPr>
        <w:t>non-zero</w:t>
      </w:r>
      <w:r>
        <w:rPr>
          <w:color w:val="231F20"/>
          <w:spacing w:val="12"/>
        </w:rPr>
        <w:t xml:space="preserve"> </w:t>
      </w:r>
      <w:r>
        <w:rPr>
          <w:color w:val="231F20"/>
          <w:spacing w:val="5"/>
        </w:rPr>
        <w:t>concentrations</w:t>
      </w:r>
      <w:r>
        <w:rPr>
          <w:color w:val="231F20"/>
          <w:spacing w:val="12"/>
        </w:rPr>
        <w:t xml:space="preserve"> </w:t>
      </w:r>
      <w:r>
        <w:rPr>
          <w:color w:val="231F20"/>
          <w:spacing w:val="5"/>
        </w:rPr>
        <w:t>during</w:t>
      </w:r>
      <w:r>
        <w:rPr>
          <w:color w:val="231F20"/>
          <w:spacing w:val="12"/>
        </w:rPr>
        <w:t xml:space="preserve"> </w:t>
      </w:r>
      <w:r>
        <w:rPr>
          <w:color w:val="231F20"/>
          <w:spacing w:val="4"/>
        </w:rPr>
        <w:t>the</w:t>
      </w:r>
      <w:r>
        <w:rPr>
          <w:color w:val="231F20"/>
          <w:spacing w:val="12"/>
        </w:rPr>
        <w:t xml:space="preserve"> </w:t>
      </w:r>
      <w:r>
        <w:rPr>
          <w:color w:val="231F20"/>
          <w:spacing w:val="5"/>
        </w:rPr>
        <w:t>childhood</w:t>
      </w:r>
      <w:r>
        <w:rPr>
          <w:color w:val="231F20"/>
          <w:spacing w:val="12"/>
        </w:rPr>
        <w:t xml:space="preserve"> </w:t>
      </w:r>
      <w:r>
        <w:rPr>
          <w:color w:val="231F20"/>
          <w:spacing w:val="5"/>
        </w:rPr>
        <w:t>period</w:t>
      </w:r>
      <w:r>
        <w:rPr>
          <w:color w:val="231F20"/>
          <w:spacing w:val="12"/>
        </w:rPr>
        <w:t xml:space="preserve"> </w:t>
      </w:r>
      <w:r>
        <w:rPr>
          <w:color w:val="231F20"/>
          <w:spacing w:val="3"/>
        </w:rPr>
        <w:t>were</w:t>
      </w:r>
      <w:r>
        <w:rPr>
          <w:color w:val="231F20"/>
          <w:spacing w:val="34"/>
        </w:rPr>
        <w:t xml:space="preserve"> </w:t>
      </w:r>
      <w:r>
        <w:rPr>
          <w:color w:val="231F20"/>
          <w:spacing w:val="-3"/>
        </w:rPr>
        <w:t>approximately</w:t>
      </w:r>
      <w:r>
        <w:rPr>
          <w:color w:val="231F20"/>
          <w:spacing w:val="-5"/>
        </w:rPr>
        <w:t xml:space="preserve"> </w:t>
      </w:r>
      <w:r>
        <w:rPr>
          <w:color w:val="231F20"/>
          <w:spacing w:val="-3"/>
        </w:rPr>
        <w:t>twice</w:t>
      </w:r>
      <w:r>
        <w:rPr>
          <w:color w:val="231F20"/>
          <w:spacing w:val="-5"/>
        </w:rPr>
        <w:t xml:space="preserve"> </w:t>
      </w:r>
      <w:r>
        <w:rPr>
          <w:color w:val="231F20"/>
          <w:spacing w:val="-2"/>
        </w:rPr>
        <w:t>as</w:t>
      </w:r>
      <w:r>
        <w:rPr>
          <w:color w:val="231F20"/>
          <w:spacing w:val="-5"/>
        </w:rPr>
        <w:t xml:space="preserve"> </w:t>
      </w:r>
      <w:r>
        <w:rPr>
          <w:color w:val="231F20"/>
          <w:spacing w:val="-3"/>
        </w:rPr>
        <w:t>high</w:t>
      </w:r>
      <w:r>
        <w:rPr>
          <w:color w:val="231F20"/>
          <w:spacing w:val="-5"/>
        </w:rPr>
        <w:t xml:space="preserve"> </w:t>
      </w:r>
      <w:r>
        <w:rPr>
          <w:color w:val="231F20"/>
          <w:spacing w:val="-2"/>
        </w:rPr>
        <w:t>for</w:t>
      </w:r>
      <w:r>
        <w:rPr>
          <w:color w:val="231F20"/>
          <w:spacing w:val="-5"/>
        </w:rPr>
        <w:t xml:space="preserve"> </w:t>
      </w:r>
      <w:r>
        <w:rPr>
          <w:color w:val="231F20"/>
          <w:spacing w:val="-2"/>
        </w:rPr>
        <w:t>cases</w:t>
      </w:r>
      <w:r>
        <w:rPr>
          <w:color w:val="231F20"/>
          <w:spacing w:val="-5"/>
        </w:rPr>
        <w:t xml:space="preserve"> </w:t>
      </w:r>
      <w:r>
        <w:rPr>
          <w:color w:val="231F20"/>
          <w:spacing w:val="-3"/>
        </w:rPr>
        <w:t>compared</w:t>
      </w:r>
      <w:r>
        <w:rPr>
          <w:color w:val="231F20"/>
          <w:spacing w:val="-5"/>
        </w:rPr>
        <w:t xml:space="preserve"> </w:t>
      </w:r>
      <w:r>
        <w:rPr>
          <w:color w:val="231F20"/>
          <w:spacing w:val="-2"/>
        </w:rPr>
        <w:t>to</w:t>
      </w:r>
      <w:r>
        <w:rPr>
          <w:color w:val="231F20"/>
          <w:spacing w:val="-5"/>
        </w:rPr>
        <w:t xml:space="preserve"> </w:t>
      </w:r>
      <w:r>
        <w:rPr>
          <w:color w:val="231F20"/>
          <w:spacing w:val="-3"/>
        </w:rPr>
        <w:t>controls</w:t>
      </w:r>
      <w:r>
        <w:rPr>
          <w:color w:val="231F20"/>
          <w:spacing w:val="-5"/>
        </w:rPr>
        <w:t xml:space="preserve"> </w:t>
      </w:r>
      <w:r>
        <w:rPr>
          <w:color w:val="231F20"/>
          <w:spacing w:val="-3"/>
        </w:rPr>
        <w:t>(5.2</w:t>
      </w:r>
      <w:r>
        <w:rPr>
          <w:color w:val="231F20"/>
          <w:spacing w:val="-5"/>
        </w:rPr>
        <w:t xml:space="preserve"> </w:t>
      </w:r>
      <w:r>
        <w:rPr>
          <w:color w:val="231F20"/>
          <w:spacing w:val="-3"/>
        </w:rPr>
        <w:t>µg/L</w:t>
      </w:r>
      <w:r>
        <w:rPr>
          <w:color w:val="231F20"/>
          <w:spacing w:val="-5"/>
        </w:rPr>
        <w:t xml:space="preserve"> </w:t>
      </w:r>
      <w:r>
        <w:rPr>
          <w:color w:val="231F20"/>
          <w:spacing w:val="-3"/>
        </w:rPr>
        <w:t>versus</w:t>
      </w:r>
      <w:r>
        <w:rPr>
          <w:color w:val="231F20"/>
          <w:spacing w:val="-5"/>
        </w:rPr>
        <w:t xml:space="preserve"> </w:t>
      </w:r>
      <w:r>
        <w:rPr>
          <w:color w:val="231F20"/>
          <w:spacing w:val="-2"/>
        </w:rPr>
        <w:t>2.1</w:t>
      </w:r>
      <w:r>
        <w:rPr>
          <w:color w:val="231F20"/>
          <w:spacing w:val="-5"/>
        </w:rPr>
        <w:t xml:space="preserve"> </w:t>
      </w:r>
      <w:r>
        <w:rPr>
          <w:color w:val="231F20"/>
          <w:spacing w:val="-3"/>
        </w:rPr>
        <w:t>µg/L).</w:t>
      </w:r>
      <w:r>
        <w:rPr>
          <w:color w:val="231F20"/>
          <w:spacing w:val="41"/>
        </w:rPr>
        <w:t xml:space="preserve"> </w:t>
      </w:r>
      <w:r>
        <w:rPr>
          <w:color w:val="231F20"/>
        </w:rPr>
        <w:t xml:space="preserve">Similar </w:t>
      </w:r>
      <w:r>
        <w:rPr>
          <w:color w:val="231F20"/>
          <w:spacing w:val="-1"/>
        </w:rPr>
        <w:t>results</w:t>
      </w:r>
      <w:r>
        <w:rPr>
          <w:color w:val="231F20"/>
        </w:rPr>
        <w:t xml:space="preserve"> </w:t>
      </w:r>
      <w:r>
        <w:rPr>
          <w:color w:val="231F20"/>
          <w:spacing w:val="-1"/>
        </w:rPr>
        <w:t>are</w:t>
      </w:r>
      <w:r>
        <w:rPr>
          <w:color w:val="231F20"/>
        </w:rPr>
        <w:t xml:space="preserve"> seen in the </w:t>
      </w:r>
      <w:r>
        <w:rPr>
          <w:color w:val="231F20"/>
          <w:spacing w:val="-1"/>
        </w:rPr>
        <w:t>Leukemia/Lymphoma</w:t>
      </w:r>
      <w:r>
        <w:rPr>
          <w:color w:val="231F20"/>
        </w:rPr>
        <w:t xml:space="preserve"> </w:t>
      </w:r>
      <w:r>
        <w:rPr>
          <w:color w:val="231F20"/>
          <w:spacing w:val="-1"/>
        </w:rPr>
        <w:t>subgroup</w:t>
      </w:r>
      <w:r>
        <w:rPr>
          <w:color w:val="231F20"/>
        </w:rPr>
        <w:t xml:space="preserve"> for both maternal</w:t>
      </w:r>
      <w:r>
        <w:rPr>
          <w:color w:val="231F20"/>
          <w:spacing w:val="59"/>
        </w:rPr>
        <w:t xml:space="preserve"> </w:t>
      </w:r>
      <w:r>
        <w:rPr>
          <w:color w:val="231F20"/>
        </w:rPr>
        <w:t xml:space="preserve">and childhood NDMA </w:t>
      </w:r>
      <w:r>
        <w:rPr>
          <w:color w:val="231F20"/>
          <w:spacing w:val="-1"/>
        </w:rPr>
        <w:t>exposure.</w:t>
      </w:r>
    </w:p>
    <w:p w14:paraId="61D9B49C" w14:textId="53071DD8" w:rsidR="003477EB" w:rsidRDefault="003477EB" w:rsidP="003477EB">
      <w:pPr>
        <w:pStyle w:val="BodyText"/>
        <w:spacing w:before="240"/>
        <w:ind w:right="288"/>
      </w:pPr>
      <w:r>
        <w:rPr>
          <w:color w:val="231F20"/>
          <w:spacing w:val="3"/>
        </w:rPr>
        <w:t>When</w:t>
      </w:r>
      <w:r>
        <w:rPr>
          <w:color w:val="231F20"/>
          <w:spacing w:val="4"/>
        </w:rPr>
        <w:t xml:space="preserve"> </w:t>
      </w:r>
      <w:r>
        <w:rPr>
          <w:color w:val="231F20"/>
          <w:spacing w:val="1"/>
        </w:rPr>
        <w:t>joint</w:t>
      </w:r>
      <w:r>
        <w:rPr>
          <w:color w:val="231F20"/>
          <w:spacing w:val="4"/>
        </w:rPr>
        <w:t xml:space="preserve"> </w:t>
      </w:r>
      <w:r>
        <w:rPr>
          <w:color w:val="231F20"/>
          <w:spacing w:val="1"/>
        </w:rPr>
        <w:t>exposures</w:t>
      </w:r>
      <w:r>
        <w:rPr>
          <w:color w:val="231F20"/>
          <w:spacing w:val="4"/>
        </w:rPr>
        <w:t xml:space="preserve"> </w:t>
      </w:r>
      <w:r>
        <w:rPr>
          <w:color w:val="231F20"/>
        </w:rPr>
        <w:t>were</w:t>
      </w:r>
      <w:r>
        <w:rPr>
          <w:color w:val="231F20"/>
          <w:spacing w:val="4"/>
        </w:rPr>
        <w:t xml:space="preserve"> </w:t>
      </w:r>
      <w:r>
        <w:rPr>
          <w:color w:val="231F20"/>
          <w:spacing w:val="2"/>
        </w:rPr>
        <w:t>evaluated</w:t>
      </w:r>
      <w:r>
        <w:rPr>
          <w:color w:val="231F20"/>
          <w:spacing w:val="4"/>
        </w:rPr>
        <w:t xml:space="preserve"> </w:t>
      </w:r>
      <w:r>
        <w:rPr>
          <w:color w:val="231F20"/>
          <w:spacing w:val="1"/>
        </w:rPr>
        <w:t>for</w:t>
      </w:r>
      <w:r>
        <w:rPr>
          <w:color w:val="231F20"/>
          <w:spacing w:val="4"/>
        </w:rPr>
        <w:t xml:space="preserve"> </w:t>
      </w:r>
      <w:r>
        <w:rPr>
          <w:color w:val="231F20"/>
          <w:spacing w:val="1"/>
        </w:rPr>
        <w:t>the</w:t>
      </w:r>
      <w:r>
        <w:rPr>
          <w:color w:val="231F20"/>
          <w:spacing w:val="4"/>
        </w:rPr>
        <w:t xml:space="preserve"> </w:t>
      </w:r>
      <w:r>
        <w:rPr>
          <w:color w:val="231F20"/>
          <w:spacing w:val="1"/>
        </w:rPr>
        <w:t>maternal</w:t>
      </w:r>
      <w:r>
        <w:rPr>
          <w:color w:val="231F20"/>
          <w:spacing w:val="4"/>
        </w:rPr>
        <w:t xml:space="preserve"> </w:t>
      </w:r>
      <w:r>
        <w:rPr>
          <w:color w:val="231F20"/>
          <w:spacing w:val="1"/>
        </w:rPr>
        <w:t>exposure</w:t>
      </w:r>
      <w:r>
        <w:rPr>
          <w:color w:val="231F20"/>
          <w:spacing w:val="4"/>
        </w:rPr>
        <w:t xml:space="preserve"> </w:t>
      </w:r>
      <w:r>
        <w:rPr>
          <w:color w:val="231F20"/>
          <w:spacing w:val="2"/>
        </w:rPr>
        <w:t>period,</w:t>
      </w:r>
      <w:r>
        <w:rPr>
          <w:color w:val="231F20"/>
          <w:spacing w:val="-12"/>
        </w:rPr>
        <w:t xml:space="preserve"> </w:t>
      </w:r>
      <w:r>
        <w:rPr>
          <w:color w:val="231F20"/>
          <w:spacing w:val="1"/>
        </w:rPr>
        <w:t>it</w:t>
      </w:r>
      <w:r>
        <w:rPr>
          <w:color w:val="231F20"/>
          <w:spacing w:val="4"/>
        </w:rPr>
        <w:t xml:space="preserve"> </w:t>
      </w:r>
      <w:r>
        <w:rPr>
          <w:color w:val="231F20"/>
          <w:spacing w:val="2"/>
        </w:rPr>
        <w:t>was</w:t>
      </w:r>
      <w:r>
        <w:rPr>
          <w:color w:val="231F20"/>
          <w:spacing w:val="54"/>
        </w:rPr>
        <w:t xml:space="preserve"> </w:t>
      </w:r>
      <w:r>
        <w:rPr>
          <w:color w:val="231F20"/>
          <w:spacing w:val="2"/>
        </w:rPr>
        <w:t>observed</w:t>
      </w:r>
      <w:r>
        <w:rPr>
          <w:color w:val="231F20"/>
          <w:spacing w:val="4"/>
        </w:rPr>
        <w:t xml:space="preserve"> </w:t>
      </w:r>
      <w:r>
        <w:rPr>
          <w:color w:val="231F20"/>
          <w:spacing w:val="1"/>
        </w:rPr>
        <w:t>that</w:t>
      </w:r>
      <w:r>
        <w:rPr>
          <w:color w:val="231F20"/>
          <w:spacing w:val="4"/>
        </w:rPr>
        <w:t xml:space="preserve"> </w:t>
      </w:r>
      <w:r>
        <w:rPr>
          <w:color w:val="231F20"/>
          <w:spacing w:val="1"/>
        </w:rPr>
        <w:t>no</w:t>
      </w:r>
      <w:r>
        <w:rPr>
          <w:color w:val="231F20"/>
          <w:spacing w:val="4"/>
        </w:rPr>
        <w:t xml:space="preserve"> </w:t>
      </w:r>
      <w:r>
        <w:rPr>
          <w:color w:val="231F20"/>
          <w:spacing w:val="2"/>
        </w:rPr>
        <w:t>participants</w:t>
      </w:r>
      <w:r>
        <w:rPr>
          <w:color w:val="231F20"/>
          <w:spacing w:val="4"/>
        </w:rPr>
        <w:t xml:space="preserve"> </w:t>
      </w:r>
      <w:r>
        <w:rPr>
          <w:color w:val="231F20"/>
        </w:rPr>
        <w:t>were</w:t>
      </w:r>
      <w:r>
        <w:rPr>
          <w:color w:val="231F20"/>
          <w:spacing w:val="4"/>
        </w:rPr>
        <w:t xml:space="preserve"> </w:t>
      </w:r>
      <w:r>
        <w:rPr>
          <w:color w:val="231F20"/>
          <w:spacing w:val="1"/>
        </w:rPr>
        <w:t>exposed</w:t>
      </w:r>
      <w:r>
        <w:rPr>
          <w:color w:val="231F20"/>
          <w:spacing w:val="4"/>
        </w:rPr>
        <w:t xml:space="preserve"> </w:t>
      </w:r>
      <w:r>
        <w:rPr>
          <w:color w:val="231F20"/>
          <w:spacing w:val="1"/>
        </w:rPr>
        <w:t>to</w:t>
      </w:r>
      <w:r>
        <w:rPr>
          <w:color w:val="231F20"/>
          <w:spacing w:val="-6"/>
        </w:rPr>
        <w:t xml:space="preserve"> </w:t>
      </w:r>
      <w:r>
        <w:rPr>
          <w:color w:val="231F20"/>
        </w:rPr>
        <w:t>TCE</w:t>
      </w:r>
      <w:r>
        <w:rPr>
          <w:color w:val="231F20"/>
          <w:spacing w:val="4"/>
        </w:rPr>
        <w:t xml:space="preserve"> </w:t>
      </w:r>
      <w:r>
        <w:rPr>
          <w:color w:val="231F20"/>
          <w:spacing w:val="1"/>
        </w:rPr>
        <w:t>alone</w:t>
      </w:r>
      <w:r>
        <w:rPr>
          <w:color w:val="231F20"/>
          <w:spacing w:val="4"/>
        </w:rPr>
        <w:t xml:space="preserve"> </w:t>
      </w:r>
      <w:r>
        <w:rPr>
          <w:color w:val="231F20"/>
          <w:spacing w:val="1"/>
        </w:rPr>
        <w:t>and</w:t>
      </w:r>
      <w:r>
        <w:rPr>
          <w:color w:val="231F20"/>
          <w:spacing w:val="4"/>
        </w:rPr>
        <w:t xml:space="preserve"> </w:t>
      </w:r>
      <w:r>
        <w:rPr>
          <w:color w:val="231F20"/>
          <w:spacing w:val="1"/>
        </w:rPr>
        <w:t>that</w:t>
      </w:r>
      <w:r>
        <w:rPr>
          <w:color w:val="231F20"/>
          <w:spacing w:val="4"/>
        </w:rPr>
        <w:t xml:space="preserve"> </w:t>
      </w:r>
      <w:r>
        <w:rPr>
          <w:color w:val="231F20"/>
          <w:spacing w:val="1"/>
        </w:rPr>
        <w:t>31%</w:t>
      </w:r>
      <w:r>
        <w:rPr>
          <w:color w:val="231F20"/>
          <w:spacing w:val="4"/>
        </w:rPr>
        <w:t xml:space="preserve"> </w:t>
      </w:r>
      <w:r>
        <w:rPr>
          <w:color w:val="231F20"/>
          <w:spacing w:val="1"/>
        </w:rPr>
        <w:t>of</w:t>
      </w:r>
      <w:r>
        <w:rPr>
          <w:color w:val="231F20"/>
          <w:spacing w:val="4"/>
        </w:rPr>
        <w:t xml:space="preserve"> </w:t>
      </w:r>
      <w:r>
        <w:rPr>
          <w:color w:val="231F20"/>
          <w:spacing w:val="2"/>
        </w:rPr>
        <w:t>cases</w:t>
      </w:r>
      <w:r>
        <w:rPr>
          <w:color w:val="231F20"/>
          <w:spacing w:val="52"/>
        </w:rPr>
        <w:t xml:space="preserve"> </w:t>
      </w:r>
      <w:r>
        <w:rPr>
          <w:color w:val="231F20"/>
          <w:spacing w:val="1"/>
        </w:rPr>
        <w:t>and</w:t>
      </w:r>
      <w:r>
        <w:rPr>
          <w:color w:val="231F20"/>
          <w:spacing w:val="4"/>
        </w:rPr>
        <w:t xml:space="preserve"> </w:t>
      </w:r>
      <w:r>
        <w:rPr>
          <w:color w:val="231F20"/>
          <w:spacing w:val="1"/>
        </w:rPr>
        <w:t>25%</w:t>
      </w:r>
      <w:r>
        <w:rPr>
          <w:color w:val="231F20"/>
          <w:spacing w:val="4"/>
        </w:rPr>
        <w:t xml:space="preserve"> </w:t>
      </w:r>
      <w:r>
        <w:rPr>
          <w:color w:val="231F20"/>
          <w:spacing w:val="1"/>
        </w:rPr>
        <w:t>of</w:t>
      </w:r>
      <w:r>
        <w:rPr>
          <w:color w:val="231F20"/>
          <w:spacing w:val="4"/>
        </w:rPr>
        <w:t xml:space="preserve"> </w:t>
      </w:r>
      <w:r>
        <w:rPr>
          <w:color w:val="231F20"/>
          <w:spacing w:val="1"/>
        </w:rPr>
        <w:t>controls</w:t>
      </w:r>
      <w:r>
        <w:rPr>
          <w:color w:val="231F20"/>
          <w:spacing w:val="4"/>
        </w:rPr>
        <w:t xml:space="preserve"> </w:t>
      </w:r>
      <w:r>
        <w:rPr>
          <w:color w:val="231F20"/>
        </w:rPr>
        <w:t>were</w:t>
      </w:r>
      <w:r>
        <w:rPr>
          <w:color w:val="231F20"/>
          <w:spacing w:val="4"/>
        </w:rPr>
        <w:t xml:space="preserve"> </w:t>
      </w:r>
      <w:r>
        <w:rPr>
          <w:color w:val="231F20"/>
          <w:spacing w:val="1"/>
        </w:rPr>
        <w:t>estimated</w:t>
      </w:r>
      <w:r>
        <w:rPr>
          <w:color w:val="231F20"/>
          <w:spacing w:val="4"/>
        </w:rPr>
        <w:t xml:space="preserve"> </w:t>
      </w:r>
      <w:r>
        <w:rPr>
          <w:color w:val="231F20"/>
          <w:spacing w:val="1"/>
        </w:rPr>
        <w:t>to</w:t>
      </w:r>
      <w:r>
        <w:rPr>
          <w:color w:val="231F20"/>
          <w:spacing w:val="4"/>
        </w:rPr>
        <w:t xml:space="preserve"> </w:t>
      </w:r>
      <w:r>
        <w:rPr>
          <w:color w:val="231F20"/>
          <w:spacing w:val="1"/>
        </w:rPr>
        <w:t>have</w:t>
      </w:r>
      <w:r>
        <w:rPr>
          <w:color w:val="231F20"/>
          <w:spacing w:val="4"/>
        </w:rPr>
        <w:t xml:space="preserve"> </w:t>
      </w:r>
      <w:r>
        <w:rPr>
          <w:color w:val="231F20"/>
          <w:spacing w:val="1"/>
        </w:rPr>
        <w:t>been</w:t>
      </w:r>
      <w:r>
        <w:rPr>
          <w:color w:val="231F20"/>
          <w:spacing w:val="4"/>
        </w:rPr>
        <w:t xml:space="preserve"> </w:t>
      </w:r>
      <w:r>
        <w:rPr>
          <w:color w:val="231F20"/>
          <w:spacing w:val="1"/>
        </w:rPr>
        <w:t>exposed</w:t>
      </w:r>
      <w:r>
        <w:rPr>
          <w:color w:val="231F20"/>
          <w:spacing w:val="4"/>
        </w:rPr>
        <w:t xml:space="preserve"> </w:t>
      </w:r>
      <w:r>
        <w:rPr>
          <w:color w:val="231F20"/>
          <w:spacing w:val="1"/>
        </w:rPr>
        <w:t>to</w:t>
      </w:r>
      <w:r>
        <w:rPr>
          <w:color w:val="231F20"/>
          <w:spacing w:val="4"/>
        </w:rPr>
        <w:t xml:space="preserve"> </w:t>
      </w:r>
      <w:r>
        <w:rPr>
          <w:color w:val="231F20"/>
          <w:spacing w:val="1"/>
        </w:rPr>
        <w:t>both</w:t>
      </w:r>
      <w:r>
        <w:rPr>
          <w:color w:val="231F20"/>
          <w:spacing w:val="4"/>
        </w:rPr>
        <w:t xml:space="preserve"> </w:t>
      </w:r>
      <w:r>
        <w:rPr>
          <w:color w:val="231F20"/>
          <w:spacing w:val="1"/>
        </w:rPr>
        <w:t>contaminants</w:t>
      </w:r>
      <w:r>
        <w:rPr>
          <w:color w:val="231F20"/>
          <w:spacing w:val="70"/>
        </w:rPr>
        <w:t xml:space="preserve"> </w:t>
      </w:r>
      <w:r>
        <w:rPr>
          <w:color w:val="231F20"/>
          <w:spacing w:val="1"/>
        </w:rPr>
        <w:t>(among</w:t>
      </w:r>
      <w:r>
        <w:rPr>
          <w:color w:val="231F20"/>
          <w:spacing w:val="4"/>
        </w:rPr>
        <w:t xml:space="preserve"> </w:t>
      </w:r>
      <w:r>
        <w:rPr>
          <w:color w:val="231F20"/>
          <w:spacing w:val="1"/>
        </w:rPr>
        <w:t>the</w:t>
      </w:r>
      <w:r>
        <w:rPr>
          <w:color w:val="231F20"/>
          <w:spacing w:val="4"/>
        </w:rPr>
        <w:t xml:space="preserve"> </w:t>
      </w:r>
      <w:r>
        <w:rPr>
          <w:color w:val="231F20"/>
          <w:spacing w:val="1"/>
        </w:rPr>
        <w:t>73</w:t>
      </w:r>
      <w:r>
        <w:rPr>
          <w:color w:val="231F20"/>
          <w:spacing w:val="4"/>
        </w:rPr>
        <w:t xml:space="preserve"> </w:t>
      </w:r>
      <w:r>
        <w:rPr>
          <w:color w:val="231F20"/>
          <w:spacing w:val="2"/>
        </w:rPr>
        <w:t>participants</w:t>
      </w:r>
      <w:r>
        <w:rPr>
          <w:color w:val="231F20"/>
          <w:spacing w:val="4"/>
        </w:rPr>
        <w:t xml:space="preserve"> </w:t>
      </w:r>
      <w:r>
        <w:rPr>
          <w:color w:val="231F20"/>
          <w:spacing w:val="1"/>
        </w:rPr>
        <w:t>with</w:t>
      </w:r>
      <w:r>
        <w:rPr>
          <w:color w:val="231F20"/>
          <w:spacing w:val="4"/>
        </w:rPr>
        <w:t xml:space="preserve"> </w:t>
      </w:r>
      <w:r>
        <w:rPr>
          <w:color w:val="231F20"/>
          <w:spacing w:val="1"/>
        </w:rPr>
        <w:t>modeled</w:t>
      </w:r>
      <w:r>
        <w:rPr>
          <w:color w:val="231F20"/>
          <w:spacing w:val="4"/>
        </w:rPr>
        <w:t xml:space="preserve"> </w:t>
      </w:r>
      <w:r>
        <w:rPr>
          <w:color w:val="231F20"/>
          <w:spacing w:val="1"/>
        </w:rPr>
        <w:t>concentrations</w:t>
      </w:r>
      <w:r>
        <w:rPr>
          <w:color w:val="231F20"/>
          <w:spacing w:val="4"/>
        </w:rPr>
        <w:t xml:space="preserve"> </w:t>
      </w:r>
      <w:r>
        <w:rPr>
          <w:color w:val="231F20"/>
          <w:spacing w:val="1"/>
        </w:rPr>
        <w:t>of</w:t>
      </w:r>
      <w:r>
        <w:rPr>
          <w:color w:val="231F20"/>
          <w:spacing w:val="4"/>
        </w:rPr>
        <w:t xml:space="preserve"> </w:t>
      </w:r>
      <w:r>
        <w:rPr>
          <w:color w:val="231F20"/>
          <w:spacing w:val="1"/>
        </w:rPr>
        <w:t>both</w:t>
      </w:r>
      <w:r>
        <w:rPr>
          <w:color w:val="231F20"/>
          <w:spacing w:val="4"/>
        </w:rPr>
        <w:t xml:space="preserve"> </w:t>
      </w:r>
      <w:r>
        <w:rPr>
          <w:color w:val="231F20"/>
          <w:spacing w:val="1"/>
        </w:rPr>
        <w:t>NDMA</w:t>
      </w:r>
      <w:r>
        <w:rPr>
          <w:color w:val="231F20"/>
          <w:spacing w:val="4"/>
        </w:rPr>
        <w:t xml:space="preserve"> </w:t>
      </w:r>
      <w:r>
        <w:rPr>
          <w:color w:val="231F20"/>
          <w:spacing w:val="2"/>
        </w:rPr>
        <w:t>and</w:t>
      </w:r>
      <w:r>
        <w:rPr>
          <w:color w:val="231F20"/>
          <w:spacing w:val="56"/>
        </w:rPr>
        <w:t xml:space="preserve"> </w:t>
      </w:r>
      <w:r>
        <w:rPr>
          <w:color w:val="231F20"/>
          <w:spacing w:val="1"/>
        </w:rPr>
        <w:t>TCE).</w:t>
      </w:r>
      <w:r>
        <w:rPr>
          <w:color w:val="231F20"/>
          <w:spacing w:val="-13"/>
        </w:rPr>
        <w:t xml:space="preserve"> </w:t>
      </w:r>
      <w:r>
        <w:rPr>
          <w:color w:val="231F20"/>
        </w:rPr>
        <w:t>A</w:t>
      </w:r>
      <w:r>
        <w:rPr>
          <w:color w:val="231F20"/>
          <w:spacing w:val="3"/>
        </w:rPr>
        <w:t xml:space="preserve"> </w:t>
      </w:r>
      <w:r>
        <w:rPr>
          <w:color w:val="231F20"/>
          <w:spacing w:val="1"/>
        </w:rPr>
        <w:t>small,</w:t>
      </w:r>
      <w:r>
        <w:rPr>
          <w:color w:val="231F20"/>
          <w:spacing w:val="-12"/>
        </w:rPr>
        <w:t xml:space="preserve"> </w:t>
      </w:r>
      <w:r>
        <w:rPr>
          <w:color w:val="231F20"/>
          <w:spacing w:val="1"/>
        </w:rPr>
        <w:t>but</w:t>
      </w:r>
      <w:r>
        <w:rPr>
          <w:color w:val="231F20"/>
          <w:spacing w:val="3"/>
        </w:rPr>
        <w:t xml:space="preserve"> </w:t>
      </w:r>
      <w:r w:rsidRPr="00A2065F">
        <w:rPr>
          <w:color w:val="231F20"/>
          <w:spacing w:val="2"/>
        </w:rPr>
        <w:t>statistically</w:t>
      </w:r>
      <w:r w:rsidRPr="00A2065F">
        <w:rPr>
          <w:color w:val="231F20"/>
          <w:spacing w:val="3"/>
        </w:rPr>
        <w:t xml:space="preserve"> </w:t>
      </w:r>
      <w:r w:rsidR="00A416AB">
        <w:rPr>
          <w:color w:val="231F20"/>
          <w:spacing w:val="1"/>
          <w:lang w:val="en-US"/>
        </w:rPr>
        <w:t>significant</w:t>
      </w:r>
      <w:r w:rsidRPr="00A2065F">
        <w:rPr>
          <w:color w:val="231F20"/>
          <w:spacing w:val="1"/>
        </w:rPr>
        <w:t>,</w:t>
      </w:r>
      <w:r w:rsidRPr="00A2065F">
        <w:rPr>
          <w:color w:val="231F20"/>
          <w:spacing w:val="-13"/>
        </w:rPr>
        <w:t xml:space="preserve"> </w:t>
      </w:r>
      <w:r w:rsidRPr="00A2065F">
        <w:rPr>
          <w:color w:val="231F20"/>
          <w:spacing w:val="1"/>
        </w:rPr>
        <w:t>correlation</w:t>
      </w:r>
      <w:r w:rsidRPr="00A2065F">
        <w:rPr>
          <w:color w:val="231F20"/>
          <w:spacing w:val="3"/>
        </w:rPr>
        <w:t xml:space="preserve"> </w:t>
      </w:r>
      <w:r w:rsidRPr="00A2065F">
        <w:rPr>
          <w:color w:val="231F20"/>
          <w:spacing w:val="1"/>
        </w:rPr>
        <w:t>exists</w:t>
      </w:r>
      <w:r w:rsidRPr="00A2065F">
        <w:rPr>
          <w:color w:val="231F20"/>
          <w:spacing w:val="4"/>
        </w:rPr>
        <w:t xml:space="preserve"> </w:t>
      </w:r>
      <w:r w:rsidRPr="00A2065F">
        <w:rPr>
          <w:color w:val="231F20"/>
          <w:spacing w:val="1"/>
        </w:rPr>
        <w:t>between</w:t>
      </w:r>
      <w:r w:rsidRPr="00A2065F">
        <w:rPr>
          <w:color w:val="231F20"/>
          <w:spacing w:val="3"/>
        </w:rPr>
        <w:t xml:space="preserve"> </w:t>
      </w:r>
      <w:r w:rsidRPr="00A2065F">
        <w:rPr>
          <w:color w:val="231F20"/>
          <w:spacing w:val="1"/>
        </w:rPr>
        <w:t>the</w:t>
      </w:r>
      <w:r w:rsidRPr="00A2065F">
        <w:rPr>
          <w:color w:val="231F20"/>
          <w:spacing w:val="3"/>
        </w:rPr>
        <w:t xml:space="preserve"> </w:t>
      </w:r>
      <w:r w:rsidRPr="00A2065F">
        <w:rPr>
          <w:color w:val="231F20"/>
          <w:spacing w:val="1"/>
        </w:rPr>
        <w:t>two</w:t>
      </w:r>
      <w:r w:rsidRPr="00A2065F">
        <w:rPr>
          <w:color w:val="231F20"/>
          <w:spacing w:val="64"/>
        </w:rPr>
        <w:t xml:space="preserve"> </w:t>
      </w:r>
      <w:r w:rsidRPr="00A2065F">
        <w:rPr>
          <w:color w:val="231F20"/>
          <w:spacing w:val="1"/>
        </w:rPr>
        <w:t>contaminants</w:t>
      </w:r>
      <w:r w:rsidRPr="00A2065F">
        <w:rPr>
          <w:color w:val="231F20"/>
          <w:spacing w:val="4"/>
        </w:rPr>
        <w:t xml:space="preserve"> </w:t>
      </w:r>
      <w:r w:rsidRPr="00A2065F">
        <w:rPr>
          <w:color w:val="231F20"/>
          <w:spacing w:val="1"/>
        </w:rPr>
        <w:t>in</w:t>
      </w:r>
      <w:r w:rsidRPr="00A2065F">
        <w:rPr>
          <w:color w:val="231F20"/>
          <w:spacing w:val="4"/>
        </w:rPr>
        <w:t xml:space="preserve"> </w:t>
      </w:r>
      <w:r w:rsidRPr="00A2065F">
        <w:rPr>
          <w:color w:val="231F20"/>
          <w:spacing w:val="1"/>
        </w:rPr>
        <w:t>residential</w:t>
      </w:r>
      <w:r w:rsidRPr="00A2065F">
        <w:rPr>
          <w:color w:val="231F20"/>
          <w:spacing w:val="4"/>
        </w:rPr>
        <w:t xml:space="preserve"> </w:t>
      </w:r>
      <w:r w:rsidRPr="00A2065F">
        <w:rPr>
          <w:color w:val="231F20"/>
          <w:spacing w:val="2"/>
        </w:rPr>
        <w:t>drinking</w:t>
      </w:r>
      <w:r w:rsidRPr="00A2065F">
        <w:rPr>
          <w:color w:val="231F20"/>
          <w:spacing w:val="4"/>
        </w:rPr>
        <w:t xml:space="preserve"> </w:t>
      </w:r>
      <w:r w:rsidRPr="00A2065F">
        <w:rPr>
          <w:color w:val="231F20"/>
          <w:spacing w:val="1"/>
        </w:rPr>
        <w:t>water</w:t>
      </w:r>
      <w:r w:rsidRPr="00A2065F">
        <w:rPr>
          <w:color w:val="231F20"/>
          <w:spacing w:val="4"/>
        </w:rPr>
        <w:t xml:space="preserve"> </w:t>
      </w:r>
      <w:r w:rsidRPr="00A2065F">
        <w:rPr>
          <w:color w:val="231F20"/>
          <w:spacing w:val="1"/>
        </w:rPr>
        <w:t>in</w:t>
      </w:r>
      <w:r w:rsidRPr="00A2065F">
        <w:rPr>
          <w:color w:val="231F20"/>
          <w:spacing w:val="4"/>
        </w:rPr>
        <w:t xml:space="preserve"> </w:t>
      </w:r>
      <w:r w:rsidRPr="00A2065F">
        <w:rPr>
          <w:color w:val="231F20"/>
          <w:spacing w:val="1"/>
        </w:rPr>
        <w:t>this</w:t>
      </w:r>
      <w:r w:rsidRPr="00A2065F">
        <w:rPr>
          <w:color w:val="231F20"/>
          <w:spacing w:val="4"/>
        </w:rPr>
        <w:t xml:space="preserve"> </w:t>
      </w:r>
      <w:r w:rsidRPr="00A2065F">
        <w:rPr>
          <w:color w:val="231F20"/>
          <w:spacing w:val="-2"/>
        </w:rPr>
        <w:t>study,</w:t>
      </w:r>
      <w:r w:rsidRPr="00A2065F">
        <w:rPr>
          <w:color w:val="231F20"/>
          <w:spacing w:val="-12"/>
        </w:rPr>
        <w:t xml:space="preserve"> </w:t>
      </w:r>
      <w:r w:rsidRPr="00A2065F">
        <w:rPr>
          <w:color w:val="231F20"/>
          <w:spacing w:val="1"/>
        </w:rPr>
        <w:t>driven</w:t>
      </w:r>
      <w:r w:rsidRPr="00A2065F">
        <w:rPr>
          <w:color w:val="231F20"/>
          <w:spacing w:val="4"/>
        </w:rPr>
        <w:t xml:space="preserve"> </w:t>
      </w:r>
      <w:r w:rsidRPr="00A2065F">
        <w:rPr>
          <w:color w:val="231F20"/>
          <w:spacing w:val="-1"/>
        </w:rPr>
        <w:t>by</w:t>
      </w:r>
      <w:r w:rsidRPr="00A2065F">
        <w:rPr>
          <w:color w:val="231F20"/>
          <w:spacing w:val="4"/>
        </w:rPr>
        <w:t xml:space="preserve"> </w:t>
      </w:r>
      <w:r w:rsidRPr="00A2065F">
        <w:rPr>
          <w:color w:val="231F20"/>
          <w:spacing w:val="1"/>
        </w:rPr>
        <w:t>the</w:t>
      </w:r>
      <w:r w:rsidRPr="00A2065F">
        <w:rPr>
          <w:color w:val="231F20"/>
          <w:spacing w:val="4"/>
        </w:rPr>
        <w:t xml:space="preserve"> </w:t>
      </w:r>
      <w:r w:rsidRPr="00A2065F">
        <w:rPr>
          <w:color w:val="231F20"/>
          <w:spacing w:val="1"/>
        </w:rPr>
        <w:t>large</w:t>
      </w:r>
      <w:r w:rsidRPr="00A2065F">
        <w:rPr>
          <w:color w:val="231F20"/>
          <w:spacing w:val="62"/>
        </w:rPr>
        <w:t xml:space="preserve"> </w:t>
      </w:r>
      <w:r w:rsidRPr="00A2065F">
        <w:rPr>
          <w:color w:val="231F20"/>
          <w:spacing w:val="1"/>
        </w:rPr>
        <w:t>number</w:t>
      </w:r>
      <w:r w:rsidRPr="00A2065F">
        <w:rPr>
          <w:color w:val="231F20"/>
          <w:spacing w:val="4"/>
        </w:rPr>
        <w:t xml:space="preserve"> </w:t>
      </w:r>
      <w:r w:rsidRPr="00A2065F">
        <w:rPr>
          <w:color w:val="231F20"/>
          <w:spacing w:val="1"/>
        </w:rPr>
        <w:t>of</w:t>
      </w:r>
      <w:r w:rsidRPr="00A2065F">
        <w:rPr>
          <w:color w:val="231F20"/>
          <w:spacing w:val="4"/>
        </w:rPr>
        <w:t xml:space="preserve"> </w:t>
      </w:r>
      <w:r w:rsidRPr="00A2065F">
        <w:rPr>
          <w:color w:val="231F20"/>
          <w:spacing w:val="2"/>
        </w:rPr>
        <w:t>participants</w:t>
      </w:r>
      <w:r w:rsidRPr="00A2065F">
        <w:rPr>
          <w:color w:val="231F20"/>
          <w:spacing w:val="4"/>
        </w:rPr>
        <w:t xml:space="preserve"> </w:t>
      </w:r>
      <w:r w:rsidRPr="00A2065F">
        <w:rPr>
          <w:color w:val="231F20"/>
          <w:spacing w:val="1"/>
        </w:rPr>
        <w:t>with</w:t>
      </w:r>
      <w:r w:rsidRPr="00A2065F">
        <w:rPr>
          <w:color w:val="231F20"/>
          <w:spacing w:val="4"/>
        </w:rPr>
        <w:t xml:space="preserve"> </w:t>
      </w:r>
      <w:r w:rsidRPr="00A2065F">
        <w:rPr>
          <w:color w:val="231F20"/>
          <w:spacing w:val="1"/>
        </w:rPr>
        <w:t>estimated</w:t>
      </w:r>
      <w:r w:rsidRPr="00A2065F">
        <w:rPr>
          <w:color w:val="231F20"/>
          <w:spacing w:val="4"/>
        </w:rPr>
        <w:t xml:space="preserve"> </w:t>
      </w:r>
      <w:r w:rsidRPr="00A2065F">
        <w:rPr>
          <w:color w:val="231F20"/>
          <w:spacing w:val="2"/>
        </w:rPr>
        <w:t>zero</w:t>
      </w:r>
      <w:r w:rsidRPr="00A2065F">
        <w:rPr>
          <w:color w:val="231F20"/>
          <w:spacing w:val="4"/>
        </w:rPr>
        <w:t xml:space="preserve"> </w:t>
      </w:r>
      <w:r w:rsidRPr="00A2065F">
        <w:rPr>
          <w:color w:val="231F20"/>
          <w:spacing w:val="1"/>
        </w:rPr>
        <w:t>exposure</w:t>
      </w:r>
      <w:r>
        <w:rPr>
          <w:color w:val="231F20"/>
          <w:spacing w:val="4"/>
        </w:rPr>
        <w:t xml:space="preserve"> </w:t>
      </w:r>
      <w:r>
        <w:rPr>
          <w:color w:val="231F20"/>
          <w:spacing w:val="1"/>
        </w:rPr>
        <w:t>to</w:t>
      </w:r>
      <w:r>
        <w:rPr>
          <w:color w:val="231F20"/>
          <w:spacing w:val="4"/>
        </w:rPr>
        <w:t xml:space="preserve"> </w:t>
      </w:r>
      <w:r>
        <w:rPr>
          <w:color w:val="231F20"/>
          <w:spacing w:val="1"/>
        </w:rPr>
        <w:t>both</w:t>
      </w:r>
      <w:r>
        <w:rPr>
          <w:color w:val="231F20"/>
          <w:spacing w:val="4"/>
        </w:rPr>
        <w:t xml:space="preserve"> </w:t>
      </w:r>
      <w:r>
        <w:rPr>
          <w:color w:val="231F20"/>
          <w:spacing w:val="1"/>
        </w:rPr>
        <w:t>compounds.</w:t>
      </w:r>
    </w:p>
    <w:p w14:paraId="522C1AB0" w14:textId="6EF6D9D3" w:rsidR="008D1590" w:rsidRPr="00923155" w:rsidRDefault="00B90BB8" w:rsidP="0010161F">
      <w:pPr>
        <w:pStyle w:val="Heading3"/>
      </w:pPr>
      <w:r w:rsidRPr="00923155">
        <w:rPr>
          <w:noProof/>
        </w:rPr>
        <w:lastRenderedPageBreak/>
        <mc:AlternateContent>
          <mc:Choice Requires="wps">
            <w:drawing>
              <wp:anchor distT="0" distB="0" distL="114300" distR="114300" simplePos="0" relativeHeight="251657216" behindDoc="0" locked="0" layoutInCell="1" allowOverlap="1" wp14:anchorId="46AF976D" wp14:editId="456FE8EF">
                <wp:simplePos x="0" y="0"/>
                <wp:positionH relativeFrom="margin">
                  <wp:posOffset>3437890</wp:posOffset>
                </wp:positionH>
                <wp:positionV relativeFrom="margin">
                  <wp:align>top</wp:align>
                </wp:positionV>
                <wp:extent cx="2600325" cy="43624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362450"/>
                        </a:xfrm>
                        <a:prstGeom prst="rect">
                          <a:avLst/>
                        </a:prstGeom>
                        <a:solidFill>
                          <a:schemeClr val="accent1">
                            <a:lumMod val="20000"/>
                            <a:lumOff val="80000"/>
                          </a:schemeClr>
                        </a:solidFill>
                        <a:ln w="9525">
                          <a:solidFill>
                            <a:srgbClr val="000000"/>
                          </a:solidFill>
                          <a:miter lim="800000"/>
                          <a:headEnd/>
                          <a:tailEnd/>
                        </a:ln>
                      </wps:spPr>
                      <wps:txbx>
                        <w:txbxContent>
                          <w:p w14:paraId="57433BCF" w14:textId="77777777" w:rsidR="00C2588D" w:rsidRPr="00A2065F" w:rsidRDefault="00C2588D" w:rsidP="00ED7296">
                            <w:pPr>
                              <w:spacing w:after="120"/>
                              <w:rPr>
                                <w:rFonts w:asciiTheme="minorHAnsi" w:hAnsiTheme="minorHAnsi" w:cstheme="minorHAnsi"/>
                                <w:sz w:val="22"/>
                                <w:szCs w:val="22"/>
                              </w:rPr>
                            </w:pPr>
                            <w:bookmarkStart w:id="13" w:name="_Hlk67321039"/>
                            <w:bookmarkStart w:id="14" w:name="_Hlk67321040"/>
                            <w:bookmarkStart w:id="15" w:name="_Hlk67321062"/>
                            <w:bookmarkStart w:id="16" w:name="_Hlk67321063"/>
                            <w:r w:rsidRPr="00A2065F">
                              <w:rPr>
                                <w:rFonts w:asciiTheme="minorHAnsi" w:hAnsiTheme="minorHAnsi" w:cstheme="minorHAnsi"/>
                                <w:sz w:val="22"/>
                                <w:szCs w:val="22"/>
                              </w:rPr>
                              <w:t xml:space="preserve">An </w:t>
                            </w:r>
                            <w:r w:rsidRPr="00A2065F">
                              <w:rPr>
                                <w:rFonts w:asciiTheme="minorHAnsi" w:hAnsiTheme="minorHAnsi" w:cstheme="minorHAnsi"/>
                                <w:b/>
                                <w:sz w:val="22"/>
                                <w:szCs w:val="22"/>
                              </w:rPr>
                              <w:t>odds ratio (OR)</w:t>
                            </w:r>
                            <w:r w:rsidRPr="00A2065F">
                              <w:rPr>
                                <w:rFonts w:asciiTheme="minorHAnsi" w:hAnsiTheme="minorHAnsi" w:cstheme="minorHAnsi"/>
                                <w:sz w:val="22"/>
                                <w:szCs w:val="22"/>
                              </w:rPr>
                              <w:t xml:space="preserve"> is a measure of association between a health outcome and an exposure or risk factor. In general, an odds ratio is calculated as the odds of an exposed population developing a particular health outcome compared to the odds of an equivalent but </w:t>
                            </w:r>
                            <w:r w:rsidRPr="00A2065F">
                              <w:rPr>
                                <w:rFonts w:asciiTheme="minorHAnsi" w:hAnsiTheme="minorHAnsi" w:cstheme="minorHAnsi"/>
                                <w:i/>
                                <w:sz w:val="22"/>
                                <w:szCs w:val="22"/>
                              </w:rPr>
                              <w:t>un</w:t>
                            </w:r>
                            <w:r w:rsidRPr="00A2065F">
                              <w:rPr>
                                <w:rFonts w:asciiTheme="minorHAnsi" w:hAnsiTheme="minorHAnsi" w:cstheme="minorHAnsi"/>
                                <w:sz w:val="22"/>
                                <w:szCs w:val="22"/>
                              </w:rPr>
                              <w:t>exposed population developing the health outcome.</w:t>
                            </w:r>
                          </w:p>
                          <w:p w14:paraId="495A5532" w14:textId="77777777" w:rsidR="00C2588D" w:rsidRPr="00A2065F" w:rsidRDefault="00C2588D" w:rsidP="00A2065F">
                            <w:pPr>
                              <w:pStyle w:val="ListParagraph"/>
                              <w:numPr>
                                <w:ilvl w:val="0"/>
                                <w:numId w:val="39"/>
                              </w:numPr>
                              <w:ind w:left="360"/>
                              <w:rPr>
                                <w:rFonts w:asciiTheme="minorHAnsi" w:hAnsiTheme="minorHAnsi" w:cstheme="minorHAnsi"/>
                                <w:sz w:val="22"/>
                                <w:szCs w:val="22"/>
                              </w:rPr>
                            </w:pPr>
                            <w:r w:rsidRPr="00A2065F">
                              <w:rPr>
                                <w:rFonts w:asciiTheme="minorHAnsi" w:hAnsiTheme="minorHAnsi" w:cstheme="minorHAnsi"/>
                                <w:sz w:val="22"/>
                                <w:szCs w:val="22"/>
                              </w:rPr>
                              <w:t>An OR of 1.0 means that exposure is not related to the outcome.</w:t>
                            </w:r>
                          </w:p>
                          <w:p w14:paraId="29832AFE" w14:textId="77777777" w:rsidR="00C2588D" w:rsidRPr="00A2065F" w:rsidRDefault="00C2588D" w:rsidP="00A2065F">
                            <w:pPr>
                              <w:pStyle w:val="ListParagraph"/>
                              <w:numPr>
                                <w:ilvl w:val="0"/>
                                <w:numId w:val="39"/>
                              </w:numPr>
                              <w:ind w:left="360"/>
                              <w:rPr>
                                <w:rFonts w:asciiTheme="minorHAnsi" w:hAnsiTheme="minorHAnsi" w:cstheme="minorHAnsi"/>
                                <w:sz w:val="22"/>
                                <w:szCs w:val="22"/>
                              </w:rPr>
                            </w:pPr>
                            <w:r w:rsidRPr="00A2065F">
                              <w:rPr>
                                <w:rFonts w:asciiTheme="minorHAnsi" w:hAnsiTheme="minorHAnsi" w:cstheme="minorHAnsi"/>
                                <w:sz w:val="22"/>
                                <w:szCs w:val="22"/>
                              </w:rPr>
                              <w:t>An OR greater than 1.0 means that exposure has a positive association with the outcome.</w:t>
                            </w:r>
                          </w:p>
                          <w:p w14:paraId="28152539" w14:textId="77777777" w:rsidR="00C2588D" w:rsidRPr="00A2065F" w:rsidRDefault="00C2588D" w:rsidP="00A2065F">
                            <w:pPr>
                              <w:pStyle w:val="ListParagraph"/>
                              <w:numPr>
                                <w:ilvl w:val="0"/>
                                <w:numId w:val="39"/>
                              </w:numPr>
                              <w:ind w:left="360"/>
                              <w:rPr>
                                <w:rFonts w:asciiTheme="minorHAnsi" w:hAnsiTheme="minorHAnsi" w:cstheme="minorHAnsi"/>
                              </w:rPr>
                            </w:pPr>
                            <w:r w:rsidRPr="00A2065F">
                              <w:rPr>
                                <w:rFonts w:asciiTheme="minorHAnsi" w:hAnsiTheme="minorHAnsi" w:cstheme="minorHAnsi"/>
                                <w:sz w:val="22"/>
                                <w:szCs w:val="22"/>
                              </w:rPr>
                              <w:t>An OR less than 1.0 means exposure has a negative association with the outcome.</w:t>
                            </w:r>
                          </w:p>
                          <w:p w14:paraId="4E41B21B" w14:textId="77777777" w:rsidR="00C2588D" w:rsidRPr="00A2065F" w:rsidRDefault="00C2588D" w:rsidP="00EC1DE6">
                            <w:pPr>
                              <w:pStyle w:val="ListParagraph"/>
                              <w:rPr>
                                <w:rFonts w:asciiTheme="minorHAnsi" w:hAnsiTheme="minorHAnsi" w:cstheme="minorHAnsi"/>
                                <w:sz w:val="8"/>
                                <w:szCs w:val="8"/>
                              </w:rPr>
                            </w:pPr>
                          </w:p>
                          <w:p w14:paraId="495A8AB4" w14:textId="77777777" w:rsidR="00C2588D" w:rsidRPr="00A2065F" w:rsidRDefault="00C2588D" w:rsidP="00EC1DE6">
                            <w:pPr>
                              <w:pStyle w:val="ListParagraph"/>
                              <w:ind w:left="0"/>
                              <w:rPr>
                                <w:rFonts w:asciiTheme="minorHAnsi" w:hAnsiTheme="minorHAnsi" w:cstheme="minorHAnsi"/>
                                <w:i/>
                                <w:sz w:val="22"/>
                                <w:szCs w:val="22"/>
                              </w:rPr>
                            </w:pPr>
                            <w:r w:rsidRPr="00A2065F">
                              <w:rPr>
                                <w:rFonts w:asciiTheme="minorHAnsi" w:hAnsiTheme="minorHAnsi" w:cstheme="minorHAnsi"/>
                                <w:i/>
                                <w:sz w:val="22"/>
                                <w:szCs w:val="22"/>
                              </w:rPr>
                              <w:t>Example: An odds ratio of 2.5 means that the odds of an outcome occurring with exposure is 2.5 times higher than if there were no exposure.</w:t>
                            </w:r>
                            <w:bookmarkEnd w:id="13"/>
                            <w:bookmarkEnd w:id="14"/>
                            <w:bookmarkEnd w:id="15"/>
                            <w:bookmarkEnd w:id="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F976D" id="_x0000_t202" coordsize="21600,21600" o:spt="202" path="m,l,21600r21600,l21600,xe">
                <v:stroke joinstyle="miter"/>
                <v:path gradientshapeok="t" o:connecttype="rect"/>
              </v:shapetype>
              <v:shape id="Text Box 2" o:spid="_x0000_s1026" type="#_x0000_t202" style="position:absolute;margin-left:270.7pt;margin-top:0;width:204.75pt;height:343.5pt;z-index:2516572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" fillcolor="#dbe5f1 [660]">
                <v:textbox>
                  <w:txbxContent>
                    <w:p w14:paraId="57433BCF" w14:textId="77777777" w:rsidR="00C2588D" w:rsidRPr="00A2065F" w:rsidRDefault="00C2588D" w:rsidP="00ED7296">
                      <w:pPr>
                        <w:spacing w:after="120"/>
                        <w:rPr>
                          <w:rFonts w:asciiTheme="minorHAnsi" w:hAnsiTheme="minorHAnsi" w:cstheme="minorHAnsi"/>
                          <w:sz w:val="22"/>
                          <w:szCs w:val="22"/>
                        </w:rPr>
                      </w:pPr>
                      <w:bookmarkStart w:id="17" w:name="_Hlk67321039"/>
                      <w:bookmarkStart w:id="18" w:name="_Hlk67321040"/>
                      <w:bookmarkStart w:id="19" w:name="_Hlk67321062"/>
                      <w:bookmarkStart w:id="20" w:name="_Hlk67321063"/>
                      <w:r w:rsidRPr="00A2065F">
                        <w:rPr>
                          <w:rFonts w:asciiTheme="minorHAnsi" w:hAnsiTheme="minorHAnsi" w:cstheme="minorHAnsi"/>
                          <w:sz w:val="22"/>
                          <w:szCs w:val="22"/>
                        </w:rPr>
                        <w:t xml:space="preserve">An </w:t>
                      </w:r>
                      <w:r w:rsidRPr="00A2065F">
                        <w:rPr>
                          <w:rFonts w:asciiTheme="minorHAnsi" w:hAnsiTheme="minorHAnsi" w:cstheme="minorHAnsi"/>
                          <w:b/>
                          <w:sz w:val="22"/>
                          <w:szCs w:val="22"/>
                        </w:rPr>
                        <w:t>odds ratio (OR)</w:t>
                      </w:r>
                      <w:r w:rsidRPr="00A2065F">
                        <w:rPr>
                          <w:rFonts w:asciiTheme="minorHAnsi" w:hAnsiTheme="minorHAnsi" w:cstheme="minorHAnsi"/>
                          <w:sz w:val="22"/>
                          <w:szCs w:val="22"/>
                        </w:rPr>
                        <w:t xml:space="preserve"> is a measure of association between a health outcome and an exposure or risk factor. In general, an odds ratio is calculated as the odds of an exposed population developing a particular health outcome compared to the odds of an equivalent but </w:t>
                      </w:r>
                      <w:r w:rsidRPr="00A2065F">
                        <w:rPr>
                          <w:rFonts w:asciiTheme="minorHAnsi" w:hAnsiTheme="minorHAnsi" w:cstheme="minorHAnsi"/>
                          <w:i/>
                          <w:sz w:val="22"/>
                          <w:szCs w:val="22"/>
                        </w:rPr>
                        <w:t>un</w:t>
                      </w:r>
                      <w:r w:rsidRPr="00A2065F">
                        <w:rPr>
                          <w:rFonts w:asciiTheme="minorHAnsi" w:hAnsiTheme="minorHAnsi" w:cstheme="minorHAnsi"/>
                          <w:sz w:val="22"/>
                          <w:szCs w:val="22"/>
                        </w:rPr>
                        <w:t>exposed population developing the health outcome.</w:t>
                      </w:r>
                    </w:p>
                    <w:p w14:paraId="495A5532" w14:textId="77777777" w:rsidR="00C2588D" w:rsidRPr="00A2065F" w:rsidRDefault="00C2588D" w:rsidP="00A2065F">
                      <w:pPr>
                        <w:pStyle w:val="ListParagraph"/>
                        <w:numPr>
                          <w:ilvl w:val="0"/>
                          <w:numId w:val="39"/>
                        </w:numPr>
                        <w:ind w:left="360"/>
                        <w:rPr>
                          <w:rFonts w:asciiTheme="minorHAnsi" w:hAnsiTheme="minorHAnsi" w:cstheme="minorHAnsi"/>
                          <w:sz w:val="22"/>
                          <w:szCs w:val="22"/>
                        </w:rPr>
                      </w:pPr>
                      <w:r w:rsidRPr="00A2065F">
                        <w:rPr>
                          <w:rFonts w:asciiTheme="minorHAnsi" w:hAnsiTheme="minorHAnsi" w:cstheme="minorHAnsi"/>
                          <w:sz w:val="22"/>
                          <w:szCs w:val="22"/>
                        </w:rPr>
                        <w:t>An OR of 1.0 means that exposure is not related to the outcome.</w:t>
                      </w:r>
                    </w:p>
                    <w:p w14:paraId="29832AFE" w14:textId="77777777" w:rsidR="00C2588D" w:rsidRPr="00A2065F" w:rsidRDefault="00C2588D" w:rsidP="00A2065F">
                      <w:pPr>
                        <w:pStyle w:val="ListParagraph"/>
                        <w:numPr>
                          <w:ilvl w:val="0"/>
                          <w:numId w:val="39"/>
                        </w:numPr>
                        <w:ind w:left="360"/>
                        <w:rPr>
                          <w:rFonts w:asciiTheme="minorHAnsi" w:hAnsiTheme="minorHAnsi" w:cstheme="minorHAnsi"/>
                          <w:sz w:val="22"/>
                          <w:szCs w:val="22"/>
                        </w:rPr>
                      </w:pPr>
                      <w:r w:rsidRPr="00A2065F">
                        <w:rPr>
                          <w:rFonts w:asciiTheme="minorHAnsi" w:hAnsiTheme="minorHAnsi" w:cstheme="minorHAnsi"/>
                          <w:sz w:val="22"/>
                          <w:szCs w:val="22"/>
                        </w:rPr>
                        <w:t>An OR greater than 1.0 means that exposure has a positive association with the outcome.</w:t>
                      </w:r>
                    </w:p>
                    <w:p w14:paraId="28152539" w14:textId="77777777" w:rsidR="00C2588D" w:rsidRPr="00A2065F" w:rsidRDefault="00C2588D" w:rsidP="00A2065F">
                      <w:pPr>
                        <w:pStyle w:val="ListParagraph"/>
                        <w:numPr>
                          <w:ilvl w:val="0"/>
                          <w:numId w:val="39"/>
                        </w:numPr>
                        <w:ind w:left="360"/>
                        <w:rPr>
                          <w:rFonts w:asciiTheme="minorHAnsi" w:hAnsiTheme="minorHAnsi" w:cstheme="minorHAnsi"/>
                        </w:rPr>
                      </w:pPr>
                      <w:r w:rsidRPr="00A2065F">
                        <w:rPr>
                          <w:rFonts w:asciiTheme="minorHAnsi" w:hAnsiTheme="minorHAnsi" w:cstheme="minorHAnsi"/>
                          <w:sz w:val="22"/>
                          <w:szCs w:val="22"/>
                        </w:rPr>
                        <w:t>An OR less than 1.0 means exposure has a negative association with the outcome.</w:t>
                      </w:r>
                    </w:p>
                    <w:p w14:paraId="4E41B21B" w14:textId="77777777" w:rsidR="00C2588D" w:rsidRPr="00A2065F" w:rsidRDefault="00C2588D" w:rsidP="00EC1DE6">
                      <w:pPr>
                        <w:pStyle w:val="ListParagraph"/>
                        <w:rPr>
                          <w:rFonts w:asciiTheme="minorHAnsi" w:hAnsiTheme="minorHAnsi" w:cstheme="minorHAnsi"/>
                          <w:sz w:val="8"/>
                          <w:szCs w:val="8"/>
                        </w:rPr>
                      </w:pPr>
                    </w:p>
                    <w:p w14:paraId="495A8AB4" w14:textId="77777777" w:rsidR="00C2588D" w:rsidRPr="00A2065F" w:rsidRDefault="00C2588D" w:rsidP="00EC1DE6">
                      <w:pPr>
                        <w:pStyle w:val="ListParagraph"/>
                        <w:ind w:left="0"/>
                        <w:rPr>
                          <w:rFonts w:asciiTheme="minorHAnsi" w:hAnsiTheme="minorHAnsi" w:cstheme="minorHAnsi"/>
                          <w:i/>
                          <w:sz w:val="22"/>
                          <w:szCs w:val="22"/>
                        </w:rPr>
                      </w:pPr>
                      <w:r w:rsidRPr="00A2065F">
                        <w:rPr>
                          <w:rFonts w:asciiTheme="minorHAnsi" w:hAnsiTheme="minorHAnsi" w:cstheme="minorHAnsi"/>
                          <w:i/>
                          <w:sz w:val="22"/>
                          <w:szCs w:val="22"/>
                        </w:rPr>
                        <w:t>Example: An odds ratio of 2.5 means that the odds of an outcome occurring with exposure is 2.5 times higher than if there were no exposure.</w:t>
                      </w:r>
                      <w:bookmarkEnd w:id="17"/>
                      <w:bookmarkEnd w:id="18"/>
                      <w:bookmarkEnd w:id="19"/>
                      <w:bookmarkEnd w:id="20"/>
                    </w:p>
                  </w:txbxContent>
                </v:textbox>
                <w10:wrap type="square" anchorx="margin" anchory="margin"/>
              </v:shape>
            </w:pict>
          </mc:Fallback>
        </mc:AlternateContent>
      </w:r>
      <w:r w:rsidR="008D1590" w:rsidRPr="00923155">
        <w:t>Associations between NDMA in Drinking Water and Childhood Cancer</w:t>
      </w:r>
    </w:p>
    <w:p w14:paraId="0108A364" w14:textId="53C902EB" w:rsidR="008D1590" w:rsidRDefault="008D1590" w:rsidP="00C05818">
      <w:pPr>
        <w:spacing w:after="240"/>
      </w:pPr>
      <w:r w:rsidRPr="00923155">
        <w:t>When evaluating maternal/</w:t>
      </w:r>
      <w:r w:rsidR="00D225B5">
        <w:br/>
      </w:r>
      <w:r w:rsidRPr="00923155">
        <w:rPr>
          <w:i/>
        </w:rPr>
        <w:t>in-utero</w:t>
      </w:r>
      <w:r w:rsidRPr="00923155">
        <w:t xml:space="preserve"> exposure, the odds of childhood/adolescent cancer (all cancers and leukemia/lymphoma only) were higher for children/adolescents whose mothers ever lived in a home estimated to have NDMA-contaminated drinking water during the year prior to birth, but these results did not reach statistical significance. A positive trend in the odds of cancer was also observed with increasing average estimated NDMA concentrations in maternal drinking water from zero to low </w:t>
      </w:r>
      <w:proofErr w:type="spellStart"/>
      <w:r w:rsidRPr="00923155">
        <w:t>to</w:t>
      </w:r>
      <w:proofErr w:type="spellEnd"/>
      <w:r w:rsidRPr="00923155">
        <w:t xml:space="preserve"> high for all cancers (ORs = 1.0, 1.3, 3.0) and for leukemia/lymphoma (ORs = 1.0, 1.3, 5.0). Tests of trend for these analyses resulted in a </w:t>
      </w:r>
      <w:r w:rsidRPr="00923155">
        <w:rPr>
          <w:i/>
        </w:rPr>
        <w:t>p</w:t>
      </w:r>
      <w:r w:rsidRPr="00923155">
        <w:t xml:space="preserve">-value of 0.12 for the All Cancers analysis and a </w:t>
      </w:r>
      <w:r w:rsidRPr="00923155">
        <w:rPr>
          <w:i/>
        </w:rPr>
        <w:t>p</w:t>
      </w:r>
      <w:r w:rsidRPr="00923155">
        <w:t xml:space="preserve">-value of 0.06 for the Leukemia/Lymphoma subgroup analysis. In the Leukemia/Lymphoma sub-analysis, the odds ratio of 5.0 was statistically significant for the high concentration group compared to the </w:t>
      </w:r>
      <w:proofErr w:type="gramStart"/>
      <w:r w:rsidRPr="00923155">
        <w:t>zero exposure</w:t>
      </w:r>
      <w:proofErr w:type="gramEnd"/>
      <w:r w:rsidRPr="00923155">
        <w:t xml:space="preserve"> group. The odds ratio of 3.0 for the high category of the All Cancers analysis was of marginal statistical significance (</w:t>
      </w:r>
      <w:r w:rsidRPr="00923155">
        <w:rPr>
          <w:i/>
        </w:rPr>
        <w:t>p</w:t>
      </w:r>
      <w:r w:rsidRPr="00923155">
        <w:t xml:space="preserve"> = 0.09). </w:t>
      </w:r>
    </w:p>
    <w:p w14:paraId="5A20035E" w14:textId="67E17E33" w:rsidR="008D1590" w:rsidRPr="00923155" w:rsidRDefault="008D1590" w:rsidP="00C11773">
      <w:r w:rsidRPr="00923155">
        <w:t xml:space="preserve">In contrast to the results for maternal NDMA concentrations in drinking water, when evaluating concentrations estimated to have been present in residential drinking water during childhood/adolescence, there was no evidence of a positive association between NDMA in drinking water with development of </w:t>
      </w:r>
      <w:proofErr w:type="gramStart"/>
      <w:r w:rsidRPr="00923155">
        <w:t>any</w:t>
      </w:r>
      <w:r w:rsidRPr="00F80B1F">
        <w:t xml:space="preserve">  </w:t>
      </w:r>
      <w:r w:rsidRPr="00923155">
        <w:t>cancer</w:t>
      </w:r>
      <w:proofErr w:type="gramEnd"/>
      <w:r w:rsidRPr="00923155">
        <w:t>, including development of leukemia or lymphoma.</w:t>
      </w:r>
    </w:p>
    <w:p w14:paraId="192E033E" w14:textId="45714965" w:rsidR="008D1590" w:rsidRPr="004E5ECD" w:rsidRDefault="008D1590" w:rsidP="0010161F">
      <w:pPr>
        <w:pStyle w:val="Heading3"/>
      </w:pPr>
      <w:r>
        <w:t>Associations between TCE</w:t>
      </w:r>
      <w:r w:rsidRPr="004E5ECD">
        <w:t xml:space="preserve"> </w:t>
      </w:r>
      <w:r>
        <w:t xml:space="preserve">in Drinking Water </w:t>
      </w:r>
      <w:r w:rsidRPr="004E5ECD">
        <w:t>and Childhood Cancer</w:t>
      </w:r>
    </w:p>
    <w:p w14:paraId="2C0C3237" w14:textId="0770DB0D" w:rsidR="00C05818" w:rsidRPr="00213AC5" w:rsidRDefault="008D1590" w:rsidP="006A25F9">
      <w:r w:rsidRPr="00213AC5">
        <w:t>When evaluating maternal exposure to TCE, the odds of childhood/adolescent cancer (all cancers and leukemia/lymphoma only) were higher for children/adolescents whose mothers ever lived in a home estimated to have TCE-contaminated drinking water during the year prior to birth, but these results do not reach statistical significance and the confidence intervals are very wide. A similar result was observed in the Leukemia/Lymphoma subgroup analysis. When evaluating childhood/adolescent TCE concentration estimates, there was no evidence of a positive association with development of cancer.</w:t>
      </w:r>
    </w:p>
    <w:p w14:paraId="342323FC" w14:textId="43839FDD" w:rsidR="008D1590" w:rsidRPr="00B063DC" w:rsidRDefault="008D1590" w:rsidP="0010161F">
      <w:pPr>
        <w:pStyle w:val="Heading3"/>
      </w:pPr>
      <w:r w:rsidRPr="00B063DC">
        <w:lastRenderedPageBreak/>
        <w:t>Other Considerations</w:t>
      </w:r>
    </w:p>
    <w:p w14:paraId="3A4313DC" w14:textId="14FF9CCF" w:rsidR="00CB3EBA" w:rsidRDefault="008D1590" w:rsidP="00C05818">
      <w:pPr>
        <w:spacing w:after="240"/>
      </w:pPr>
      <w:r w:rsidRPr="00213AC5">
        <w:t xml:space="preserve">When those reporting that they primarily drank bottled water were assigned zero exposure, associations between NDMA and childhood/adolescent cancer were no longer observed. However, when bottled water usage was accounted for in exposure assignments by decreasing estimated concentrations to 49% of modeled values, associations between NDMA and childhood/adolescent cancer were strengthened (though no longer in a dose-responsive fashion). </w:t>
      </w:r>
    </w:p>
    <w:p w14:paraId="7E6DBDCC" w14:textId="0F903DF8" w:rsidR="008D1590" w:rsidRDefault="00A2065F" w:rsidP="00CB3EBA">
      <w:pPr>
        <w:spacing w:after="120"/>
      </w:pPr>
      <w:r w:rsidRPr="00923155">
        <w:rPr>
          <w:i/>
          <w:noProof/>
        </w:rPr>
        <mc:AlternateContent>
          <mc:Choice Requires="wps">
            <w:drawing>
              <wp:anchor distT="0" distB="0" distL="114300" distR="114300" simplePos="0" relativeHeight="251660288" behindDoc="0" locked="0" layoutInCell="1" allowOverlap="1" wp14:anchorId="170626C2" wp14:editId="0B9E0047">
                <wp:simplePos x="0" y="0"/>
                <wp:positionH relativeFrom="margin">
                  <wp:align>center</wp:align>
                </wp:positionH>
                <wp:positionV relativeFrom="margin">
                  <wp:posOffset>4373245</wp:posOffset>
                </wp:positionV>
                <wp:extent cx="5521325" cy="3619500"/>
                <wp:effectExtent l="0" t="0" r="22225" b="19050"/>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3619500"/>
                        </a:xfrm>
                        <a:prstGeom prst="rect">
                          <a:avLst/>
                        </a:prstGeom>
                        <a:solidFill>
                          <a:schemeClr val="accent1">
                            <a:lumMod val="20000"/>
                            <a:lumOff val="80000"/>
                          </a:schemeClr>
                        </a:solidFill>
                        <a:ln w="9525">
                          <a:solidFill>
                            <a:srgbClr val="000000"/>
                          </a:solidFill>
                          <a:miter lim="800000"/>
                          <a:headEnd/>
                          <a:tailEnd/>
                        </a:ln>
                      </wps:spPr>
                      <wps:txbx>
                        <w:txbxContent>
                          <w:p w14:paraId="56A34257" w14:textId="20FEF7F9" w:rsidR="00C2588D" w:rsidRPr="00E609FA" w:rsidRDefault="00C2588D" w:rsidP="00E609FA">
                            <w:pPr>
                              <w:pStyle w:val="Subtitle"/>
                              <w:spacing w:after="200" w:line="240" w:lineRule="auto"/>
                              <w:ind w:left="187"/>
                              <w:rPr>
                                <w:rFonts w:asciiTheme="minorHAnsi" w:hAnsiTheme="minorHAnsi" w:cstheme="minorHAnsi"/>
                                <w:b/>
                                <w:i w:val="0"/>
                                <w:color w:val="009BA4"/>
                                <w:sz w:val="22"/>
                                <w:szCs w:val="22"/>
                              </w:rPr>
                            </w:pPr>
                            <w:r w:rsidRPr="00E609FA">
                              <w:rPr>
                                <w:rFonts w:asciiTheme="minorHAnsi" w:hAnsiTheme="minorHAnsi" w:cstheme="minorHAnsi"/>
                                <w:b/>
                                <w:i w:val="0"/>
                                <w:color w:val="009BA4"/>
                                <w:sz w:val="22"/>
                                <w:szCs w:val="22"/>
                              </w:rPr>
                              <w:t xml:space="preserve">Confidence Intervals, </w:t>
                            </w:r>
                            <w:r w:rsidRPr="00E609FA">
                              <w:rPr>
                                <w:rFonts w:asciiTheme="minorHAnsi" w:hAnsiTheme="minorHAnsi" w:cstheme="minorHAnsi"/>
                                <w:b/>
                                <w:color w:val="009BA4"/>
                                <w:sz w:val="22"/>
                                <w:szCs w:val="22"/>
                              </w:rPr>
                              <w:t>p</w:t>
                            </w:r>
                            <w:r w:rsidRPr="00E609FA">
                              <w:rPr>
                                <w:rFonts w:asciiTheme="minorHAnsi" w:hAnsiTheme="minorHAnsi" w:cstheme="minorHAnsi"/>
                                <w:b/>
                                <w:i w:val="0"/>
                                <w:color w:val="009BA4"/>
                                <w:sz w:val="22"/>
                                <w:szCs w:val="22"/>
                              </w:rPr>
                              <w:t>-Values, and Statistical Significance</w:t>
                            </w:r>
                          </w:p>
                          <w:p w14:paraId="5034F68B" w14:textId="23542844" w:rsidR="00C2588D" w:rsidRPr="007553EF" w:rsidRDefault="00C2588D" w:rsidP="00E609FA">
                            <w:pPr>
                              <w:spacing w:after="200" w:line="240" w:lineRule="auto"/>
                              <w:ind w:left="187"/>
                              <w:rPr>
                                <w:rFonts w:asciiTheme="majorHAnsi" w:hAnsiTheme="majorHAnsi"/>
                                <w:sz w:val="22"/>
                                <w:szCs w:val="22"/>
                              </w:rPr>
                            </w:pPr>
                            <w:r w:rsidRPr="00E609FA">
                              <w:rPr>
                                <w:rFonts w:asciiTheme="minorHAnsi" w:hAnsiTheme="minorHAnsi" w:cstheme="minorHAnsi"/>
                                <w:sz w:val="22"/>
                                <w:szCs w:val="22"/>
                              </w:rPr>
                              <w:t>While an odds ratio (OR) provides a point estimate of the association between a risk factor and a health outcome, other tools are used to understand the reliability or precision of that estimate.</w:t>
                            </w:r>
                            <w:r w:rsidRPr="00E609FA">
                              <w:rPr>
                                <w:rFonts w:asciiTheme="minorHAnsi" w:hAnsiTheme="minorHAnsi" w:cstheme="minorHAnsi"/>
                                <w:sz w:val="22"/>
                                <w:szCs w:val="22"/>
                              </w:rPr>
                              <w:br/>
                            </w:r>
                            <w:r w:rsidRPr="00E609FA">
                              <w:rPr>
                                <w:rFonts w:asciiTheme="minorHAnsi" w:hAnsiTheme="minorHAnsi" w:cstheme="minorHAnsi"/>
                                <w:sz w:val="22"/>
                                <w:szCs w:val="22"/>
                              </w:rPr>
                              <w:br/>
                              <w:t xml:space="preserve">A </w:t>
                            </w:r>
                            <w:r w:rsidRPr="00E609FA">
                              <w:rPr>
                                <w:rFonts w:asciiTheme="minorHAnsi" w:hAnsiTheme="minorHAnsi" w:cstheme="minorHAnsi"/>
                                <w:b/>
                                <w:sz w:val="22"/>
                                <w:szCs w:val="22"/>
                              </w:rPr>
                              <w:t>confidence interval (CI)</w:t>
                            </w:r>
                            <w:r w:rsidRPr="00E609FA">
                              <w:rPr>
                                <w:rFonts w:asciiTheme="minorHAnsi" w:hAnsiTheme="minorHAnsi" w:cstheme="minorHAnsi"/>
                                <w:sz w:val="22"/>
                                <w:szCs w:val="22"/>
                              </w:rPr>
                              <w:t xml:space="preserve"> measures how precise the odds ratio is and provides a range of values within which the point estimate will fall 95% of the time given an unbiased sample and analysis. A CI that includes 1.0 means that the association is not statistically significant and may be due to chance, even if the OR estimate is much higher than 1.0. If the CI excludes 1.0, then the association can be considered statistically significant. A wide confidence interval that excludes 1.0 indicates that the association is statistically significant, but that the precise strength of the association is not clear. </w:t>
                            </w:r>
                            <w:r w:rsidRPr="00E609FA">
                              <w:rPr>
                                <w:rFonts w:asciiTheme="minorHAnsi" w:hAnsiTheme="minorHAnsi" w:cstheme="minorHAnsi"/>
                                <w:sz w:val="22"/>
                                <w:szCs w:val="22"/>
                              </w:rPr>
                              <w:br/>
                            </w:r>
                            <w:r w:rsidRPr="00E609FA">
                              <w:rPr>
                                <w:rFonts w:asciiTheme="minorHAnsi" w:hAnsiTheme="minorHAnsi" w:cstheme="minorHAnsi"/>
                                <w:sz w:val="22"/>
                                <w:szCs w:val="22"/>
                              </w:rPr>
                              <w:br/>
                              <w:t xml:space="preserve">A </w:t>
                            </w:r>
                            <w:r w:rsidRPr="00E609FA">
                              <w:rPr>
                                <w:rFonts w:asciiTheme="minorHAnsi" w:hAnsiTheme="minorHAnsi" w:cstheme="minorHAnsi"/>
                                <w:b/>
                                <w:i/>
                                <w:sz w:val="22"/>
                                <w:szCs w:val="22"/>
                              </w:rPr>
                              <w:t>p</w:t>
                            </w:r>
                            <w:r w:rsidRPr="00E609FA">
                              <w:rPr>
                                <w:rFonts w:asciiTheme="minorHAnsi" w:hAnsiTheme="minorHAnsi" w:cstheme="minorHAnsi"/>
                                <w:b/>
                                <w:sz w:val="22"/>
                                <w:szCs w:val="22"/>
                              </w:rPr>
                              <w:t>-value</w:t>
                            </w:r>
                            <w:r w:rsidRPr="00E609FA">
                              <w:rPr>
                                <w:rFonts w:asciiTheme="minorHAnsi" w:hAnsiTheme="minorHAnsi" w:cstheme="minorHAnsi"/>
                                <w:sz w:val="22"/>
                                <w:szCs w:val="22"/>
                              </w:rPr>
                              <w:t xml:space="preserve"> is a related measure, which describes the statistical significance of an odds ratio or other effect estimate based on a pre-defined confidence threshold. A threshold of 0.05 (or 95% confidence) is generally applied. The larger a </w:t>
                            </w:r>
                            <w:r w:rsidRPr="00E609FA">
                              <w:rPr>
                                <w:rFonts w:asciiTheme="minorHAnsi" w:hAnsiTheme="minorHAnsi" w:cstheme="minorHAnsi"/>
                                <w:i/>
                                <w:sz w:val="22"/>
                                <w:szCs w:val="22"/>
                              </w:rPr>
                              <w:t>p</w:t>
                            </w:r>
                            <w:r w:rsidRPr="00E609FA">
                              <w:rPr>
                                <w:rFonts w:asciiTheme="minorHAnsi" w:hAnsiTheme="minorHAnsi" w:cstheme="minorHAnsi"/>
                                <w:sz w:val="22"/>
                                <w:szCs w:val="22"/>
                              </w:rPr>
                              <w:t xml:space="preserve">-value, the less precise the OR is. However, importantly, a large </w:t>
                            </w:r>
                            <w:r w:rsidRPr="00E609FA">
                              <w:rPr>
                                <w:rFonts w:asciiTheme="minorHAnsi" w:hAnsiTheme="minorHAnsi" w:cstheme="minorHAnsi"/>
                                <w:i/>
                                <w:sz w:val="22"/>
                                <w:szCs w:val="22"/>
                              </w:rPr>
                              <w:t>p</w:t>
                            </w:r>
                            <w:r w:rsidRPr="00E609FA">
                              <w:rPr>
                                <w:rFonts w:asciiTheme="minorHAnsi" w:hAnsiTheme="minorHAnsi" w:cstheme="minorHAnsi"/>
                                <w:sz w:val="22"/>
                                <w:szCs w:val="22"/>
                              </w:rPr>
                              <w:t>-value does not mean that the result is invalid. It may indicate that insufficient information is available to adequately evaluate the result, commonly due to small sample sizes.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26C2" id="Text Box 21" o:spid="_x0000_s1027" type="#_x0000_t202" style="position:absolute;margin-left:0;margin-top:344.35pt;width:434.75pt;height:2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" fillcolor="#dbe5f1 [660]">
                <v:textbox>
                  <w:txbxContent>
                    <w:p w14:paraId="56A34257" w14:textId="20FEF7F9" w:rsidR="00C2588D" w:rsidRPr="00E609FA" w:rsidRDefault="00C2588D" w:rsidP="00E609FA">
                      <w:pPr>
                        <w:pStyle w:val="Subtitle"/>
                        <w:spacing w:after="200" w:line="240" w:lineRule="auto"/>
                        <w:ind w:left="187"/>
                        <w:rPr>
                          <w:rFonts w:asciiTheme="minorHAnsi" w:hAnsiTheme="minorHAnsi" w:cstheme="minorHAnsi"/>
                          <w:b/>
                          <w:i w:val="0"/>
                          <w:color w:val="009BA4"/>
                          <w:sz w:val="22"/>
                          <w:szCs w:val="22"/>
                        </w:rPr>
                      </w:pPr>
                      <w:r w:rsidRPr="00E609FA">
                        <w:rPr>
                          <w:rFonts w:asciiTheme="minorHAnsi" w:hAnsiTheme="minorHAnsi" w:cstheme="minorHAnsi"/>
                          <w:b/>
                          <w:i w:val="0"/>
                          <w:color w:val="009BA4"/>
                          <w:sz w:val="22"/>
                          <w:szCs w:val="22"/>
                        </w:rPr>
                        <w:t xml:space="preserve">Confidence Intervals, </w:t>
                      </w:r>
                      <w:r w:rsidRPr="00E609FA">
                        <w:rPr>
                          <w:rFonts w:asciiTheme="minorHAnsi" w:hAnsiTheme="minorHAnsi" w:cstheme="minorHAnsi"/>
                          <w:b/>
                          <w:color w:val="009BA4"/>
                          <w:sz w:val="22"/>
                          <w:szCs w:val="22"/>
                        </w:rPr>
                        <w:t>p</w:t>
                      </w:r>
                      <w:r w:rsidRPr="00E609FA">
                        <w:rPr>
                          <w:rFonts w:asciiTheme="minorHAnsi" w:hAnsiTheme="minorHAnsi" w:cstheme="minorHAnsi"/>
                          <w:b/>
                          <w:i w:val="0"/>
                          <w:color w:val="009BA4"/>
                          <w:sz w:val="22"/>
                          <w:szCs w:val="22"/>
                        </w:rPr>
                        <w:t>-Values, and Statistical Significance</w:t>
                      </w:r>
                    </w:p>
                    <w:p w14:paraId="5034F68B" w14:textId="23542844" w:rsidR="00C2588D" w:rsidRPr="007553EF" w:rsidRDefault="00C2588D" w:rsidP="00E609FA">
                      <w:pPr>
                        <w:spacing w:after="200" w:line="240" w:lineRule="auto"/>
                        <w:ind w:left="187"/>
                        <w:rPr>
                          <w:rFonts w:asciiTheme="majorHAnsi" w:hAnsiTheme="majorHAnsi"/>
                          <w:sz w:val="22"/>
                          <w:szCs w:val="22"/>
                        </w:rPr>
                      </w:pPr>
                      <w:r w:rsidRPr="00E609FA">
                        <w:rPr>
                          <w:rFonts w:asciiTheme="minorHAnsi" w:hAnsiTheme="minorHAnsi" w:cstheme="minorHAnsi"/>
                          <w:sz w:val="22"/>
                          <w:szCs w:val="22"/>
                        </w:rPr>
                        <w:t>While an odds ratio (OR) provides a point estimate of the association between a risk factor and a health outcome, other tools are used to understand the reliability or precision of that estimate.</w:t>
                      </w:r>
                      <w:r w:rsidRPr="00E609FA">
                        <w:rPr>
                          <w:rFonts w:asciiTheme="minorHAnsi" w:hAnsiTheme="minorHAnsi" w:cstheme="minorHAnsi"/>
                          <w:sz w:val="22"/>
                          <w:szCs w:val="22"/>
                        </w:rPr>
                        <w:br/>
                      </w:r>
                      <w:r w:rsidRPr="00E609FA">
                        <w:rPr>
                          <w:rFonts w:asciiTheme="minorHAnsi" w:hAnsiTheme="minorHAnsi" w:cstheme="minorHAnsi"/>
                          <w:sz w:val="22"/>
                          <w:szCs w:val="22"/>
                        </w:rPr>
                        <w:br/>
                        <w:t xml:space="preserve">A </w:t>
                      </w:r>
                      <w:r w:rsidRPr="00E609FA">
                        <w:rPr>
                          <w:rFonts w:asciiTheme="minorHAnsi" w:hAnsiTheme="minorHAnsi" w:cstheme="minorHAnsi"/>
                          <w:b/>
                          <w:sz w:val="22"/>
                          <w:szCs w:val="22"/>
                        </w:rPr>
                        <w:t>confidence interval (CI)</w:t>
                      </w:r>
                      <w:r w:rsidRPr="00E609FA">
                        <w:rPr>
                          <w:rFonts w:asciiTheme="minorHAnsi" w:hAnsiTheme="minorHAnsi" w:cstheme="minorHAnsi"/>
                          <w:sz w:val="22"/>
                          <w:szCs w:val="22"/>
                        </w:rPr>
                        <w:t xml:space="preserve"> measures how precise the odds ratio is and provides a range of values within which the point estimate will fall 95% of the time given an unbiased sample and analysis. A CI that includes 1.0 means that the association is not statistically significant and may be due to chance, even if the OR estimate is much higher than 1.0. If the CI excludes 1.0, then the association can be considered statistically significant. A wide confidence interval that excludes 1.0 indicates that the association is statistically significant, but that the precise strength of the association is not clear. </w:t>
                      </w:r>
                      <w:r w:rsidRPr="00E609FA">
                        <w:rPr>
                          <w:rFonts w:asciiTheme="minorHAnsi" w:hAnsiTheme="minorHAnsi" w:cstheme="minorHAnsi"/>
                          <w:sz w:val="22"/>
                          <w:szCs w:val="22"/>
                        </w:rPr>
                        <w:br/>
                      </w:r>
                      <w:r w:rsidRPr="00E609FA">
                        <w:rPr>
                          <w:rFonts w:asciiTheme="minorHAnsi" w:hAnsiTheme="minorHAnsi" w:cstheme="minorHAnsi"/>
                          <w:sz w:val="22"/>
                          <w:szCs w:val="22"/>
                        </w:rPr>
                        <w:br/>
                        <w:t xml:space="preserve">A </w:t>
                      </w:r>
                      <w:r w:rsidRPr="00E609FA">
                        <w:rPr>
                          <w:rFonts w:asciiTheme="minorHAnsi" w:hAnsiTheme="minorHAnsi" w:cstheme="minorHAnsi"/>
                          <w:b/>
                          <w:i/>
                          <w:sz w:val="22"/>
                          <w:szCs w:val="22"/>
                        </w:rPr>
                        <w:t>p</w:t>
                      </w:r>
                      <w:r w:rsidRPr="00E609FA">
                        <w:rPr>
                          <w:rFonts w:asciiTheme="minorHAnsi" w:hAnsiTheme="minorHAnsi" w:cstheme="minorHAnsi"/>
                          <w:b/>
                          <w:sz w:val="22"/>
                          <w:szCs w:val="22"/>
                        </w:rPr>
                        <w:t>-value</w:t>
                      </w:r>
                      <w:r w:rsidRPr="00E609FA">
                        <w:rPr>
                          <w:rFonts w:asciiTheme="minorHAnsi" w:hAnsiTheme="minorHAnsi" w:cstheme="minorHAnsi"/>
                          <w:sz w:val="22"/>
                          <w:szCs w:val="22"/>
                        </w:rPr>
                        <w:t xml:space="preserve"> is a related measure, which describes the statistical significance of an odds ratio or other effect estimate based on a pre-defined confidence threshold. A threshold of 0.05 (or 95% confidence) is generally applied. The larger a </w:t>
                      </w:r>
                      <w:r w:rsidRPr="00E609FA">
                        <w:rPr>
                          <w:rFonts w:asciiTheme="minorHAnsi" w:hAnsiTheme="minorHAnsi" w:cstheme="minorHAnsi"/>
                          <w:i/>
                          <w:sz w:val="22"/>
                          <w:szCs w:val="22"/>
                        </w:rPr>
                        <w:t>p</w:t>
                      </w:r>
                      <w:r w:rsidRPr="00E609FA">
                        <w:rPr>
                          <w:rFonts w:asciiTheme="minorHAnsi" w:hAnsiTheme="minorHAnsi" w:cstheme="minorHAnsi"/>
                          <w:sz w:val="22"/>
                          <w:szCs w:val="22"/>
                        </w:rPr>
                        <w:t xml:space="preserve">-value, the less precise the OR is. However, importantly, a large </w:t>
                      </w:r>
                      <w:r w:rsidRPr="00E609FA">
                        <w:rPr>
                          <w:rFonts w:asciiTheme="minorHAnsi" w:hAnsiTheme="minorHAnsi" w:cstheme="minorHAnsi"/>
                          <w:i/>
                          <w:sz w:val="22"/>
                          <w:szCs w:val="22"/>
                        </w:rPr>
                        <w:t>p</w:t>
                      </w:r>
                      <w:r w:rsidRPr="00E609FA">
                        <w:rPr>
                          <w:rFonts w:asciiTheme="minorHAnsi" w:hAnsiTheme="minorHAnsi" w:cstheme="minorHAnsi"/>
                          <w:sz w:val="22"/>
                          <w:szCs w:val="22"/>
                        </w:rPr>
                        <w:t>-value does not mean that the result is invalid. It may indicate that insufficient information is available to adequately evaluate the result, commonly due to small sample sizes.</w:t>
                      </w:r>
                    </w:p>
                  </w:txbxContent>
                </v:textbox>
                <w10:wrap type="topAndBottom" anchorx="margin" anchory="margin"/>
              </v:shape>
            </w:pict>
          </mc:Fallback>
        </mc:AlternateContent>
      </w:r>
      <w:r w:rsidR="008D1590" w:rsidRPr="00213AC5">
        <w:t>For TCE, accounting for bottled water usage had less of an apparent effect.</w:t>
      </w:r>
      <w:r w:rsidR="00CB3EBA">
        <w:t xml:space="preserve"> </w:t>
      </w:r>
      <w:r w:rsidR="008D1590" w:rsidRPr="00213AC5">
        <w:t xml:space="preserve">The effect of possible confounding on the associations between childhood/adolescent cancer and exposure to NDMA and TCE was evaluated for each of eleven individual covariates: 1) oxygen given after birth, 2) incubator use after birth, 3) low birth weight, 4) adverse birth event, 5) prenatal ultrasound, 6) antihistamine use by the child/adolescent, 7) metals, alloys, or solder exposure, 8) plastics, synthetics, or resins exposure, 9) exhaust fume exposure, 10) herbicide exposure, and 11) maternal occupational exposure to ionizing radiation. These variables were selected for evaluation because they were found to have elevated odds ratios and </w:t>
      </w:r>
      <w:r w:rsidR="008D1590" w:rsidRPr="00213AC5">
        <w:rPr>
          <w:i/>
        </w:rPr>
        <w:t>p</w:t>
      </w:r>
      <w:r w:rsidR="008D1590" w:rsidRPr="00213AC5">
        <w:t xml:space="preserve">-values that were &lt;0.20 for the association with all cancers or with leukemia/lymphoma, meaning that they had a reasonable potential to be confounders in the main exposure-outcome evaluation. In all adjusted models, potential exposure to NDMA and to TCE in maternal drinking water remained positively associated with </w:t>
      </w:r>
      <w:r w:rsidR="00456C12">
        <w:t xml:space="preserve">childhood and adolescent cancer. </w:t>
      </w:r>
    </w:p>
    <w:p w14:paraId="531727E8" w14:textId="7297A339" w:rsidR="008D1590" w:rsidRDefault="008D1590" w:rsidP="009B5DA2">
      <w:pPr>
        <w:pStyle w:val="Heading2"/>
      </w:pPr>
      <w:bookmarkStart w:id="21" w:name="_Toc45612615"/>
      <w:bookmarkStart w:id="22" w:name="_Toc67488264"/>
      <w:r w:rsidRPr="00436F59">
        <w:lastRenderedPageBreak/>
        <w:t>DISCUSSION</w:t>
      </w:r>
      <w:bookmarkEnd w:id="21"/>
      <w:bookmarkEnd w:id="22"/>
    </w:p>
    <w:p w14:paraId="3A62BF3B" w14:textId="4E37699E" w:rsidR="008D1590" w:rsidRPr="00481A92" w:rsidRDefault="008D1590" w:rsidP="00C05818">
      <w:pPr>
        <w:spacing w:after="240"/>
      </w:pPr>
      <w:r w:rsidRPr="00481A92">
        <w:t>The objective of this study was to obtain an explanation for the pattern of childhood cancer in Wilmington, MA between 1990 and 2000. Specifically, childhood/adolescent cancer rates were higher than would be expected and appeared to occur more frequently in certain areas of the town. The study was maximally designed to consider available risk factor data, given the relatively small number (from a statistical perspective) of children and adolescents with cancer, by using multiple controls, sophisticated exposure modeling, and detailed personal interviews. This study faced several challenges including a small sample size, a retrospective exposure assessment, and a retrospective ascertainment of additional risk factors. Nevertheless, strong positive associations were observed between contaminants in maternal residential drinking water and childhood/adolescent cancer.</w:t>
      </w:r>
    </w:p>
    <w:p w14:paraId="794F0D00" w14:textId="77777777" w:rsidR="008D1590" w:rsidRPr="00481A92" w:rsidRDefault="008D1590" w:rsidP="00C05818">
      <w:pPr>
        <w:spacing w:after="240"/>
      </w:pPr>
      <w:r w:rsidRPr="00481A92">
        <w:t xml:space="preserve">The most compelling results include statistically significantly higher odds of a leukemia or lymphoma diagnosis among children or adolescents whose mothers lived in homes with the highest estimated </w:t>
      </w:r>
      <w:r w:rsidRPr="00481A92">
        <w:rPr>
          <w:i/>
        </w:rPr>
        <w:t>n</w:t>
      </w:r>
      <w:r w:rsidRPr="00481A92">
        <w:t>-</w:t>
      </w:r>
      <w:proofErr w:type="spellStart"/>
      <w:r w:rsidRPr="00481A92">
        <w:rPr>
          <w:lang w:val="en"/>
        </w:rPr>
        <w:t>nitrosodimethylamine</w:t>
      </w:r>
      <w:proofErr w:type="spellEnd"/>
      <w:r w:rsidRPr="00481A92">
        <w:rPr>
          <w:lang w:val="en"/>
        </w:rPr>
        <w:t xml:space="preserve"> (</w:t>
      </w:r>
      <w:r w:rsidRPr="00481A92">
        <w:t xml:space="preserve">NDMA) concentrations in drinking water compared to children or adolescents whose mothers were estimated to have had no NDMA exposure during the year before their child’s birth (OR = 5.0; 95% CI: 1.0-24). The odds of any cancer diagnosis were also elevated among this group, but with only marginal statistical significance (OR = 3.0; 95% CI: 0.8-11); because leukemia and lymphoma diagnoses made up 60% of the 18 cases in this study, the results of the All Cancers analysis are largely driven by the strong association observed with leukemia/lymphoma. Both associations displayed a dose-response trend, and the trend for the Leukemia/Lymphoma subgroup had a marginally significant </w:t>
      </w:r>
      <w:r w:rsidRPr="00481A92">
        <w:rPr>
          <w:i/>
        </w:rPr>
        <w:t>p</w:t>
      </w:r>
      <w:r w:rsidRPr="00481A92">
        <w:t>-value of 0.06. Estimated concentrations of trichloroethylene (TCE) in maternal drinking water were also positively associated with the odds of any cancer diagnosis, but results were not statistically significant, a dose-response effect was not observed, and the small number of participants with available estimated TCE concentrations prevented deeper analysis of the Leukemia/Lymphoma subgroup.</w:t>
      </w:r>
    </w:p>
    <w:p w14:paraId="68B2BFA5" w14:textId="77777777" w:rsidR="008D1590" w:rsidRPr="00481A92" w:rsidRDefault="008D1590" w:rsidP="00C05818">
      <w:pPr>
        <w:spacing w:after="240"/>
      </w:pPr>
      <w:r w:rsidRPr="00481A92">
        <w:t>Assessing the effects of each contaminant in a multivariate model, while not wholly appropriate due to their correlated nature, nevertheless resulted in continued positive associations with childhood/adolescent cancer for both the All Cancers group and the Leukemia/Lymphoma subgroup. Such results may suggest independent associations of each contaminant with childhood/adolescent cancer in this population; however, the lack of a sample only exposed to TCE and the very small number of those only exposed to NDMA severely limits the ability to evaluate independent effects.</w:t>
      </w:r>
    </w:p>
    <w:p w14:paraId="2C6F0684" w14:textId="6020EB36" w:rsidR="008D1590" w:rsidRPr="00481A92" w:rsidRDefault="008D1590" w:rsidP="00C05818">
      <w:pPr>
        <w:spacing w:after="240"/>
      </w:pPr>
      <w:r w:rsidRPr="00481A92">
        <w:t xml:space="preserve">There is ample evidence in the published literature on the plausibility of NDMA causing cancer and it is considered a probable human carcinogen by both the US EPA and the </w:t>
      </w:r>
      <w:r w:rsidRPr="00481A92">
        <w:lastRenderedPageBreak/>
        <w:t>International Agency for Research on Cancer (IARC) (IARC 1978, 1987; US EPA 2017). In animal studies, NDMA has been shown to be a transplacental carcinogen (CalEPA 2006), meaning that it can cross the placenta and cause cancer in the animal’s offspring. For TCE, the US Department of Health and Human Services, US EPA, and the IARC have all determined it to be a human carcinogen (ATSDR 2019; Guha et al. 2012; IARC 2014; NTP 2011; US EPA 2011). Epidemiological studies provide strong evidence that TCE can cause kidney cancer in humans and some evidence that it causes non-Hodgkin lymphoma and liver cancer. While most studies evaluate adult worker populations, children are expected to have similar health effects as adults (ATSDR 2019).</w:t>
      </w:r>
    </w:p>
    <w:p w14:paraId="29623F44" w14:textId="10290063" w:rsidR="0078013D" w:rsidRDefault="008D1590" w:rsidP="00AE5FC1">
      <w:pPr>
        <w:spacing w:after="0"/>
      </w:pPr>
      <w:r w:rsidRPr="00481A92">
        <w:t>Although this study’s risk estimates were not precise, the associations suggested with past NDMA and/or TCE drinking water exposures offer what we believe is a plausible explanation, supported by valid objective data, for the pattern of elevated cancer observed in areas of Wilmington, MA. The presence of these contaminants cannot definitively explain the pattern of childhood/adolescent cancer, but it should be recognized that despite the low statistical power of the study, several findings reported here do reach the traditional threshold of statistical significance, are plausibly supported by the literature, and could be real. However, as in any study, the statistical associations found could have been affected by bias or confounding or could be due to chance.</w:t>
      </w:r>
    </w:p>
    <w:p w14:paraId="2B49DD7B" w14:textId="10008446" w:rsidR="007916C2" w:rsidRDefault="00E609FA" w:rsidP="00AE5FC1">
      <w:pPr>
        <w:spacing w:after="0"/>
      </w:pPr>
      <w:r w:rsidRPr="00481A92">
        <w:rPr>
          <w:noProof/>
        </w:rPr>
        <mc:AlternateContent>
          <mc:Choice Requires="wps">
            <w:drawing>
              <wp:anchor distT="0" distB="0" distL="114300" distR="114300" simplePos="0" relativeHeight="251663360" behindDoc="0" locked="0" layoutInCell="1" allowOverlap="1" wp14:anchorId="3FC58997" wp14:editId="7EDF2EA5">
                <wp:simplePos x="0" y="0"/>
                <wp:positionH relativeFrom="margin">
                  <wp:align>center</wp:align>
                </wp:positionH>
                <wp:positionV relativeFrom="line">
                  <wp:posOffset>311150</wp:posOffset>
                </wp:positionV>
                <wp:extent cx="5257800" cy="3117850"/>
                <wp:effectExtent l="0" t="0" r="19050" b="2540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117850"/>
                        </a:xfrm>
                        <a:prstGeom prst="rect">
                          <a:avLst/>
                        </a:prstGeom>
                        <a:solidFill>
                          <a:schemeClr val="accent1">
                            <a:lumMod val="20000"/>
                            <a:lumOff val="80000"/>
                          </a:schemeClr>
                        </a:solidFill>
                        <a:ln w="9525">
                          <a:solidFill>
                            <a:srgbClr val="000000"/>
                          </a:solidFill>
                          <a:miter lim="800000"/>
                          <a:headEnd/>
                          <a:tailEnd/>
                        </a:ln>
                      </wps:spPr>
                      <wps:txbx>
                        <w:txbxContent>
                          <w:p w14:paraId="2A6248AC" w14:textId="77777777" w:rsidR="00C2588D" w:rsidRPr="00E609FA" w:rsidRDefault="00C2588D" w:rsidP="00E64523">
                            <w:pPr>
                              <w:pStyle w:val="Subtitle"/>
                              <w:spacing w:after="120"/>
                              <w:rPr>
                                <w:rFonts w:asciiTheme="minorHAnsi" w:hAnsiTheme="minorHAnsi" w:cstheme="minorHAnsi"/>
                                <w:b/>
                                <w:i w:val="0"/>
                                <w:color w:val="009BA4"/>
                                <w:sz w:val="22"/>
                                <w:szCs w:val="22"/>
                              </w:rPr>
                            </w:pPr>
                            <w:r w:rsidRPr="00E609FA">
                              <w:rPr>
                                <w:rFonts w:asciiTheme="minorHAnsi" w:hAnsiTheme="minorHAnsi" w:cstheme="minorHAnsi"/>
                                <w:b/>
                                <w:i w:val="0"/>
                                <w:color w:val="009BA4"/>
                                <w:sz w:val="22"/>
                                <w:szCs w:val="22"/>
                              </w:rPr>
                              <w:t xml:space="preserve">Criteria Used </w:t>
                            </w:r>
                            <w:proofErr w:type="gramStart"/>
                            <w:r w:rsidRPr="00E609FA">
                              <w:rPr>
                                <w:rFonts w:asciiTheme="minorHAnsi" w:hAnsiTheme="minorHAnsi" w:cstheme="minorHAnsi"/>
                                <w:b/>
                                <w:i w:val="0"/>
                                <w:color w:val="009BA4"/>
                                <w:sz w:val="22"/>
                                <w:szCs w:val="22"/>
                              </w:rPr>
                              <w:t>To</w:t>
                            </w:r>
                            <w:proofErr w:type="gramEnd"/>
                            <w:r w:rsidRPr="00E609FA">
                              <w:rPr>
                                <w:rFonts w:asciiTheme="minorHAnsi" w:hAnsiTheme="minorHAnsi" w:cstheme="minorHAnsi"/>
                                <w:b/>
                                <w:i w:val="0"/>
                                <w:color w:val="009BA4"/>
                                <w:sz w:val="22"/>
                                <w:szCs w:val="22"/>
                              </w:rPr>
                              <w:t xml:space="preserve"> Draw Study Conclusions</w:t>
                            </w:r>
                          </w:p>
                          <w:p w14:paraId="178AA7E2" w14:textId="77777777" w:rsidR="00C2588D" w:rsidRPr="00E609FA" w:rsidRDefault="00C2588D" w:rsidP="00101988">
                            <w:pPr>
                              <w:spacing w:after="240"/>
                              <w:rPr>
                                <w:rFonts w:asciiTheme="minorHAnsi" w:hAnsiTheme="minorHAnsi" w:cstheme="minorHAnsi"/>
                                <w:sz w:val="22"/>
                                <w:szCs w:val="22"/>
                              </w:rPr>
                            </w:pPr>
                            <w:r w:rsidRPr="00E609FA">
                              <w:rPr>
                                <w:rFonts w:asciiTheme="minorHAnsi" w:hAnsiTheme="minorHAnsi" w:cstheme="minorHAnsi"/>
                                <w:sz w:val="22"/>
                                <w:szCs w:val="22"/>
                              </w:rPr>
                              <w:t>Statistical significance was used in this study as a tool to help identify potentially meaningful results. However, statistical significance was not the only criteria used to interpret results and draw conclusions; results that are not statistically significant may still be considered relevant. Careful consideration of the following contributed to all study conclusions:</w:t>
                            </w:r>
                          </w:p>
                          <w:p w14:paraId="3D5741D3"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magnitude of ORs</w:t>
                            </w:r>
                          </w:p>
                          <w:p w14:paraId="57850262"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width of CIs</w:t>
                            </w:r>
                          </w:p>
                          <w:p w14:paraId="24B9556D"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i/>
                                <w:sz w:val="22"/>
                                <w:szCs w:val="22"/>
                              </w:rPr>
                              <w:t>P</w:t>
                            </w:r>
                            <w:r w:rsidRPr="00E609FA">
                              <w:rPr>
                                <w:rFonts w:asciiTheme="minorHAnsi" w:hAnsiTheme="minorHAnsi" w:cstheme="minorHAnsi"/>
                                <w:sz w:val="22"/>
                                <w:szCs w:val="22"/>
                              </w:rPr>
                              <w:t>-values</w:t>
                            </w:r>
                          </w:p>
                          <w:p w14:paraId="750EF8AE"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presence or absence of dose-response trends</w:t>
                            </w:r>
                          </w:p>
                          <w:p w14:paraId="5A67335B"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presence of consistency in the results</w:t>
                            </w:r>
                          </w:p>
                          <w:p w14:paraId="442A058C"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plausibility of an association based on the scientific literature</w:t>
                            </w:r>
                          </w:p>
                          <w:p w14:paraId="1B239D62"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presence and potential impact of any confounding, measurement error, or bias.</w:t>
                            </w:r>
                          </w:p>
                          <w:p w14:paraId="4059840E" w14:textId="77777777" w:rsidR="00C2588D" w:rsidRDefault="00C2588D" w:rsidP="001019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58997" id="Text Box 24" o:spid="_x0000_s1028" type="#_x0000_t202" style="position:absolute;margin-left:0;margin-top:24.5pt;width:414pt;height:24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" fillcolor="#dbe5f1 [660]">
                <v:textbox>
                  <w:txbxContent>
                    <w:p w14:paraId="2A6248AC" w14:textId="77777777" w:rsidR="00C2588D" w:rsidRPr="00E609FA" w:rsidRDefault="00C2588D" w:rsidP="00E64523">
                      <w:pPr>
                        <w:pStyle w:val="Subtitle"/>
                        <w:spacing w:after="120"/>
                        <w:rPr>
                          <w:rFonts w:asciiTheme="minorHAnsi" w:hAnsiTheme="minorHAnsi" w:cstheme="minorHAnsi"/>
                          <w:b/>
                          <w:i w:val="0"/>
                          <w:color w:val="009BA4"/>
                          <w:sz w:val="22"/>
                          <w:szCs w:val="22"/>
                        </w:rPr>
                      </w:pPr>
                      <w:r w:rsidRPr="00E609FA">
                        <w:rPr>
                          <w:rFonts w:asciiTheme="minorHAnsi" w:hAnsiTheme="minorHAnsi" w:cstheme="minorHAnsi"/>
                          <w:b/>
                          <w:i w:val="0"/>
                          <w:color w:val="009BA4"/>
                          <w:sz w:val="22"/>
                          <w:szCs w:val="22"/>
                        </w:rPr>
                        <w:t xml:space="preserve">Criteria Used </w:t>
                      </w:r>
                      <w:proofErr w:type="gramStart"/>
                      <w:r w:rsidRPr="00E609FA">
                        <w:rPr>
                          <w:rFonts w:asciiTheme="minorHAnsi" w:hAnsiTheme="minorHAnsi" w:cstheme="minorHAnsi"/>
                          <w:b/>
                          <w:i w:val="0"/>
                          <w:color w:val="009BA4"/>
                          <w:sz w:val="22"/>
                          <w:szCs w:val="22"/>
                        </w:rPr>
                        <w:t>To</w:t>
                      </w:r>
                      <w:proofErr w:type="gramEnd"/>
                      <w:r w:rsidRPr="00E609FA">
                        <w:rPr>
                          <w:rFonts w:asciiTheme="minorHAnsi" w:hAnsiTheme="minorHAnsi" w:cstheme="minorHAnsi"/>
                          <w:b/>
                          <w:i w:val="0"/>
                          <w:color w:val="009BA4"/>
                          <w:sz w:val="22"/>
                          <w:szCs w:val="22"/>
                        </w:rPr>
                        <w:t xml:space="preserve"> Draw Study Conclusions</w:t>
                      </w:r>
                    </w:p>
                    <w:p w14:paraId="178AA7E2" w14:textId="77777777" w:rsidR="00C2588D" w:rsidRPr="00E609FA" w:rsidRDefault="00C2588D" w:rsidP="00101988">
                      <w:pPr>
                        <w:spacing w:after="240"/>
                        <w:rPr>
                          <w:rFonts w:asciiTheme="minorHAnsi" w:hAnsiTheme="minorHAnsi" w:cstheme="minorHAnsi"/>
                          <w:sz w:val="22"/>
                          <w:szCs w:val="22"/>
                        </w:rPr>
                      </w:pPr>
                      <w:r w:rsidRPr="00E609FA">
                        <w:rPr>
                          <w:rFonts w:asciiTheme="minorHAnsi" w:hAnsiTheme="minorHAnsi" w:cstheme="minorHAnsi"/>
                          <w:sz w:val="22"/>
                          <w:szCs w:val="22"/>
                        </w:rPr>
                        <w:t>Statistical significance was used in this study as a tool to help identify potentially meaningful results. However, statistical significance was not the only criteria used to interpret results and draw conclusions; results that are not statistically significant may still be considered relevant. Careful consideration of the following contributed to all study conclusions:</w:t>
                      </w:r>
                    </w:p>
                    <w:p w14:paraId="3D5741D3"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magnitude of ORs</w:t>
                      </w:r>
                    </w:p>
                    <w:p w14:paraId="57850262"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width of CIs</w:t>
                      </w:r>
                    </w:p>
                    <w:p w14:paraId="24B9556D"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i/>
                          <w:sz w:val="22"/>
                          <w:szCs w:val="22"/>
                        </w:rPr>
                        <w:t>P</w:t>
                      </w:r>
                      <w:r w:rsidRPr="00E609FA">
                        <w:rPr>
                          <w:rFonts w:asciiTheme="minorHAnsi" w:hAnsiTheme="minorHAnsi" w:cstheme="minorHAnsi"/>
                          <w:sz w:val="22"/>
                          <w:szCs w:val="22"/>
                        </w:rPr>
                        <w:t>-values</w:t>
                      </w:r>
                    </w:p>
                    <w:p w14:paraId="750EF8AE"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presence or absence of dose-response trends</w:t>
                      </w:r>
                    </w:p>
                    <w:p w14:paraId="5A67335B"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presence of consistency in the results</w:t>
                      </w:r>
                    </w:p>
                    <w:p w14:paraId="442A058C"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plausibility of an association based on the scientific literature</w:t>
                      </w:r>
                    </w:p>
                    <w:p w14:paraId="1B239D62" w14:textId="77777777" w:rsidR="00C2588D" w:rsidRPr="00E609FA" w:rsidRDefault="00C2588D" w:rsidP="00101988">
                      <w:pPr>
                        <w:pStyle w:val="ListParagraph"/>
                        <w:numPr>
                          <w:ilvl w:val="0"/>
                          <w:numId w:val="36"/>
                        </w:numPr>
                        <w:rPr>
                          <w:rFonts w:asciiTheme="minorHAnsi" w:hAnsiTheme="minorHAnsi" w:cstheme="minorHAnsi"/>
                          <w:sz w:val="22"/>
                          <w:szCs w:val="22"/>
                        </w:rPr>
                      </w:pPr>
                      <w:r w:rsidRPr="00E609FA">
                        <w:rPr>
                          <w:rFonts w:asciiTheme="minorHAnsi" w:hAnsiTheme="minorHAnsi" w:cstheme="minorHAnsi"/>
                          <w:sz w:val="22"/>
                          <w:szCs w:val="22"/>
                        </w:rPr>
                        <w:t>The presence and potential impact of any confounding, measurement error, or bias.</w:t>
                      </w:r>
                    </w:p>
                    <w:p w14:paraId="4059840E" w14:textId="77777777" w:rsidR="00C2588D" w:rsidRDefault="00C2588D" w:rsidP="00101988"/>
                  </w:txbxContent>
                </v:textbox>
                <w10:wrap type="topAndBottom" anchorx="margin" anchory="line"/>
              </v:shape>
            </w:pict>
          </mc:Fallback>
        </mc:AlternateContent>
      </w:r>
    </w:p>
    <w:p w14:paraId="02C5AE50" w14:textId="75C34810" w:rsidR="007916C2" w:rsidRDefault="007916C2" w:rsidP="00AE5FC1">
      <w:pPr>
        <w:spacing w:after="0"/>
      </w:pPr>
    </w:p>
    <w:p w14:paraId="2220D4F2" w14:textId="2A15E74D" w:rsidR="008D1590" w:rsidRPr="003F6302" w:rsidRDefault="008D1590" w:rsidP="00E609FA">
      <w:pPr>
        <w:pStyle w:val="Heading2"/>
      </w:pPr>
      <w:bookmarkStart w:id="23" w:name="_Toc45612616"/>
      <w:bookmarkStart w:id="24" w:name="_Toc67488265"/>
      <w:r w:rsidRPr="003F6302">
        <w:lastRenderedPageBreak/>
        <w:t>CONCLUSIONS</w:t>
      </w:r>
      <w:bookmarkEnd w:id="23"/>
      <w:bookmarkEnd w:id="24"/>
    </w:p>
    <w:p w14:paraId="60961816" w14:textId="0A0D4547" w:rsidR="008D1590" w:rsidRPr="00481A92" w:rsidRDefault="008D1590" w:rsidP="00E609FA">
      <w:pPr>
        <w:keepNext/>
        <w:spacing w:after="240"/>
      </w:pPr>
      <w:r w:rsidRPr="00481A92">
        <w:t>Despite a number of limitations including a small sample size, an exposure assessment based on limited historical data of NDMA and TCE in the town’s drinking water, and an</w:t>
      </w:r>
      <w:r w:rsidRPr="00F80B1F">
        <w:t xml:space="preserve"> </w:t>
      </w:r>
      <w:r w:rsidRPr="00481A92">
        <w:t>inability to</w:t>
      </w:r>
      <w:r w:rsidRPr="00F80B1F">
        <w:t xml:space="preserve"> </w:t>
      </w:r>
      <w:r w:rsidRPr="00481A92">
        <w:t>account for dietary NDMA exposure, the study was able to reach several important conclusions:</w:t>
      </w:r>
    </w:p>
    <w:p w14:paraId="7926EB77" w14:textId="1A6F8854" w:rsidR="008D1590" w:rsidRPr="00481A92" w:rsidRDefault="008D1590" w:rsidP="007916C2">
      <w:pPr>
        <w:pStyle w:val="ListParagraph"/>
        <w:numPr>
          <w:ilvl w:val="0"/>
          <w:numId w:val="20"/>
        </w:numPr>
        <w:spacing w:after="120" w:line="240" w:lineRule="auto"/>
        <w:contextualSpacing w:val="0"/>
      </w:pPr>
      <w:r w:rsidRPr="00481A92">
        <w:t xml:space="preserve">Comprehensive information on NDMA in groundwater and the historical Wilmington water distribution system enabled development of a computer model to predict the movement of NDMA to public water supply wells and in the water distribution system, enabling estimation of monthly NDMA concentrations at each study participant’s residence between 1974 and 2000;  </w:t>
      </w:r>
    </w:p>
    <w:p w14:paraId="65242E83" w14:textId="77777777" w:rsidR="008D1590" w:rsidRPr="00481A92" w:rsidRDefault="008D1590" w:rsidP="007916C2">
      <w:pPr>
        <w:pStyle w:val="ListParagraph"/>
        <w:numPr>
          <w:ilvl w:val="0"/>
          <w:numId w:val="20"/>
        </w:numPr>
        <w:spacing w:after="120" w:line="240" w:lineRule="auto"/>
        <w:contextualSpacing w:val="0"/>
      </w:pPr>
      <w:r w:rsidRPr="00481A92">
        <w:t>Detailed interviews of each participant and matched control provided information on major risk factors known or suspected from the published scientific literature for the types of cancer diagnosed among the Wilmington children and adolescents;</w:t>
      </w:r>
    </w:p>
    <w:p w14:paraId="38194237" w14:textId="77777777" w:rsidR="008D1590" w:rsidRPr="00481A92" w:rsidRDefault="008D1590" w:rsidP="007916C2">
      <w:pPr>
        <w:pStyle w:val="ListParagraph"/>
        <w:numPr>
          <w:ilvl w:val="0"/>
          <w:numId w:val="20"/>
        </w:numPr>
        <w:spacing w:after="120" w:line="240" w:lineRule="auto"/>
        <w:contextualSpacing w:val="0"/>
      </w:pPr>
      <w:r w:rsidRPr="00481A92">
        <w:t>An association between maternal exposure to NDMA during the year before the child’s birth and risk of that child developing cancer was strongly suggested by the results of this study. This association was statistically significant for the Leukemia/Lymphoma subgroup, marginally significant for the All Cancers group, and a dose-response effect was observed. We cannot rule out that this finding was confounded by exposure to TCE, but the effect is plausibly supported by the literature and could be a real one;</w:t>
      </w:r>
    </w:p>
    <w:p w14:paraId="3C0DFDAA" w14:textId="77777777" w:rsidR="008D1590" w:rsidRPr="00481A92" w:rsidRDefault="008D1590" w:rsidP="007916C2">
      <w:pPr>
        <w:pStyle w:val="ListParagraph"/>
        <w:numPr>
          <w:ilvl w:val="0"/>
          <w:numId w:val="20"/>
        </w:numPr>
        <w:spacing w:after="120" w:line="240" w:lineRule="auto"/>
        <w:contextualSpacing w:val="0"/>
      </w:pPr>
      <w:r w:rsidRPr="00481A92">
        <w:t>A positive association between maternal exposure to TCE during the year before the child’s birth and risk of that child developing cancer was not statistically significant and a dose-response effect was not observed, meaning that we cannot rule out the possibility that the finding is due to chance, although it must also be recognized that the study was necessarily underpowered due to a small population and that the association is plausibly supported by the literature. It should also be noted that it is impossible to evaluate the effect of TCE alone using the data available;</w:t>
      </w:r>
    </w:p>
    <w:p w14:paraId="7FC939BF" w14:textId="77777777" w:rsidR="008D1590" w:rsidRPr="00481A92" w:rsidRDefault="008D1590" w:rsidP="007916C2">
      <w:pPr>
        <w:pStyle w:val="ListParagraph"/>
        <w:numPr>
          <w:ilvl w:val="0"/>
          <w:numId w:val="20"/>
        </w:numPr>
        <w:spacing w:after="120" w:line="240" w:lineRule="auto"/>
        <w:contextualSpacing w:val="0"/>
        <w:rPr>
          <w:b/>
        </w:rPr>
      </w:pPr>
      <w:r w:rsidRPr="00481A92">
        <w:t>Minimal evidence for an association between childhood/adolescent cancer and exposure to NDMA during childhood/adolescence was observed;</w:t>
      </w:r>
    </w:p>
    <w:p w14:paraId="1FCAE9BC" w14:textId="77777777" w:rsidR="00273FCA" w:rsidRDefault="008D1590" w:rsidP="00A05FCD">
      <w:pPr>
        <w:pStyle w:val="ListParagraph"/>
        <w:numPr>
          <w:ilvl w:val="0"/>
          <w:numId w:val="20"/>
        </w:numPr>
        <w:spacing w:after="0" w:line="240" w:lineRule="auto"/>
        <w:contextualSpacing w:val="0"/>
      </w:pPr>
      <w:r w:rsidRPr="00481A92">
        <w:t>A statistically significant increased risk of cancer was observed among a small number of cases who were treated with oxygen immediately following birth, among a small number of cases born with low birth weight, and among all cases having any one of three reported adverse birth events (oxygen at birth, low birth weight, or incubation).</w:t>
      </w:r>
    </w:p>
    <w:p w14:paraId="1D380461" w14:textId="77777777" w:rsidR="00273FCA" w:rsidRDefault="00273FCA" w:rsidP="00273FCA">
      <w:pPr>
        <w:spacing w:after="0" w:line="240" w:lineRule="auto"/>
      </w:pPr>
    </w:p>
    <w:p w14:paraId="593F1F45" w14:textId="2AB38E0F" w:rsidR="00697A89" w:rsidRDefault="008D1590">
      <w:pPr>
        <w:spacing w:after="0" w:line="240" w:lineRule="auto"/>
      </w:pPr>
      <w:r>
        <w:br w:type="page"/>
      </w:r>
      <w:bookmarkStart w:id="25" w:name="_Toc365640899"/>
      <w:bookmarkEnd w:id="4"/>
    </w:p>
    <w:p w14:paraId="39FA29F3" w14:textId="77777777" w:rsidR="007110BC" w:rsidRDefault="007110BC">
      <w:pPr>
        <w:spacing w:after="0" w:line="240" w:lineRule="auto"/>
        <w:rPr>
          <w:rFonts w:asciiTheme="majorHAnsi" w:hAnsiTheme="majorHAnsi"/>
          <w:b/>
          <w:bCs/>
          <w:kern w:val="32"/>
          <w:sz w:val="36"/>
          <w:szCs w:val="32"/>
          <w:lang w:val="x-none" w:eastAsia="x-none"/>
        </w:rPr>
      </w:pPr>
    </w:p>
    <w:p w14:paraId="17906E9E" w14:textId="77777777" w:rsidR="00273FCA" w:rsidRDefault="00273FCA">
      <w:pPr>
        <w:spacing w:after="0" w:line="240" w:lineRule="auto"/>
        <w:rPr>
          <w:rFonts w:asciiTheme="majorHAnsi" w:hAnsiTheme="majorHAnsi"/>
          <w:b/>
          <w:bCs/>
          <w:kern w:val="32"/>
          <w:sz w:val="36"/>
          <w:szCs w:val="32"/>
          <w:lang w:val="x-none" w:eastAsia="x-none"/>
        </w:rPr>
      </w:pPr>
    </w:p>
    <w:p w14:paraId="1197DD2C" w14:textId="77777777" w:rsidR="007110BC" w:rsidRDefault="007110BC">
      <w:pPr>
        <w:spacing w:after="0" w:line="240" w:lineRule="auto"/>
        <w:rPr>
          <w:rFonts w:asciiTheme="majorHAnsi" w:hAnsiTheme="majorHAnsi"/>
          <w:b/>
          <w:bCs/>
          <w:kern w:val="32"/>
          <w:sz w:val="36"/>
          <w:szCs w:val="32"/>
          <w:lang w:val="x-none" w:eastAsia="x-none"/>
        </w:rPr>
        <w:sectPr w:rsidR="007110BC" w:rsidSect="007110BC">
          <w:footerReference w:type="default" r:id="rId19"/>
          <w:type w:val="continuous"/>
          <w:pgSz w:w="12240" w:h="15840"/>
          <w:pgMar w:top="1440" w:right="1440" w:bottom="1440" w:left="1440" w:header="720" w:footer="720" w:gutter="0"/>
          <w:pgNumType w:start="1"/>
          <w:cols w:space="720"/>
          <w:docGrid w:linePitch="360"/>
        </w:sectPr>
      </w:pPr>
    </w:p>
    <w:p w14:paraId="20F73481" w14:textId="1204BD5D" w:rsidR="003743D3" w:rsidRPr="00AE5FC1" w:rsidRDefault="003743D3" w:rsidP="003477EB">
      <w:pPr>
        <w:pStyle w:val="Heading1"/>
      </w:pPr>
      <w:bookmarkStart w:id="26" w:name="_Toc67488266"/>
      <w:r w:rsidRPr="00AE5FC1">
        <w:lastRenderedPageBreak/>
        <w:t>INTRODUCTION</w:t>
      </w:r>
      <w:bookmarkEnd w:id="25"/>
      <w:bookmarkEnd w:id="26"/>
    </w:p>
    <w:p w14:paraId="281A9914" w14:textId="452231FA" w:rsidR="005C6BC2" w:rsidRDefault="003743D3" w:rsidP="00655389">
      <w:pPr>
        <w:rPr>
          <w:lang w:val="en"/>
        </w:rPr>
      </w:pPr>
      <w:r w:rsidRPr="00AE5FC1">
        <w:t xml:space="preserve">In the spring of 1999, </w:t>
      </w:r>
      <w:r w:rsidR="00A12D6F" w:rsidRPr="00AE5FC1">
        <w:t xml:space="preserve">residents of the town of </w:t>
      </w:r>
      <w:r w:rsidRPr="00AE5FC1">
        <w:t xml:space="preserve">Wilmington, State Representative James Miceli, and the Wilmington Board of Health </w:t>
      </w:r>
      <w:r w:rsidR="009671F0" w:rsidRPr="00AE5FC1">
        <w:t xml:space="preserve">(BOH) </w:t>
      </w:r>
      <w:r w:rsidRPr="00AE5FC1">
        <w:t xml:space="preserve">asked the </w:t>
      </w:r>
      <w:r w:rsidR="00095B45" w:rsidRPr="00AE5FC1">
        <w:t>Massachusetts Department of Public Health</w:t>
      </w:r>
      <w:r w:rsidR="00EE1BD4" w:rsidRPr="00AE5FC1">
        <w:t>’s</w:t>
      </w:r>
      <w:r w:rsidR="00095B45" w:rsidRPr="00AE5FC1">
        <w:t xml:space="preserve"> (MDPH</w:t>
      </w:r>
      <w:r w:rsidR="001A0C61" w:rsidRPr="00AE5FC1">
        <w:t xml:space="preserve">) Bureau of Environmental Health (BEH) </w:t>
      </w:r>
      <w:r w:rsidRPr="00AE5FC1">
        <w:t>to investigate a suspected cluster of childhood cancer</w:t>
      </w:r>
      <w:r w:rsidR="00982083" w:rsidRPr="00AE5FC1">
        <w:t xml:space="preserve"> (</w:t>
      </w:r>
      <w:r w:rsidR="0002403E" w:rsidRPr="00AE5FC1">
        <w:t>Wilmington BOH 1999</w:t>
      </w:r>
      <w:r w:rsidR="00982083" w:rsidRPr="00AE5FC1">
        <w:t>)</w:t>
      </w:r>
      <w:r w:rsidR="00716072" w:rsidRPr="00AE5FC1">
        <w:t xml:space="preserve">. </w:t>
      </w:r>
      <w:r w:rsidR="00A12D6F" w:rsidRPr="003E4AE7">
        <w:t>Of</w:t>
      </w:r>
      <w:r w:rsidR="004672A4" w:rsidRPr="003E4AE7">
        <w:t xml:space="preserve"> primary c</w:t>
      </w:r>
      <w:r w:rsidRPr="003E4AE7">
        <w:t>oncern</w:t>
      </w:r>
      <w:r w:rsidR="004672A4" w:rsidRPr="003E4AE7">
        <w:t xml:space="preserve"> </w:t>
      </w:r>
      <w:r w:rsidR="00A40D61" w:rsidRPr="003E4AE7">
        <w:t>w</w:t>
      </w:r>
      <w:r w:rsidR="00A12D6F" w:rsidRPr="003E4AE7">
        <w:t>as</w:t>
      </w:r>
      <w:r w:rsidR="004672A4" w:rsidRPr="003E4AE7">
        <w:t xml:space="preserve"> </w:t>
      </w:r>
      <w:r w:rsidRPr="003E4AE7">
        <w:t xml:space="preserve">the number of Wilmington children diagnosed with brain cancer, Hodgkin disease, leukemia, and non-Hodgkin </w:t>
      </w:r>
      <w:r w:rsidR="00CA034D" w:rsidRPr="003E4AE7">
        <w:t>l</w:t>
      </w:r>
      <w:r w:rsidRPr="003E4AE7">
        <w:t xml:space="preserve">ymphoma between 1990 and 1999 </w:t>
      </w:r>
      <w:r w:rsidR="00375775" w:rsidRPr="003E4AE7">
        <w:t xml:space="preserve">residing </w:t>
      </w:r>
      <w:r w:rsidRPr="003E4AE7">
        <w:t>in the Kelly Hill section of town</w:t>
      </w:r>
      <w:r w:rsidR="004672A4" w:rsidRPr="003E4AE7">
        <w:t xml:space="preserve"> and </w:t>
      </w:r>
      <w:r w:rsidR="00A12D6F" w:rsidRPr="003E4AE7">
        <w:t>the</w:t>
      </w:r>
      <w:r w:rsidR="004672A4" w:rsidRPr="003E4AE7">
        <w:t xml:space="preserve"> possib</w:t>
      </w:r>
      <w:r w:rsidR="00A12D6F" w:rsidRPr="003E4AE7">
        <w:t>ility</w:t>
      </w:r>
      <w:r w:rsidR="004672A4" w:rsidRPr="003E4AE7">
        <w:t xml:space="preserve"> </w:t>
      </w:r>
      <w:r w:rsidR="00A12D6F" w:rsidRPr="003E4AE7">
        <w:t xml:space="preserve">of an </w:t>
      </w:r>
      <w:r w:rsidR="004672A4" w:rsidRPr="003E4AE7">
        <w:t>association with environmental factors</w:t>
      </w:r>
      <w:r w:rsidR="00716072" w:rsidRPr="003E4AE7">
        <w:t xml:space="preserve">. </w:t>
      </w:r>
      <w:r w:rsidR="00050538" w:rsidRPr="003E4AE7">
        <w:t>Residents suggested a</w:t>
      </w:r>
      <w:r w:rsidRPr="003E4AE7">
        <w:t xml:space="preserve"> number of possible environmental exposures</w:t>
      </w:r>
      <w:r w:rsidR="00050538" w:rsidRPr="003E4AE7">
        <w:t xml:space="preserve">, </w:t>
      </w:r>
      <w:r w:rsidRPr="003E4AE7">
        <w:t xml:space="preserve">including drinking water </w:t>
      </w:r>
      <w:r w:rsidR="00B414AB" w:rsidRPr="003E4AE7">
        <w:t>contamination</w:t>
      </w:r>
      <w:r w:rsidR="004672A4" w:rsidRPr="003E4AE7">
        <w:t>,</w:t>
      </w:r>
      <w:r w:rsidRPr="003E4AE7">
        <w:t xml:space="preserve"> illegal dumping </w:t>
      </w:r>
      <w:r w:rsidR="004672A4" w:rsidRPr="003E4AE7">
        <w:t xml:space="preserve">suspected </w:t>
      </w:r>
      <w:r w:rsidRPr="003E4AE7">
        <w:t>at several businesses</w:t>
      </w:r>
      <w:r w:rsidR="0082722C" w:rsidRPr="003E4AE7">
        <w:t>,</w:t>
      </w:r>
      <w:r w:rsidRPr="003E4AE7">
        <w:t xml:space="preserve"> and </w:t>
      </w:r>
      <w:r w:rsidR="004672A4" w:rsidRPr="003E4AE7">
        <w:t xml:space="preserve">hazardous </w:t>
      </w:r>
      <w:r w:rsidR="00A063FD" w:rsidRPr="003E4AE7">
        <w:t xml:space="preserve">waste </w:t>
      </w:r>
      <w:r w:rsidRPr="003E4AE7">
        <w:t>sites located throughout the town</w:t>
      </w:r>
      <w:r w:rsidR="00716072" w:rsidRPr="003E4AE7">
        <w:t xml:space="preserve">. </w:t>
      </w:r>
      <w:r w:rsidRPr="003E4AE7">
        <w:t xml:space="preserve">The </w:t>
      </w:r>
      <w:r w:rsidR="00EE1BD4" w:rsidRPr="003E4AE7">
        <w:t>MDPH</w:t>
      </w:r>
      <w:r w:rsidR="004672A4" w:rsidRPr="003E4AE7">
        <w:t>’s initial</w:t>
      </w:r>
      <w:r w:rsidRPr="003E4AE7">
        <w:t xml:space="preserve"> </w:t>
      </w:r>
      <w:r w:rsidR="00115AE4" w:rsidRPr="003E4AE7">
        <w:t xml:space="preserve">investigation </w:t>
      </w:r>
      <w:r w:rsidR="004672A4" w:rsidRPr="003E4AE7">
        <w:t>involved</w:t>
      </w:r>
      <w:r w:rsidRPr="003E4AE7">
        <w:t xml:space="preserve"> </w:t>
      </w:r>
      <w:r w:rsidR="004672A4" w:rsidRPr="003E4AE7">
        <w:t xml:space="preserve">a review </w:t>
      </w:r>
      <w:r w:rsidRPr="003E4AE7">
        <w:t xml:space="preserve">of childhood cancer incidence </w:t>
      </w:r>
      <w:r w:rsidR="004672A4" w:rsidRPr="003E4AE7">
        <w:t xml:space="preserve">data </w:t>
      </w:r>
      <w:r w:rsidRPr="003E4AE7">
        <w:t xml:space="preserve">for the years 1987-1995, the latest year for which complete cancer </w:t>
      </w:r>
      <w:r w:rsidR="003A7EBC" w:rsidRPr="003E4AE7">
        <w:t>statistics</w:t>
      </w:r>
      <w:r w:rsidRPr="003E4AE7">
        <w:t xml:space="preserve"> were available</w:t>
      </w:r>
      <w:r w:rsidR="004672A4" w:rsidRPr="003E4AE7">
        <w:t xml:space="preserve"> at </w:t>
      </w:r>
      <w:r w:rsidR="00115AE4" w:rsidRPr="003E4AE7">
        <w:t xml:space="preserve">the </w:t>
      </w:r>
      <w:r w:rsidR="004672A4" w:rsidRPr="003E4AE7">
        <w:t>time</w:t>
      </w:r>
      <w:r w:rsidR="00982083" w:rsidRPr="003E4AE7">
        <w:t xml:space="preserve"> (MDPH 2000)</w:t>
      </w:r>
      <w:r w:rsidR="00716072" w:rsidRPr="003E4AE7">
        <w:t xml:space="preserve">. </w:t>
      </w:r>
      <w:r w:rsidRPr="003E4AE7">
        <w:t>Th</w:t>
      </w:r>
      <w:r w:rsidR="001923CB" w:rsidRPr="003E4AE7">
        <w:t>at</w:t>
      </w:r>
      <w:r w:rsidRPr="003E4AE7">
        <w:t xml:space="preserve"> investigation identified</w:t>
      </w:r>
      <w:r w:rsidR="004672A4" w:rsidRPr="003E4AE7">
        <w:t xml:space="preserve"> an unusual</w:t>
      </w:r>
      <w:r w:rsidRPr="003E4AE7">
        <w:t xml:space="preserve"> </w:t>
      </w:r>
      <w:r w:rsidR="00375775" w:rsidRPr="003E4AE7">
        <w:t>pattern o</w:t>
      </w:r>
      <w:r w:rsidR="002F2CD9" w:rsidRPr="003E4AE7">
        <w:t>f children with cancer residing within</w:t>
      </w:r>
      <w:r w:rsidR="00375775" w:rsidRPr="003E4AE7">
        <w:t xml:space="preserve"> </w:t>
      </w:r>
      <w:r w:rsidRPr="003E4AE7">
        <w:rPr>
          <w:lang w:val="en"/>
        </w:rPr>
        <w:t>census tracts 3312 and 3313, which are located on the west side of Wilmington</w:t>
      </w:r>
      <w:r w:rsidR="001923CB" w:rsidRPr="003E4AE7">
        <w:rPr>
          <w:lang w:val="en"/>
        </w:rPr>
        <w:t xml:space="preserve"> (see Map of Wilmington in</w:t>
      </w:r>
      <w:r w:rsidR="00901689" w:rsidRPr="003E4AE7">
        <w:rPr>
          <w:lang w:val="en"/>
        </w:rPr>
        <w:t xml:space="preserve"> </w:t>
      </w:r>
      <w:r w:rsidR="00610F56">
        <w:rPr>
          <w:lang w:val="en"/>
        </w:rPr>
        <w:fldChar w:fldCharType="begin"/>
      </w:r>
      <w:r w:rsidR="00610F56">
        <w:rPr>
          <w:lang w:val="en"/>
        </w:rPr>
        <w:instrText xml:space="preserve"> REF  Figure1 \h </w:instrText>
      </w:r>
      <w:r w:rsidR="00D3755D">
        <w:rPr>
          <w:lang w:val="en"/>
        </w:rPr>
        <w:instrText xml:space="preserve"> \* MERGEFORMAT </w:instrText>
      </w:r>
      <w:r w:rsidR="00610F56">
        <w:rPr>
          <w:lang w:val="en"/>
        </w:rPr>
      </w:r>
      <w:r w:rsidR="00610F56">
        <w:rPr>
          <w:lang w:val="en"/>
        </w:rPr>
        <w:fldChar w:fldCharType="separate"/>
      </w:r>
      <w:r w:rsidR="00977423" w:rsidRPr="00E43A72">
        <w:t xml:space="preserve">Figure </w:t>
      </w:r>
      <w:r w:rsidR="00977423">
        <w:rPr>
          <w:noProof/>
        </w:rPr>
        <w:t>1</w:t>
      </w:r>
      <w:r w:rsidR="00610F56">
        <w:rPr>
          <w:lang w:val="en"/>
        </w:rPr>
        <w:fldChar w:fldCharType="end"/>
      </w:r>
      <w:r w:rsidR="001923CB" w:rsidRPr="003E4AE7">
        <w:rPr>
          <w:lang w:val="en"/>
        </w:rPr>
        <w:t>)</w:t>
      </w:r>
      <w:r w:rsidR="00716072" w:rsidRPr="003E4AE7">
        <w:rPr>
          <w:lang w:val="en"/>
        </w:rPr>
        <w:t xml:space="preserve">. </w:t>
      </w:r>
      <w:r w:rsidRPr="003E4AE7">
        <w:rPr>
          <w:lang w:val="en"/>
        </w:rPr>
        <w:t>Subsequently,</w:t>
      </w:r>
      <w:r w:rsidR="00375775" w:rsidRPr="003E4AE7">
        <w:rPr>
          <w:lang w:val="en"/>
        </w:rPr>
        <w:t xml:space="preserve"> the legislature provided </w:t>
      </w:r>
      <w:r w:rsidR="0061452B" w:rsidRPr="003E4AE7">
        <w:rPr>
          <w:lang w:val="en"/>
        </w:rPr>
        <w:t>funding</w:t>
      </w:r>
      <w:r w:rsidR="00375775" w:rsidRPr="003E4AE7">
        <w:rPr>
          <w:lang w:val="en"/>
        </w:rPr>
        <w:t xml:space="preserve"> to conduct</w:t>
      </w:r>
      <w:r w:rsidRPr="003E4AE7">
        <w:rPr>
          <w:lang w:val="en"/>
        </w:rPr>
        <w:t xml:space="preserve"> </w:t>
      </w:r>
      <w:r w:rsidR="00375775" w:rsidRPr="003E4AE7">
        <w:rPr>
          <w:lang w:val="en"/>
        </w:rPr>
        <w:t xml:space="preserve">an </w:t>
      </w:r>
      <w:r w:rsidRPr="003E4AE7">
        <w:rPr>
          <w:lang w:val="en"/>
        </w:rPr>
        <w:t xml:space="preserve">epidemiologic study of childhood cancer in Wilmington, the findings of which are </w:t>
      </w:r>
      <w:r w:rsidR="00375775" w:rsidRPr="003E4AE7">
        <w:rPr>
          <w:lang w:val="en"/>
        </w:rPr>
        <w:t xml:space="preserve">presented in this </w:t>
      </w:r>
      <w:r w:rsidRPr="003E4AE7">
        <w:rPr>
          <w:lang w:val="en"/>
        </w:rPr>
        <w:t>report</w:t>
      </w:r>
      <w:r w:rsidR="00716072" w:rsidRPr="003E4AE7">
        <w:rPr>
          <w:lang w:val="en"/>
        </w:rPr>
        <w:t xml:space="preserve">. </w:t>
      </w:r>
      <w:r w:rsidR="0061452B" w:rsidRPr="003E4AE7">
        <w:rPr>
          <w:lang w:val="en"/>
        </w:rPr>
        <w:t>The study protocol was approved by the M</w:t>
      </w:r>
      <w:r w:rsidR="00EE1BD4" w:rsidRPr="003E4AE7">
        <w:rPr>
          <w:lang w:val="en"/>
        </w:rPr>
        <w:t>DPH</w:t>
      </w:r>
      <w:r w:rsidR="0061452B" w:rsidRPr="003E4AE7">
        <w:rPr>
          <w:lang w:val="en"/>
        </w:rPr>
        <w:t xml:space="preserve"> Institutional Review Board in </w:t>
      </w:r>
      <w:r w:rsidR="001A0C61" w:rsidRPr="003E4AE7">
        <w:rPr>
          <w:lang w:val="en"/>
        </w:rPr>
        <w:t xml:space="preserve">November 2001 </w:t>
      </w:r>
      <w:r w:rsidR="00581CAA" w:rsidRPr="003E4AE7">
        <w:rPr>
          <w:lang w:val="en"/>
        </w:rPr>
        <w:t xml:space="preserve">and the case-control study </w:t>
      </w:r>
      <w:r w:rsidR="00EE1BD4" w:rsidRPr="003E4AE7">
        <w:rPr>
          <w:lang w:val="en"/>
        </w:rPr>
        <w:t>began</w:t>
      </w:r>
      <w:r w:rsidR="00581CAA" w:rsidRPr="003E4AE7">
        <w:rPr>
          <w:lang w:val="en"/>
        </w:rPr>
        <w:t xml:space="preserve"> in 2002</w:t>
      </w:r>
      <w:r w:rsidR="00716072" w:rsidRPr="003E4AE7">
        <w:rPr>
          <w:lang w:val="en"/>
        </w:rPr>
        <w:t xml:space="preserve">. </w:t>
      </w:r>
    </w:p>
    <w:p w14:paraId="42C8A0EB" w14:textId="01827E5E" w:rsidR="005C6BC2" w:rsidRPr="000E4107" w:rsidRDefault="005C6BC2" w:rsidP="00655389">
      <w:pPr>
        <w:rPr>
          <w:lang w:val="en"/>
        </w:rPr>
      </w:pPr>
      <w:r w:rsidRPr="000E4107">
        <w:rPr>
          <w:lang w:val="en"/>
        </w:rPr>
        <w:t>The objective of this study was to investigate environmental and other factors that may be associated with childhood cancer development in the town of Wilmington among children and adolescents diagnosed between 1990 and 2000. Hereinafter, “children” refers to children and adolescents 19 years of age or younger. The families of children diagnosed with childhood cancer and their matched controls (i.e. children of the same age and sex not diagnosed with cancer) were asked to participate and be interviewed for the study. The interviews were used to collect information about childhood cancer risk factors that each child may have experienced, to obtain residential histories, and to identify potential environmental factors that might help explain the unusual pattern of childhood cancer observed.</w:t>
      </w:r>
    </w:p>
    <w:p w14:paraId="017BAAFB" w14:textId="0B6A070B" w:rsidR="00C2588D" w:rsidRDefault="005C6BC2" w:rsidP="00C2588D">
      <w:pPr>
        <w:rPr>
          <w:lang w:val="en"/>
        </w:rPr>
      </w:pPr>
      <w:r w:rsidRPr="000E4107">
        <w:rPr>
          <w:lang w:val="en"/>
        </w:rPr>
        <w:t xml:space="preserve">In 2003, a specific drinking water contaminant and carcinogen called </w:t>
      </w:r>
      <w:r w:rsidRPr="000E4107">
        <w:rPr>
          <w:i/>
          <w:lang w:val="en"/>
        </w:rPr>
        <w:t>n</w:t>
      </w:r>
      <w:r w:rsidRPr="000E4107">
        <w:rPr>
          <w:lang w:val="en"/>
        </w:rPr>
        <w:t>-</w:t>
      </w:r>
      <w:proofErr w:type="spellStart"/>
      <w:r w:rsidRPr="000E4107">
        <w:rPr>
          <w:lang w:val="en"/>
        </w:rPr>
        <w:t>nitrosodimethylamine</w:t>
      </w:r>
      <w:proofErr w:type="spellEnd"/>
      <w:r w:rsidRPr="000E4107">
        <w:rPr>
          <w:lang w:val="en"/>
        </w:rPr>
        <w:t xml:space="preserve"> (NDMA) was detected in an aquifer providing part of the Wilmington drinking water supply. For this reason, public drinking water supply wells found to be contaminated were shut down at that time. The contamination occurred as a result of activities at a chemical manufacturing facility operating in the southeastern corner of town from 1953-1986. The US Environmental Protection Agency (EPA) later added the facility to the Superfund National Priorities List</w:t>
      </w:r>
      <w:bookmarkStart w:id="27" w:name="_Toc365640900"/>
      <w:r w:rsidR="00091859">
        <w:rPr>
          <w:lang w:val="en"/>
        </w:rPr>
        <w:t xml:space="preserve"> </w:t>
      </w:r>
      <w:r w:rsidR="004D42CC" w:rsidRPr="000E4107">
        <w:rPr>
          <w:lang w:val="en"/>
        </w:rPr>
        <w:t xml:space="preserve">(NPL) in 2006 as the Olin Chemical site, named for the property owner at the time of listing (US EPA 2019). </w:t>
      </w:r>
      <w:bookmarkStart w:id="28" w:name="_Toc45717776"/>
      <w:bookmarkStart w:id="29" w:name="Figure1"/>
    </w:p>
    <w:p w14:paraId="35A820F2" w14:textId="7D9CEDD6" w:rsidR="00D81349" w:rsidRPr="000E4107" w:rsidRDefault="00C2588D" w:rsidP="00C2588D">
      <w:pPr>
        <w:rPr>
          <w:lang w:val="en"/>
        </w:rPr>
      </w:pPr>
      <w:r w:rsidRPr="00E43A72">
        <w:rPr>
          <w:noProof/>
        </w:rPr>
        <w:lastRenderedPageBreak/>
        <w:drawing>
          <wp:anchor distT="0" distB="0" distL="114300" distR="114300" simplePos="0" relativeHeight="251642880" behindDoc="0" locked="0" layoutInCell="1" allowOverlap="1" wp14:anchorId="7A16A34F" wp14:editId="3CDE1802">
            <wp:simplePos x="0" y="0"/>
            <wp:positionH relativeFrom="margin">
              <wp:posOffset>-19050</wp:posOffset>
            </wp:positionH>
            <wp:positionV relativeFrom="paragraph">
              <wp:posOffset>522605</wp:posOffset>
            </wp:positionV>
            <wp:extent cx="5943600" cy="6252845"/>
            <wp:effectExtent l="0" t="0" r="0" b="0"/>
            <wp:wrapThrough wrapText="bothSides">
              <wp:wrapPolygon edited="0">
                <wp:start x="0" y="0"/>
                <wp:lineTo x="0" y="21519"/>
                <wp:lineTo x="21531" y="21519"/>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mington_FIGURE 1_CTs_LandUse_05202019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252845"/>
                    </a:xfrm>
                    <a:prstGeom prst="rect">
                      <a:avLst/>
                    </a:prstGeom>
                  </pic:spPr>
                </pic:pic>
              </a:graphicData>
            </a:graphic>
            <wp14:sizeRelH relativeFrom="page">
              <wp14:pctWidth>0</wp14:pctWidth>
            </wp14:sizeRelH>
            <wp14:sizeRelV relativeFrom="page">
              <wp14:pctHeight>0</wp14:pctHeight>
            </wp14:sizeRelV>
          </wp:anchor>
        </w:drawing>
      </w:r>
      <w:r w:rsidR="00D81349" w:rsidRPr="00E43A72">
        <w:t xml:space="preserve">Figure </w:t>
      </w:r>
      <w:fldSimple w:instr=" SEQ Figure \* ARABIC ">
        <w:r w:rsidR="00977423">
          <w:rPr>
            <w:noProof/>
          </w:rPr>
          <w:t>1</w:t>
        </w:r>
      </w:fldSimple>
      <w:bookmarkEnd w:id="29"/>
      <w:r w:rsidR="00D81349" w:rsidRPr="00E43A72">
        <w:t>. Map of Wilmington, MA</w:t>
      </w:r>
      <w:bookmarkEnd w:id="28"/>
    </w:p>
    <w:p w14:paraId="7659F948" w14:textId="77777777" w:rsidR="00C2588D" w:rsidRDefault="00C2588D" w:rsidP="00655389">
      <w:pPr>
        <w:rPr>
          <w:lang w:val="en"/>
        </w:rPr>
      </w:pPr>
    </w:p>
    <w:p w14:paraId="6D61A6C3" w14:textId="085D1778" w:rsidR="004D42CC" w:rsidRPr="000E4107" w:rsidRDefault="004D42CC" w:rsidP="00655389">
      <w:pPr>
        <w:rPr>
          <w:lang w:val="en"/>
        </w:rPr>
      </w:pPr>
      <w:r w:rsidRPr="000E4107">
        <w:rPr>
          <w:lang w:val="en"/>
        </w:rPr>
        <w:t>With the detection of NDMA contamination, residents (and, notably, families of children diagnosed with cancer) and the Wilmington BOH asked MDPH to postpone analysis until better information related to water contamination was available (MDPH 2004). Utilizing residential history information</w:t>
      </w:r>
      <w:r w:rsidR="00091859">
        <w:rPr>
          <w:lang w:val="en"/>
        </w:rPr>
        <w:t xml:space="preserve"> c</w:t>
      </w:r>
      <w:r w:rsidRPr="000E4107">
        <w:rPr>
          <w:lang w:val="en"/>
        </w:rPr>
        <w:t xml:space="preserve">ollected during interviews with study </w:t>
      </w:r>
      <w:r w:rsidRPr="000E4107">
        <w:rPr>
          <w:lang w:val="en"/>
        </w:rPr>
        <w:lastRenderedPageBreak/>
        <w:t>participants, MDPH estimated exposure to NDMA for the period 1974-2000 using sophisticated computer models to replicate historical groundwater flow, transport of NDMA through the groundwater, and distribution of NDMA throughout the Wilmington public drinking water system. Trichloroethylene (TCE), another contaminant in the public drinking water system, but with different (and unknown) sources, was modeled over the period (1981-2000). Modeling of TCE concentrations prior to 1981 was not possible due to the absence of earlier sampling data along with the lack of a known source within the aquifer.</w:t>
      </w:r>
      <w:r w:rsidRPr="000E4107">
        <w:t xml:space="preserve"> The exposure assessment took place over three phases from 2006 to 2013, as funding allowed and as new information relevant to understanding of the contamination surfaced.</w:t>
      </w:r>
    </w:p>
    <w:p w14:paraId="2B509990" w14:textId="256BDFD5" w:rsidR="007110BC" w:rsidRPr="007110BC" w:rsidRDefault="004D42CC" w:rsidP="007110BC">
      <w:pPr>
        <w:rPr>
          <w:lang w:val="en"/>
        </w:rPr>
      </w:pPr>
      <w:r w:rsidRPr="000E4107">
        <w:rPr>
          <w:lang w:val="en"/>
        </w:rPr>
        <w:t>Information was collected on a multitude of risk factors for childhood cancer, including estimated exposure to NDMA and TCE. Each was evaluated for an association with the odds of childhood cancer among the study population.</w:t>
      </w:r>
      <w:r w:rsidR="00091859">
        <w:rPr>
          <w:lang w:val="en"/>
        </w:rPr>
        <w:t xml:space="preserve"> T</w:t>
      </w:r>
      <w:r w:rsidRPr="000E4107">
        <w:rPr>
          <w:lang w:val="en"/>
        </w:rPr>
        <w:t>his report presents the methods used in the investigation and its results and conclusions.</w:t>
      </w:r>
      <w:r w:rsidR="00091859">
        <w:rPr>
          <w:lang w:val="en"/>
        </w:rPr>
        <w:t xml:space="preserve"> </w:t>
      </w:r>
    </w:p>
    <w:p w14:paraId="7F512197" w14:textId="77777777" w:rsidR="007110BC" w:rsidRPr="004973CB" w:rsidRDefault="007110BC" w:rsidP="007110BC">
      <w:pPr>
        <w:pStyle w:val="Heading1"/>
      </w:pPr>
      <w:bookmarkStart w:id="30" w:name="_Toc46315730"/>
      <w:bookmarkStart w:id="31" w:name="_Toc67488267"/>
      <w:bookmarkEnd w:id="27"/>
      <w:r w:rsidRPr="004973CB">
        <w:t>GOALS AND OBJECTIVES</w:t>
      </w:r>
      <w:bookmarkEnd w:id="30"/>
      <w:bookmarkEnd w:id="31"/>
    </w:p>
    <w:p w14:paraId="79255AC3" w14:textId="226D3149" w:rsidR="00677818" w:rsidRPr="00DF3F01" w:rsidRDefault="003743D3" w:rsidP="00655389">
      <w:r w:rsidRPr="00DF3F01">
        <w:t xml:space="preserve">The goal of the Wilmington Childhood Cancer Study </w:t>
      </w:r>
      <w:r w:rsidR="00B56FC8" w:rsidRPr="00DF3F01">
        <w:t xml:space="preserve">(WCCS) </w:t>
      </w:r>
      <w:r w:rsidRPr="00DF3F01">
        <w:t>was to evaluate factors that may help to explain the</w:t>
      </w:r>
      <w:r w:rsidR="00B56FC8" w:rsidRPr="00DF3F01">
        <w:t xml:space="preserve"> pattern</w:t>
      </w:r>
      <w:r w:rsidRPr="00DF3F01">
        <w:t xml:space="preserve"> of cancer among children in Wilmington, Massachusetts</w:t>
      </w:r>
      <w:r w:rsidR="00421932" w:rsidRPr="00DF3F01">
        <w:t xml:space="preserve">; specifically to determine if drinking water </w:t>
      </w:r>
      <w:r w:rsidR="00C73689" w:rsidRPr="00DF3F01">
        <w:t xml:space="preserve">reported to be contaminated with a carcinogen called </w:t>
      </w:r>
      <w:r w:rsidR="001A0C61" w:rsidRPr="00DF3F01">
        <w:rPr>
          <w:i/>
        </w:rPr>
        <w:t>n</w:t>
      </w:r>
      <w:r w:rsidR="001A0C61" w:rsidRPr="00DF3F01">
        <w:t>-</w:t>
      </w:r>
      <w:proofErr w:type="spellStart"/>
      <w:r w:rsidR="001A0C61" w:rsidRPr="00DF3F01">
        <w:t>nitrosodimethylamine</w:t>
      </w:r>
      <w:proofErr w:type="spellEnd"/>
      <w:r w:rsidR="001A0C61" w:rsidRPr="00DF3F01">
        <w:t xml:space="preserve"> (NDMA) </w:t>
      </w:r>
      <w:r w:rsidR="00C73689" w:rsidRPr="00DF3F01">
        <w:t>was associated with childhood cancer in Wilmington</w:t>
      </w:r>
      <w:r w:rsidR="00716072" w:rsidRPr="00DF3F01">
        <w:t xml:space="preserve">. </w:t>
      </w:r>
      <w:r w:rsidR="00C00764" w:rsidRPr="00DF3F01">
        <w:t>Another contaminant</w:t>
      </w:r>
      <w:r w:rsidR="00AC235A" w:rsidRPr="00DF3F01">
        <w:t xml:space="preserve"> and carcinogen</w:t>
      </w:r>
      <w:r w:rsidR="00C00764" w:rsidRPr="00DF3F01">
        <w:t xml:space="preserve"> </w:t>
      </w:r>
      <w:r w:rsidR="00B414AB" w:rsidRPr="00DF3F01">
        <w:t xml:space="preserve">in </w:t>
      </w:r>
      <w:r w:rsidR="00C00764" w:rsidRPr="00DF3F01">
        <w:t>Wilmington</w:t>
      </w:r>
      <w:r w:rsidR="00672AB0" w:rsidRPr="00DF3F01">
        <w:t>’s</w:t>
      </w:r>
      <w:r w:rsidR="00C00764" w:rsidRPr="00DF3F01">
        <w:t xml:space="preserve"> drinking water</w:t>
      </w:r>
      <w:r w:rsidR="00434C85" w:rsidRPr="00DF3F01">
        <w:t>, t</w:t>
      </w:r>
      <w:r w:rsidR="00C00764" w:rsidRPr="00DF3F01">
        <w:t>richloroethylene (TCE), and its association with childhood cancer was also investigated</w:t>
      </w:r>
      <w:r w:rsidR="00716072" w:rsidRPr="00DF3F01">
        <w:t xml:space="preserve">. </w:t>
      </w:r>
    </w:p>
    <w:p w14:paraId="1A148960" w14:textId="57401ACA" w:rsidR="003743D3" w:rsidRPr="00DF3F01" w:rsidRDefault="003743D3" w:rsidP="00655389">
      <w:pPr>
        <w:pStyle w:val="StyleAfter6ptLinespacingsingle"/>
        <w:spacing w:line="276" w:lineRule="auto"/>
      </w:pPr>
      <w:r w:rsidRPr="00DF3F01">
        <w:t>The specific objectives were:</w:t>
      </w:r>
    </w:p>
    <w:p w14:paraId="20E6E6F8" w14:textId="77777777" w:rsidR="003743D3" w:rsidRPr="00DF3F01" w:rsidRDefault="003743D3" w:rsidP="00655389">
      <w:pPr>
        <w:pStyle w:val="ListParagraph"/>
        <w:numPr>
          <w:ilvl w:val="0"/>
          <w:numId w:val="2"/>
        </w:numPr>
      </w:pPr>
      <w:r w:rsidRPr="00DF3F01">
        <w:t xml:space="preserve">Determine all cases of childhood cancer from </w:t>
      </w:r>
      <w:r w:rsidR="00582CB5" w:rsidRPr="00DF3F01">
        <w:t>19</w:t>
      </w:r>
      <w:r w:rsidR="009C2396" w:rsidRPr="00DF3F01">
        <w:t>87</w:t>
      </w:r>
      <w:r w:rsidRPr="00DF3F01">
        <w:t>-2000 among Wilmington residents ages 0-19 at time of diagnosis;</w:t>
      </w:r>
    </w:p>
    <w:p w14:paraId="55376952" w14:textId="77777777" w:rsidR="003743D3" w:rsidRPr="00DF3F01" w:rsidRDefault="003743D3" w:rsidP="00655389">
      <w:pPr>
        <w:pStyle w:val="ListParagraph"/>
        <w:numPr>
          <w:ilvl w:val="0"/>
          <w:numId w:val="2"/>
        </w:numPr>
      </w:pPr>
      <w:r w:rsidRPr="00DF3F01">
        <w:t xml:space="preserve">Select multiple controls from Wilmington school rosters and match to each </w:t>
      </w:r>
      <w:r w:rsidR="007F1891" w:rsidRPr="00DF3F01">
        <w:t xml:space="preserve">case </w:t>
      </w:r>
      <w:r w:rsidRPr="00DF3F01">
        <w:t>so that age and sex were similar;</w:t>
      </w:r>
    </w:p>
    <w:p w14:paraId="49D05597" w14:textId="77777777" w:rsidR="003743D3" w:rsidRPr="00A97E32" w:rsidRDefault="003743D3" w:rsidP="00655389">
      <w:pPr>
        <w:pStyle w:val="ListParagraph"/>
        <w:numPr>
          <w:ilvl w:val="0"/>
          <w:numId w:val="2"/>
        </w:numPr>
        <w:rPr>
          <w:spacing w:val="-4"/>
        </w:rPr>
      </w:pPr>
      <w:r w:rsidRPr="00A97E32">
        <w:rPr>
          <w:spacing w:val="-4"/>
        </w:rPr>
        <w:t>Conduct personal interviews of families of all children diagnosed with cancer and a control group to evaluate possible</w:t>
      </w:r>
      <w:r w:rsidR="00B56FC8" w:rsidRPr="00A97E32">
        <w:rPr>
          <w:spacing w:val="-4"/>
        </w:rPr>
        <w:t xml:space="preserve"> environmental and other</w:t>
      </w:r>
      <w:r w:rsidRPr="00A97E32">
        <w:rPr>
          <w:spacing w:val="-4"/>
        </w:rPr>
        <w:t xml:space="preserve"> risk factors </w:t>
      </w:r>
      <w:r w:rsidR="0082722C" w:rsidRPr="00A97E32">
        <w:rPr>
          <w:spacing w:val="-4"/>
        </w:rPr>
        <w:t>for cancer</w:t>
      </w:r>
      <w:r w:rsidRPr="00A97E32">
        <w:rPr>
          <w:spacing w:val="-4"/>
        </w:rPr>
        <w:t>; </w:t>
      </w:r>
    </w:p>
    <w:p w14:paraId="587063C9" w14:textId="52430D3C" w:rsidR="003743D3" w:rsidRPr="00A97E32" w:rsidRDefault="003743D3" w:rsidP="00655389">
      <w:pPr>
        <w:pStyle w:val="ListParagraph"/>
        <w:numPr>
          <w:ilvl w:val="0"/>
          <w:numId w:val="2"/>
        </w:numPr>
        <w:rPr>
          <w:spacing w:val="-4"/>
        </w:rPr>
      </w:pPr>
      <w:r w:rsidRPr="00A97E32">
        <w:rPr>
          <w:spacing w:val="-4"/>
        </w:rPr>
        <w:t xml:space="preserve">Estimate potential exposure </w:t>
      </w:r>
      <w:r w:rsidR="007F1891" w:rsidRPr="00A97E32">
        <w:rPr>
          <w:spacing w:val="-4"/>
        </w:rPr>
        <w:t xml:space="preserve">of </w:t>
      </w:r>
      <w:r w:rsidRPr="00A97E32">
        <w:rPr>
          <w:spacing w:val="-4"/>
        </w:rPr>
        <w:t>study participants to NDMA as residents of Wilmington during the period 1974 to 2000 based on historic</w:t>
      </w:r>
      <w:r w:rsidR="00B414AB" w:rsidRPr="00A97E32">
        <w:rPr>
          <w:spacing w:val="-4"/>
        </w:rPr>
        <w:t>al</w:t>
      </w:r>
      <w:r w:rsidRPr="00A97E32">
        <w:rPr>
          <w:spacing w:val="-4"/>
        </w:rPr>
        <w:t xml:space="preserve"> drinking water simulations and residential histories of mothers during gestation and of children from birth to date of diagnosis; and</w:t>
      </w:r>
      <w:r w:rsidR="007F1891" w:rsidRPr="00A97E32">
        <w:rPr>
          <w:spacing w:val="-4"/>
        </w:rPr>
        <w:t xml:space="preserve"> to TCE during the period of 1981 to 2000; and </w:t>
      </w:r>
    </w:p>
    <w:p w14:paraId="6AB0FF5E" w14:textId="1AFC6757" w:rsidR="003743D3" w:rsidRDefault="003743D3" w:rsidP="00655389">
      <w:pPr>
        <w:pStyle w:val="ListParagraph"/>
        <w:numPr>
          <w:ilvl w:val="0"/>
          <w:numId w:val="2"/>
        </w:numPr>
        <w:spacing w:after="120"/>
        <w:rPr>
          <w:spacing w:val="-4"/>
        </w:rPr>
      </w:pPr>
      <w:r w:rsidRPr="00A97E32">
        <w:rPr>
          <w:spacing w:val="-4"/>
        </w:rPr>
        <w:t>Identify any associations between possible risk factor</w:t>
      </w:r>
      <w:r w:rsidR="00672AB0" w:rsidRPr="00A97E32">
        <w:rPr>
          <w:spacing w:val="-4"/>
        </w:rPr>
        <w:t>s</w:t>
      </w:r>
      <w:r w:rsidRPr="00A97E32">
        <w:rPr>
          <w:spacing w:val="-4"/>
        </w:rPr>
        <w:t xml:space="preserve"> and childhood cancer in Wilmington, including the likelihood of an association between childhood cancer and exposure to NDMA </w:t>
      </w:r>
      <w:r w:rsidR="006D7C81" w:rsidRPr="00A97E32">
        <w:rPr>
          <w:spacing w:val="-4"/>
        </w:rPr>
        <w:t>or</w:t>
      </w:r>
      <w:r w:rsidR="00E27470" w:rsidRPr="00A97E32">
        <w:rPr>
          <w:spacing w:val="-4"/>
        </w:rPr>
        <w:t xml:space="preserve"> TCE </w:t>
      </w:r>
      <w:r w:rsidRPr="00A97E32">
        <w:rPr>
          <w:spacing w:val="-4"/>
        </w:rPr>
        <w:t>in municipal drinking water.</w:t>
      </w:r>
    </w:p>
    <w:p w14:paraId="60153411" w14:textId="287B6A9C" w:rsidR="007916C2" w:rsidRDefault="007916C2" w:rsidP="007916C2">
      <w:pPr>
        <w:pStyle w:val="ListParagraph"/>
        <w:spacing w:after="120"/>
        <w:ind w:left="360"/>
        <w:rPr>
          <w:spacing w:val="-4"/>
        </w:rPr>
      </w:pPr>
    </w:p>
    <w:p w14:paraId="2341A1D3" w14:textId="77777777" w:rsidR="003743D3" w:rsidRPr="00A97E32" w:rsidRDefault="003743D3" w:rsidP="00655389">
      <w:pPr>
        <w:spacing w:after="120"/>
        <w:rPr>
          <w:spacing w:val="-4"/>
        </w:rPr>
      </w:pPr>
      <w:r w:rsidRPr="00A97E32">
        <w:rPr>
          <w:spacing w:val="-4"/>
        </w:rPr>
        <w:t xml:space="preserve">To meet these objectives, the following </w:t>
      </w:r>
      <w:r w:rsidR="00F81E7C" w:rsidRPr="00A97E32">
        <w:rPr>
          <w:spacing w:val="-4"/>
        </w:rPr>
        <w:t xml:space="preserve">tasks </w:t>
      </w:r>
      <w:r w:rsidRPr="00A97E32">
        <w:rPr>
          <w:spacing w:val="-4"/>
        </w:rPr>
        <w:t>were implemented:</w:t>
      </w:r>
    </w:p>
    <w:p w14:paraId="27E9EBFA" w14:textId="77777777" w:rsidR="003743D3" w:rsidRPr="00A97E32" w:rsidRDefault="003743D3" w:rsidP="00655389">
      <w:pPr>
        <w:pStyle w:val="ListParagraph"/>
        <w:numPr>
          <w:ilvl w:val="0"/>
          <w:numId w:val="3"/>
        </w:numPr>
        <w:rPr>
          <w:spacing w:val="-4"/>
        </w:rPr>
      </w:pPr>
      <w:r w:rsidRPr="00A97E32">
        <w:rPr>
          <w:spacing w:val="-4"/>
        </w:rPr>
        <w:t>Cases and matched controls were recruited for participation in the study;</w:t>
      </w:r>
    </w:p>
    <w:p w14:paraId="540EA4DE" w14:textId="77777777" w:rsidR="003743D3" w:rsidRPr="00A97E32" w:rsidRDefault="003743D3" w:rsidP="00655389">
      <w:pPr>
        <w:pStyle w:val="ListParagraph"/>
        <w:numPr>
          <w:ilvl w:val="0"/>
          <w:numId w:val="3"/>
        </w:numPr>
        <w:rPr>
          <w:spacing w:val="-4"/>
        </w:rPr>
      </w:pPr>
      <w:r w:rsidRPr="00A97E32">
        <w:rPr>
          <w:spacing w:val="-4"/>
        </w:rPr>
        <w:t>Community input was sought and obtained on the information to be collected;</w:t>
      </w:r>
    </w:p>
    <w:p w14:paraId="50D7CAB0" w14:textId="77777777" w:rsidR="003743D3" w:rsidRPr="00A97E32" w:rsidRDefault="003743D3" w:rsidP="00655389">
      <w:pPr>
        <w:pStyle w:val="ListParagraph"/>
        <w:numPr>
          <w:ilvl w:val="0"/>
          <w:numId w:val="3"/>
        </w:numPr>
        <w:rPr>
          <w:spacing w:val="-4"/>
        </w:rPr>
      </w:pPr>
      <w:r w:rsidRPr="00A97E32">
        <w:rPr>
          <w:spacing w:val="-4"/>
        </w:rPr>
        <w:t>A pilot-tested survey instrument was used to collect important background information including residential</w:t>
      </w:r>
      <w:r w:rsidR="007F1891" w:rsidRPr="00A97E32">
        <w:rPr>
          <w:spacing w:val="-4"/>
        </w:rPr>
        <w:t xml:space="preserve"> and</w:t>
      </w:r>
      <w:r w:rsidRPr="00A97E32">
        <w:rPr>
          <w:spacing w:val="-4"/>
        </w:rPr>
        <w:t xml:space="preserve"> occupational histories;</w:t>
      </w:r>
    </w:p>
    <w:p w14:paraId="0187AD50" w14:textId="77777777" w:rsidR="003743D3" w:rsidRPr="00A97E32" w:rsidRDefault="003743D3" w:rsidP="00655389">
      <w:pPr>
        <w:pStyle w:val="ListParagraph"/>
        <w:numPr>
          <w:ilvl w:val="0"/>
          <w:numId w:val="3"/>
        </w:numPr>
        <w:rPr>
          <w:spacing w:val="-4"/>
        </w:rPr>
      </w:pPr>
      <w:r w:rsidRPr="00A97E32">
        <w:rPr>
          <w:spacing w:val="-4"/>
        </w:rPr>
        <w:t xml:space="preserve">Environmental information pertaining to the municipal drinking water system, including data on groundwater and the Olin </w:t>
      </w:r>
      <w:r w:rsidR="007C00A4" w:rsidRPr="00A97E32">
        <w:rPr>
          <w:spacing w:val="-4"/>
        </w:rPr>
        <w:t xml:space="preserve">Chemical </w:t>
      </w:r>
      <w:r w:rsidRPr="00A97E32">
        <w:rPr>
          <w:spacing w:val="-4"/>
        </w:rPr>
        <w:t>site</w:t>
      </w:r>
      <w:r w:rsidR="00A063FD" w:rsidRPr="00A97E32">
        <w:rPr>
          <w:spacing w:val="-4"/>
        </w:rPr>
        <w:t>,</w:t>
      </w:r>
      <w:r w:rsidRPr="00A97E32">
        <w:rPr>
          <w:spacing w:val="-4"/>
        </w:rPr>
        <w:t xml:space="preserve"> was reviewed with the </w:t>
      </w:r>
      <w:r w:rsidR="00EF0735" w:rsidRPr="00A97E32">
        <w:rPr>
          <w:spacing w:val="-4"/>
        </w:rPr>
        <w:t>US</w:t>
      </w:r>
      <w:r w:rsidRPr="00A97E32">
        <w:rPr>
          <w:spacing w:val="-4"/>
        </w:rPr>
        <w:t xml:space="preserve"> </w:t>
      </w:r>
      <w:r w:rsidR="00B443D4" w:rsidRPr="00A97E32">
        <w:rPr>
          <w:spacing w:val="-4"/>
        </w:rPr>
        <w:t>EPA</w:t>
      </w:r>
      <w:r w:rsidRPr="00A97E32">
        <w:rPr>
          <w:spacing w:val="-4"/>
        </w:rPr>
        <w:t>, the Massachusetts Department of Environmental Protection</w:t>
      </w:r>
      <w:r w:rsidR="00B443D4" w:rsidRPr="00A97E32">
        <w:rPr>
          <w:spacing w:val="-4"/>
        </w:rPr>
        <w:t xml:space="preserve"> (MA DEP)</w:t>
      </w:r>
      <w:r w:rsidRPr="00A97E32">
        <w:rPr>
          <w:spacing w:val="-4"/>
        </w:rPr>
        <w:t xml:space="preserve">, and the Wilmington Water </w:t>
      </w:r>
      <w:r w:rsidR="00FA1A63" w:rsidRPr="00A97E32">
        <w:rPr>
          <w:spacing w:val="-4"/>
        </w:rPr>
        <w:t>and Sewer Division to</w:t>
      </w:r>
      <w:r w:rsidRPr="00A97E32">
        <w:rPr>
          <w:spacing w:val="-4"/>
        </w:rPr>
        <w:t xml:space="preserve"> ensure that the most up-to-date data w</w:t>
      </w:r>
      <w:r w:rsidR="00A063FD" w:rsidRPr="00A97E32">
        <w:rPr>
          <w:spacing w:val="-4"/>
        </w:rPr>
        <w:t>ere</w:t>
      </w:r>
      <w:r w:rsidRPr="00A97E32">
        <w:rPr>
          <w:spacing w:val="-4"/>
        </w:rPr>
        <w:t xml:space="preserve"> incorporated into the </w:t>
      </w:r>
      <w:r w:rsidR="00814C8F" w:rsidRPr="00A97E32">
        <w:rPr>
          <w:spacing w:val="-4"/>
        </w:rPr>
        <w:t>groundwater and water distribution system models</w:t>
      </w:r>
      <w:r w:rsidRPr="00A97E32">
        <w:rPr>
          <w:spacing w:val="-4"/>
        </w:rPr>
        <w:t xml:space="preserve">; </w:t>
      </w:r>
    </w:p>
    <w:p w14:paraId="4D1094B4" w14:textId="541083E1" w:rsidR="00E27470" w:rsidRPr="00A97E32" w:rsidRDefault="00D422E6" w:rsidP="00655389">
      <w:pPr>
        <w:pStyle w:val="ListParagraph"/>
        <w:numPr>
          <w:ilvl w:val="0"/>
          <w:numId w:val="3"/>
        </w:numPr>
        <w:rPr>
          <w:spacing w:val="-4"/>
        </w:rPr>
      </w:pPr>
      <w:r w:rsidRPr="00A97E32">
        <w:rPr>
          <w:spacing w:val="-4"/>
        </w:rPr>
        <w:t>The potential for exposure to NDMA was estimated by</w:t>
      </w:r>
      <w:r w:rsidR="00F81E7C" w:rsidRPr="00A97E32">
        <w:rPr>
          <w:spacing w:val="-4"/>
        </w:rPr>
        <w:t xml:space="preserve">: </w:t>
      </w:r>
      <w:r w:rsidRPr="00A97E32">
        <w:rPr>
          <w:spacing w:val="-4"/>
        </w:rPr>
        <w:t xml:space="preserve"> </w:t>
      </w:r>
      <w:r w:rsidR="00662747" w:rsidRPr="00A97E32">
        <w:rPr>
          <w:spacing w:val="-4"/>
        </w:rPr>
        <w:t>(a</w:t>
      </w:r>
      <w:r w:rsidR="00672AB0" w:rsidRPr="00A97E32">
        <w:rPr>
          <w:spacing w:val="-4"/>
        </w:rPr>
        <w:t>) Developing</w:t>
      </w:r>
      <w:r w:rsidR="00F81E7C" w:rsidRPr="00A97E32">
        <w:rPr>
          <w:spacing w:val="-4"/>
        </w:rPr>
        <w:t xml:space="preserve"> a groundwater</w:t>
      </w:r>
      <w:r w:rsidR="00E45343" w:rsidRPr="00A97E32">
        <w:rPr>
          <w:spacing w:val="-4"/>
        </w:rPr>
        <w:t xml:space="preserve"> flow and contaminant fate and</w:t>
      </w:r>
      <w:r w:rsidR="00F81E7C" w:rsidRPr="00A97E32">
        <w:rPr>
          <w:spacing w:val="-4"/>
        </w:rPr>
        <w:t xml:space="preserve"> transport model to d</w:t>
      </w:r>
      <w:r w:rsidRPr="00A97E32">
        <w:rPr>
          <w:spacing w:val="-4"/>
        </w:rPr>
        <w:t>etermin</w:t>
      </w:r>
      <w:r w:rsidR="00672AB0" w:rsidRPr="00A97E32">
        <w:rPr>
          <w:spacing w:val="-4"/>
        </w:rPr>
        <w:t>e</w:t>
      </w:r>
      <w:r w:rsidR="00662747" w:rsidRPr="00A97E32">
        <w:rPr>
          <w:spacing w:val="-4"/>
        </w:rPr>
        <w:t xml:space="preserve"> when and at what concentration NDMA would be transported </w:t>
      </w:r>
      <w:r w:rsidR="00A24EB8" w:rsidRPr="00A97E32">
        <w:rPr>
          <w:spacing w:val="-4"/>
        </w:rPr>
        <w:t xml:space="preserve">through groundwater </w:t>
      </w:r>
      <w:r w:rsidR="00662747" w:rsidRPr="00A97E32">
        <w:rPr>
          <w:spacing w:val="-4"/>
        </w:rPr>
        <w:t>to municipal drinking water wells</w:t>
      </w:r>
      <w:r w:rsidR="00F81E7C" w:rsidRPr="00A97E32">
        <w:rPr>
          <w:spacing w:val="-4"/>
        </w:rPr>
        <w:t xml:space="preserve"> </w:t>
      </w:r>
      <w:r w:rsidR="00662747" w:rsidRPr="00A97E32">
        <w:rPr>
          <w:spacing w:val="-4"/>
        </w:rPr>
        <w:t>and (b</w:t>
      </w:r>
      <w:r w:rsidR="00672AB0" w:rsidRPr="00A97E32">
        <w:rPr>
          <w:spacing w:val="-4"/>
        </w:rPr>
        <w:t>) Developing</w:t>
      </w:r>
      <w:r w:rsidR="00F81E7C" w:rsidRPr="00A97E32">
        <w:rPr>
          <w:spacing w:val="-4"/>
        </w:rPr>
        <w:t xml:space="preserve"> a drinking water distribution system model to e</w:t>
      </w:r>
      <w:r w:rsidR="00662747" w:rsidRPr="00A97E32">
        <w:rPr>
          <w:spacing w:val="-4"/>
        </w:rPr>
        <w:t>stimat</w:t>
      </w:r>
      <w:r w:rsidR="00F81E7C" w:rsidRPr="00A97E32">
        <w:rPr>
          <w:spacing w:val="-4"/>
        </w:rPr>
        <w:t>e</w:t>
      </w:r>
      <w:r w:rsidR="00662747" w:rsidRPr="00A97E32">
        <w:rPr>
          <w:spacing w:val="-4"/>
        </w:rPr>
        <w:t xml:space="preserve"> average monthly </w:t>
      </w:r>
      <w:r w:rsidR="00672AB0" w:rsidRPr="00A97E32">
        <w:rPr>
          <w:spacing w:val="-4"/>
        </w:rPr>
        <w:t>concentrations of NDMA at</w:t>
      </w:r>
      <w:r w:rsidR="00662747" w:rsidRPr="00A97E32">
        <w:rPr>
          <w:spacing w:val="-4"/>
        </w:rPr>
        <w:t xml:space="preserve"> each residence on public water </w:t>
      </w:r>
      <w:r w:rsidR="00535F1D" w:rsidRPr="00A97E32">
        <w:rPr>
          <w:spacing w:val="-4"/>
        </w:rPr>
        <w:t>for each month between 1974 and 2000</w:t>
      </w:r>
      <w:r w:rsidR="006F1742" w:rsidRPr="00A97E32">
        <w:rPr>
          <w:spacing w:val="-4"/>
        </w:rPr>
        <w:t>;</w:t>
      </w:r>
    </w:p>
    <w:p w14:paraId="1025918A" w14:textId="0484D60A" w:rsidR="00D422E6" w:rsidRPr="00A97E32" w:rsidRDefault="00E27470" w:rsidP="00655389">
      <w:pPr>
        <w:pStyle w:val="ListParagraph"/>
        <w:numPr>
          <w:ilvl w:val="0"/>
          <w:numId w:val="3"/>
        </w:numPr>
        <w:rPr>
          <w:spacing w:val="-4"/>
        </w:rPr>
      </w:pPr>
      <w:r w:rsidRPr="00A97E32">
        <w:rPr>
          <w:spacing w:val="-4"/>
        </w:rPr>
        <w:t>The potential for exposure to TCE was established by estimating average monthly concentrations of TCE for each residence on public water</w:t>
      </w:r>
      <w:r w:rsidR="006F1742" w:rsidRPr="00A97E32">
        <w:rPr>
          <w:spacing w:val="-4"/>
        </w:rPr>
        <w:t xml:space="preserve"> for each </w:t>
      </w:r>
      <w:r w:rsidRPr="00A97E32">
        <w:rPr>
          <w:spacing w:val="-4"/>
        </w:rPr>
        <w:t xml:space="preserve">month between 1981 and 2000 utilizing historical </w:t>
      </w:r>
      <w:r w:rsidR="000777C2" w:rsidRPr="00A97E32">
        <w:rPr>
          <w:spacing w:val="-4"/>
        </w:rPr>
        <w:t xml:space="preserve">drinking </w:t>
      </w:r>
      <w:r w:rsidRPr="00A97E32">
        <w:rPr>
          <w:spacing w:val="-4"/>
        </w:rPr>
        <w:t xml:space="preserve">water </w:t>
      </w:r>
      <w:r w:rsidR="000777C2" w:rsidRPr="00A97E32">
        <w:rPr>
          <w:spacing w:val="-4"/>
        </w:rPr>
        <w:t xml:space="preserve">distribution </w:t>
      </w:r>
      <w:r w:rsidRPr="00A97E32">
        <w:rPr>
          <w:spacing w:val="-4"/>
        </w:rPr>
        <w:t xml:space="preserve">system sampling data and </w:t>
      </w:r>
      <w:r w:rsidR="006F1742" w:rsidRPr="00A97E32">
        <w:rPr>
          <w:spacing w:val="-4"/>
        </w:rPr>
        <w:t>the drinking water distribution system model;</w:t>
      </w:r>
      <w:r w:rsidR="00662747" w:rsidRPr="00A97E32">
        <w:rPr>
          <w:spacing w:val="-4"/>
        </w:rPr>
        <w:t xml:space="preserve"> </w:t>
      </w:r>
    </w:p>
    <w:p w14:paraId="0C4D1967" w14:textId="77777777" w:rsidR="005C46ED" w:rsidRPr="00A97E32" w:rsidRDefault="00890805" w:rsidP="00655389">
      <w:pPr>
        <w:pStyle w:val="ListParagraph"/>
        <w:numPr>
          <w:ilvl w:val="0"/>
          <w:numId w:val="3"/>
        </w:numPr>
        <w:rPr>
          <w:spacing w:val="-4"/>
        </w:rPr>
      </w:pPr>
      <w:r w:rsidRPr="00A97E32">
        <w:rPr>
          <w:spacing w:val="-4"/>
        </w:rPr>
        <w:t xml:space="preserve">Associations between </w:t>
      </w:r>
      <w:r w:rsidR="00A3198F" w:rsidRPr="00A97E32">
        <w:rPr>
          <w:spacing w:val="-4"/>
        </w:rPr>
        <w:t xml:space="preserve">the </w:t>
      </w:r>
      <w:r w:rsidR="00B00155" w:rsidRPr="00A97E32">
        <w:rPr>
          <w:spacing w:val="-4"/>
        </w:rPr>
        <w:t>probability</w:t>
      </w:r>
      <w:r w:rsidR="00A3198F" w:rsidRPr="00A97E32">
        <w:rPr>
          <w:spacing w:val="-4"/>
        </w:rPr>
        <w:t xml:space="preserve"> of </w:t>
      </w:r>
      <w:r w:rsidR="00B00155" w:rsidRPr="00A97E32">
        <w:rPr>
          <w:spacing w:val="-4"/>
        </w:rPr>
        <w:t xml:space="preserve">being diagnosed with </w:t>
      </w:r>
      <w:r w:rsidRPr="00A97E32">
        <w:rPr>
          <w:spacing w:val="-4"/>
        </w:rPr>
        <w:t xml:space="preserve">childhood cancer and </w:t>
      </w:r>
      <w:r w:rsidR="00A3198F" w:rsidRPr="00A97E32">
        <w:rPr>
          <w:spacing w:val="-4"/>
        </w:rPr>
        <w:t>risk factors such as</w:t>
      </w:r>
      <w:r w:rsidRPr="00A97E32">
        <w:rPr>
          <w:spacing w:val="-4"/>
        </w:rPr>
        <w:t xml:space="preserve"> maternal smoking </w:t>
      </w:r>
      <w:r w:rsidR="006F1742" w:rsidRPr="00A97E32">
        <w:rPr>
          <w:spacing w:val="-4"/>
        </w:rPr>
        <w:t xml:space="preserve">and </w:t>
      </w:r>
      <w:r w:rsidRPr="00A97E32">
        <w:rPr>
          <w:spacing w:val="-4"/>
        </w:rPr>
        <w:t xml:space="preserve">medical radiation were estimated using univariate </w:t>
      </w:r>
      <w:r w:rsidR="00A3198F" w:rsidRPr="00A97E32">
        <w:rPr>
          <w:spacing w:val="-4"/>
        </w:rPr>
        <w:t>statistical methods</w:t>
      </w:r>
      <w:r w:rsidRPr="00A97E32">
        <w:rPr>
          <w:spacing w:val="-4"/>
        </w:rPr>
        <w:t>.</w:t>
      </w:r>
    </w:p>
    <w:p w14:paraId="04D435BA" w14:textId="77777777" w:rsidR="003743D3" w:rsidRPr="00A97E32" w:rsidRDefault="00F74825" w:rsidP="00655389">
      <w:pPr>
        <w:pStyle w:val="ListParagraph"/>
        <w:numPr>
          <w:ilvl w:val="0"/>
          <w:numId w:val="3"/>
        </w:numPr>
        <w:rPr>
          <w:spacing w:val="-4"/>
        </w:rPr>
      </w:pPr>
      <w:r w:rsidRPr="00A97E32">
        <w:rPr>
          <w:spacing w:val="-4"/>
        </w:rPr>
        <w:t>Associations between the</w:t>
      </w:r>
      <w:r w:rsidR="00B00155" w:rsidRPr="00A97E32">
        <w:rPr>
          <w:spacing w:val="-4"/>
        </w:rPr>
        <w:t xml:space="preserve"> probability</w:t>
      </w:r>
      <w:r w:rsidRPr="00A97E32">
        <w:rPr>
          <w:spacing w:val="-4"/>
        </w:rPr>
        <w:t xml:space="preserve"> of </w:t>
      </w:r>
      <w:r w:rsidR="00B00155" w:rsidRPr="00A97E32">
        <w:rPr>
          <w:spacing w:val="-4"/>
        </w:rPr>
        <w:t xml:space="preserve">being diagnosed with </w:t>
      </w:r>
      <w:r w:rsidRPr="00A97E32">
        <w:rPr>
          <w:spacing w:val="-4"/>
        </w:rPr>
        <w:t xml:space="preserve">childhood cancer and estimated concentrations of </w:t>
      </w:r>
      <w:r w:rsidR="009B4585" w:rsidRPr="00A97E32">
        <w:rPr>
          <w:spacing w:val="-4"/>
        </w:rPr>
        <w:t xml:space="preserve">NDMA </w:t>
      </w:r>
      <w:r w:rsidR="006F1742" w:rsidRPr="00A97E32">
        <w:rPr>
          <w:spacing w:val="-4"/>
        </w:rPr>
        <w:t xml:space="preserve">and TCE </w:t>
      </w:r>
      <w:r w:rsidRPr="00A97E32">
        <w:rPr>
          <w:spacing w:val="-4"/>
        </w:rPr>
        <w:t xml:space="preserve">in residential drinking water were </w:t>
      </w:r>
      <w:r w:rsidR="003743D3" w:rsidRPr="00A97E32">
        <w:rPr>
          <w:spacing w:val="-4"/>
        </w:rPr>
        <w:t>analyzed using univariate and multivariate statistical analyses</w:t>
      </w:r>
      <w:r w:rsidR="006F1742" w:rsidRPr="00A97E32">
        <w:rPr>
          <w:spacing w:val="-4"/>
        </w:rPr>
        <w:t xml:space="preserve"> </w:t>
      </w:r>
      <w:r w:rsidR="00E679C2" w:rsidRPr="00A97E32">
        <w:rPr>
          <w:spacing w:val="-4"/>
        </w:rPr>
        <w:t xml:space="preserve">taking into consideration </w:t>
      </w:r>
      <w:r w:rsidR="005C46ED" w:rsidRPr="00A97E32">
        <w:rPr>
          <w:spacing w:val="-4"/>
        </w:rPr>
        <w:t xml:space="preserve">the effects of </w:t>
      </w:r>
      <w:r w:rsidR="00E679C2" w:rsidRPr="00A97E32">
        <w:rPr>
          <w:spacing w:val="-4"/>
        </w:rPr>
        <w:t xml:space="preserve">possible confounding </w:t>
      </w:r>
      <w:r w:rsidR="003D59DE" w:rsidRPr="00A97E32">
        <w:rPr>
          <w:spacing w:val="-4"/>
        </w:rPr>
        <w:t>factors</w:t>
      </w:r>
      <w:r w:rsidR="00716072" w:rsidRPr="00A97E32">
        <w:rPr>
          <w:spacing w:val="-4"/>
        </w:rPr>
        <w:t xml:space="preserve">. </w:t>
      </w:r>
      <w:bookmarkStart w:id="32" w:name="_Toc510933125"/>
      <w:bookmarkStart w:id="33" w:name="_Toc3169662"/>
    </w:p>
    <w:p w14:paraId="4EDC7629" w14:textId="77777777" w:rsidR="00273FCA" w:rsidRDefault="00273FCA" w:rsidP="003477EB">
      <w:pPr>
        <w:pStyle w:val="Heading1"/>
        <w:sectPr w:rsidR="00273FCA" w:rsidSect="007110BC">
          <w:footerReference w:type="default" r:id="rId21"/>
          <w:pgSz w:w="12240" w:h="15840"/>
          <w:pgMar w:top="1440" w:right="1440" w:bottom="1440" w:left="1440" w:header="720" w:footer="720" w:gutter="0"/>
          <w:pgNumType w:chapStyle="1"/>
          <w:cols w:space="720"/>
          <w:docGrid w:linePitch="360"/>
        </w:sectPr>
      </w:pPr>
    </w:p>
    <w:p w14:paraId="5C1DC19D" w14:textId="74E9F803" w:rsidR="003743D3" w:rsidRDefault="003743D3" w:rsidP="003477EB">
      <w:pPr>
        <w:pStyle w:val="Heading1"/>
      </w:pPr>
      <w:bookmarkStart w:id="34" w:name="_Toc67488268"/>
      <w:r w:rsidRPr="004973CB">
        <w:lastRenderedPageBreak/>
        <w:t>BACKGROUND</w:t>
      </w:r>
      <w:bookmarkStart w:id="35" w:name="_Toc365640902"/>
      <w:bookmarkEnd w:id="32"/>
      <w:bookmarkEnd w:id="33"/>
      <w:bookmarkEnd w:id="34"/>
    </w:p>
    <w:p w14:paraId="383DEE14" w14:textId="1C8A45BB" w:rsidR="0003030A" w:rsidRPr="00B2467A" w:rsidRDefault="0003030A" w:rsidP="009B5DA2">
      <w:pPr>
        <w:pStyle w:val="Heading2"/>
      </w:pPr>
      <w:bookmarkStart w:id="36" w:name="_Toc45612621"/>
      <w:bookmarkStart w:id="37" w:name="_Toc67488269"/>
      <w:r w:rsidRPr="00B2467A">
        <w:t>OVERVIEW AND STUDY TIMELINE</w:t>
      </w:r>
      <w:bookmarkEnd w:id="36"/>
      <w:bookmarkEnd w:id="37"/>
    </w:p>
    <w:bookmarkEnd w:id="35"/>
    <w:p w14:paraId="7C9981D8" w14:textId="3DEAE2AF" w:rsidR="001A0C61" w:rsidRPr="00980275" w:rsidRDefault="003743D3" w:rsidP="00655389">
      <w:r w:rsidRPr="00980275">
        <w:t>The town of Wilmington, Massachusetts is located approximately 17 miles northwest of Boston</w:t>
      </w:r>
      <w:r w:rsidR="00716072" w:rsidRPr="00980275">
        <w:t xml:space="preserve">. </w:t>
      </w:r>
      <w:r w:rsidRPr="00980275">
        <w:t xml:space="preserve">Its population </w:t>
      </w:r>
      <w:r w:rsidR="00102556" w:rsidRPr="00980275">
        <w:t xml:space="preserve">in 1970, near the beginning of the study period, was 17,102; by 2000, the population had grown modestly to </w:t>
      </w:r>
      <w:r w:rsidRPr="00980275">
        <w:t>21,363</w:t>
      </w:r>
      <w:r w:rsidR="00BE5441" w:rsidRPr="00980275">
        <w:t xml:space="preserve"> </w:t>
      </w:r>
      <w:r w:rsidR="00102556" w:rsidRPr="00980275">
        <w:t>(</w:t>
      </w:r>
      <w:r w:rsidR="00EF0735" w:rsidRPr="00980275">
        <w:t>US</w:t>
      </w:r>
      <w:r w:rsidRPr="00980275">
        <w:t xml:space="preserve"> Census</w:t>
      </w:r>
      <w:r w:rsidR="00102556" w:rsidRPr="00980275">
        <w:t xml:space="preserve"> 197</w:t>
      </w:r>
      <w:r w:rsidR="00900F54" w:rsidRPr="00980275">
        <w:t>3</w:t>
      </w:r>
      <w:r w:rsidR="00ED461D" w:rsidRPr="00980275">
        <w:t xml:space="preserve">; </w:t>
      </w:r>
      <w:r w:rsidR="00EF0735" w:rsidRPr="00980275">
        <w:t>US</w:t>
      </w:r>
      <w:r w:rsidR="00ED461D" w:rsidRPr="00980275">
        <w:t xml:space="preserve"> Census 2002</w:t>
      </w:r>
      <w:r w:rsidR="00102556" w:rsidRPr="00980275">
        <w:t>)</w:t>
      </w:r>
      <w:r w:rsidR="00716072" w:rsidRPr="00980275">
        <w:t xml:space="preserve">. </w:t>
      </w:r>
      <w:r w:rsidR="00102556" w:rsidRPr="00980275">
        <w:t xml:space="preserve">The percent </w:t>
      </w:r>
      <w:r w:rsidRPr="00980275">
        <w:t xml:space="preserve">of the population </w:t>
      </w:r>
      <w:r w:rsidR="00102556" w:rsidRPr="00980275">
        <w:t xml:space="preserve">that </w:t>
      </w:r>
      <w:r w:rsidRPr="00980275">
        <w:t>was 19 years old or younger</w:t>
      </w:r>
      <w:r w:rsidR="00102556" w:rsidRPr="00980275">
        <w:t xml:space="preserve"> was 46% in 1970 and 29% in 2000 (</w:t>
      </w:r>
      <w:r w:rsidR="00EF0735" w:rsidRPr="00980275">
        <w:t>US</w:t>
      </w:r>
      <w:r w:rsidR="00102556" w:rsidRPr="00980275">
        <w:t xml:space="preserve"> Census 197</w:t>
      </w:r>
      <w:r w:rsidR="00900F54" w:rsidRPr="00980275">
        <w:t>3</w:t>
      </w:r>
      <w:r w:rsidR="00ED461D" w:rsidRPr="00980275">
        <w:t xml:space="preserve">; </w:t>
      </w:r>
      <w:r w:rsidR="00EF0735" w:rsidRPr="00980275">
        <w:t>US</w:t>
      </w:r>
      <w:r w:rsidR="00ED461D" w:rsidRPr="00980275">
        <w:t xml:space="preserve"> Census 2002</w:t>
      </w:r>
      <w:r w:rsidR="001A0C61" w:rsidRPr="00980275">
        <w:t>). Wilmington is a suburban community with a mix of residential neighborhoods, commercial districts, and industrial parks. In 1971 and 1999, residential land use made up about 27% and 35% of the town, respectively, whereas commercial/industrial land use made up about 6% and 11% of the town (</w:t>
      </w:r>
      <w:proofErr w:type="spellStart"/>
      <w:r w:rsidR="001A0C61" w:rsidRPr="00980275">
        <w:t>MassGIS</w:t>
      </w:r>
      <w:proofErr w:type="spellEnd"/>
      <w:r w:rsidR="001A0C61" w:rsidRPr="00980275">
        <w:t xml:space="preserve"> 2003). At least 95% of residences received drinking water from the Wilmington public water system throughout the study period (US Census 1972). </w:t>
      </w:r>
    </w:p>
    <w:p w14:paraId="28172532" w14:textId="50BFFA3C" w:rsidR="006073BD" w:rsidRPr="00D3755D" w:rsidRDefault="002E1BA5" w:rsidP="007553EF">
      <w:r w:rsidRPr="00B54AEF">
        <w:rPr>
          <w:rStyle w:val="Hyperlink"/>
          <w:noProof/>
          <w:color w:val="auto"/>
          <w:u w:val="none"/>
        </w:rPr>
        <mc:AlternateContent>
          <mc:Choice Requires="wps">
            <w:drawing>
              <wp:anchor distT="0" distB="0" distL="114300" distR="114300" simplePos="0" relativeHeight="251651072" behindDoc="0" locked="0" layoutInCell="1" allowOverlap="1" wp14:anchorId="4714B736" wp14:editId="7177B3C3">
                <wp:simplePos x="0" y="0"/>
                <wp:positionH relativeFrom="margin">
                  <wp:align>right</wp:align>
                </wp:positionH>
                <wp:positionV relativeFrom="margin">
                  <wp:posOffset>4000234</wp:posOffset>
                </wp:positionV>
                <wp:extent cx="2654300" cy="3738880"/>
                <wp:effectExtent l="0" t="0" r="12700" b="139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738880"/>
                        </a:xfrm>
                        <a:prstGeom prst="rect">
                          <a:avLst/>
                        </a:prstGeom>
                        <a:solidFill>
                          <a:schemeClr val="accent1">
                            <a:lumMod val="20000"/>
                            <a:lumOff val="80000"/>
                          </a:schemeClr>
                        </a:solidFill>
                        <a:ln w="9525">
                          <a:solidFill>
                            <a:srgbClr val="000000"/>
                          </a:solidFill>
                          <a:miter lim="800000"/>
                          <a:headEnd/>
                          <a:tailEnd/>
                        </a:ln>
                      </wps:spPr>
                      <wps:txbx>
                        <w:txbxContent>
                          <w:p w14:paraId="30EE3B70" w14:textId="74D60FBA" w:rsidR="00C2588D" w:rsidRPr="007553EF" w:rsidRDefault="00C2588D" w:rsidP="00EF3268">
                            <w:pPr>
                              <w:pStyle w:val="Subtitle"/>
                              <w:spacing w:after="120"/>
                              <w:rPr>
                                <w:b/>
                                <w:i w:val="0"/>
                              </w:rPr>
                            </w:pPr>
                            <w:r w:rsidRPr="007553EF">
                              <w:rPr>
                                <w:b/>
                                <w:i w:val="0"/>
                              </w:rPr>
                              <w:t>Standardized Incidence Ratio (SIR)</w:t>
                            </w:r>
                          </w:p>
                          <w:p w14:paraId="122579A8" w14:textId="3E6B004B" w:rsidR="00C2588D" w:rsidRPr="007553EF" w:rsidRDefault="00C2588D" w:rsidP="00845962">
                            <w:pPr>
                              <w:spacing w:line="240" w:lineRule="auto"/>
                              <w:rPr>
                                <w:rFonts w:asciiTheme="majorHAnsi" w:hAnsiTheme="majorHAnsi"/>
                                <w:spacing w:val="-4"/>
                                <w:sz w:val="22"/>
                                <w:szCs w:val="22"/>
                              </w:rPr>
                            </w:pPr>
                            <w:r w:rsidRPr="007553EF">
                              <w:rPr>
                                <w:rFonts w:asciiTheme="majorHAnsi" w:hAnsiTheme="majorHAnsi"/>
                                <w:spacing w:val="-4"/>
                                <w:sz w:val="22"/>
                                <w:szCs w:val="22"/>
                              </w:rPr>
                              <w:t xml:space="preserve">An SIR demonstrates whether the number of observed cancer cases in a particular geographic area is higher or lower than expected, based on the statewide experience and given the population and age distribution for that community. An SIR greater than 100 indicates that more cancer diagnoses occurred than were expected. Confidence intervals and statistical significance are also typically evaluated to help understand the statistical precision of an SIR. A confidence interval that includes 100 indicates that the difference between observed and expected numbers of cases is not statistically significant and may be due to chance. When fewer than five diagnoses are present, the SIR is not statistically reliable and is, therefore, not calculated.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4B736" id="_x0000_s1029" type="#_x0000_t202" style="position:absolute;margin-left:157.8pt;margin-top:315pt;width:209pt;height:294.4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" fillcolor="#dbe5f1 [660]">
                <v:textbox>
                  <w:txbxContent>
                    <w:p w14:paraId="30EE3B70" w14:textId="74D60FBA" w:rsidR="00C2588D" w:rsidRPr="007553EF" w:rsidRDefault="00C2588D" w:rsidP="00EF3268">
                      <w:pPr>
                        <w:pStyle w:val="Subtitle"/>
                        <w:spacing w:after="120"/>
                        <w:rPr>
                          <w:b/>
                          <w:i w:val="0"/>
                        </w:rPr>
                      </w:pPr>
                      <w:r w:rsidRPr="007553EF">
                        <w:rPr>
                          <w:b/>
                          <w:i w:val="0"/>
                        </w:rPr>
                        <w:t>Standardized Incidence Ratio (SIR)</w:t>
                      </w:r>
                    </w:p>
                    <w:p w14:paraId="122579A8" w14:textId="3E6B004B" w:rsidR="00C2588D" w:rsidRPr="007553EF" w:rsidRDefault="00C2588D" w:rsidP="00845962">
                      <w:pPr>
                        <w:spacing w:line="240" w:lineRule="auto"/>
                        <w:rPr>
                          <w:rFonts w:asciiTheme="majorHAnsi" w:hAnsiTheme="majorHAnsi"/>
                          <w:spacing w:val="-4"/>
                          <w:sz w:val="22"/>
                          <w:szCs w:val="22"/>
                        </w:rPr>
                      </w:pPr>
                      <w:r w:rsidRPr="007553EF">
                        <w:rPr>
                          <w:rFonts w:asciiTheme="majorHAnsi" w:hAnsiTheme="majorHAnsi"/>
                          <w:spacing w:val="-4"/>
                          <w:sz w:val="22"/>
                          <w:szCs w:val="22"/>
                        </w:rPr>
                        <w:t xml:space="preserve">An SIR demonstrates whether the number of observed cancer cases in a particular geographic area is higher or lower than expected, based on the statewide experience and given the population and age distribution for that community. An SIR greater than 100 indicates that more cancer diagnoses occurred than were expected. Confidence intervals and statistical significance are also typically evaluated to help understand the statistical precision of an SIR. A confidence interval that includes 100 indicates that the difference between observed and expected numbers of cases is not statistically significant and may be due to chance. When fewer than five diagnoses are present, the SIR is not statistically reliable and is, therefore, not calculated. </w:t>
                      </w:r>
                    </w:p>
                  </w:txbxContent>
                </v:textbox>
                <w10:wrap type="square" anchorx="margin" anchory="margin"/>
              </v:shape>
            </w:pict>
          </mc:Fallback>
        </mc:AlternateContent>
      </w:r>
      <w:r w:rsidR="00643A31" w:rsidRPr="00D3755D">
        <w:fldChar w:fldCharType="begin"/>
      </w:r>
      <w:r w:rsidR="00643A31" w:rsidRPr="00D3755D">
        <w:instrText xml:space="preserve"> REF  Figure1 \h </w:instrText>
      </w:r>
      <w:r w:rsidR="00D3755D">
        <w:instrText xml:space="preserve"> \* MERGEFORMAT </w:instrText>
      </w:r>
      <w:r w:rsidR="00643A31" w:rsidRPr="00D3755D">
        <w:fldChar w:fldCharType="separate"/>
      </w:r>
      <w:r w:rsidR="00977423" w:rsidRPr="00E43A72">
        <w:t xml:space="preserve">Figure </w:t>
      </w:r>
      <w:r w:rsidR="00977423">
        <w:rPr>
          <w:noProof/>
        </w:rPr>
        <w:t>1</w:t>
      </w:r>
      <w:r w:rsidR="00643A31" w:rsidRPr="00D3755D">
        <w:fldChar w:fldCharType="end"/>
      </w:r>
      <w:r w:rsidR="003743D3" w:rsidRPr="00D3755D">
        <w:t xml:space="preserve"> shows the location of Wilmington within Massachusetts and the town census tract boundaries</w:t>
      </w:r>
      <w:r w:rsidR="00716072" w:rsidRPr="00D3755D">
        <w:t xml:space="preserve">. </w:t>
      </w:r>
      <w:r w:rsidR="003743D3" w:rsidRPr="00D3755D">
        <w:t xml:space="preserve">Of specific interest </w:t>
      </w:r>
      <w:r w:rsidR="002F2CD9" w:rsidRPr="00D3755D">
        <w:t>are</w:t>
      </w:r>
      <w:r w:rsidR="003743D3" w:rsidRPr="00D3755D">
        <w:t xml:space="preserve"> the location</w:t>
      </w:r>
      <w:r w:rsidR="00B414AB" w:rsidRPr="00D3755D">
        <w:t>s</w:t>
      </w:r>
      <w:r w:rsidR="003743D3" w:rsidRPr="00D3755D">
        <w:t xml:space="preserve"> of the Olin</w:t>
      </w:r>
      <w:r w:rsidR="007C00A4" w:rsidRPr="00D3755D">
        <w:t xml:space="preserve"> Chemical</w:t>
      </w:r>
      <w:r w:rsidR="003743D3" w:rsidRPr="00D3755D">
        <w:t xml:space="preserve"> site and</w:t>
      </w:r>
      <w:r w:rsidR="00DB67A3" w:rsidRPr="00D3755D">
        <w:t xml:space="preserve"> </w:t>
      </w:r>
      <w:r w:rsidR="003743D3" w:rsidRPr="00D3755D">
        <w:t>the Kelly Hill neighborhood,</w:t>
      </w:r>
      <w:r w:rsidR="00A063FD" w:rsidRPr="00D3755D">
        <w:t xml:space="preserve"> both in census tract 3313 and</w:t>
      </w:r>
      <w:r w:rsidR="003743D3" w:rsidRPr="00D3755D">
        <w:t xml:space="preserve"> of particular focus in this investigation</w:t>
      </w:r>
      <w:r w:rsidR="00716072" w:rsidRPr="00D3755D">
        <w:t xml:space="preserve">. </w:t>
      </w:r>
    </w:p>
    <w:p w14:paraId="1AFAAE08" w14:textId="331607F6" w:rsidR="003743D3" w:rsidRPr="00980275" w:rsidRDefault="003743D3" w:rsidP="007553EF">
      <w:r w:rsidRPr="00980275">
        <w:t>In March of 1999, Wilmington residents, State Representative James Miceli, and the Wilmington Board of Health</w:t>
      </w:r>
      <w:r w:rsidR="009671F0" w:rsidRPr="00980275">
        <w:t xml:space="preserve"> (BOH)</w:t>
      </w:r>
      <w:r w:rsidRPr="00980275">
        <w:t xml:space="preserve"> each contacted the M</w:t>
      </w:r>
      <w:r w:rsidR="009671F0" w:rsidRPr="00980275">
        <w:t xml:space="preserve">assachusetts </w:t>
      </w:r>
      <w:r w:rsidRPr="00980275">
        <w:t>D</w:t>
      </w:r>
      <w:r w:rsidR="009671F0" w:rsidRPr="00980275">
        <w:t xml:space="preserve">epartment of </w:t>
      </w:r>
      <w:r w:rsidRPr="00980275">
        <w:t>P</w:t>
      </w:r>
      <w:r w:rsidR="009671F0" w:rsidRPr="00980275">
        <w:t xml:space="preserve">ublic </w:t>
      </w:r>
      <w:r w:rsidRPr="00980275">
        <w:t>H</w:t>
      </w:r>
      <w:r w:rsidR="009671F0" w:rsidRPr="00980275">
        <w:t>ealth (MDPH)</w:t>
      </w:r>
      <w:r w:rsidRPr="00980275">
        <w:t xml:space="preserve"> Bureau of Environmental Health (BEH) requesting an investigation of a suspected cluster of childhood cancer</w:t>
      </w:r>
      <w:r w:rsidR="008C5B14" w:rsidRPr="00980275">
        <w:t xml:space="preserve"> for </w:t>
      </w:r>
      <w:r w:rsidR="00B30CC6" w:rsidRPr="00980275">
        <w:t>a</w:t>
      </w:r>
      <w:r w:rsidR="008C5B14" w:rsidRPr="00980275">
        <w:t xml:space="preserve"> period beginning in 1990</w:t>
      </w:r>
      <w:r w:rsidR="009F204E" w:rsidRPr="00980275">
        <w:t xml:space="preserve"> (</w:t>
      </w:r>
      <w:r w:rsidR="00D15950" w:rsidRPr="00980275">
        <w:t>Wilmin</w:t>
      </w:r>
      <w:r w:rsidR="0079240F" w:rsidRPr="00980275">
        <w:t>g</w:t>
      </w:r>
      <w:r w:rsidR="00D15950" w:rsidRPr="00980275">
        <w:t xml:space="preserve">ton </w:t>
      </w:r>
      <w:r w:rsidR="003F04F9" w:rsidRPr="00980275">
        <w:t>BOH 199</w:t>
      </w:r>
      <w:r w:rsidR="00BE5441" w:rsidRPr="00980275">
        <w:t>9</w:t>
      </w:r>
      <w:r w:rsidR="009F204E" w:rsidRPr="00980275">
        <w:t>)</w:t>
      </w:r>
      <w:r w:rsidR="00716072" w:rsidRPr="00980275">
        <w:t xml:space="preserve">. </w:t>
      </w:r>
      <w:r w:rsidRPr="00980275">
        <w:t>Initial interest was in leukemia but concerns were also raised</w:t>
      </w:r>
      <w:r w:rsidR="00B56FC8" w:rsidRPr="00980275">
        <w:t xml:space="preserve"> about other childhood cancers including</w:t>
      </w:r>
      <w:r w:rsidRPr="00980275">
        <w:t xml:space="preserve"> bone cancer, brain cancer, and Hodgkin and Non-Hodgkin </w:t>
      </w:r>
      <w:r w:rsidR="00CA034D" w:rsidRPr="00980275">
        <w:t>l</w:t>
      </w:r>
      <w:r w:rsidRPr="00980275">
        <w:t>ymphoma</w:t>
      </w:r>
      <w:r w:rsidR="00716072" w:rsidRPr="00980275">
        <w:t xml:space="preserve">. </w:t>
      </w:r>
      <w:r w:rsidR="00555D2D" w:rsidRPr="00980275">
        <w:t>Residents reported t</w:t>
      </w:r>
      <w:r w:rsidRPr="00980275">
        <w:t>he</w:t>
      </w:r>
      <w:r w:rsidR="00B56FC8" w:rsidRPr="00980275">
        <w:t xml:space="preserve"> suspected</w:t>
      </w:r>
      <w:r w:rsidRPr="00980275">
        <w:t xml:space="preserve"> clustering of cases in the Kelly Hill neighborhood of census tract 3313 </w:t>
      </w:r>
      <w:r w:rsidR="00610F56">
        <w:fldChar w:fldCharType="begin"/>
      </w:r>
      <w:r w:rsidR="00610F56">
        <w:instrText xml:space="preserve"> REF  Figure1 \h </w:instrText>
      </w:r>
      <w:r w:rsidR="00D3755D">
        <w:instrText xml:space="preserve"> \* MERGEFORMAT </w:instrText>
      </w:r>
      <w:r w:rsidR="00610F56">
        <w:fldChar w:fldCharType="separate"/>
      </w:r>
      <w:r w:rsidR="00977423" w:rsidRPr="00E43A72">
        <w:t xml:space="preserve">Figure </w:t>
      </w:r>
      <w:r w:rsidR="00977423">
        <w:rPr>
          <w:noProof/>
        </w:rPr>
        <w:t>1</w:t>
      </w:r>
      <w:r w:rsidR="00610F56">
        <w:fldChar w:fldCharType="end"/>
      </w:r>
      <w:r w:rsidRPr="00980275">
        <w:t>)</w:t>
      </w:r>
      <w:r w:rsidR="00716072" w:rsidRPr="00980275">
        <w:t xml:space="preserve">. </w:t>
      </w:r>
      <w:r w:rsidR="00233600" w:rsidRPr="00980275">
        <w:t>MDPH, therefore, conducted a preliminary evaluation of childhood cancer incidence in Wilmington, MA (MDPH 2000)</w:t>
      </w:r>
      <w:r w:rsidR="00716072" w:rsidRPr="00980275">
        <w:t xml:space="preserve">. </w:t>
      </w:r>
    </w:p>
    <w:p w14:paraId="44E4B653" w14:textId="1143CC28" w:rsidR="00EA3A2B" w:rsidRDefault="001A0C61" w:rsidP="007553EF">
      <w:r w:rsidRPr="00980275">
        <w:lastRenderedPageBreak/>
        <w:t xml:space="preserve">The MDPH Massachusetts </w:t>
      </w:r>
      <w:r w:rsidR="003743D3" w:rsidRPr="00980275">
        <w:t xml:space="preserve">Cancer Registry (MCR) </w:t>
      </w:r>
      <w:r w:rsidR="00623C81" w:rsidRPr="00980275">
        <w:t xml:space="preserve">provided information on all </w:t>
      </w:r>
      <w:r w:rsidR="003743D3" w:rsidRPr="00980275">
        <w:t>cases of childhood cancer reported for Wilmington children</w:t>
      </w:r>
      <w:r w:rsidR="00623C81" w:rsidRPr="00980275">
        <w:t xml:space="preserve"> from 1987 through 1995, </w:t>
      </w:r>
      <w:r w:rsidR="003743D3" w:rsidRPr="00980275">
        <w:t xml:space="preserve">the </w:t>
      </w:r>
      <w:r w:rsidR="00623C81" w:rsidRPr="00980275">
        <w:t xml:space="preserve">latest year for which the </w:t>
      </w:r>
      <w:r w:rsidR="003743D3" w:rsidRPr="00980275">
        <w:t xml:space="preserve">MCR </w:t>
      </w:r>
      <w:r w:rsidR="002D6D0A" w:rsidRPr="00980275">
        <w:t>contained</w:t>
      </w:r>
      <w:r w:rsidR="003743D3" w:rsidRPr="00980275">
        <w:t xml:space="preserve"> complete data</w:t>
      </w:r>
      <w:r w:rsidR="00716072" w:rsidRPr="00980275">
        <w:t xml:space="preserve">. </w:t>
      </w:r>
      <w:r w:rsidR="00233600" w:rsidRPr="00980275">
        <w:t>Records at the time identified 11 Wilmington children (≤ 19 years old)</w:t>
      </w:r>
      <w:r w:rsidR="00233600" w:rsidRPr="006073BD">
        <w:t xml:space="preserve"> </w:t>
      </w:r>
      <w:r w:rsidR="00233600" w:rsidRPr="000576BA">
        <w:t xml:space="preserve">that had been diagnosed with some type of cancer during the </w:t>
      </w:r>
      <w:r w:rsidR="003743D3" w:rsidRPr="000576BA">
        <w:t>1987-1995</w:t>
      </w:r>
      <w:r w:rsidR="00233600" w:rsidRPr="000576BA">
        <w:t xml:space="preserve"> period and that</w:t>
      </w:r>
      <w:r w:rsidR="003743D3" w:rsidRPr="000576BA">
        <w:t xml:space="preserve"> </w:t>
      </w:r>
      <w:r w:rsidR="004F1347" w:rsidRPr="000576BA">
        <w:t>8</w:t>
      </w:r>
      <w:r w:rsidR="003743D3" w:rsidRPr="000576BA">
        <w:t xml:space="preserve"> </w:t>
      </w:r>
      <w:r w:rsidR="00233600" w:rsidRPr="000576BA">
        <w:t xml:space="preserve">of the cases were </w:t>
      </w:r>
      <w:r w:rsidR="003743D3" w:rsidRPr="000576BA">
        <w:t>male</w:t>
      </w:r>
      <w:r w:rsidR="00716072" w:rsidRPr="000576BA">
        <w:t xml:space="preserve">. </w:t>
      </w:r>
      <w:r w:rsidR="00582CB5" w:rsidRPr="000576BA">
        <w:t>The MCR</w:t>
      </w:r>
      <w:r w:rsidR="005B25CD" w:rsidRPr="000576BA">
        <w:t xml:space="preserve"> later found </w:t>
      </w:r>
      <w:r w:rsidR="00582CB5" w:rsidRPr="000576BA">
        <w:t xml:space="preserve">during routine quality control </w:t>
      </w:r>
      <w:r w:rsidR="003755EE" w:rsidRPr="000576BA">
        <w:t xml:space="preserve">activities </w:t>
      </w:r>
      <w:r w:rsidR="005B25CD" w:rsidRPr="000576BA">
        <w:t xml:space="preserve">that one female case was </w:t>
      </w:r>
      <w:r w:rsidR="00582CB5" w:rsidRPr="000576BA">
        <w:t>incorrectly included</w:t>
      </w:r>
      <w:r w:rsidR="005B25CD" w:rsidRPr="000576BA">
        <w:t xml:space="preserve"> so the correct case count for that time period was</w:t>
      </w:r>
      <w:r w:rsidR="002B6484" w:rsidRPr="000576BA">
        <w:t xml:space="preserve"> actually</w:t>
      </w:r>
      <w:r w:rsidR="005B25CD" w:rsidRPr="000576BA">
        <w:t xml:space="preserve"> 10</w:t>
      </w:r>
      <w:r w:rsidR="00716072" w:rsidRPr="000576BA">
        <w:t>.</w:t>
      </w:r>
      <w:r w:rsidR="00716072">
        <w:t xml:space="preserve"> </w:t>
      </w:r>
    </w:p>
    <w:p w14:paraId="6A91B4C8" w14:textId="028F7943" w:rsidR="00493414" w:rsidRDefault="00610F56" w:rsidP="007553EF">
      <w:r>
        <w:rPr>
          <w:rStyle w:val="Hyperlink"/>
          <w:color w:val="auto"/>
          <w:u w:val="none"/>
        </w:rPr>
        <w:fldChar w:fldCharType="begin"/>
      </w:r>
      <w:r>
        <w:rPr>
          <w:rStyle w:val="Hyperlink"/>
          <w:color w:val="auto"/>
          <w:u w:val="none"/>
        </w:rPr>
        <w:instrText xml:space="preserve"> REF  Table1 \h </w:instrText>
      </w:r>
      <w:r w:rsidR="007553EF">
        <w:rPr>
          <w:rStyle w:val="Hyperlink"/>
          <w:color w:val="auto"/>
          <w:u w:val="none"/>
        </w:rPr>
        <w:instrText xml:space="preserve"> \* MERGEFORMAT </w:instrText>
      </w:r>
      <w:r>
        <w:rPr>
          <w:rStyle w:val="Hyperlink"/>
          <w:color w:val="auto"/>
          <w:u w:val="none"/>
        </w:rPr>
      </w:r>
      <w:r>
        <w:rPr>
          <w:rStyle w:val="Hyperlink"/>
          <w:color w:val="auto"/>
          <w:u w:val="none"/>
        </w:rPr>
        <w:fldChar w:fldCharType="separate"/>
      </w:r>
      <w:r w:rsidR="00977423">
        <w:t xml:space="preserve">Table </w:t>
      </w:r>
      <w:r w:rsidR="00977423">
        <w:rPr>
          <w:noProof/>
        </w:rPr>
        <w:t>1</w:t>
      </w:r>
      <w:r w:rsidR="00977423" w:rsidRPr="002023E3">
        <w:rPr>
          <w:noProof/>
        </w:rPr>
        <w:t>.</w:t>
      </w:r>
      <w:r>
        <w:rPr>
          <w:rStyle w:val="Hyperlink"/>
          <w:color w:val="auto"/>
          <w:u w:val="none"/>
        </w:rPr>
        <w:fldChar w:fldCharType="end"/>
      </w:r>
      <w:r w:rsidR="005D10DF">
        <w:rPr>
          <w:rStyle w:val="Hyperlink"/>
          <w:color w:val="auto"/>
          <w:u w:val="none"/>
        </w:rPr>
        <w:t xml:space="preserve"> </w:t>
      </w:r>
      <w:r w:rsidR="00AF3D58" w:rsidRPr="005A6429">
        <w:t>present</w:t>
      </w:r>
      <w:r w:rsidR="008732A6" w:rsidRPr="005A6429">
        <w:t>s t</w:t>
      </w:r>
      <w:r w:rsidR="00E543BA" w:rsidRPr="005A6429">
        <w:t xml:space="preserve">he </w:t>
      </w:r>
      <w:r w:rsidR="008732A6" w:rsidRPr="005A6429">
        <w:t xml:space="preserve">observed and </w:t>
      </w:r>
      <w:r w:rsidR="00E543BA" w:rsidRPr="005A6429">
        <w:t xml:space="preserve">expected number </w:t>
      </w:r>
      <w:r w:rsidR="00DE4F3B" w:rsidRPr="005A6429">
        <w:t>of total</w:t>
      </w:r>
      <w:r w:rsidR="00E543BA" w:rsidRPr="005A6429">
        <w:t xml:space="preserve"> childhood cancer cases</w:t>
      </w:r>
      <w:r w:rsidR="00E543BA" w:rsidRPr="000576BA">
        <w:t xml:space="preserve"> estimated for each census</w:t>
      </w:r>
      <w:r w:rsidR="00530AC9" w:rsidRPr="000576BA">
        <w:t xml:space="preserve"> tract and for the town </w:t>
      </w:r>
      <w:proofErr w:type="gramStart"/>
      <w:r w:rsidR="00530AC9" w:rsidRPr="000576BA">
        <w:t>as a whole</w:t>
      </w:r>
      <w:r w:rsidR="002C634F" w:rsidRPr="000576BA">
        <w:t xml:space="preserve"> along</w:t>
      </w:r>
      <w:proofErr w:type="gramEnd"/>
      <w:r w:rsidR="002C634F" w:rsidRPr="000576BA">
        <w:t xml:space="preserve"> with S</w:t>
      </w:r>
      <w:r w:rsidR="003743D3" w:rsidRPr="000576BA">
        <w:t xml:space="preserve">tandardized </w:t>
      </w:r>
      <w:r w:rsidR="002C634F" w:rsidRPr="000576BA">
        <w:t>I</w:t>
      </w:r>
      <w:r w:rsidR="003743D3" w:rsidRPr="000576BA">
        <w:t xml:space="preserve">ncidence </w:t>
      </w:r>
      <w:r w:rsidR="002C634F" w:rsidRPr="000576BA">
        <w:t>R</w:t>
      </w:r>
      <w:r w:rsidR="003743D3" w:rsidRPr="000576BA">
        <w:t>atios (SIRs</w:t>
      </w:r>
      <w:r w:rsidR="00623C81" w:rsidRPr="000576BA">
        <w:t xml:space="preserve">) during </w:t>
      </w:r>
      <w:r w:rsidR="005B25CD" w:rsidRPr="000576BA">
        <w:t xml:space="preserve">for the </w:t>
      </w:r>
      <w:r w:rsidR="00582CB5" w:rsidRPr="000576BA">
        <w:t xml:space="preserve">period </w:t>
      </w:r>
      <w:r w:rsidR="002B6484" w:rsidRPr="000576BA">
        <w:t>1987-1995</w:t>
      </w:r>
      <w:r w:rsidR="00716072" w:rsidRPr="000576BA">
        <w:t xml:space="preserve">. </w:t>
      </w:r>
      <w:r w:rsidR="002B6484" w:rsidRPr="000576BA">
        <w:t>As seen in</w:t>
      </w:r>
      <w:r w:rsidR="00E13F34" w:rsidRPr="000576BA">
        <w:t xml:space="preserve"> </w:t>
      </w:r>
      <w:r w:rsidR="00684803">
        <w:fldChar w:fldCharType="begin"/>
      </w:r>
      <w:r w:rsidR="00684803">
        <w:instrText xml:space="preserve"> REF  Table1 \h </w:instrText>
      </w:r>
      <w:r w:rsidR="007553EF">
        <w:instrText xml:space="preserve"> \* MERGEFORMAT </w:instrText>
      </w:r>
      <w:r w:rsidR="00684803">
        <w:fldChar w:fldCharType="separate"/>
      </w:r>
      <w:r w:rsidR="00977423">
        <w:t xml:space="preserve">Table </w:t>
      </w:r>
      <w:r w:rsidR="00977423">
        <w:rPr>
          <w:noProof/>
        </w:rPr>
        <w:t>1</w:t>
      </w:r>
      <w:r w:rsidR="00977423" w:rsidRPr="002023E3">
        <w:rPr>
          <w:noProof/>
        </w:rPr>
        <w:t>.</w:t>
      </w:r>
      <w:r w:rsidR="00684803">
        <w:fldChar w:fldCharType="end"/>
      </w:r>
      <w:r w:rsidR="002B6484" w:rsidRPr="000576BA">
        <w:t>, m</w:t>
      </w:r>
      <w:r w:rsidR="00E47596" w:rsidRPr="000576BA">
        <w:t>ore children were diagnosed with cancer during this period than expected</w:t>
      </w:r>
      <w:r w:rsidR="002938E9" w:rsidRPr="000576BA">
        <w:t>, with the excess cases being driven by incidence among males</w:t>
      </w:r>
      <w:r w:rsidR="00716072" w:rsidRPr="000576BA">
        <w:t xml:space="preserve">. </w:t>
      </w:r>
      <w:r w:rsidR="002938E9" w:rsidRPr="000576BA">
        <w:t xml:space="preserve">Female </w:t>
      </w:r>
      <w:r w:rsidR="0038606A" w:rsidRPr="000576BA">
        <w:t xml:space="preserve">childhood </w:t>
      </w:r>
      <w:r w:rsidR="002938E9" w:rsidRPr="000576BA">
        <w:t>cancer incidence was not elevated</w:t>
      </w:r>
      <w:r w:rsidR="00716072" w:rsidRPr="000576BA">
        <w:t xml:space="preserve">. </w:t>
      </w:r>
      <w:r w:rsidR="002938E9" w:rsidRPr="000576BA">
        <w:t>The town SIR for males and females combined is 130, and the SIR for males alone is 187</w:t>
      </w:r>
      <w:r w:rsidR="00716072" w:rsidRPr="000576BA">
        <w:t xml:space="preserve">. </w:t>
      </w:r>
      <w:r w:rsidR="002938E9" w:rsidRPr="000576BA">
        <w:t xml:space="preserve">Though neither SIR is statistically significant, it was also observed that the majority of cases were among children in census </w:t>
      </w:r>
      <w:r w:rsidR="00F2187E" w:rsidRPr="000576BA">
        <w:t>tracts</w:t>
      </w:r>
      <w:r w:rsidR="004F1347" w:rsidRPr="000576BA">
        <w:t xml:space="preserve"> 3312 and </w:t>
      </w:r>
      <w:r w:rsidR="002D6D0A" w:rsidRPr="000576BA">
        <w:t>3313</w:t>
      </w:r>
      <w:r w:rsidR="00716072" w:rsidRPr="000576BA">
        <w:t xml:space="preserve">. </w:t>
      </w:r>
      <w:r w:rsidR="005B25CD" w:rsidRPr="000576BA">
        <w:t>Small</w:t>
      </w:r>
      <w:r w:rsidR="00AC3CBE" w:rsidRPr="000576BA">
        <w:t xml:space="preserve"> numbers</w:t>
      </w:r>
      <w:r w:rsidR="005B25CD" w:rsidRPr="000576BA">
        <w:t xml:space="preserve"> limited the calculation of SIRs at the census tract level, but the elevated town-level SIRs and the geographic pattern of cases prompted the MDPH to conduct a full-scale case-control epidemiologic study</w:t>
      </w:r>
      <w:r w:rsidR="005B25CD" w:rsidRPr="00B02C84">
        <w:rPr>
          <w:rFonts w:asciiTheme="majorHAnsi" w:hAnsiTheme="majorHAnsi"/>
        </w:rPr>
        <w:t>.</w:t>
      </w:r>
      <w:bookmarkStart w:id="38" w:name="_Ref12008194"/>
      <w:bookmarkStart w:id="39" w:name="_Toc12012865"/>
      <w:bookmarkStart w:id="40" w:name="_Toc12013059"/>
    </w:p>
    <w:p w14:paraId="14DC3306" w14:textId="75ECFD32" w:rsidR="00455CD0" w:rsidRPr="002023E3" w:rsidRDefault="00643A31" w:rsidP="006312FD">
      <w:pPr>
        <w:pStyle w:val="Caption"/>
      </w:pPr>
      <w:bookmarkStart w:id="41" w:name="Table1"/>
      <w:bookmarkStart w:id="42" w:name="_Toc45714880"/>
      <w:bookmarkEnd w:id="38"/>
      <w:r>
        <w:t xml:space="preserve">Table </w:t>
      </w:r>
      <w:fldSimple w:instr=" SEQ Table \* ARABIC ">
        <w:r w:rsidR="00977423">
          <w:rPr>
            <w:noProof/>
          </w:rPr>
          <w:t>1</w:t>
        </w:r>
      </w:fldSimple>
      <w:r w:rsidRPr="002023E3">
        <w:t>.</w:t>
      </w:r>
      <w:bookmarkEnd w:id="41"/>
      <w:r w:rsidR="006312FD">
        <w:t xml:space="preserve"> </w:t>
      </w:r>
      <w:r w:rsidR="00455CD0" w:rsidRPr="002023E3">
        <w:t xml:space="preserve">Childhood Cancer </w:t>
      </w:r>
      <w:proofErr w:type="gramStart"/>
      <w:r w:rsidR="00455CD0" w:rsidRPr="002023E3">
        <w:t xml:space="preserve">Incidence </w:t>
      </w:r>
      <w:r w:rsidR="00B60977" w:rsidRPr="002023E3">
        <w:t xml:space="preserve"> </w:t>
      </w:r>
      <w:r w:rsidR="00455CD0" w:rsidRPr="002023E3">
        <w:t>in</w:t>
      </w:r>
      <w:proofErr w:type="gramEnd"/>
      <w:r w:rsidR="00455CD0" w:rsidRPr="002023E3">
        <w:t xml:space="preserve"> Wilmington, MA, 1987-1995</w:t>
      </w:r>
      <w:bookmarkEnd w:id="39"/>
      <w:bookmarkEnd w:id="40"/>
      <w:bookmarkEnd w:id="42"/>
    </w:p>
    <w:tbl>
      <w:tblPr>
        <w:tblStyle w:val="TableGrid1"/>
        <w:tblW w:w="0" w:type="auto"/>
        <w:jc w:val="center"/>
        <w:tblLook w:val="04A0" w:firstRow="1" w:lastRow="0" w:firstColumn="1" w:lastColumn="0" w:noHBand="0" w:noVBand="1"/>
      </w:tblPr>
      <w:tblGrid>
        <w:gridCol w:w="887"/>
        <w:gridCol w:w="1017"/>
        <w:gridCol w:w="971"/>
        <w:gridCol w:w="461"/>
        <w:gridCol w:w="1017"/>
        <w:gridCol w:w="971"/>
        <w:gridCol w:w="461"/>
        <w:gridCol w:w="1017"/>
        <w:gridCol w:w="971"/>
        <w:gridCol w:w="379"/>
      </w:tblGrid>
      <w:tr w:rsidR="00855660" w:rsidRPr="00455CD0" w14:paraId="7462F2AC" w14:textId="77777777" w:rsidTr="006312FD">
        <w:trPr>
          <w:trHeight w:val="303"/>
          <w:jc w:val="center"/>
        </w:trPr>
        <w:tc>
          <w:tcPr>
            <w:tcW w:w="0" w:type="auto"/>
            <w:gridSpan w:val="10"/>
          </w:tcPr>
          <w:p w14:paraId="5E9E279F" w14:textId="77777777" w:rsidR="00855660" w:rsidRPr="00E35A60" w:rsidRDefault="00855660" w:rsidP="006312FD">
            <w:pPr>
              <w:pStyle w:val="Tableheaders"/>
              <w:rPr>
                <w:rFonts w:cstheme="minorHAnsi"/>
                <w:sz w:val="21"/>
                <w:szCs w:val="21"/>
              </w:rPr>
            </w:pPr>
            <w:r w:rsidRPr="00E35A60">
              <w:t>All Childhood Cancers</w:t>
            </w:r>
          </w:p>
        </w:tc>
      </w:tr>
      <w:tr w:rsidR="00855660" w:rsidRPr="00455CD0" w14:paraId="76F033C5" w14:textId="77777777" w:rsidTr="006312FD">
        <w:trPr>
          <w:trHeight w:val="313"/>
          <w:jc w:val="center"/>
        </w:trPr>
        <w:tc>
          <w:tcPr>
            <w:tcW w:w="0" w:type="auto"/>
            <w:vMerge w:val="restart"/>
            <w:vAlign w:val="center"/>
          </w:tcPr>
          <w:p w14:paraId="1304B09D" w14:textId="77777777" w:rsidR="00855660" w:rsidRPr="00E35A60" w:rsidRDefault="00855660" w:rsidP="006312FD">
            <w:pPr>
              <w:pStyle w:val="Tableheaders"/>
            </w:pPr>
            <w:r w:rsidRPr="00E35A60">
              <w:t>Census</w:t>
            </w:r>
          </w:p>
          <w:p w14:paraId="35F841E4" w14:textId="77777777" w:rsidR="00855660" w:rsidRPr="00E35A60" w:rsidRDefault="00855660" w:rsidP="006312FD">
            <w:pPr>
              <w:pStyle w:val="Tableheaders"/>
            </w:pPr>
            <w:r w:rsidRPr="00E35A60">
              <w:t>Tract</w:t>
            </w:r>
          </w:p>
        </w:tc>
        <w:tc>
          <w:tcPr>
            <w:tcW w:w="0" w:type="auto"/>
            <w:gridSpan w:val="3"/>
            <w:vAlign w:val="center"/>
          </w:tcPr>
          <w:p w14:paraId="10048CEA" w14:textId="77777777" w:rsidR="00855660" w:rsidRPr="00E35A60" w:rsidRDefault="00855660" w:rsidP="006312FD">
            <w:pPr>
              <w:pStyle w:val="Tableheaders"/>
            </w:pPr>
            <w:r w:rsidRPr="00E35A60">
              <w:t>Total</w:t>
            </w:r>
          </w:p>
        </w:tc>
        <w:tc>
          <w:tcPr>
            <w:tcW w:w="0" w:type="auto"/>
            <w:gridSpan w:val="3"/>
            <w:shd w:val="clear" w:color="auto" w:fill="D9D9D9" w:themeFill="background1" w:themeFillShade="D9"/>
            <w:vAlign w:val="center"/>
          </w:tcPr>
          <w:p w14:paraId="199EB29E" w14:textId="77777777" w:rsidR="00855660" w:rsidRPr="00E35A60" w:rsidRDefault="00855660" w:rsidP="006312FD">
            <w:pPr>
              <w:pStyle w:val="Tableheaders"/>
            </w:pPr>
            <w:r w:rsidRPr="00E35A60">
              <w:t>Males</w:t>
            </w:r>
          </w:p>
        </w:tc>
        <w:tc>
          <w:tcPr>
            <w:tcW w:w="0" w:type="auto"/>
            <w:gridSpan w:val="3"/>
            <w:vAlign w:val="center"/>
          </w:tcPr>
          <w:p w14:paraId="7837276B" w14:textId="77777777" w:rsidR="00855660" w:rsidRPr="00E35A60" w:rsidRDefault="00855660" w:rsidP="006312FD">
            <w:pPr>
              <w:pStyle w:val="Tableheaders"/>
            </w:pPr>
            <w:r w:rsidRPr="00E35A60">
              <w:t>Females</w:t>
            </w:r>
          </w:p>
        </w:tc>
      </w:tr>
      <w:tr w:rsidR="006312FD" w:rsidRPr="00455CD0" w14:paraId="05D9C369" w14:textId="77777777" w:rsidTr="006312FD">
        <w:trPr>
          <w:trHeight w:val="616"/>
          <w:jc w:val="center"/>
        </w:trPr>
        <w:tc>
          <w:tcPr>
            <w:tcW w:w="0" w:type="auto"/>
            <w:vMerge/>
          </w:tcPr>
          <w:p w14:paraId="77FF0F2A" w14:textId="77777777" w:rsidR="00855660" w:rsidRPr="00E35A60" w:rsidRDefault="00855660" w:rsidP="006312FD">
            <w:pPr>
              <w:pStyle w:val="Tableheaders"/>
            </w:pPr>
          </w:p>
        </w:tc>
        <w:tc>
          <w:tcPr>
            <w:tcW w:w="0" w:type="auto"/>
            <w:vAlign w:val="center"/>
          </w:tcPr>
          <w:p w14:paraId="0EF5AF2E" w14:textId="77777777" w:rsidR="00855660" w:rsidRPr="00E35A60" w:rsidRDefault="00855660" w:rsidP="006312FD">
            <w:pPr>
              <w:pStyle w:val="Tableheaders"/>
            </w:pPr>
            <w:r w:rsidRPr="00E35A60">
              <w:t>Observed</w:t>
            </w:r>
          </w:p>
          <w:p w14:paraId="024E2100" w14:textId="77777777" w:rsidR="00855660" w:rsidRPr="00E35A60" w:rsidRDefault="00855660" w:rsidP="006312FD">
            <w:pPr>
              <w:pStyle w:val="Tableheaders"/>
            </w:pPr>
            <w:r w:rsidRPr="00E35A60">
              <w:t>Cases</w:t>
            </w:r>
          </w:p>
        </w:tc>
        <w:tc>
          <w:tcPr>
            <w:tcW w:w="0" w:type="auto"/>
            <w:vAlign w:val="center"/>
          </w:tcPr>
          <w:p w14:paraId="0A54B3B4" w14:textId="77777777" w:rsidR="00855660" w:rsidRPr="00E35A60" w:rsidRDefault="00855660" w:rsidP="006312FD">
            <w:pPr>
              <w:pStyle w:val="Tableheaders"/>
            </w:pPr>
            <w:r w:rsidRPr="00E35A60">
              <w:t>Expected</w:t>
            </w:r>
          </w:p>
          <w:p w14:paraId="6E7EA46E" w14:textId="77777777" w:rsidR="00855660" w:rsidRPr="00E35A60" w:rsidRDefault="00855660" w:rsidP="006312FD">
            <w:pPr>
              <w:pStyle w:val="Tableheaders"/>
            </w:pPr>
            <w:r w:rsidRPr="00E35A60">
              <w:t>Cases*</w:t>
            </w:r>
          </w:p>
        </w:tc>
        <w:tc>
          <w:tcPr>
            <w:tcW w:w="0" w:type="auto"/>
            <w:vAlign w:val="center"/>
          </w:tcPr>
          <w:p w14:paraId="0B770EF5" w14:textId="77777777" w:rsidR="00855660" w:rsidRPr="00E35A60" w:rsidRDefault="00855660" w:rsidP="006312FD">
            <w:pPr>
              <w:pStyle w:val="Tableheaders"/>
            </w:pPr>
            <w:r w:rsidRPr="00E35A60">
              <w:t>SIR</w:t>
            </w:r>
          </w:p>
        </w:tc>
        <w:tc>
          <w:tcPr>
            <w:tcW w:w="0" w:type="auto"/>
            <w:shd w:val="clear" w:color="auto" w:fill="D9D9D9" w:themeFill="background1" w:themeFillShade="D9"/>
            <w:vAlign w:val="center"/>
          </w:tcPr>
          <w:p w14:paraId="7185930F" w14:textId="77777777" w:rsidR="00855660" w:rsidRPr="00E35A60" w:rsidRDefault="00855660" w:rsidP="006312FD">
            <w:pPr>
              <w:pStyle w:val="Tableheaders"/>
            </w:pPr>
            <w:r w:rsidRPr="00E35A60">
              <w:t>Observed</w:t>
            </w:r>
          </w:p>
          <w:p w14:paraId="2C67A049" w14:textId="77777777" w:rsidR="00855660" w:rsidRPr="00E35A60" w:rsidRDefault="00855660" w:rsidP="006312FD">
            <w:pPr>
              <w:pStyle w:val="Tableheaders"/>
            </w:pPr>
            <w:r w:rsidRPr="00E35A60">
              <w:t>Cases</w:t>
            </w:r>
          </w:p>
        </w:tc>
        <w:tc>
          <w:tcPr>
            <w:tcW w:w="0" w:type="auto"/>
            <w:shd w:val="clear" w:color="auto" w:fill="D9D9D9" w:themeFill="background1" w:themeFillShade="D9"/>
            <w:vAlign w:val="center"/>
          </w:tcPr>
          <w:p w14:paraId="1E7CD17C" w14:textId="77777777" w:rsidR="00855660" w:rsidRPr="00E35A60" w:rsidRDefault="00855660" w:rsidP="006312FD">
            <w:pPr>
              <w:pStyle w:val="Tableheaders"/>
            </w:pPr>
            <w:r w:rsidRPr="00E35A60">
              <w:t>Expected</w:t>
            </w:r>
          </w:p>
          <w:p w14:paraId="357D4808" w14:textId="77777777" w:rsidR="00855660" w:rsidRPr="00E35A60" w:rsidRDefault="00855660" w:rsidP="006312FD">
            <w:pPr>
              <w:pStyle w:val="Tableheaders"/>
            </w:pPr>
            <w:r w:rsidRPr="00E35A60">
              <w:t>Cases*</w:t>
            </w:r>
          </w:p>
        </w:tc>
        <w:tc>
          <w:tcPr>
            <w:tcW w:w="0" w:type="auto"/>
            <w:shd w:val="clear" w:color="auto" w:fill="D9D9D9" w:themeFill="background1" w:themeFillShade="D9"/>
            <w:vAlign w:val="center"/>
          </w:tcPr>
          <w:p w14:paraId="22412769" w14:textId="77777777" w:rsidR="00855660" w:rsidRPr="00E35A60" w:rsidRDefault="00855660" w:rsidP="006312FD">
            <w:pPr>
              <w:pStyle w:val="Tableheaders"/>
            </w:pPr>
            <w:r w:rsidRPr="00E35A60">
              <w:t>SIR</w:t>
            </w:r>
          </w:p>
        </w:tc>
        <w:tc>
          <w:tcPr>
            <w:tcW w:w="0" w:type="auto"/>
            <w:vAlign w:val="center"/>
          </w:tcPr>
          <w:p w14:paraId="3891AC14" w14:textId="77777777" w:rsidR="00855660" w:rsidRPr="00E35A60" w:rsidRDefault="00855660" w:rsidP="006312FD">
            <w:pPr>
              <w:pStyle w:val="Tableheaders"/>
            </w:pPr>
            <w:r w:rsidRPr="00E35A60">
              <w:t>Observed</w:t>
            </w:r>
          </w:p>
          <w:p w14:paraId="4783594D" w14:textId="77777777" w:rsidR="00855660" w:rsidRPr="00E35A60" w:rsidRDefault="00855660" w:rsidP="006312FD">
            <w:pPr>
              <w:pStyle w:val="Tableheaders"/>
            </w:pPr>
            <w:r w:rsidRPr="00E35A60">
              <w:t>Cases</w:t>
            </w:r>
          </w:p>
        </w:tc>
        <w:tc>
          <w:tcPr>
            <w:tcW w:w="0" w:type="auto"/>
            <w:vAlign w:val="center"/>
          </w:tcPr>
          <w:p w14:paraId="1505B73E" w14:textId="77777777" w:rsidR="00855660" w:rsidRPr="00E35A60" w:rsidRDefault="00855660" w:rsidP="006312FD">
            <w:pPr>
              <w:pStyle w:val="Tableheaders"/>
            </w:pPr>
            <w:r w:rsidRPr="00E35A60">
              <w:t>Expected</w:t>
            </w:r>
          </w:p>
          <w:p w14:paraId="175377F4" w14:textId="77777777" w:rsidR="00855660" w:rsidRPr="00E35A60" w:rsidRDefault="00855660" w:rsidP="006312FD">
            <w:pPr>
              <w:pStyle w:val="Tableheaders"/>
            </w:pPr>
            <w:r w:rsidRPr="00E35A60">
              <w:t>Cases*</w:t>
            </w:r>
          </w:p>
        </w:tc>
        <w:tc>
          <w:tcPr>
            <w:tcW w:w="0" w:type="auto"/>
            <w:vAlign w:val="center"/>
          </w:tcPr>
          <w:p w14:paraId="782D887B" w14:textId="77777777" w:rsidR="00855660" w:rsidRPr="00E35A60" w:rsidRDefault="00855660" w:rsidP="006312FD">
            <w:pPr>
              <w:pStyle w:val="Tableheaders"/>
            </w:pPr>
            <w:r w:rsidRPr="00E35A60">
              <w:t>SIR</w:t>
            </w:r>
          </w:p>
        </w:tc>
      </w:tr>
      <w:tr w:rsidR="006312FD" w:rsidRPr="00455CD0" w14:paraId="24BEFC6A" w14:textId="77777777" w:rsidTr="006312FD">
        <w:trPr>
          <w:trHeight w:val="385"/>
          <w:jc w:val="center"/>
        </w:trPr>
        <w:tc>
          <w:tcPr>
            <w:tcW w:w="0" w:type="auto"/>
            <w:vAlign w:val="center"/>
          </w:tcPr>
          <w:p w14:paraId="0E2A35D7" w14:textId="77777777" w:rsidR="00855660" w:rsidRPr="009D5864" w:rsidRDefault="00855660" w:rsidP="005B69ED">
            <w:pPr>
              <w:pStyle w:val="Tablebody"/>
              <w:rPr>
                <w:sz w:val="24"/>
                <w:szCs w:val="24"/>
              </w:rPr>
            </w:pPr>
            <w:r w:rsidRPr="009D5864">
              <w:rPr>
                <w:sz w:val="24"/>
                <w:szCs w:val="24"/>
              </w:rPr>
              <w:t>3311.01</w:t>
            </w:r>
          </w:p>
        </w:tc>
        <w:tc>
          <w:tcPr>
            <w:tcW w:w="0" w:type="auto"/>
            <w:vAlign w:val="center"/>
          </w:tcPr>
          <w:p w14:paraId="04603068" w14:textId="77777777" w:rsidR="00855660" w:rsidRPr="009D5864" w:rsidRDefault="00855660" w:rsidP="005B69ED">
            <w:pPr>
              <w:pStyle w:val="Tablebody"/>
              <w:rPr>
                <w:sz w:val="24"/>
                <w:szCs w:val="24"/>
              </w:rPr>
            </w:pPr>
            <w:r w:rsidRPr="009D5864">
              <w:rPr>
                <w:sz w:val="24"/>
                <w:szCs w:val="24"/>
              </w:rPr>
              <w:t>1</w:t>
            </w:r>
          </w:p>
        </w:tc>
        <w:tc>
          <w:tcPr>
            <w:tcW w:w="0" w:type="auto"/>
            <w:vAlign w:val="center"/>
          </w:tcPr>
          <w:p w14:paraId="792DBB34" w14:textId="77777777" w:rsidR="00855660" w:rsidRPr="009D5864" w:rsidRDefault="00855660" w:rsidP="005B69ED">
            <w:pPr>
              <w:pStyle w:val="Tablebody"/>
              <w:rPr>
                <w:sz w:val="24"/>
                <w:szCs w:val="24"/>
              </w:rPr>
            </w:pPr>
            <w:r w:rsidRPr="009D5864">
              <w:rPr>
                <w:sz w:val="24"/>
                <w:szCs w:val="24"/>
              </w:rPr>
              <w:t>0.8</w:t>
            </w:r>
          </w:p>
        </w:tc>
        <w:tc>
          <w:tcPr>
            <w:tcW w:w="0" w:type="auto"/>
            <w:vAlign w:val="center"/>
          </w:tcPr>
          <w:p w14:paraId="6A73A749"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shd w:val="clear" w:color="auto" w:fill="D9D9D9" w:themeFill="background1" w:themeFillShade="D9"/>
            <w:vAlign w:val="center"/>
          </w:tcPr>
          <w:p w14:paraId="71E57CD9" w14:textId="77777777" w:rsidR="00855660" w:rsidRPr="009D5864" w:rsidRDefault="00855660" w:rsidP="005B69ED">
            <w:pPr>
              <w:pStyle w:val="Tablebody"/>
              <w:rPr>
                <w:rFonts w:cstheme="minorHAnsi"/>
                <w:sz w:val="24"/>
                <w:szCs w:val="24"/>
              </w:rPr>
            </w:pPr>
            <w:r w:rsidRPr="009D5864">
              <w:rPr>
                <w:rFonts w:cstheme="minorHAnsi"/>
                <w:sz w:val="24"/>
                <w:szCs w:val="24"/>
              </w:rPr>
              <w:t>1</w:t>
            </w:r>
          </w:p>
        </w:tc>
        <w:tc>
          <w:tcPr>
            <w:tcW w:w="0" w:type="auto"/>
            <w:shd w:val="clear" w:color="auto" w:fill="D9D9D9" w:themeFill="background1" w:themeFillShade="D9"/>
            <w:vAlign w:val="center"/>
          </w:tcPr>
          <w:p w14:paraId="0BF38F2A" w14:textId="77777777" w:rsidR="00855660" w:rsidRPr="009D5864" w:rsidRDefault="00855660" w:rsidP="005B69ED">
            <w:pPr>
              <w:pStyle w:val="Tablebody"/>
              <w:rPr>
                <w:rFonts w:cstheme="minorHAnsi"/>
                <w:sz w:val="24"/>
                <w:szCs w:val="24"/>
              </w:rPr>
            </w:pPr>
            <w:r w:rsidRPr="009D5864">
              <w:rPr>
                <w:rFonts w:cstheme="minorHAnsi"/>
                <w:sz w:val="24"/>
                <w:szCs w:val="24"/>
              </w:rPr>
              <w:t>0.4</w:t>
            </w:r>
          </w:p>
        </w:tc>
        <w:tc>
          <w:tcPr>
            <w:tcW w:w="0" w:type="auto"/>
            <w:shd w:val="clear" w:color="auto" w:fill="D9D9D9" w:themeFill="background1" w:themeFillShade="D9"/>
            <w:vAlign w:val="center"/>
          </w:tcPr>
          <w:p w14:paraId="19C7FB54"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vAlign w:val="center"/>
          </w:tcPr>
          <w:p w14:paraId="28017A6B" w14:textId="77777777" w:rsidR="00855660" w:rsidRPr="009D5864" w:rsidRDefault="00855660" w:rsidP="005B69ED">
            <w:pPr>
              <w:pStyle w:val="Tablebody"/>
              <w:rPr>
                <w:rFonts w:cstheme="minorHAnsi"/>
                <w:sz w:val="24"/>
                <w:szCs w:val="24"/>
              </w:rPr>
            </w:pPr>
            <w:r w:rsidRPr="009D5864">
              <w:rPr>
                <w:rFonts w:cstheme="minorHAnsi"/>
                <w:sz w:val="24"/>
                <w:szCs w:val="24"/>
              </w:rPr>
              <w:t>0</w:t>
            </w:r>
          </w:p>
        </w:tc>
        <w:tc>
          <w:tcPr>
            <w:tcW w:w="0" w:type="auto"/>
            <w:vAlign w:val="center"/>
          </w:tcPr>
          <w:p w14:paraId="5BC2177D" w14:textId="77777777" w:rsidR="00855660" w:rsidRPr="009D5864" w:rsidRDefault="00855660" w:rsidP="005B69ED">
            <w:pPr>
              <w:pStyle w:val="Tablebody"/>
              <w:rPr>
                <w:rFonts w:cstheme="minorHAnsi"/>
                <w:sz w:val="24"/>
                <w:szCs w:val="24"/>
              </w:rPr>
            </w:pPr>
            <w:r w:rsidRPr="009D5864">
              <w:rPr>
                <w:rFonts w:cstheme="minorHAnsi"/>
                <w:sz w:val="24"/>
                <w:szCs w:val="24"/>
              </w:rPr>
              <w:t>0.2</w:t>
            </w:r>
          </w:p>
        </w:tc>
        <w:tc>
          <w:tcPr>
            <w:tcW w:w="0" w:type="auto"/>
            <w:vAlign w:val="center"/>
          </w:tcPr>
          <w:p w14:paraId="400BEE3A"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r>
      <w:tr w:rsidR="006312FD" w:rsidRPr="00455CD0" w14:paraId="46CD785C" w14:textId="77777777" w:rsidTr="006312FD">
        <w:trPr>
          <w:trHeight w:val="365"/>
          <w:jc w:val="center"/>
        </w:trPr>
        <w:tc>
          <w:tcPr>
            <w:tcW w:w="0" w:type="auto"/>
            <w:vAlign w:val="center"/>
          </w:tcPr>
          <w:p w14:paraId="4DE64413" w14:textId="77777777" w:rsidR="00855660" w:rsidRPr="009D5864" w:rsidRDefault="00855660" w:rsidP="005B69ED">
            <w:pPr>
              <w:pStyle w:val="Tablebody"/>
              <w:rPr>
                <w:sz w:val="24"/>
                <w:szCs w:val="24"/>
              </w:rPr>
            </w:pPr>
            <w:r w:rsidRPr="009D5864">
              <w:rPr>
                <w:sz w:val="24"/>
                <w:szCs w:val="24"/>
              </w:rPr>
              <w:t>3311.02</w:t>
            </w:r>
          </w:p>
        </w:tc>
        <w:tc>
          <w:tcPr>
            <w:tcW w:w="0" w:type="auto"/>
            <w:vAlign w:val="center"/>
          </w:tcPr>
          <w:p w14:paraId="15CE7761" w14:textId="77777777" w:rsidR="00855660" w:rsidRPr="009D5864" w:rsidRDefault="00855660" w:rsidP="005B69ED">
            <w:pPr>
              <w:pStyle w:val="Tablebody"/>
              <w:rPr>
                <w:sz w:val="24"/>
                <w:szCs w:val="24"/>
              </w:rPr>
            </w:pPr>
            <w:r w:rsidRPr="009D5864">
              <w:rPr>
                <w:sz w:val="24"/>
                <w:szCs w:val="24"/>
              </w:rPr>
              <w:t>2</w:t>
            </w:r>
          </w:p>
        </w:tc>
        <w:tc>
          <w:tcPr>
            <w:tcW w:w="0" w:type="auto"/>
            <w:vAlign w:val="center"/>
          </w:tcPr>
          <w:p w14:paraId="2CC67BFD" w14:textId="77777777" w:rsidR="00855660" w:rsidRPr="009D5864" w:rsidRDefault="00855660" w:rsidP="005B69ED">
            <w:pPr>
              <w:pStyle w:val="Tablebody"/>
              <w:rPr>
                <w:sz w:val="24"/>
                <w:szCs w:val="24"/>
              </w:rPr>
            </w:pPr>
            <w:r w:rsidRPr="009D5864">
              <w:rPr>
                <w:sz w:val="24"/>
                <w:szCs w:val="24"/>
              </w:rPr>
              <w:t>2.3</w:t>
            </w:r>
          </w:p>
        </w:tc>
        <w:tc>
          <w:tcPr>
            <w:tcW w:w="0" w:type="auto"/>
            <w:vAlign w:val="center"/>
          </w:tcPr>
          <w:p w14:paraId="558F51C8"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shd w:val="clear" w:color="auto" w:fill="D9D9D9" w:themeFill="background1" w:themeFillShade="D9"/>
            <w:vAlign w:val="center"/>
          </w:tcPr>
          <w:p w14:paraId="76413A52" w14:textId="77777777" w:rsidR="00855660" w:rsidRPr="009D5864" w:rsidRDefault="00855660" w:rsidP="005B69ED">
            <w:pPr>
              <w:pStyle w:val="Tablebody"/>
              <w:rPr>
                <w:rFonts w:cstheme="minorHAnsi"/>
                <w:sz w:val="24"/>
                <w:szCs w:val="24"/>
              </w:rPr>
            </w:pPr>
            <w:r w:rsidRPr="009D5864">
              <w:rPr>
                <w:rFonts w:cstheme="minorHAnsi"/>
                <w:sz w:val="24"/>
                <w:szCs w:val="24"/>
              </w:rPr>
              <w:t>1</w:t>
            </w:r>
          </w:p>
        </w:tc>
        <w:tc>
          <w:tcPr>
            <w:tcW w:w="0" w:type="auto"/>
            <w:shd w:val="clear" w:color="auto" w:fill="D9D9D9" w:themeFill="background1" w:themeFillShade="D9"/>
            <w:vAlign w:val="center"/>
          </w:tcPr>
          <w:p w14:paraId="3F6765BB" w14:textId="77777777" w:rsidR="00855660" w:rsidRPr="009D5864" w:rsidRDefault="00855660" w:rsidP="005B69ED">
            <w:pPr>
              <w:pStyle w:val="Tablebody"/>
              <w:rPr>
                <w:rFonts w:cstheme="minorHAnsi"/>
                <w:sz w:val="24"/>
                <w:szCs w:val="24"/>
              </w:rPr>
            </w:pPr>
            <w:r w:rsidRPr="009D5864">
              <w:rPr>
                <w:rFonts w:cstheme="minorHAnsi"/>
                <w:sz w:val="24"/>
                <w:szCs w:val="24"/>
              </w:rPr>
              <w:t>1.4</w:t>
            </w:r>
          </w:p>
        </w:tc>
        <w:tc>
          <w:tcPr>
            <w:tcW w:w="0" w:type="auto"/>
            <w:shd w:val="clear" w:color="auto" w:fill="D9D9D9" w:themeFill="background1" w:themeFillShade="D9"/>
            <w:vAlign w:val="center"/>
          </w:tcPr>
          <w:p w14:paraId="7CB6A034"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vAlign w:val="center"/>
          </w:tcPr>
          <w:p w14:paraId="052CF2F7" w14:textId="77777777" w:rsidR="00855660" w:rsidRPr="009D5864" w:rsidRDefault="00855660" w:rsidP="005B69ED">
            <w:pPr>
              <w:pStyle w:val="Tablebody"/>
              <w:rPr>
                <w:rFonts w:cstheme="minorHAnsi"/>
                <w:sz w:val="24"/>
                <w:szCs w:val="24"/>
              </w:rPr>
            </w:pPr>
            <w:r w:rsidRPr="009D5864">
              <w:rPr>
                <w:rFonts w:cstheme="minorHAnsi"/>
                <w:sz w:val="24"/>
                <w:szCs w:val="24"/>
              </w:rPr>
              <w:t>1</w:t>
            </w:r>
          </w:p>
        </w:tc>
        <w:tc>
          <w:tcPr>
            <w:tcW w:w="0" w:type="auto"/>
            <w:vAlign w:val="center"/>
          </w:tcPr>
          <w:p w14:paraId="28719BD0" w14:textId="77777777" w:rsidR="00855660" w:rsidRPr="009D5864" w:rsidRDefault="00855660" w:rsidP="005B69ED">
            <w:pPr>
              <w:pStyle w:val="Tablebody"/>
              <w:rPr>
                <w:rFonts w:cstheme="minorHAnsi"/>
                <w:sz w:val="24"/>
                <w:szCs w:val="24"/>
              </w:rPr>
            </w:pPr>
            <w:r w:rsidRPr="009D5864">
              <w:rPr>
                <w:rFonts w:cstheme="minorHAnsi"/>
                <w:sz w:val="24"/>
                <w:szCs w:val="24"/>
              </w:rPr>
              <w:t>0.9</w:t>
            </w:r>
          </w:p>
        </w:tc>
        <w:tc>
          <w:tcPr>
            <w:tcW w:w="0" w:type="auto"/>
            <w:vAlign w:val="center"/>
          </w:tcPr>
          <w:p w14:paraId="2973493D"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r>
      <w:tr w:rsidR="006312FD" w:rsidRPr="00455CD0" w14:paraId="31E5E774" w14:textId="77777777" w:rsidTr="006312FD">
        <w:trPr>
          <w:trHeight w:val="365"/>
          <w:jc w:val="center"/>
        </w:trPr>
        <w:tc>
          <w:tcPr>
            <w:tcW w:w="0" w:type="auto"/>
            <w:vAlign w:val="center"/>
          </w:tcPr>
          <w:p w14:paraId="538F3B09" w14:textId="77777777" w:rsidR="00855660" w:rsidRPr="009D5864" w:rsidRDefault="00855660" w:rsidP="005B69ED">
            <w:pPr>
              <w:pStyle w:val="Tablebody"/>
              <w:rPr>
                <w:sz w:val="24"/>
                <w:szCs w:val="24"/>
              </w:rPr>
            </w:pPr>
            <w:r w:rsidRPr="009D5864">
              <w:rPr>
                <w:sz w:val="24"/>
                <w:szCs w:val="24"/>
              </w:rPr>
              <w:t>3312</w:t>
            </w:r>
          </w:p>
        </w:tc>
        <w:tc>
          <w:tcPr>
            <w:tcW w:w="0" w:type="auto"/>
            <w:vAlign w:val="center"/>
          </w:tcPr>
          <w:p w14:paraId="38D8AB67" w14:textId="77777777" w:rsidR="00855660" w:rsidRPr="009D5864" w:rsidRDefault="00855660" w:rsidP="005B69ED">
            <w:pPr>
              <w:pStyle w:val="Tablebody"/>
              <w:rPr>
                <w:sz w:val="24"/>
                <w:szCs w:val="24"/>
              </w:rPr>
            </w:pPr>
            <w:r w:rsidRPr="009D5864">
              <w:rPr>
                <w:sz w:val="24"/>
                <w:szCs w:val="24"/>
              </w:rPr>
              <w:t>3</w:t>
            </w:r>
          </w:p>
        </w:tc>
        <w:tc>
          <w:tcPr>
            <w:tcW w:w="0" w:type="auto"/>
            <w:vAlign w:val="center"/>
          </w:tcPr>
          <w:p w14:paraId="6B344DCE" w14:textId="77777777" w:rsidR="00855660" w:rsidRPr="009D5864" w:rsidRDefault="00855660" w:rsidP="005B69ED">
            <w:pPr>
              <w:pStyle w:val="Tablebody"/>
              <w:rPr>
                <w:sz w:val="24"/>
                <w:szCs w:val="24"/>
              </w:rPr>
            </w:pPr>
            <w:r w:rsidRPr="009D5864">
              <w:rPr>
                <w:sz w:val="24"/>
                <w:szCs w:val="24"/>
              </w:rPr>
              <w:t>2.3</w:t>
            </w:r>
          </w:p>
        </w:tc>
        <w:tc>
          <w:tcPr>
            <w:tcW w:w="0" w:type="auto"/>
            <w:vAlign w:val="center"/>
          </w:tcPr>
          <w:p w14:paraId="5099CB4D"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shd w:val="clear" w:color="auto" w:fill="D9D9D9" w:themeFill="background1" w:themeFillShade="D9"/>
            <w:vAlign w:val="center"/>
          </w:tcPr>
          <w:p w14:paraId="37191F5E" w14:textId="77777777" w:rsidR="00855660" w:rsidRPr="009D5864" w:rsidRDefault="00855660" w:rsidP="005B69ED">
            <w:pPr>
              <w:pStyle w:val="Tablebody"/>
              <w:rPr>
                <w:rFonts w:cstheme="minorHAnsi"/>
                <w:sz w:val="24"/>
                <w:szCs w:val="24"/>
              </w:rPr>
            </w:pPr>
            <w:r w:rsidRPr="009D5864">
              <w:rPr>
                <w:rFonts w:cstheme="minorHAnsi"/>
                <w:sz w:val="24"/>
                <w:szCs w:val="24"/>
              </w:rPr>
              <w:t>3</w:t>
            </w:r>
          </w:p>
        </w:tc>
        <w:tc>
          <w:tcPr>
            <w:tcW w:w="0" w:type="auto"/>
            <w:shd w:val="clear" w:color="auto" w:fill="D9D9D9" w:themeFill="background1" w:themeFillShade="D9"/>
            <w:vAlign w:val="center"/>
          </w:tcPr>
          <w:p w14:paraId="59D51D2F" w14:textId="77777777" w:rsidR="00855660" w:rsidRPr="009D5864" w:rsidRDefault="00855660" w:rsidP="005B69ED">
            <w:pPr>
              <w:pStyle w:val="Tablebody"/>
              <w:rPr>
                <w:rFonts w:cstheme="minorHAnsi"/>
                <w:sz w:val="24"/>
                <w:szCs w:val="24"/>
              </w:rPr>
            </w:pPr>
            <w:r w:rsidRPr="009D5864">
              <w:rPr>
                <w:rFonts w:cstheme="minorHAnsi"/>
                <w:sz w:val="24"/>
                <w:szCs w:val="24"/>
              </w:rPr>
              <w:t>1.2</w:t>
            </w:r>
          </w:p>
        </w:tc>
        <w:tc>
          <w:tcPr>
            <w:tcW w:w="0" w:type="auto"/>
            <w:shd w:val="clear" w:color="auto" w:fill="D9D9D9" w:themeFill="background1" w:themeFillShade="D9"/>
            <w:vAlign w:val="center"/>
          </w:tcPr>
          <w:p w14:paraId="5FCD6B37"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vAlign w:val="center"/>
          </w:tcPr>
          <w:p w14:paraId="66970055" w14:textId="77777777" w:rsidR="00855660" w:rsidRPr="009D5864" w:rsidRDefault="00855660" w:rsidP="005B69ED">
            <w:pPr>
              <w:pStyle w:val="Tablebody"/>
              <w:rPr>
                <w:rFonts w:cstheme="minorHAnsi"/>
                <w:sz w:val="24"/>
                <w:szCs w:val="24"/>
              </w:rPr>
            </w:pPr>
            <w:r w:rsidRPr="009D5864">
              <w:rPr>
                <w:rFonts w:cstheme="minorHAnsi"/>
                <w:sz w:val="24"/>
                <w:szCs w:val="24"/>
              </w:rPr>
              <w:t>0</w:t>
            </w:r>
          </w:p>
        </w:tc>
        <w:tc>
          <w:tcPr>
            <w:tcW w:w="0" w:type="auto"/>
            <w:vAlign w:val="center"/>
          </w:tcPr>
          <w:p w14:paraId="49F4B789" w14:textId="77777777" w:rsidR="00855660" w:rsidRPr="009D5864" w:rsidRDefault="00855660" w:rsidP="005B69ED">
            <w:pPr>
              <w:pStyle w:val="Tablebody"/>
              <w:rPr>
                <w:rFonts w:cstheme="minorHAnsi"/>
                <w:sz w:val="24"/>
                <w:szCs w:val="24"/>
              </w:rPr>
            </w:pPr>
            <w:r w:rsidRPr="009D5864">
              <w:rPr>
                <w:rFonts w:cstheme="minorHAnsi"/>
                <w:sz w:val="24"/>
                <w:szCs w:val="24"/>
              </w:rPr>
              <w:t>1.1</w:t>
            </w:r>
          </w:p>
        </w:tc>
        <w:tc>
          <w:tcPr>
            <w:tcW w:w="0" w:type="auto"/>
            <w:vAlign w:val="center"/>
          </w:tcPr>
          <w:p w14:paraId="4C31E9DF"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r>
      <w:tr w:rsidR="006312FD" w:rsidRPr="00455CD0" w14:paraId="3C6CA3BB" w14:textId="77777777" w:rsidTr="006312FD">
        <w:trPr>
          <w:trHeight w:val="365"/>
          <w:jc w:val="center"/>
        </w:trPr>
        <w:tc>
          <w:tcPr>
            <w:tcW w:w="0" w:type="auto"/>
            <w:vAlign w:val="center"/>
          </w:tcPr>
          <w:p w14:paraId="5BED2601" w14:textId="77777777" w:rsidR="00855660" w:rsidRPr="009D5864" w:rsidRDefault="00855660" w:rsidP="005B69ED">
            <w:pPr>
              <w:pStyle w:val="Tablebody"/>
              <w:rPr>
                <w:sz w:val="24"/>
                <w:szCs w:val="24"/>
              </w:rPr>
            </w:pPr>
            <w:r w:rsidRPr="009D5864">
              <w:rPr>
                <w:sz w:val="24"/>
                <w:szCs w:val="24"/>
              </w:rPr>
              <w:t>3313</w:t>
            </w:r>
          </w:p>
        </w:tc>
        <w:tc>
          <w:tcPr>
            <w:tcW w:w="0" w:type="auto"/>
            <w:vAlign w:val="center"/>
          </w:tcPr>
          <w:p w14:paraId="33D7DE8A" w14:textId="77777777" w:rsidR="00855660" w:rsidRPr="009D5864" w:rsidRDefault="00855660" w:rsidP="005B69ED">
            <w:pPr>
              <w:pStyle w:val="Tablebody"/>
              <w:rPr>
                <w:sz w:val="24"/>
                <w:szCs w:val="24"/>
              </w:rPr>
            </w:pPr>
            <w:r w:rsidRPr="009D5864">
              <w:rPr>
                <w:sz w:val="24"/>
                <w:szCs w:val="24"/>
              </w:rPr>
              <w:t>4</w:t>
            </w:r>
          </w:p>
        </w:tc>
        <w:tc>
          <w:tcPr>
            <w:tcW w:w="0" w:type="auto"/>
            <w:vAlign w:val="center"/>
          </w:tcPr>
          <w:p w14:paraId="7B81165E" w14:textId="77777777" w:rsidR="00855660" w:rsidRPr="009D5864" w:rsidRDefault="00855660" w:rsidP="005B69ED">
            <w:pPr>
              <w:pStyle w:val="Tablebody"/>
              <w:rPr>
                <w:sz w:val="24"/>
                <w:szCs w:val="24"/>
              </w:rPr>
            </w:pPr>
            <w:r w:rsidRPr="009D5864">
              <w:rPr>
                <w:sz w:val="24"/>
                <w:szCs w:val="24"/>
              </w:rPr>
              <w:t>2.2</w:t>
            </w:r>
          </w:p>
        </w:tc>
        <w:tc>
          <w:tcPr>
            <w:tcW w:w="0" w:type="auto"/>
            <w:vAlign w:val="center"/>
          </w:tcPr>
          <w:p w14:paraId="224403DE"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shd w:val="clear" w:color="auto" w:fill="D9D9D9" w:themeFill="background1" w:themeFillShade="D9"/>
            <w:vAlign w:val="center"/>
          </w:tcPr>
          <w:p w14:paraId="26552EE5" w14:textId="77777777" w:rsidR="00855660" w:rsidRPr="009D5864" w:rsidRDefault="00855660" w:rsidP="005B69ED">
            <w:pPr>
              <w:pStyle w:val="Tablebody"/>
              <w:rPr>
                <w:rFonts w:cstheme="minorHAnsi"/>
                <w:sz w:val="24"/>
                <w:szCs w:val="24"/>
              </w:rPr>
            </w:pPr>
            <w:r w:rsidRPr="009D5864">
              <w:rPr>
                <w:rFonts w:cstheme="minorHAnsi"/>
                <w:sz w:val="24"/>
                <w:szCs w:val="24"/>
              </w:rPr>
              <w:t>3</w:t>
            </w:r>
          </w:p>
        </w:tc>
        <w:tc>
          <w:tcPr>
            <w:tcW w:w="0" w:type="auto"/>
            <w:shd w:val="clear" w:color="auto" w:fill="D9D9D9" w:themeFill="background1" w:themeFillShade="D9"/>
            <w:vAlign w:val="center"/>
          </w:tcPr>
          <w:p w14:paraId="2CF4D977" w14:textId="77777777" w:rsidR="00855660" w:rsidRPr="009D5864" w:rsidRDefault="00855660" w:rsidP="005B69ED">
            <w:pPr>
              <w:pStyle w:val="Tablebody"/>
              <w:rPr>
                <w:rFonts w:cstheme="minorHAnsi"/>
                <w:sz w:val="24"/>
                <w:szCs w:val="24"/>
              </w:rPr>
            </w:pPr>
            <w:r w:rsidRPr="009D5864">
              <w:rPr>
                <w:rFonts w:cstheme="minorHAnsi"/>
                <w:sz w:val="24"/>
                <w:szCs w:val="24"/>
              </w:rPr>
              <w:t>1.2</w:t>
            </w:r>
          </w:p>
        </w:tc>
        <w:tc>
          <w:tcPr>
            <w:tcW w:w="0" w:type="auto"/>
            <w:shd w:val="clear" w:color="auto" w:fill="D9D9D9" w:themeFill="background1" w:themeFillShade="D9"/>
            <w:vAlign w:val="center"/>
          </w:tcPr>
          <w:p w14:paraId="48476EA4"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c>
          <w:tcPr>
            <w:tcW w:w="0" w:type="auto"/>
            <w:vAlign w:val="center"/>
          </w:tcPr>
          <w:p w14:paraId="776C5D32" w14:textId="77777777" w:rsidR="00855660" w:rsidRPr="009D5864" w:rsidRDefault="00855660" w:rsidP="005B69ED">
            <w:pPr>
              <w:pStyle w:val="Tablebody"/>
              <w:rPr>
                <w:rFonts w:cstheme="minorHAnsi"/>
                <w:sz w:val="24"/>
                <w:szCs w:val="24"/>
              </w:rPr>
            </w:pPr>
            <w:r w:rsidRPr="009D5864">
              <w:rPr>
                <w:rFonts w:cstheme="minorHAnsi"/>
                <w:sz w:val="24"/>
                <w:szCs w:val="24"/>
              </w:rPr>
              <w:t>1</w:t>
            </w:r>
          </w:p>
        </w:tc>
        <w:tc>
          <w:tcPr>
            <w:tcW w:w="0" w:type="auto"/>
            <w:vAlign w:val="center"/>
          </w:tcPr>
          <w:p w14:paraId="13403C48" w14:textId="77777777" w:rsidR="00855660" w:rsidRPr="009D5864" w:rsidRDefault="00855660" w:rsidP="005B69ED">
            <w:pPr>
              <w:pStyle w:val="Tablebody"/>
              <w:rPr>
                <w:rFonts w:cstheme="minorHAnsi"/>
                <w:sz w:val="24"/>
                <w:szCs w:val="24"/>
              </w:rPr>
            </w:pPr>
            <w:r w:rsidRPr="009D5864">
              <w:rPr>
                <w:rFonts w:cstheme="minorHAnsi"/>
                <w:sz w:val="24"/>
                <w:szCs w:val="24"/>
              </w:rPr>
              <w:t>1.0</w:t>
            </w:r>
          </w:p>
        </w:tc>
        <w:tc>
          <w:tcPr>
            <w:tcW w:w="0" w:type="auto"/>
            <w:vAlign w:val="center"/>
          </w:tcPr>
          <w:p w14:paraId="2255460A"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r>
      <w:tr w:rsidR="006312FD" w:rsidRPr="00455CD0" w14:paraId="56FDCECF" w14:textId="77777777" w:rsidTr="006312FD">
        <w:trPr>
          <w:trHeight w:val="365"/>
          <w:jc w:val="center"/>
        </w:trPr>
        <w:tc>
          <w:tcPr>
            <w:tcW w:w="0" w:type="auto"/>
            <w:vAlign w:val="center"/>
          </w:tcPr>
          <w:p w14:paraId="2ED21C52" w14:textId="77777777" w:rsidR="00855660" w:rsidRPr="009D5864" w:rsidRDefault="00855660" w:rsidP="005B69ED">
            <w:pPr>
              <w:pStyle w:val="Tablebody"/>
              <w:rPr>
                <w:sz w:val="24"/>
                <w:szCs w:val="24"/>
              </w:rPr>
            </w:pPr>
            <w:r w:rsidRPr="009D5864">
              <w:rPr>
                <w:sz w:val="24"/>
                <w:szCs w:val="24"/>
              </w:rPr>
              <w:t>Town</w:t>
            </w:r>
          </w:p>
        </w:tc>
        <w:tc>
          <w:tcPr>
            <w:tcW w:w="0" w:type="auto"/>
            <w:vAlign w:val="center"/>
          </w:tcPr>
          <w:p w14:paraId="4D953208" w14:textId="77777777" w:rsidR="00855660" w:rsidRPr="009D5864" w:rsidRDefault="00855660" w:rsidP="005B69ED">
            <w:pPr>
              <w:pStyle w:val="Tablebody"/>
              <w:rPr>
                <w:sz w:val="24"/>
                <w:szCs w:val="24"/>
              </w:rPr>
            </w:pPr>
            <w:r w:rsidRPr="009D5864">
              <w:rPr>
                <w:sz w:val="24"/>
                <w:szCs w:val="24"/>
              </w:rPr>
              <w:t>10</w:t>
            </w:r>
          </w:p>
        </w:tc>
        <w:tc>
          <w:tcPr>
            <w:tcW w:w="0" w:type="auto"/>
            <w:vAlign w:val="center"/>
          </w:tcPr>
          <w:p w14:paraId="6FAD383E" w14:textId="77777777" w:rsidR="00855660" w:rsidRPr="009D5864" w:rsidRDefault="00855660" w:rsidP="005B69ED">
            <w:pPr>
              <w:pStyle w:val="Tablebody"/>
              <w:rPr>
                <w:sz w:val="24"/>
                <w:szCs w:val="24"/>
              </w:rPr>
            </w:pPr>
            <w:r w:rsidRPr="009D5864">
              <w:rPr>
                <w:sz w:val="24"/>
                <w:szCs w:val="24"/>
              </w:rPr>
              <w:t>7.7</w:t>
            </w:r>
          </w:p>
        </w:tc>
        <w:tc>
          <w:tcPr>
            <w:tcW w:w="0" w:type="auto"/>
            <w:vAlign w:val="center"/>
          </w:tcPr>
          <w:p w14:paraId="63538C78" w14:textId="77777777" w:rsidR="00855660" w:rsidRPr="009D5864" w:rsidRDefault="00855660" w:rsidP="005B69ED">
            <w:pPr>
              <w:pStyle w:val="Tablebody"/>
              <w:rPr>
                <w:rFonts w:cstheme="minorHAnsi"/>
                <w:sz w:val="24"/>
                <w:szCs w:val="24"/>
              </w:rPr>
            </w:pPr>
            <w:r w:rsidRPr="009D5864">
              <w:rPr>
                <w:rFonts w:cstheme="minorHAnsi"/>
                <w:sz w:val="24"/>
                <w:szCs w:val="24"/>
              </w:rPr>
              <w:t>130</w:t>
            </w:r>
          </w:p>
        </w:tc>
        <w:tc>
          <w:tcPr>
            <w:tcW w:w="0" w:type="auto"/>
            <w:shd w:val="clear" w:color="auto" w:fill="D9D9D9" w:themeFill="background1" w:themeFillShade="D9"/>
            <w:vAlign w:val="center"/>
          </w:tcPr>
          <w:p w14:paraId="1740D1CE" w14:textId="77777777" w:rsidR="00855660" w:rsidRPr="009D5864" w:rsidRDefault="00855660" w:rsidP="005B69ED">
            <w:pPr>
              <w:pStyle w:val="Tablebody"/>
              <w:rPr>
                <w:rFonts w:cstheme="minorHAnsi"/>
                <w:sz w:val="24"/>
                <w:szCs w:val="24"/>
              </w:rPr>
            </w:pPr>
            <w:r w:rsidRPr="009D5864">
              <w:rPr>
                <w:rFonts w:cstheme="minorHAnsi"/>
                <w:sz w:val="24"/>
                <w:szCs w:val="24"/>
              </w:rPr>
              <w:t>8</w:t>
            </w:r>
          </w:p>
        </w:tc>
        <w:tc>
          <w:tcPr>
            <w:tcW w:w="0" w:type="auto"/>
            <w:shd w:val="clear" w:color="auto" w:fill="D9D9D9" w:themeFill="background1" w:themeFillShade="D9"/>
            <w:vAlign w:val="center"/>
          </w:tcPr>
          <w:p w14:paraId="2CBD8921" w14:textId="77777777" w:rsidR="00855660" w:rsidRPr="009D5864" w:rsidRDefault="00855660" w:rsidP="005B69ED">
            <w:pPr>
              <w:pStyle w:val="Tablebody"/>
              <w:rPr>
                <w:rFonts w:cstheme="minorHAnsi"/>
                <w:sz w:val="24"/>
                <w:szCs w:val="24"/>
              </w:rPr>
            </w:pPr>
            <w:r w:rsidRPr="009D5864">
              <w:rPr>
                <w:rFonts w:cstheme="minorHAnsi"/>
                <w:sz w:val="24"/>
                <w:szCs w:val="24"/>
              </w:rPr>
              <w:t>4.3</w:t>
            </w:r>
          </w:p>
        </w:tc>
        <w:tc>
          <w:tcPr>
            <w:tcW w:w="0" w:type="auto"/>
            <w:shd w:val="clear" w:color="auto" w:fill="D9D9D9" w:themeFill="background1" w:themeFillShade="D9"/>
            <w:vAlign w:val="center"/>
          </w:tcPr>
          <w:p w14:paraId="7E4280CA" w14:textId="77777777" w:rsidR="00855660" w:rsidRPr="009D5864" w:rsidRDefault="00855660" w:rsidP="005B69ED">
            <w:pPr>
              <w:pStyle w:val="Tablebody"/>
              <w:rPr>
                <w:rFonts w:cstheme="minorHAnsi"/>
                <w:sz w:val="24"/>
                <w:szCs w:val="24"/>
              </w:rPr>
            </w:pPr>
            <w:r w:rsidRPr="009D5864">
              <w:rPr>
                <w:rFonts w:cstheme="minorHAnsi"/>
                <w:sz w:val="24"/>
                <w:szCs w:val="24"/>
              </w:rPr>
              <w:t>187</w:t>
            </w:r>
          </w:p>
        </w:tc>
        <w:tc>
          <w:tcPr>
            <w:tcW w:w="0" w:type="auto"/>
            <w:vAlign w:val="center"/>
          </w:tcPr>
          <w:p w14:paraId="5853C25D" w14:textId="77777777" w:rsidR="00855660" w:rsidRPr="009D5864" w:rsidRDefault="00855660" w:rsidP="005B69ED">
            <w:pPr>
              <w:pStyle w:val="Tablebody"/>
              <w:rPr>
                <w:rFonts w:cstheme="minorHAnsi"/>
                <w:sz w:val="24"/>
                <w:szCs w:val="24"/>
              </w:rPr>
            </w:pPr>
            <w:r w:rsidRPr="009D5864">
              <w:rPr>
                <w:rFonts w:cstheme="minorHAnsi"/>
                <w:sz w:val="24"/>
                <w:szCs w:val="24"/>
              </w:rPr>
              <w:t>2</w:t>
            </w:r>
          </w:p>
        </w:tc>
        <w:tc>
          <w:tcPr>
            <w:tcW w:w="0" w:type="auto"/>
            <w:vAlign w:val="center"/>
          </w:tcPr>
          <w:p w14:paraId="205442BA" w14:textId="77777777" w:rsidR="00855660" w:rsidRPr="009D5864" w:rsidRDefault="00855660" w:rsidP="005B69ED">
            <w:pPr>
              <w:pStyle w:val="Tablebody"/>
              <w:rPr>
                <w:rFonts w:cstheme="minorHAnsi"/>
                <w:sz w:val="24"/>
                <w:szCs w:val="24"/>
              </w:rPr>
            </w:pPr>
            <w:r w:rsidRPr="009D5864">
              <w:rPr>
                <w:rFonts w:cstheme="minorHAnsi"/>
                <w:sz w:val="24"/>
                <w:szCs w:val="24"/>
              </w:rPr>
              <w:t>3.4</w:t>
            </w:r>
          </w:p>
        </w:tc>
        <w:tc>
          <w:tcPr>
            <w:tcW w:w="0" w:type="auto"/>
            <w:vAlign w:val="center"/>
          </w:tcPr>
          <w:p w14:paraId="5B90A459" w14:textId="77777777" w:rsidR="00855660" w:rsidRPr="009D5864" w:rsidRDefault="00855660" w:rsidP="005B69ED">
            <w:pPr>
              <w:pStyle w:val="Tablebody"/>
              <w:rPr>
                <w:rFonts w:cstheme="minorHAnsi"/>
                <w:sz w:val="24"/>
                <w:szCs w:val="24"/>
              </w:rPr>
            </w:pPr>
            <w:r w:rsidRPr="009D5864">
              <w:rPr>
                <w:rFonts w:cstheme="minorHAnsi"/>
                <w:sz w:val="24"/>
                <w:szCs w:val="24"/>
              </w:rPr>
              <w:t>NC</w:t>
            </w:r>
          </w:p>
        </w:tc>
      </w:tr>
    </w:tbl>
    <w:p w14:paraId="61F3CB4A" w14:textId="77777777" w:rsidR="00623568" w:rsidRPr="00E35A60" w:rsidRDefault="00623568" w:rsidP="006312FD">
      <w:pPr>
        <w:pStyle w:val="NoSpacing"/>
        <w:rPr>
          <w:rFonts w:asciiTheme="majorHAnsi" w:eastAsiaTheme="minorHAnsi" w:hAnsiTheme="majorHAnsi"/>
          <w:sz w:val="22"/>
          <w:szCs w:val="22"/>
        </w:rPr>
      </w:pPr>
      <w:r w:rsidRPr="00E35A60">
        <w:rPr>
          <w:rFonts w:asciiTheme="majorHAnsi" w:eastAsiaTheme="minorHAnsi" w:hAnsiTheme="majorHAnsi"/>
          <w:sz w:val="22"/>
          <w:szCs w:val="22"/>
        </w:rPr>
        <w:t>SIR = Standardized Incidence Ratio</w:t>
      </w:r>
      <w:r w:rsidR="004360E1" w:rsidRPr="00E35A60">
        <w:rPr>
          <w:rFonts w:asciiTheme="majorHAnsi" w:eastAsiaTheme="minorHAnsi" w:hAnsiTheme="majorHAnsi"/>
          <w:sz w:val="22"/>
          <w:szCs w:val="22"/>
        </w:rPr>
        <w:tab/>
      </w:r>
    </w:p>
    <w:p w14:paraId="60CACBE5" w14:textId="77777777" w:rsidR="00623568" w:rsidRPr="00E35A60" w:rsidRDefault="00623568" w:rsidP="006312FD">
      <w:pPr>
        <w:pStyle w:val="NoSpacing"/>
        <w:rPr>
          <w:rFonts w:asciiTheme="majorHAnsi" w:eastAsiaTheme="minorHAnsi" w:hAnsiTheme="majorHAnsi"/>
          <w:sz w:val="22"/>
          <w:szCs w:val="22"/>
        </w:rPr>
      </w:pPr>
      <w:r w:rsidRPr="00E35A60">
        <w:rPr>
          <w:rFonts w:asciiTheme="majorHAnsi" w:eastAsiaTheme="minorHAnsi" w:hAnsiTheme="majorHAnsi"/>
          <w:sz w:val="22"/>
          <w:szCs w:val="22"/>
        </w:rPr>
        <w:t xml:space="preserve">NC = </w:t>
      </w:r>
      <w:r w:rsidR="004360E1" w:rsidRPr="00E35A60">
        <w:rPr>
          <w:rFonts w:asciiTheme="majorHAnsi" w:eastAsiaTheme="minorHAnsi" w:hAnsiTheme="majorHAnsi"/>
          <w:sz w:val="22"/>
          <w:szCs w:val="22"/>
        </w:rPr>
        <w:t>When fewer than five diagnoses are present, the SIR is not statistically reliable and is, therefore, not calculated.</w:t>
      </w:r>
    </w:p>
    <w:p w14:paraId="5EFCED40" w14:textId="77777777" w:rsidR="000015F7" w:rsidRPr="00E35A60" w:rsidRDefault="000015F7" w:rsidP="006312FD">
      <w:pPr>
        <w:pStyle w:val="NoSpacing"/>
        <w:rPr>
          <w:rFonts w:asciiTheme="majorHAnsi" w:eastAsiaTheme="minorHAnsi" w:hAnsiTheme="majorHAnsi"/>
          <w:sz w:val="22"/>
          <w:szCs w:val="22"/>
        </w:rPr>
      </w:pPr>
      <w:r w:rsidRPr="00E35A60">
        <w:rPr>
          <w:rFonts w:asciiTheme="majorHAnsi" w:eastAsiaTheme="minorHAnsi" w:hAnsiTheme="majorHAnsi"/>
          <w:sz w:val="22"/>
          <w:szCs w:val="22"/>
        </w:rPr>
        <w:t>*Numbers may not sum due to rounding</w:t>
      </w:r>
    </w:p>
    <w:p w14:paraId="2826A105" w14:textId="77777777" w:rsidR="009F1C36" w:rsidRPr="00E35A60" w:rsidRDefault="007F7C35" w:rsidP="006312FD">
      <w:pPr>
        <w:pStyle w:val="NoSpacing"/>
        <w:rPr>
          <w:rFonts w:asciiTheme="majorHAnsi" w:eastAsiaTheme="minorHAnsi" w:hAnsiTheme="majorHAnsi"/>
          <w:sz w:val="22"/>
          <w:szCs w:val="22"/>
        </w:rPr>
      </w:pPr>
      <w:r w:rsidRPr="00E35A60">
        <w:rPr>
          <w:rFonts w:asciiTheme="majorHAnsi" w:eastAsiaTheme="minorHAnsi" w:hAnsiTheme="majorHAnsi"/>
          <w:sz w:val="22"/>
          <w:szCs w:val="22"/>
        </w:rPr>
        <w:t xml:space="preserve">NOTE:  After </w:t>
      </w:r>
      <w:r w:rsidR="005B25CD" w:rsidRPr="00E35A60">
        <w:rPr>
          <w:rFonts w:asciiTheme="majorHAnsi" w:eastAsiaTheme="minorHAnsi" w:hAnsiTheme="majorHAnsi"/>
          <w:sz w:val="22"/>
          <w:szCs w:val="22"/>
        </w:rPr>
        <w:t>public release of these data</w:t>
      </w:r>
      <w:r w:rsidRPr="00E35A60">
        <w:rPr>
          <w:rFonts w:asciiTheme="majorHAnsi" w:eastAsiaTheme="minorHAnsi" w:hAnsiTheme="majorHAnsi"/>
          <w:sz w:val="22"/>
          <w:szCs w:val="22"/>
        </w:rPr>
        <w:t xml:space="preserve"> </w:t>
      </w:r>
      <w:r w:rsidR="005B25CD" w:rsidRPr="00E35A60">
        <w:rPr>
          <w:rFonts w:asciiTheme="majorHAnsi" w:eastAsiaTheme="minorHAnsi" w:hAnsiTheme="majorHAnsi"/>
          <w:sz w:val="22"/>
          <w:szCs w:val="22"/>
        </w:rPr>
        <w:t xml:space="preserve">in </w:t>
      </w:r>
      <w:r w:rsidRPr="00E35A60">
        <w:rPr>
          <w:rFonts w:asciiTheme="majorHAnsi" w:eastAsiaTheme="minorHAnsi" w:hAnsiTheme="majorHAnsi"/>
          <w:sz w:val="22"/>
          <w:szCs w:val="22"/>
        </w:rPr>
        <w:t>2000, a correction of the Massachusetts Cancer Registry</w:t>
      </w:r>
      <w:r w:rsidR="009C2396" w:rsidRPr="00E35A60">
        <w:rPr>
          <w:rFonts w:asciiTheme="majorHAnsi" w:eastAsiaTheme="minorHAnsi" w:hAnsiTheme="majorHAnsi"/>
          <w:sz w:val="22"/>
          <w:szCs w:val="22"/>
        </w:rPr>
        <w:t xml:space="preserve"> (MCR)</w:t>
      </w:r>
      <w:r w:rsidRPr="00E35A60">
        <w:rPr>
          <w:rFonts w:asciiTheme="majorHAnsi" w:eastAsiaTheme="minorHAnsi" w:hAnsiTheme="majorHAnsi"/>
          <w:sz w:val="22"/>
          <w:szCs w:val="22"/>
        </w:rPr>
        <w:t xml:space="preserve"> database was made as part of </w:t>
      </w:r>
      <w:r w:rsidR="005B25CD" w:rsidRPr="00E35A60">
        <w:rPr>
          <w:rFonts w:asciiTheme="majorHAnsi" w:eastAsiaTheme="minorHAnsi" w:hAnsiTheme="majorHAnsi"/>
          <w:sz w:val="22"/>
          <w:szCs w:val="22"/>
        </w:rPr>
        <w:t>standard</w:t>
      </w:r>
      <w:r w:rsidRPr="00E35A60">
        <w:rPr>
          <w:rFonts w:asciiTheme="majorHAnsi" w:eastAsiaTheme="minorHAnsi" w:hAnsiTheme="majorHAnsi"/>
          <w:sz w:val="22"/>
          <w:szCs w:val="22"/>
        </w:rPr>
        <w:t xml:space="preserve"> quality control activities by hospitals and the MCR</w:t>
      </w:r>
      <w:r w:rsidR="00716072" w:rsidRPr="00E35A60">
        <w:rPr>
          <w:rFonts w:asciiTheme="majorHAnsi" w:eastAsiaTheme="minorHAnsi" w:hAnsiTheme="majorHAnsi"/>
          <w:sz w:val="22"/>
          <w:szCs w:val="22"/>
        </w:rPr>
        <w:t xml:space="preserve">. </w:t>
      </w:r>
      <w:r w:rsidRPr="00E35A60">
        <w:rPr>
          <w:rFonts w:asciiTheme="majorHAnsi" w:eastAsiaTheme="minorHAnsi" w:hAnsiTheme="majorHAnsi"/>
          <w:sz w:val="22"/>
          <w:szCs w:val="22"/>
        </w:rPr>
        <w:t>As a result</w:t>
      </w:r>
      <w:r w:rsidR="00000E19" w:rsidRPr="00E35A60">
        <w:rPr>
          <w:rFonts w:asciiTheme="majorHAnsi" w:eastAsiaTheme="minorHAnsi" w:hAnsiTheme="majorHAnsi"/>
          <w:sz w:val="22"/>
          <w:szCs w:val="22"/>
        </w:rPr>
        <w:t xml:space="preserve">, the total number of childhood cancer cases </w:t>
      </w:r>
      <w:r w:rsidR="005B25CD" w:rsidRPr="00E35A60">
        <w:rPr>
          <w:rFonts w:asciiTheme="majorHAnsi" w:eastAsiaTheme="minorHAnsi" w:hAnsiTheme="majorHAnsi"/>
          <w:sz w:val="22"/>
          <w:szCs w:val="22"/>
        </w:rPr>
        <w:t>was updated</w:t>
      </w:r>
      <w:r w:rsidR="00000E19" w:rsidRPr="00E35A60">
        <w:rPr>
          <w:rFonts w:asciiTheme="majorHAnsi" w:eastAsiaTheme="minorHAnsi" w:hAnsiTheme="majorHAnsi"/>
          <w:sz w:val="22"/>
          <w:szCs w:val="22"/>
        </w:rPr>
        <w:t xml:space="preserve"> from 11 to 10 and the number of females with a child</w:t>
      </w:r>
      <w:r w:rsidR="004360E1" w:rsidRPr="00E35A60">
        <w:rPr>
          <w:rFonts w:asciiTheme="majorHAnsi" w:eastAsiaTheme="minorHAnsi" w:hAnsiTheme="majorHAnsi"/>
          <w:sz w:val="22"/>
          <w:szCs w:val="22"/>
        </w:rPr>
        <w:t>hood cancer changed from 3 to 2</w:t>
      </w:r>
      <w:r w:rsidR="003755EE" w:rsidRPr="00E35A60">
        <w:rPr>
          <w:rFonts w:asciiTheme="majorHAnsi" w:eastAsiaTheme="minorHAnsi" w:hAnsiTheme="majorHAnsi"/>
          <w:sz w:val="22"/>
          <w:szCs w:val="22"/>
        </w:rPr>
        <w:t xml:space="preserve"> as is reflected in the table</w:t>
      </w:r>
      <w:r w:rsidR="004360E1" w:rsidRPr="00E35A60">
        <w:rPr>
          <w:rFonts w:asciiTheme="majorHAnsi" w:eastAsiaTheme="minorHAnsi" w:hAnsiTheme="majorHAnsi"/>
          <w:sz w:val="22"/>
          <w:szCs w:val="22"/>
        </w:rPr>
        <w:t>.</w:t>
      </w:r>
    </w:p>
    <w:p w14:paraId="6CFBFE74" w14:textId="77777777" w:rsidR="00A17FD1" w:rsidRPr="00B02C84" w:rsidRDefault="00A17FD1" w:rsidP="006312FD">
      <w:pPr>
        <w:pStyle w:val="NoSpacing"/>
        <w:ind w:left="-540"/>
        <w:rPr>
          <w:rFonts w:eastAsiaTheme="minorHAnsi"/>
        </w:rPr>
      </w:pPr>
    </w:p>
    <w:p w14:paraId="2D74771E" w14:textId="65A85039" w:rsidR="006312FD" w:rsidRDefault="004E0623" w:rsidP="007553EF">
      <w:r w:rsidRPr="00614987">
        <w:lastRenderedPageBreak/>
        <w:t xml:space="preserve">Formal initiation of </w:t>
      </w:r>
      <w:r w:rsidR="00C45BCB" w:rsidRPr="00614987">
        <w:t>the</w:t>
      </w:r>
      <w:r w:rsidRPr="00614987">
        <w:t xml:space="preserve"> case-control study began in 2002 following preparation of a scientific protocol and approval by the M</w:t>
      </w:r>
      <w:r w:rsidR="009C2396" w:rsidRPr="00614987">
        <w:t>DPH</w:t>
      </w:r>
      <w:r w:rsidR="00C45BCB" w:rsidRPr="00614987">
        <w:t xml:space="preserve"> Institutional Review Board</w:t>
      </w:r>
      <w:r w:rsidR="00716072" w:rsidRPr="00614987">
        <w:t xml:space="preserve">. </w:t>
      </w:r>
      <w:r w:rsidR="000F4025" w:rsidRPr="00614987">
        <w:t xml:space="preserve">In that time, two additional years of cancer data (1996-1997) became available through the MCR and MDPH also sought out the most recently diagnosed cases (1998-2000) by directly contacting hospitals. As shown in </w:t>
      </w:r>
      <w:r w:rsidR="00643A31">
        <w:fldChar w:fldCharType="begin"/>
      </w:r>
      <w:r w:rsidR="00643A31">
        <w:instrText xml:space="preserve"> REF  Table1 \h  \* MERGEFORMAT </w:instrText>
      </w:r>
      <w:r w:rsidR="00643A31">
        <w:fldChar w:fldCharType="separate"/>
      </w:r>
      <w:r w:rsidR="00977423">
        <w:t>Table 1</w:t>
      </w:r>
      <w:r w:rsidR="00977423" w:rsidRPr="002023E3">
        <w:t>.</w:t>
      </w:r>
      <w:r w:rsidR="00643A31">
        <w:fldChar w:fldCharType="end"/>
      </w:r>
      <w:r w:rsidR="000F4025" w:rsidRPr="00614987">
        <w:t>, additional cases of cancer were diagnosed in Wilmington children over the next few years and an unusually high number were diagnosed in 1999 and 2000. Only two cases had been diagnosed between 1982 and 1989 (not shown), but 12 cases were diagnosed in the following eight-year period (1990-1997), and 11 more cases in the final three years of available data (1998-2000).</w:t>
      </w:r>
      <w:r w:rsidR="00F422A1">
        <w:t xml:space="preserve"> </w:t>
      </w:r>
      <w:bookmarkStart w:id="43" w:name="Figure2"/>
      <w:bookmarkStart w:id="44" w:name="_Toc45717777"/>
    </w:p>
    <w:p w14:paraId="01B0A470" w14:textId="2EA71096" w:rsidR="000F4025" w:rsidRPr="00046A11" w:rsidRDefault="006312FD" w:rsidP="006312FD">
      <w:pPr>
        <w:pStyle w:val="Caption"/>
      </w:pPr>
      <w:r w:rsidRPr="006D7D91">
        <w:rPr>
          <w:noProof/>
        </w:rPr>
        <w:drawing>
          <wp:anchor distT="0" distB="0" distL="114300" distR="114300" simplePos="0" relativeHeight="251664384" behindDoc="0" locked="0" layoutInCell="1" allowOverlap="1" wp14:anchorId="6E9A4A7B" wp14:editId="5D1B6455">
            <wp:simplePos x="0" y="0"/>
            <wp:positionH relativeFrom="margin">
              <wp:align>right</wp:align>
            </wp:positionH>
            <wp:positionV relativeFrom="paragraph">
              <wp:posOffset>387275</wp:posOffset>
            </wp:positionV>
            <wp:extent cx="5953125" cy="4286250"/>
            <wp:effectExtent l="0" t="0" r="9525" b="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0F4025" w:rsidRPr="006D7D91">
        <w:t>Figure</w:t>
      </w:r>
      <w:r w:rsidR="000F4025" w:rsidRPr="00046A11">
        <w:t xml:space="preserve"> </w:t>
      </w:r>
      <w:fldSimple w:instr=" SEQ Figure \* ARABIC ">
        <w:r w:rsidR="00977423">
          <w:rPr>
            <w:noProof/>
          </w:rPr>
          <w:t>2</w:t>
        </w:r>
      </w:fldSimple>
      <w:bookmarkEnd w:id="43"/>
      <w:r w:rsidR="000F4025" w:rsidRPr="00046A11">
        <w:t>. Childhood cancer cases diagnosed in Wilmington, MA, by year (1987-2000)</w:t>
      </w:r>
      <w:bookmarkEnd w:id="44"/>
    </w:p>
    <w:p w14:paraId="5CCDE366" w14:textId="2AD153F3" w:rsidR="00A409CE" w:rsidRDefault="00A409CE" w:rsidP="00A409CE">
      <w:pPr>
        <w:spacing w:after="0"/>
      </w:pPr>
    </w:p>
    <w:p w14:paraId="07FEC234" w14:textId="28C9F797" w:rsidR="008B5A94" w:rsidRPr="00F422A1" w:rsidRDefault="007C2DBF" w:rsidP="007553EF">
      <w:pPr>
        <w:rPr>
          <w:lang w:val="en"/>
        </w:rPr>
      </w:pPr>
      <w:r w:rsidRPr="007553EF">
        <w:t>At the onset of the study, no specific environmental exposures or cancer risk factors were suspected in relation to the town’s cancer incidence</w:t>
      </w:r>
      <w:r w:rsidR="00716072" w:rsidRPr="007553EF">
        <w:t xml:space="preserve">. </w:t>
      </w:r>
      <w:r w:rsidRPr="007553EF">
        <w:t>MDPH and involved c</w:t>
      </w:r>
      <w:r w:rsidR="003743D3" w:rsidRPr="007553EF">
        <w:t xml:space="preserve">ommunity </w:t>
      </w:r>
      <w:r w:rsidR="00294232" w:rsidRPr="007553EF">
        <w:t xml:space="preserve">members, therefore, considered the study to be </w:t>
      </w:r>
      <w:r w:rsidR="003743D3" w:rsidRPr="007553EF">
        <w:t>exploratory</w:t>
      </w:r>
      <w:r w:rsidR="00EF0BD9" w:rsidRPr="007553EF">
        <w:t xml:space="preserve"> </w:t>
      </w:r>
      <w:r w:rsidR="00591ADE" w:rsidRPr="007553EF">
        <w:t xml:space="preserve">with </w:t>
      </w:r>
      <w:r w:rsidR="00437FB7" w:rsidRPr="007553EF">
        <w:t xml:space="preserve">the </w:t>
      </w:r>
      <w:r w:rsidR="00294232" w:rsidRPr="007553EF">
        <w:t>hope</w:t>
      </w:r>
      <w:r w:rsidR="00437FB7" w:rsidRPr="007553EF">
        <w:t xml:space="preserve"> of identifying e</w:t>
      </w:r>
      <w:r w:rsidR="00294232" w:rsidRPr="007553EF">
        <w:t>nvironmental or</w:t>
      </w:r>
      <w:r w:rsidR="00437FB7" w:rsidRPr="007553EF">
        <w:t xml:space="preserve"> non-environmental factors </w:t>
      </w:r>
      <w:r w:rsidR="00294232" w:rsidRPr="007553EF">
        <w:t>common to the</w:t>
      </w:r>
      <w:r w:rsidR="00437FB7" w:rsidRPr="007553EF">
        <w:t xml:space="preserve"> cases </w:t>
      </w:r>
      <w:r w:rsidR="00294232" w:rsidRPr="007553EF">
        <w:t xml:space="preserve">that </w:t>
      </w:r>
      <w:r w:rsidR="00521F90" w:rsidRPr="007553EF">
        <w:t>could</w:t>
      </w:r>
      <w:r w:rsidR="00437FB7" w:rsidRPr="007553EF">
        <w:t xml:space="preserve"> contribut</w:t>
      </w:r>
      <w:r w:rsidR="00521F90" w:rsidRPr="007553EF">
        <w:t>e</w:t>
      </w:r>
      <w:r w:rsidR="00437FB7" w:rsidRPr="007553EF">
        <w:t xml:space="preserve"> to </w:t>
      </w:r>
      <w:r w:rsidR="00562C8C" w:rsidRPr="007553EF">
        <w:t xml:space="preserve">understanding the pattern of </w:t>
      </w:r>
      <w:r w:rsidR="00437FB7" w:rsidRPr="007553EF">
        <w:t>childhood cancers in Wilmington</w:t>
      </w:r>
      <w:r w:rsidR="00716072" w:rsidRPr="007553EF">
        <w:t xml:space="preserve">. </w:t>
      </w:r>
      <w:r w:rsidR="00C4366F" w:rsidRPr="007553EF">
        <w:t>S</w:t>
      </w:r>
      <w:r w:rsidR="00294232" w:rsidRPr="007553EF">
        <w:t>hortly after</w:t>
      </w:r>
      <w:r w:rsidR="00C4366F" w:rsidRPr="007553EF">
        <w:t xml:space="preserve"> MDPH</w:t>
      </w:r>
      <w:r w:rsidR="008F776A" w:rsidRPr="007553EF">
        <w:t>’s</w:t>
      </w:r>
      <w:r w:rsidR="00C4366F" w:rsidRPr="007553EF">
        <w:t xml:space="preserve"> plans to initiate </w:t>
      </w:r>
      <w:r w:rsidR="00294232" w:rsidRPr="007553EF">
        <w:t>the</w:t>
      </w:r>
      <w:r w:rsidR="00C4366F" w:rsidRPr="007553EF">
        <w:t xml:space="preserve"> study</w:t>
      </w:r>
      <w:r w:rsidR="003743D3" w:rsidRPr="007553EF">
        <w:t xml:space="preserve">, </w:t>
      </w:r>
      <w:r w:rsidR="008F776A" w:rsidRPr="007553EF">
        <w:t xml:space="preserve">an </w:t>
      </w:r>
      <w:r w:rsidR="003743D3" w:rsidRPr="007553EF">
        <w:t xml:space="preserve">environmental investigation by </w:t>
      </w:r>
      <w:r w:rsidR="00401E1B" w:rsidRPr="007553EF">
        <w:t xml:space="preserve">the US </w:t>
      </w:r>
      <w:r w:rsidR="003743D3" w:rsidRPr="007553EF">
        <w:t>EPA</w:t>
      </w:r>
      <w:r w:rsidR="003743D3" w:rsidRPr="00F422A1">
        <w:t xml:space="preserve"> </w:t>
      </w:r>
      <w:r w:rsidR="003743D3" w:rsidRPr="00F422A1">
        <w:lastRenderedPageBreak/>
        <w:t>identified</w:t>
      </w:r>
      <w:r w:rsidR="00C4366F" w:rsidRPr="00F422A1">
        <w:t xml:space="preserve"> concerns</w:t>
      </w:r>
      <w:r w:rsidR="003743D3" w:rsidRPr="00F422A1">
        <w:t xml:space="preserve"> </w:t>
      </w:r>
      <w:r w:rsidR="00C4366F" w:rsidRPr="00F422A1">
        <w:t xml:space="preserve">associated with </w:t>
      </w:r>
      <w:r w:rsidR="00434C85" w:rsidRPr="00F422A1">
        <w:t xml:space="preserve">a newly discovered contaminant </w:t>
      </w:r>
      <w:r w:rsidR="00F76AEE" w:rsidRPr="00F422A1">
        <w:t xml:space="preserve">in </w:t>
      </w:r>
      <w:r w:rsidR="00C4366F" w:rsidRPr="00F422A1">
        <w:t>Wilmington</w:t>
      </w:r>
      <w:r w:rsidR="00A24EB8" w:rsidRPr="00F422A1">
        <w:t xml:space="preserve"> d</w:t>
      </w:r>
      <w:r w:rsidR="003743D3" w:rsidRPr="00F422A1">
        <w:t>rinking water</w:t>
      </w:r>
      <w:r w:rsidR="00434C85" w:rsidRPr="00F422A1">
        <w:t xml:space="preserve">, </w:t>
      </w:r>
      <w:r w:rsidR="003743D3" w:rsidRPr="00F422A1">
        <w:rPr>
          <w:lang w:val="en"/>
        </w:rPr>
        <w:t>NDMA</w:t>
      </w:r>
      <w:r w:rsidR="00716072" w:rsidRPr="00F422A1">
        <w:rPr>
          <w:lang w:val="en"/>
        </w:rPr>
        <w:t xml:space="preserve">. </w:t>
      </w:r>
    </w:p>
    <w:p w14:paraId="4E00597C" w14:textId="33638979" w:rsidR="00F72DB1" w:rsidRPr="0040594E" w:rsidRDefault="003F04F9" w:rsidP="007553EF">
      <w:r w:rsidRPr="0040594E">
        <w:rPr>
          <w:lang w:val="en"/>
        </w:rPr>
        <w:t xml:space="preserve">This discovery </w:t>
      </w:r>
      <w:r w:rsidR="00434C85" w:rsidRPr="0040594E">
        <w:rPr>
          <w:lang w:val="en"/>
        </w:rPr>
        <w:t>led to a refocus of the study on drinking water</w:t>
      </w:r>
      <w:r w:rsidR="009F204E" w:rsidRPr="0040594E">
        <w:rPr>
          <w:lang w:val="en"/>
        </w:rPr>
        <w:t xml:space="preserve"> </w:t>
      </w:r>
      <w:r w:rsidRPr="0040594E">
        <w:rPr>
          <w:lang w:val="en"/>
        </w:rPr>
        <w:t>contamination</w:t>
      </w:r>
      <w:r w:rsidR="00E336B8" w:rsidRPr="0040594E">
        <w:rPr>
          <w:lang w:val="en"/>
        </w:rPr>
        <w:t xml:space="preserve"> </w:t>
      </w:r>
      <w:r w:rsidR="009F204E" w:rsidRPr="0040594E">
        <w:rPr>
          <w:lang w:val="en"/>
        </w:rPr>
        <w:t>(</w:t>
      </w:r>
      <w:r w:rsidR="0079240F" w:rsidRPr="0040594E">
        <w:rPr>
          <w:lang w:val="en"/>
        </w:rPr>
        <w:t>US EPA</w:t>
      </w:r>
      <w:r w:rsidR="006073BD" w:rsidRPr="0040594E">
        <w:rPr>
          <w:lang w:val="en"/>
        </w:rPr>
        <w:t xml:space="preserve"> 2</w:t>
      </w:r>
      <w:r w:rsidR="0079240F" w:rsidRPr="0040594E">
        <w:rPr>
          <w:lang w:val="en"/>
        </w:rPr>
        <w:t>005</w:t>
      </w:r>
      <w:r w:rsidR="009F204E" w:rsidRPr="0040594E">
        <w:rPr>
          <w:lang w:val="en"/>
        </w:rPr>
        <w:t>)</w:t>
      </w:r>
      <w:r w:rsidR="00294232" w:rsidRPr="0040594E">
        <w:rPr>
          <w:lang w:val="en"/>
        </w:rPr>
        <w:t xml:space="preserve"> and</w:t>
      </w:r>
      <w:r w:rsidR="00C26B5C" w:rsidRPr="0040594E">
        <w:rPr>
          <w:lang w:val="en"/>
        </w:rPr>
        <w:t>, although</w:t>
      </w:r>
      <w:r w:rsidR="00C26B5C" w:rsidRPr="0040594E">
        <w:t xml:space="preserve"> interviews of cases and controls were completed in 200</w:t>
      </w:r>
      <w:r w:rsidR="00562C8C" w:rsidRPr="0040594E">
        <w:t>4</w:t>
      </w:r>
      <w:r w:rsidR="00C26B5C" w:rsidRPr="0040594E">
        <w:t>,</w:t>
      </w:r>
      <w:r w:rsidR="00294232" w:rsidRPr="0040594E">
        <w:rPr>
          <w:lang w:val="en"/>
        </w:rPr>
        <w:t xml:space="preserve"> </w:t>
      </w:r>
      <w:r w:rsidR="00562C8C" w:rsidRPr="0040594E">
        <w:rPr>
          <w:lang w:val="en"/>
        </w:rPr>
        <w:t xml:space="preserve">data analysis was </w:t>
      </w:r>
      <w:r w:rsidR="00294232" w:rsidRPr="0040594E">
        <w:rPr>
          <w:lang w:val="en"/>
        </w:rPr>
        <w:t>postpone</w:t>
      </w:r>
      <w:r w:rsidR="00562C8C" w:rsidRPr="0040594E">
        <w:rPr>
          <w:lang w:val="en"/>
        </w:rPr>
        <w:t>d</w:t>
      </w:r>
      <w:r w:rsidR="00294232" w:rsidRPr="0040594E">
        <w:rPr>
          <w:lang w:val="en"/>
        </w:rPr>
        <w:t xml:space="preserve"> </w:t>
      </w:r>
      <w:r w:rsidR="00F72DB1" w:rsidRPr="0040594E">
        <w:t>by mutual decision of the Wilmington Childhood Cancer Study Advisory Committee, the Wilmington BOH</w:t>
      </w:r>
      <w:r w:rsidR="00F72DB1" w:rsidRPr="0040594E">
        <w:rPr>
          <w:lang w:val="en"/>
        </w:rPr>
        <w:t xml:space="preserve">, and MDPH </w:t>
      </w:r>
      <w:r w:rsidR="00C26B5C" w:rsidRPr="0040594E">
        <w:rPr>
          <w:lang w:val="en"/>
        </w:rPr>
        <w:t>until</w:t>
      </w:r>
      <w:r w:rsidR="00294232" w:rsidRPr="0040594E">
        <w:rPr>
          <w:lang w:val="en"/>
        </w:rPr>
        <w:t xml:space="preserve"> a complete exposure assessment of NDMA </w:t>
      </w:r>
      <w:r w:rsidR="00F72DB1" w:rsidRPr="0040594E">
        <w:rPr>
          <w:lang w:val="en"/>
        </w:rPr>
        <w:t xml:space="preserve">in drinking water </w:t>
      </w:r>
      <w:r w:rsidR="00294232" w:rsidRPr="0040594E">
        <w:rPr>
          <w:lang w:val="en"/>
        </w:rPr>
        <w:t>could be completed</w:t>
      </w:r>
      <w:r w:rsidR="00C4366F" w:rsidRPr="0040594E">
        <w:rPr>
          <w:lang w:val="en"/>
        </w:rPr>
        <w:t>.</w:t>
      </w:r>
      <w:r w:rsidR="00677986" w:rsidRPr="0040594E">
        <w:rPr>
          <w:lang w:val="en"/>
        </w:rPr>
        <w:t xml:space="preserve"> </w:t>
      </w:r>
      <w:r w:rsidR="00EA1443" w:rsidRPr="0040594E">
        <w:rPr>
          <w:lang w:val="en"/>
        </w:rPr>
        <w:t xml:space="preserve">While MDPH awaited results of environmental investigations by federal agencies, </w:t>
      </w:r>
      <w:r w:rsidR="00327A65" w:rsidRPr="0040594E">
        <w:rPr>
          <w:lang w:val="en"/>
        </w:rPr>
        <w:t>interview data were reviewed</w:t>
      </w:r>
      <w:r w:rsidR="00EA1443" w:rsidRPr="0040594E">
        <w:rPr>
          <w:lang w:val="en"/>
        </w:rPr>
        <w:t xml:space="preserve"> </w:t>
      </w:r>
      <w:r w:rsidR="00327A65" w:rsidRPr="0040594E">
        <w:rPr>
          <w:lang w:val="en"/>
        </w:rPr>
        <w:t xml:space="preserve">for </w:t>
      </w:r>
      <w:r w:rsidR="00B43AB3" w:rsidRPr="0040594E">
        <w:rPr>
          <w:lang w:val="en"/>
        </w:rPr>
        <w:t xml:space="preserve">quality </w:t>
      </w:r>
      <w:r w:rsidR="00327A65" w:rsidRPr="0040594E">
        <w:rPr>
          <w:lang w:val="en"/>
        </w:rPr>
        <w:t xml:space="preserve">assurance and quality </w:t>
      </w:r>
      <w:r w:rsidR="00B43AB3" w:rsidRPr="0040594E">
        <w:rPr>
          <w:lang w:val="en"/>
        </w:rPr>
        <w:t>control</w:t>
      </w:r>
      <w:r w:rsidR="00327A65" w:rsidRPr="0040594E">
        <w:rPr>
          <w:lang w:val="en"/>
        </w:rPr>
        <w:t>, data were co</w:t>
      </w:r>
      <w:r w:rsidR="00B43AB3" w:rsidRPr="0040594E">
        <w:rPr>
          <w:lang w:val="en"/>
        </w:rPr>
        <w:t>d</w:t>
      </w:r>
      <w:r w:rsidR="00327A65" w:rsidRPr="0040594E">
        <w:rPr>
          <w:lang w:val="en"/>
        </w:rPr>
        <w:t xml:space="preserve">ed, and an analytic database was created. In 2006, MDPH began working with engineering consultants to begin the exposure assessment phase of the study. </w:t>
      </w:r>
      <w:r w:rsidR="00B43AB3" w:rsidRPr="0040594E">
        <w:rPr>
          <w:lang w:val="en"/>
        </w:rPr>
        <w:t>Building on work completed by EPA</w:t>
      </w:r>
      <w:r w:rsidR="00327A65" w:rsidRPr="0040594E">
        <w:rPr>
          <w:lang w:val="en"/>
        </w:rPr>
        <w:t xml:space="preserve"> and private contractors</w:t>
      </w:r>
      <w:r w:rsidR="00B43AB3" w:rsidRPr="0040594E">
        <w:rPr>
          <w:lang w:val="en"/>
        </w:rPr>
        <w:t xml:space="preserve">, </w:t>
      </w:r>
      <w:r w:rsidR="00327A65" w:rsidRPr="0040594E">
        <w:t xml:space="preserve">historical </w:t>
      </w:r>
      <w:r w:rsidR="00B43AB3" w:rsidRPr="0040594E">
        <w:t xml:space="preserve">modeling </w:t>
      </w:r>
      <w:r w:rsidR="00327A65" w:rsidRPr="0040594E">
        <w:t xml:space="preserve">of NDMA concentrations </w:t>
      </w:r>
      <w:r w:rsidR="00F72DB1" w:rsidRPr="0040594E">
        <w:t xml:space="preserve">in groundwater and in the Wilmington public drinking water distribution system </w:t>
      </w:r>
      <w:r w:rsidR="00327A65" w:rsidRPr="0040594E">
        <w:t>was completed over three phases from 2006 to 2013</w:t>
      </w:r>
      <w:r w:rsidR="00F617FC" w:rsidRPr="0040594E">
        <w:t xml:space="preserve">, </w:t>
      </w:r>
      <w:r w:rsidR="00327A65" w:rsidRPr="0040594E">
        <w:t xml:space="preserve">as funding allowed and as new information relevant to understanding of the contamination surfaced. </w:t>
      </w:r>
      <w:r w:rsidR="00DF68C1" w:rsidRPr="0040594E">
        <w:t>S</w:t>
      </w:r>
      <w:r w:rsidR="00F617FC" w:rsidRPr="0040594E">
        <w:t xml:space="preserve">ubsequent </w:t>
      </w:r>
      <w:r w:rsidR="00DF68C1" w:rsidRPr="0040594E">
        <w:t>epidemiologic</w:t>
      </w:r>
      <w:r w:rsidR="00F617FC" w:rsidRPr="0040594E">
        <w:t xml:space="preserve"> analysis w</w:t>
      </w:r>
      <w:r w:rsidR="00DF68C1" w:rsidRPr="0040594E">
        <w:t>as</w:t>
      </w:r>
      <w:r w:rsidR="00F617FC" w:rsidRPr="0040594E">
        <w:t xml:space="preserve"> initially completed in 2014, followed by a first round of peer review. Additional exposure assessment work, including more in</w:t>
      </w:r>
      <w:r w:rsidR="00D87286" w:rsidRPr="0040594E">
        <w:t>-</w:t>
      </w:r>
      <w:r w:rsidR="00F617FC" w:rsidRPr="0040594E">
        <w:t>depth evaluation of TCE exposure, was conducted from 2015-2017</w:t>
      </w:r>
      <w:r w:rsidR="00DF68C1" w:rsidRPr="0040594E">
        <w:t xml:space="preserve"> (f</w:t>
      </w:r>
      <w:r w:rsidR="00F617FC" w:rsidRPr="0040594E">
        <w:t>or more details, see the Peer Review section of Methods</w:t>
      </w:r>
      <w:r w:rsidR="00DF68C1" w:rsidRPr="0040594E">
        <w:t>)</w:t>
      </w:r>
      <w:r w:rsidR="00F617FC" w:rsidRPr="0040594E">
        <w:t>.</w:t>
      </w:r>
      <w:r w:rsidR="00DF68C1" w:rsidRPr="0040594E">
        <w:t xml:space="preserve"> </w:t>
      </w:r>
      <w:r w:rsidR="008B5A94" w:rsidRPr="0040594E">
        <w:t>S</w:t>
      </w:r>
      <w:r w:rsidR="00DF68C1" w:rsidRPr="0040594E">
        <w:t xml:space="preserve">tudy analyses were completed in 2018 and a final peer review was conducted </w:t>
      </w:r>
      <w:r w:rsidR="004B6D88">
        <w:t>at the end of 2019.</w:t>
      </w:r>
    </w:p>
    <w:p w14:paraId="198DA1ED" w14:textId="235A08DA" w:rsidR="008B5A94" w:rsidRPr="0040594E" w:rsidRDefault="008B5A94" w:rsidP="007553EF">
      <w:r w:rsidRPr="0040594E">
        <w:t xml:space="preserve">As of the writing of this report, the most recent and complete year of childhood cancer incidence data available from the MCR was 2015. As shown in </w:t>
      </w:r>
      <w:r w:rsidR="00A13DBD" w:rsidRPr="0040594E">
        <w:fldChar w:fldCharType="begin"/>
      </w:r>
      <w:r w:rsidR="00A13DBD" w:rsidRPr="0040594E">
        <w:instrText xml:space="preserve"> REF  Figure3 \h </w:instrText>
      </w:r>
      <w:r w:rsidR="0040594E" w:rsidRPr="0040594E">
        <w:instrText xml:space="preserve"> \* MERGEFORMAT </w:instrText>
      </w:r>
      <w:r w:rsidR="00A13DBD" w:rsidRPr="0040594E">
        <w:fldChar w:fldCharType="separate"/>
      </w:r>
      <w:r w:rsidR="00977423" w:rsidRPr="00C00483">
        <w:t xml:space="preserve">Figure </w:t>
      </w:r>
      <w:r w:rsidR="00977423">
        <w:rPr>
          <w:noProof/>
        </w:rPr>
        <w:t>3</w:t>
      </w:r>
      <w:r w:rsidR="00977423" w:rsidRPr="00C00483">
        <w:rPr>
          <w:noProof/>
        </w:rPr>
        <w:t>.</w:t>
      </w:r>
      <w:r w:rsidR="00977423" w:rsidRPr="00C00483">
        <w:t xml:space="preserve"> </w:t>
      </w:r>
      <w:r w:rsidR="00A13DBD" w:rsidRPr="0040594E">
        <w:fldChar w:fldCharType="end"/>
      </w:r>
      <w:r w:rsidRPr="0040594E">
        <w:t>, the incidence of childhood cancer in Wilmington, MA from 2001 to 2015 varied from 0 to 2 cases per year. Over this period, the number of diagnoses each year was similar to what would be expected based on statewide data and the SIR for the entire 15-year period was 72.</w:t>
      </w:r>
    </w:p>
    <w:p w14:paraId="0E755588" w14:textId="289E2DFA" w:rsidR="008B5A94" w:rsidRPr="00C00483" w:rsidRDefault="007553EF" w:rsidP="006D7D91">
      <w:pPr>
        <w:pStyle w:val="Caption"/>
      </w:pPr>
      <w:bookmarkStart w:id="45" w:name="Figure3"/>
      <w:bookmarkStart w:id="46" w:name="_Toc45717778"/>
      <w:r>
        <w:rPr>
          <w:noProof/>
        </w:rPr>
        <w:lastRenderedPageBreak/>
        <w:drawing>
          <wp:anchor distT="0" distB="182880" distL="114300" distR="114300" simplePos="0" relativeHeight="251669504" behindDoc="0" locked="0" layoutInCell="1" allowOverlap="1" wp14:anchorId="618B070F" wp14:editId="637D6A3E">
            <wp:simplePos x="0" y="0"/>
            <wp:positionH relativeFrom="margin">
              <wp:align>left</wp:align>
            </wp:positionH>
            <wp:positionV relativeFrom="paragraph">
              <wp:posOffset>381733</wp:posOffset>
            </wp:positionV>
            <wp:extent cx="5833872" cy="3712464"/>
            <wp:effectExtent l="0" t="0" r="14605" b="254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8B5A94" w:rsidRPr="00C00483">
        <w:t xml:space="preserve">Figure </w:t>
      </w:r>
      <w:fldSimple w:instr=" SEQ Figure \* ARABIC ">
        <w:r w:rsidR="00977423">
          <w:rPr>
            <w:noProof/>
          </w:rPr>
          <w:t>3</w:t>
        </w:r>
      </w:fldSimple>
      <w:r w:rsidR="008B5A94" w:rsidRPr="00C00483">
        <w:t xml:space="preserve">. </w:t>
      </w:r>
      <w:bookmarkEnd w:id="45"/>
      <w:r w:rsidR="008B5A94" w:rsidRPr="00C00483">
        <w:t>Childhood cancer cases diagnosed in Wilmington, MA, by year (2001-2015)</w:t>
      </w:r>
      <w:bookmarkEnd w:id="46"/>
    </w:p>
    <w:p w14:paraId="03942423" w14:textId="6C292892" w:rsidR="00D6049D" w:rsidRDefault="003743D3" w:rsidP="009B5DA2">
      <w:pPr>
        <w:pStyle w:val="Heading2"/>
      </w:pPr>
      <w:bookmarkStart w:id="47" w:name="_Toc67488270"/>
      <w:r w:rsidRPr="00F80B1F">
        <w:t>CHILD</w:t>
      </w:r>
      <w:r w:rsidR="00283327" w:rsidRPr="00F80B1F">
        <w:t>H</w:t>
      </w:r>
      <w:r w:rsidRPr="00F80B1F">
        <w:t>OOD CANCER</w:t>
      </w:r>
      <w:bookmarkEnd w:id="47"/>
      <w:r w:rsidRPr="00F80B1F">
        <w:t xml:space="preserve">  </w:t>
      </w:r>
    </w:p>
    <w:p w14:paraId="653B016E" w14:textId="3154A80F" w:rsidR="0007349B" w:rsidRPr="0007349B" w:rsidRDefault="0007349B" w:rsidP="0010161F">
      <w:pPr>
        <w:pStyle w:val="Heading3"/>
      </w:pPr>
      <w:r w:rsidRPr="0007349B">
        <w:t>Cancer Types</w:t>
      </w:r>
    </w:p>
    <w:p w14:paraId="23B2CFB0" w14:textId="6EEB2565" w:rsidR="00D6049D" w:rsidRPr="0017605B" w:rsidRDefault="00D6049D" w:rsidP="007553EF">
      <w:bookmarkStart w:id="48" w:name="_Hlk4910983"/>
      <w:r w:rsidRPr="0017605B">
        <w:t>Cancer is a collection of related diseases involving cells that begin to divide and spread abnormally</w:t>
      </w:r>
      <w:r w:rsidR="00716072" w:rsidRPr="0017605B">
        <w:t xml:space="preserve">. </w:t>
      </w:r>
      <w:r w:rsidRPr="0017605B">
        <w:t>Cancer can affect any organ or cell type in the body resulting in many different diseases</w:t>
      </w:r>
      <w:r w:rsidR="00716072" w:rsidRPr="0017605B">
        <w:t xml:space="preserve">. </w:t>
      </w:r>
      <w:r w:rsidRPr="0017605B">
        <w:t>Each cancer type is a distinct disease with a unique set of causes, risk factors, and other characteristics</w:t>
      </w:r>
      <w:r w:rsidR="00716072" w:rsidRPr="0017605B">
        <w:t xml:space="preserve">. </w:t>
      </w:r>
    </w:p>
    <w:p w14:paraId="77A3925D" w14:textId="77777777" w:rsidR="00977423" w:rsidRDefault="009F5FDC" w:rsidP="007553EF">
      <w:r w:rsidRPr="0017605B">
        <w:t>Cancers are classified</w:t>
      </w:r>
      <w:r w:rsidR="00D6049D" w:rsidRPr="0017605B">
        <w:t xml:space="preserve"> into groups to </w:t>
      </w:r>
      <w:r w:rsidRPr="0017605B">
        <w:t xml:space="preserve">be </w:t>
      </w:r>
      <w:r w:rsidR="00D6049D" w:rsidRPr="0017605B">
        <w:t>stud</w:t>
      </w:r>
      <w:r w:rsidRPr="0017605B">
        <w:t>ied</w:t>
      </w:r>
      <w:r w:rsidR="00D6049D" w:rsidRPr="0017605B">
        <w:t xml:space="preserve"> and treat</w:t>
      </w:r>
      <w:r w:rsidRPr="0017605B">
        <w:t>ed</w:t>
      </w:r>
      <w:r w:rsidR="0046452E" w:rsidRPr="0017605B">
        <w:t xml:space="preserve"> more easily</w:t>
      </w:r>
      <w:r w:rsidR="00716072" w:rsidRPr="0017605B">
        <w:t xml:space="preserve">. </w:t>
      </w:r>
      <w:r w:rsidR="00D6049D" w:rsidRPr="0017605B">
        <w:t xml:space="preserve">Cancers are grouped by their cell type (histology) and where in the body they </w:t>
      </w:r>
      <w:r w:rsidRPr="0017605B">
        <w:t>originate</w:t>
      </w:r>
      <w:r w:rsidR="00D6049D" w:rsidRPr="0017605B">
        <w:t xml:space="preserve"> (primary site)</w:t>
      </w:r>
      <w:r w:rsidR="00716072" w:rsidRPr="0017605B">
        <w:t xml:space="preserve">. </w:t>
      </w:r>
      <w:r w:rsidR="00D6049D" w:rsidRPr="0017605B">
        <w:t>There are important differences between adult and childhood cancers</w:t>
      </w:r>
      <w:r w:rsidR="00716072" w:rsidRPr="0017605B">
        <w:t xml:space="preserve">. </w:t>
      </w:r>
      <w:r w:rsidR="00D6049D" w:rsidRPr="0017605B">
        <w:t>Separate classification schemes have been developed to accommodate these differences</w:t>
      </w:r>
      <w:r w:rsidR="00716072" w:rsidRPr="0017605B">
        <w:t xml:space="preserve">. </w:t>
      </w:r>
      <w:r w:rsidR="00D6049D" w:rsidRPr="0017605B">
        <w:t>The cancers most frequently diagnosed in adults start in one type of cell, epithelial cells, and are classified into a group known as carcinomas</w:t>
      </w:r>
      <w:r w:rsidR="00716072" w:rsidRPr="0017605B">
        <w:t xml:space="preserve">. </w:t>
      </w:r>
      <w:r w:rsidR="00D6049D" w:rsidRPr="0017605B">
        <w:t xml:space="preserve">Because many adult cancers affect this one cell type, </w:t>
      </w:r>
      <w:r w:rsidR="00F76AEE" w:rsidRPr="0017605B">
        <w:t>they</w:t>
      </w:r>
      <w:r w:rsidR="00D6049D" w:rsidRPr="0017605B">
        <w:t xml:space="preserve"> are grouped based on where they start in the body (e.g., </w:t>
      </w:r>
      <w:r w:rsidR="00F76AEE" w:rsidRPr="0017605B">
        <w:t xml:space="preserve">the </w:t>
      </w:r>
      <w:r w:rsidR="00D6049D" w:rsidRPr="0017605B">
        <w:t xml:space="preserve">breast, lung, </w:t>
      </w:r>
      <w:r w:rsidR="00F76AEE" w:rsidRPr="0017605B">
        <w:t xml:space="preserve">or </w:t>
      </w:r>
      <w:r w:rsidR="00D6049D" w:rsidRPr="0017605B">
        <w:t>prostate)</w:t>
      </w:r>
      <w:r w:rsidR="00716072" w:rsidRPr="0017605B">
        <w:t xml:space="preserve">. </w:t>
      </w:r>
      <w:r w:rsidR="00D6049D" w:rsidRPr="0017605B">
        <w:t>However, carcinomas are uncommon in children</w:t>
      </w:r>
      <w:r w:rsidR="00716072" w:rsidRPr="0017605B">
        <w:t xml:space="preserve">. </w:t>
      </w:r>
      <w:r w:rsidR="00D6049D" w:rsidRPr="0017605B">
        <w:t>The most frequently diagnosed cancers in children (leukemias, brain and central nervous system tumors, and lymphomas) start in a variety of cell types</w:t>
      </w:r>
      <w:r w:rsidR="00716072" w:rsidRPr="0017605B">
        <w:t xml:space="preserve">. </w:t>
      </w:r>
      <w:r w:rsidRPr="0017605B">
        <w:t>Therefore</w:t>
      </w:r>
      <w:r w:rsidR="00D6049D" w:rsidRPr="0017605B">
        <w:t xml:space="preserve">, cell type (i.e., </w:t>
      </w:r>
      <w:r w:rsidR="00D6049D" w:rsidRPr="0017605B">
        <w:lastRenderedPageBreak/>
        <w:t xml:space="preserve">histology) plays a larger role in classifying childhood cancers (Birch and Marsden 1987; </w:t>
      </w:r>
      <w:proofErr w:type="spellStart"/>
      <w:r w:rsidR="00D6049D" w:rsidRPr="0017605B">
        <w:t>Steliarova-Foucher</w:t>
      </w:r>
      <w:proofErr w:type="spellEnd"/>
      <w:r w:rsidR="00D6049D" w:rsidRPr="0017605B">
        <w:t xml:space="preserve"> </w:t>
      </w:r>
      <w:r w:rsidR="00D773D2" w:rsidRPr="0017605B">
        <w:t>et al</w:t>
      </w:r>
      <w:r w:rsidR="00716072" w:rsidRPr="0017605B">
        <w:t xml:space="preserve">. </w:t>
      </w:r>
      <w:r w:rsidR="00D6049D" w:rsidRPr="0017605B">
        <w:t>2005)</w:t>
      </w:r>
      <w:r w:rsidR="00716072" w:rsidRPr="0017605B">
        <w:t xml:space="preserve">. </w:t>
      </w:r>
      <w:r w:rsidR="00D6049D" w:rsidRPr="0017605B">
        <w:t>The International Classification of Childhood Cancers (ICCC) was developed to accommodate the specific types of cancer diagnosed in children (</w:t>
      </w:r>
      <w:proofErr w:type="spellStart"/>
      <w:r w:rsidR="00D6049D" w:rsidRPr="0017605B">
        <w:t>Steliarova-Foucher</w:t>
      </w:r>
      <w:proofErr w:type="spellEnd"/>
      <w:r w:rsidR="00D6049D" w:rsidRPr="0017605B">
        <w:t xml:space="preserve"> </w:t>
      </w:r>
      <w:r w:rsidR="00D773D2" w:rsidRPr="0017605B">
        <w:t>et al</w:t>
      </w:r>
      <w:r w:rsidR="00716072" w:rsidRPr="0017605B">
        <w:t xml:space="preserve">. </w:t>
      </w:r>
      <w:r w:rsidR="00D6049D" w:rsidRPr="0017605B">
        <w:t>2005)</w:t>
      </w:r>
      <w:r w:rsidR="00716072" w:rsidRPr="0017605B">
        <w:t xml:space="preserve">. </w:t>
      </w:r>
      <w:r w:rsidR="00D6049D" w:rsidRPr="0017605B">
        <w:t xml:space="preserve">This study classifies childhood cancer using the third edition of the ICCC, updated for Hematopoietic codes based on WHO Classification of </w:t>
      </w:r>
      <w:proofErr w:type="spellStart"/>
      <w:r w:rsidR="00D6049D" w:rsidRPr="0017605B">
        <w:t>Tumours</w:t>
      </w:r>
      <w:proofErr w:type="spellEnd"/>
      <w:r w:rsidR="00D6049D" w:rsidRPr="0017605B">
        <w:t xml:space="preserve"> of </w:t>
      </w:r>
      <w:proofErr w:type="spellStart"/>
      <w:r w:rsidR="00D6049D" w:rsidRPr="0017605B">
        <w:t>Haematopoietic</w:t>
      </w:r>
      <w:proofErr w:type="spellEnd"/>
      <w:r w:rsidR="00D6049D" w:rsidRPr="0017605B">
        <w:t xml:space="preserve"> and Lymphoid Tissues (</w:t>
      </w:r>
      <w:proofErr w:type="spellStart"/>
      <w:r w:rsidR="00D773D2" w:rsidRPr="0017605B">
        <w:t>Swerdlow</w:t>
      </w:r>
      <w:proofErr w:type="spellEnd"/>
      <w:r w:rsidR="00D773D2" w:rsidRPr="0017605B">
        <w:t xml:space="preserve"> et al</w:t>
      </w:r>
      <w:r w:rsidR="00716072" w:rsidRPr="0017605B">
        <w:t xml:space="preserve">. </w:t>
      </w:r>
      <w:r w:rsidR="00D6049D" w:rsidRPr="0017605B">
        <w:t>2008)</w:t>
      </w:r>
      <w:r w:rsidR="00716072" w:rsidRPr="0017605B">
        <w:t xml:space="preserve">. </w:t>
      </w:r>
      <w:r w:rsidR="00B02C84" w:rsidRPr="0017605B">
        <w:t>The types of cancer affecting Wilmington children during the full study period, 19</w:t>
      </w:r>
      <w:r w:rsidR="00E649C7" w:rsidRPr="0017605B">
        <w:t>90</w:t>
      </w:r>
      <w:r w:rsidR="00B02C84" w:rsidRPr="0017605B">
        <w:t xml:space="preserve">-2000, varied as shown in </w:t>
      </w:r>
      <w:r w:rsidR="008D2357">
        <w:fldChar w:fldCharType="begin"/>
      </w:r>
      <w:r w:rsidR="008D2357">
        <w:instrText xml:space="preserve"> REF  Table2 \h </w:instrText>
      </w:r>
      <w:r w:rsidR="007553EF">
        <w:instrText xml:space="preserve"> \* MERGEFORMAT </w:instrText>
      </w:r>
      <w:r w:rsidR="008D2357">
        <w:fldChar w:fldCharType="separate"/>
      </w:r>
      <w:r w:rsidR="00977423" w:rsidRPr="00616AFF">
        <w:t xml:space="preserve">Table </w:t>
      </w:r>
      <w:r w:rsidR="00977423">
        <w:rPr>
          <w:noProof/>
        </w:rPr>
        <w:t>2</w:t>
      </w:r>
      <w:r w:rsidR="008D2357">
        <w:fldChar w:fldCharType="end"/>
      </w:r>
      <w:r w:rsidR="00E649C7" w:rsidRPr="0017605B">
        <w:t xml:space="preserve"> (</w:t>
      </w:r>
      <w:r w:rsidR="003755EE" w:rsidRPr="0017605B">
        <w:t>n</w:t>
      </w:r>
      <w:r w:rsidR="00E649C7" w:rsidRPr="0017605B">
        <w:t xml:space="preserve">ote that no children were diagnosed during 1987 to 1989 as shown in </w:t>
      </w:r>
      <w:r w:rsidR="00A13DBD">
        <w:fldChar w:fldCharType="begin"/>
      </w:r>
      <w:r w:rsidR="00A13DBD">
        <w:instrText xml:space="preserve"> REF  Figure2 \h </w:instrText>
      </w:r>
      <w:r w:rsidR="0040594E">
        <w:instrText xml:space="preserve"> \* MERGEFORMAT </w:instrText>
      </w:r>
      <w:r w:rsidR="00A13DBD">
        <w:fldChar w:fldCharType="separate"/>
      </w:r>
    </w:p>
    <w:p w14:paraId="1DD65254" w14:textId="14AD0513" w:rsidR="00F52013" w:rsidRDefault="00977423" w:rsidP="007553EF">
      <w:r w:rsidRPr="006D7D91">
        <w:t>Figure</w:t>
      </w:r>
      <w:r w:rsidRPr="00046A11">
        <w:rPr>
          <w:noProof/>
        </w:rPr>
        <w:t xml:space="preserve"> </w:t>
      </w:r>
      <w:r>
        <w:rPr>
          <w:noProof/>
        </w:rPr>
        <w:t>2</w:t>
      </w:r>
      <w:r w:rsidR="00A13DBD">
        <w:fldChar w:fldCharType="end"/>
      </w:r>
      <w:r w:rsidR="00E649C7" w:rsidRPr="0017605B">
        <w:t>)</w:t>
      </w:r>
      <w:r w:rsidR="00716072" w:rsidRPr="0017605B">
        <w:t>.</w:t>
      </w:r>
      <w:r w:rsidR="00716072">
        <w:t xml:space="preserve"> </w:t>
      </w:r>
    </w:p>
    <w:p w14:paraId="42212D9E" w14:textId="66CC6FC9" w:rsidR="00455CD0" w:rsidRDefault="00455CD0" w:rsidP="00455CD0">
      <w:pPr>
        <w:pStyle w:val="Caption"/>
        <w:keepNext/>
      </w:pPr>
      <w:bookmarkStart w:id="49" w:name="_Ref12008243"/>
      <w:bookmarkStart w:id="50" w:name="Table2"/>
      <w:bookmarkStart w:id="51" w:name="_Toc12012866"/>
      <w:bookmarkStart w:id="52" w:name="_Toc12013060"/>
      <w:bookmarkStart w:id="53" w:name="_Toc45714881"/>
      <w:r w:rsidRPr="00616AFF">
        <w:t xml:space="preserve">Table </w:t>
      </w:r>
      <w:bookmarkEnd w:id="49"/>
      <w:r w:rsidR="006D7D91">
        <w:rPr>
          <w:noProof/>
        </w:rPr>
        <w:fldChar w:fldCharType="begin"/>
      </w:r>
      <w:r w:rsidR="006D7D91">
        <w:rPr>
          <w:noProof/>
        </w:rPr>
        <w:instrText xml:space="preserve"> SEQ Table \* ARABIC </w:instrText>
      </w:r>
      <w:r w:rsidR="006D7D91">
        <w:rPr>
          <w:noProof/>
        </w:rPr>
        <w:fldChar w:fldCharType="separate"/>
      </w:r>
      <w:r w:rsidR="00977423">
        <w:rPr>
          <w:noProof/>
        </w:rPr>
        <w:t>2</w:t>
      </w:r>
      <w:r w:rsidR="006D7D91">
        <w:rPr>
          <w:noProof/>
        </w:rPr>
        <w:fldChar w:fldCharType="end"/>
      </w:r>
      <w:bookmarkEnd w:id="50"/>
      <w:r w:rsidR="00716072" w:rsidRPr="00616AFF">
        <w:t xml:space="preserve">. </w:t>
      </w:r>
      <w:r w:rsidRPr="00616AFF">
        <w:t>Types of Cancer Diagnosed Among Wilmington Children, 1990-2000</w:t>
      </w:r>
      <w:bookmarkEnd w:id="51"/>
      <w:bookmarkEnd w:id="52"/>
      <w:bookmarkEnd w:id="53"/>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86" w:type="dxa"/>
        </w:tblCellMar>
        <w:tblLook w:val="04A0" w:firstRow="1" w:lastRow="0" w:firstColumn="1" w:lastColumn="0" w:noHBand="0" w:noVBand="1"/>
      </w:tblPr>
      <w:tblGrid>
        <w:gridCol w:w="9619"/>
      </w:tblGrid>
      <w:tr w:rsidR="00B02C84" w14:paraId="319A5FFD" w14:textId="77777777" w:rsidTr="0010161F">
        <w:trPr>
          <w:trHeight w:val="2465"/>
        </w:trPr>
        <w:tc>
          <w:tcPr>
            <w:tcW w:w="9619" w:type="dxa"/>
            <w:shd w:val="clear" w:color="auto" w:fill="auto"/>
          </w:tcPr>
          <w:p w14:paraId="0DDFDCB8" w14:textId="103B9528"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Leukemias</w:t>
            </w:r>
          </w:p>
          <w:p w14:paraId="60233BE9" w14:textId="77777777"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Lymphomas</w:t>
            </w:r>
          </w:p>
          <w:p w14:paraId="42BE34E8" w14:textId="77777777"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Malignant Bone Tumors</w:t>
            </w:r>
          </w:p>
          <w:p w14:paraId="16008B44" w14:textId="77777777"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 xml:space="preserve">Central Nervous System Neoplasms </w:t>
            </w:r>
          </w:p>
          <w:p w14:paraId="2DEB6128" w14:textId="77777777"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Soft Tissue Sarcomas</w:t>
            </w:r>
          </w:p>
          <w:p w14:paraId="39FB10E0" w14:textId="77777777"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Germ Cell Tumors</w:t>
            </w:r>
          </w:p>
          <w:p w14:paraId="6FC336F1" w14:textId="77777777"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Renal Tumors</w:t>
            </w:r>
          </w:p>
          <w:p w14:paraId="2F1FA606" w14:textId="77777777" w:rsidR="00B02C84" w:rsidRPr="007553EF" w:rsidRDefault="00B02C84" w:rsidP="00A409CE">
            <w:pPr>
              <w:pStyle w:val="Tablebody"/>
              <w:spacing w:line="276" w:lineRule="auto"/>
              <w:rPr>
                <w:rFonts w:asciiTheme="majorHAnsi" w:hAnsiTheme="majorHAnsi" w:cstheme="minorHAnsi"/>
                <w:sz w:val="24"/>
                <w:szCs w:val="24"/>
              </w:rPr>
            </w:pPr>
            <w:r w:rsidRPr="007553EF">
              <w:rPr>
                <w:rFonts w:asciiTheme="majorHAnsi" w:hAnsiTheme="majorHAnsi" w:cstheme="minorHAnsi"/>
                <w:sz w:val="24"/>
                <w:szCs w:val="24"/>
              </w:rPr>
              <w:t>Hepatic Tumors</w:t>
            </w:r>
          </w:p>
          <w:p w14:paraId="6C31125D" w14:textId="32A6F37C" w:rsidR="00B02C84" w:rsidRDefault="00BB45B9" w:rsidP="00A409CE">
            <w:pPr>
              <w:pStyle w:val="Tablebody"/>
              <w:spacing w:line="276" w:lineRule="auto"/>
            </w:pPr>
            <w:r w:rsidRPr="007553EF">
              <w:rPr>
                <w:rFonts w:asciiTheme="majorHAnsi" w:hAnsiTheme="majorHAnsi" w:cstheme="minorHAnsi"/>
                <w:sz w:val="24"/>
                <w:szCs w:val="24"/>
              </w:rPr>
              <w:t>Other Malignant Epithelial Neoplasms and Malignant Melanoma</w:t>
            </w:r>
          </w:p>
        </w:tc>
      </w:tr>
    </w:tbl>
    <w:p w14:paraId="4F7F9575" w14:textId="77777777" w:rsidR="0007349B" w:rsidRPr="0007349B" w:rsidRDefault="0007349B" w:rsidP="0010161F">
      <w:pPr>
        <w:pStyle w:val="Heading3"/>
        <w:spacing w:before="360"/>
      </w:pPr>
      <w:r w:rsidRPr="0007349B">
        <w:t>C</w:t>
      </w:r>
      <w:r>
        <w:t>auses of Childhood C</w:t>
      </w:r>
      <w:r w:rsidRPr="0007349B">
        <w:t>ancer</w:t>
      </w:r>
    </w:p>
    <w:p w14:paraId="6C958F2E" w14:textId="77777777" w:rsidR="00D6049D" w:rsidRPr="00AD62C8" w:rsidRDefault="00D6049D" w:rsidP="007553EF">
      <w:r w:rsidRPr="00AD62C8">
        <w:t>A series of changes to a cell’s genetic material results in the conversion of a normal cell to a tumor cell (Barrett 1993; Knudson 1971; Loeb et al</w:t>
      </w:r>
      <w:r w:rsidR="00716072" w:rsidRPr="00AD62C8">
        <w:t xml:space="preserve">. </w:t>
      </w:r>
      <w:r w:rsidRPr="00AD62C8">
        <w:t>2003)</w:t>
      </w:r>
      <w:r w:rsidR="00716072" w:rsidRPr="00AD62C8">
        <w:t xml:space="preserve">. </w:t>
      </w:r>
      <w:r w:rsidRPr="00AD62C8">
        <w:t>Many cancers occur because of changes to cells that happen by random chance</w:t>
      </w:r>
      <w:r w:rsidR="00716072" w:rsidRPr="00AD62C8">
        <w:t xml:space="preserve">. </w:t>
      </w:r>
      <w:r w:rsidRPr="00AD62C8">
        <w:t>These are called sporadic or spontaneous mutations and are not due to any particular exposure to a cancer-causing agent (i.e., carcinogen)</w:t>
      </w:r>
      <w:r w:rsidR="00716072" w:rsidRPr="00AD62C8">
        <w:t xml:space="preserve">. </w:t>
      </w:r>
      <w:r w:rsidRPr="00AD62C8">
        <w:t>Other times, exposure to a carcinogen may be an initiating or contributing factor to the development of cancer in an individual</w:t>
      </w:r>
      <w:r w:rsidR="00716072" w:rsidRPr="00AD62C8">
        <w:t xml:space="preserve">. </w:t>
      </w:r>
      <w:r w:rsidRPr="00AD62C8">
        <w:t>It is possible that multiple risk factors may influence the development of cancer and an individual’s risk of developing cancer may depend on a complex interaction between their genetic makeup and exposure to a cancer-causing agent (Wu et al</w:t>
      </w:r>
      <w:r w:rsidR="00716072" w:rsidRPr="00AD62C8">
        <w:t xml:space="preserve">. </w:t>
      </w:r>
      <w:r w:rsidRPr="00AD62C8">
        <w:t>2018).</w:t>
      </w:r>
    </w:p>
    <w:p w14:paraId="40A2C435" w14:textId="77777777" w:rsidR="00D6049D" w:rsidRPr="00AD62C8" w:rsidRDefault="00D6049D" w:rsidP="007553EF">
      <w:r w:rsidRPr="00AD62C8">
        <w:t>For childhood cancers, the initial genetic change (e.g., gene mutation) can occur during childhood or in the fetus during pregnancy</w:t>
      </w:r>
      <w:r w:rsidR="00716072" w:rsidRPr="00AD62C8">
        <w:t xml:space="preserve">. </w:t>
      </w:r>
      <w:r w:rsidRPr="00AD62C8">
        <w:t>In some cases, certain mutations that increase the risk of developing cancer can be passed down from parent to child</w:t>
      </w:r>
      <w:r w:rsidR="00716072" w:rsidRPr="00AD62C8">
        <w:t xml:space="preserve">. </w:t>
      </w:r>
      <w:r w:rsidRPr="00AD62C8">
        <w:t xml:space="preserve">About 10% of children diagnosed with cancer have one of several rare genetic syndromes that </w:t>
      </w:r>
      <w:r w:rsidRPr="00AD62C8">
        <w:lastRenderedPageBreak/>
        <w:t>increase their risk of developing cancer (Roman et al</w:t>
      </w:r>
      <w:r w:rsidR="00716072" w:rsidRPr="00AD62C8">
        <w:t xml:space="preserve">. </w:t>
      </w:r>
      <w:r w:rsidRPr="00AD62C8">
        <w:t>2018)</w:t>
      </w:r>
      <w:r w:rsidR="00716072" w:rsidRPr="00AD62C8">
        <w:t xml:space="preserve">. </w:t>
      </w:r>
      <w:r w:rsidR="009F5FDC" w:rsidRPr="00AD62C8">
        <w:t>However, n</w:t>
      </w:r>
      <w:r w:rsidRPr="00AD62C8">
        <w:t>ot all children with a predisposition syndrome will develop cancer</w:t>
      </w:r>
      <w:r w:rsidR="00716072" w:rsidRPr="00AD62C8">
        <w:t xml:space="preserve">. </w:t>
      </w:r>
      <w:r w:rsidRPr="00AD62C8">
        <w:t>An additional mutation (or mutations) needs to occur to change normal cells to cancer cells (Barrett 1993; Knudson 1971)</w:t>
      </w:r>
      <w:r w:rsidR="00716072" w:rsidRPr="00AD62C8">
        <w:t xml:space="preserve">. </w:t>
      </w:r>
    </w:p>
    <w:p w14:paraId="3F4DFFB1" w14:textId="2F7CE0F5" w:rsidR="00EF0BD9" w:rsidRDefault="00D6049D" w:rsidP="007553EF">
      <w:r w:rsidRPr="00AD62C8">
        <w:t>Both genetic factors and various prenatal and postnatal exposures have been extensively evaluated as potential risk factors for childhood cancer, although most causes of childhood cancer remain unknown (NCI 2019)</w:t>
      </w:r>
      <w:r w:rsidR="00716072" w:rsidRPr="00AD62C8">
        <w:t xml:space="preserve">. </w:t>
      </w:r>
      <w:r w:rsidRPr="00AD62C8">
        <w:t>Lifestyle-related risk factors such as body weight, physical activity, diet, and tobacco use play a major role in many adult cancers</w:t>
      </w:r>
      <w:r w:rsidR="00716072" w:rsidRPr="00AD62C8">
        <w:t xml:space="preserve">. </w:t>
      </w:r>
      <w:r w:rsidRPr="00AD62C8">
        <w:t>However, since these factors usually take many years to influence cancer risk they are not thought to play much of a role in childhood cancers (ACS 2019)</w:t>
      </w:r>
      <w:r w:rsidR="00716072" w:rsidRPr="00AD62C8">
        <w:t xml:space="preserve">. </w:t>
      </w:r>
      <w:r w:rsidRPr="00AD62C8">
        <w:t>Some risk factors for childhood cancer have been identified, but account for only a small portion of all diagnoses</w:t>
      </w:r>
      <w:r w:rsidR="00716072" w:rsidRPr="00AD62C8">
        <w:t xml:space="preserve">. </w:t>
      </w:r>
      <w:r w:rsidRPr="00AD62C8">
        <w:t>Widely accepted risk factors include ionizing radiation</w:t>
      </w:r>
      <w:r w:rsidR="0046452E" w:rsidRPr="00AD62C8">
        <w:t>,</w:t>
      </w:r>
      <w:r w:rsidRPr="00AD62C8">
        <w:t xml:space="preserve"> certain genetic diseases, some viral infections, and certain medications (Roman et al</w:t>
      </w:r>
      <w:r w:rsidR="00716072" w:rsidRPr="00AD62C8">
        <w:t xml:space="preserve">. </w:t>
      </w:r>
      <w:r w:rsidRPr="00AD62C8">
        <w:t>2018)</w:t>
      </w:r>
      <w:r w:rsidR="00716072" w:rsidRPr="00AD62C8">
        <w:t xml:space="preserve">. </w:t>
      </w:r>
      <w:bookmarkEnd w:id="48"/>
    </w:p>
    <w:p w14:paraId="2E570C5B" w14:textId="77777777" w:rsidR="003743D3" w:rsidRPr="0007349B" w:rsidRDefault="0007349B" w:rsidP="0010161F">
      <w:pPr>
        <w:pStyle w:val="Heading3"/>
      </w:pPr>
      <w:r w:rsidRPr="0007349B">
        <w:t xml:space="preserve">Risk Factors and Epidemiology of </w:t>
      </w:r>
      <w:r w:rsidR="003743D3" w:rsidRPr="0007349B">
        <w:t>Cancer Types Diagnosed Among Wilmington Children</w:t>
      </w:r>
    </w:p>
    <w:p w14:paraId="5C81DDD7" w14:textId="77777777" w:rsidR="002C0D44" w:rsidRDefault="002C0D44" w:rsidP="00D06A04">
      <w:bookmarkStart w:id="54" w:name="_Toc365640903"/>
      <w:r>
        <w:t xml:space="preserve">A total </w:t>
      </w:r>
      <w:r w:rsidR="00D64D8E">
        <w:t xml:space="preserve">of </w:t>
      </w:r>
      <w:r>
        <w:t>23 cancers were diagnosed among Wilmington children between 19</w:t>
      </w:r>
      <w:r w:rsidR="00C05862">
        <w:t>90</w:t>
      </w:r>
      <w:r>
        <w:t xml:space="preserve"> and 2000.</w:t>
      </w:r>
    </w:p>
    <w:p w14:paraId="7EA28639" w14:textId="3C044725" w:rsidR="00D06A04" w:rsidRDefault="002C0D44" w:rsidP="00D06A04">
      <w:r>
        <w:t>Following is a</w:t>
      </w:r>
      <w:r w:rsidRPr="00F80B1F">
        <w:t xml:space="preserve"> review of the literature </w:t>
      </w:r>
      <w:r>
        <w:t xml:space="preserve">describing the epidemiology and potential causal factors of childhood cancer </w:t>
      </w:r>
      <w:r w:rsidRPr="00F80B1F">
        <w:t xml:space="preserve">presented by </w:t>
      </w:r>
      <w:r>
        <w:t xml:space="preserve">cancer </w:t>
      </w:r>
      <w:r w:rsidRPr="00F80B1F">
        <w:t>type.</w:t>
      </w:r>
    </w:p>
    <w:p w14:paraId="14AAF43F" w14:textId="77777777" w:rsidR="00D6049D" w:rsidRPr="00694F6A" w:rsidRDefault="00D6049D" w:rsidP="0063071E">
      <w:pPr>
        <w:pStyle w:val="StyleHeading4Linespacingsingle"/>
      </w:pPr>
      <w:r w:rsidRPr="00F80B1F">
        <w:t>Leukemia</w:t>
      </w:r>
    </w:p>
    <w:p w14:paraId="7D68D58C" w14:textId="77777777" w:rsidR="00D6049D" w:rsidRPr="00F80B1F" w:rsidRDefault="00D6049D" w:rsidP="00D06A04">
      <w:pPr>
        <w:rPr>
          <w:lang w:val="en"/>
        </w:rPr>
      </w:pPr>
      <w:r>
        <w:rPr>
          <w:lang w:val="en"/>
        </w:rPr>
        <w:t>Eight</w:t>
      </w:r>
      <w:r w:rsidRPr="00F80B1F">
        <w:rPr>
          <w:lang w:val="en"/>
        </w:rPr>
        <w:t xml:space="preserve"> children </w:t>
      </w:r>
      <w:r>
        <w:rPr>
          <w:lang w:val="en"/>
        </w:rPr>
        <w:t xml:space="preserve">in Wilmington were </w:t>
      </w:r>
      <w:r w:rsidRPr="00F80B1F">
        <w:rPr>
          <w:lang w:val="en"/>
        </w:rPr>
        <w:t>diagnosed with leukemia between 19</w:t>
      </w:r>
      <w:r w:rsidR="00C05862">
        <w:rPr>
          <w:lang w:val="en"/>
        </w:rPr>
        <w:t>90</w:t>
      </w:r>
      <w:r w:rsidRPr="00F80B1F">
        <w:rPr>
          <w:lang w:val="en"/>
        </w:rPr>
        <w:t xml:space="preserve"> and 2000</w:t>
      </w:r>
      <w:r w:rsidR="00716072">
        <w:rPr>
          <w:lang w:val="en"/>
        </w:rPr>
        <w:t xml:space="preserve">. </w:t>
      </w:r>
      <w:r w:rsidRPr="00F80B1F">
        <w:rPr>
          <w:lang w:val="en"/>
        </w:rPr>
        <w:t xml:space="preserve">Six of the children </w:t>
      </w:r>
      <w:r>
        <w:rPr>
          <w:lang w:val="en"/>
        </w:rPr>
        <w:t>were</w:t>
      </w:r>
      <w:r w:rsidRPr="00F80B1F">
        <w:rPr>
          <w:lang w:val="en"/>
        </w:rPr>
        <w:t xml:space="preserve"> diagn</w:t>
      </w:r>
      <w:r>
        <w:rPr>
          <w:lang w:val="en"/>
        </w:rPr>
        <w:t>osed</w:t>
      </w:r>
      <w:r w:rsidRPr="00F80B1F">
        <w:rPr>
          <w:lang w:val="en"/>
        </w:rPr>
        <w:t xml:space="preserve"> </w:t>
      </w:r>
      <w:r>
        <w:rPr>
          <w:lang w:val="en"/>
        </w:rPr>
        <w:t>with</w:t>
      </w:r>
      <w:r w:rsidRPr="00F80B1F">
        <w:rPr>
          <w:lang w:val="en"/>
        </w:rPr>
        <w:t xml:space="preserve"> acute lymphocytic leukemia (ALL) and the other two </w:t>
      </w:r>
      <w:r>
        <w:rPr>
          <w:lang w:val="en"/>
        </w:rPr>
        <w:t>were diagnosed with</w:t>
      </w:r>
      <w:r w:rsidRPr="00F80B1F">
        <w:rPr>
          <w:lang w:val="en"/>
        </w:rPr>
        <w:t xml:space="preserve"> acute myeloid leukemia</w:t>
      </w:r>
      <w:r>
        <w:rPr>
          <w:lang w:val="en"/>
        </w:rPr>
        <w:t xml:space="preserve"> (AML)</w:t>
      </w:r>
      <w:r w:rsidR="00716072">
        <w:rPr>
          <w:lang w:val="en"/>
        </w:rPr>
        <w:t xml:space="preserve">. </w:t>
      </w:r>
      <w:r w:rsidRPr="00F80B1F">
        <w:rPr>
          <w:lang w:val="en"/>
        </w:rPr>
        <w:t xml:space="preserve">A ninth child also had a diagnosis of leukemia but that </w:t>
      </w:r>
      <w:r>
        <w:rPr>
          <w:lang w:val="en"/>
        </w:rPr>
        <w:t xml:space="preserve">cancer occurred </w:t>
      </w:r>
      <w:r w:rsidR="003755EE">
        <w:rPr>
          <w:lang w:val="en"/>
        </w:rPr>
        <w:t xml:space="preserve">several years </w:t>
      </w:r>
      <w:r>
        <w:rPr>
          <w:lang w:val="en"/>
        </w:rPr>
        <w:t xml:space="preserve">after </w:t>
      </w:r>
      <w:r w:rsidR="004449EE">
        <w:rPr>
          <w:lang w:val="en"/>
        </w:rPr>
        <w:t>an earlier</w:t>
      </w:r>
      <w:r>
        <w:rPr>
          <w:lang w:val="en"/>
        </w:rPr>
        <w:t xml:space="preserve"> diagnos</w:t>
      </w:r>
      <w:r w:rsidR="004449EE">
        <w:rPr>
          <w:lang w:val="en"/>
        </w:rPr>
        <w:t>is</w:t>
      </w:r>
      <w:r>
        <w:rPr>
          <w:lang w:val="en"/>
        </w:rPr>
        <w:t xml:space="preserve"> </w:t>
      </w:r>
      <w:r w:rsidR="004449EE">
        <w:rPr>
          <w:lang w:val="en"/>
        </w:rPr>
        <w:t>of</w:t>
      </w:r>
      <w:r>
        <w:rPr>
          <w:lang w:val="en"/>
        </w:rPr>
        <w:t xml:space="preserve"> malignant </w:t>
      </w:r>
      <w:r w:rsidRPr="00F80B1F">
        <w:rPr>
          <w:lang w:val="en"/>
        </w:rPr>
        <w:t xml:space="preserve">bone </w:t>
      </w:r>
      <w:r>
        <w:rPr>
          <w:lang w:val="en"/>
        </w:rPr>
        <w:t>tumors</w:t>
      </w:r>
      <w:r w:rsidR="004449EE">
        <w:rPr>
          <w:lang w:val="en"/>
        </w:rPr>
        <w:t xml:space="preserve"> and</w:t>
      </w:r>
      <w:r w:rsidR="00030C2E">
        <w:rPr>
          <w:lang w:val="en"/>
        </w:rPr>
        <w:t xml:space="preserve"> </w:t>
      </w:r>
      <w:r w:rsidR="004449EE">
        <w:rPr>
          <w:lang w:val="en"/>
        </w:rPr>
        <w:t>was likely</w:t>
      </w:r>
      <w:r w:rsidR="00030C2E">
        <w:rPr>
          <w:lang w:val="en"/>
        </w:rPr>
        <w:t xml:space="preserve"> related to treatment received from the earlier cancer</w:t>
      </w:r>
      <w:r w:rsidR="003F57C4">
        <w:rPr>
          <w:lang w:val="en"/>
        </w:rPr>
        <w:t xml:space="preserve"> (</w:t>
      </w:r>
      <w:r w:rsidR="00B6093D">
        <w:rPr>
          <w:lang w:val="en"/>
        </w:rPr>
        <w:t>Bradley et al</w:t>
      </w:r>
      <w:r w:rsidR="00716072">
        <w:rPr>
          <w:lang w:val="en"/>
        </w:rPr>
        <w:t xml:space="preserve">. </w:t>
      </w:r>
      <w:r w:rsidR="00B6093D">
        <w:rPr>
          <w:lang w:val="en"/>
        </w:rPr>
        <w:t>2018)</w:t>
      </w:r>
      <w:r w:rsidR="00716072">
        <w:rPr>
          <w:lang w:val="en"/>
        </w:rPr>
        <w:t xml:space="preserve">. </w:t>
      </w:r>
      <w:r>
        <w:rPr>
          <w:lang w:val="en"/>
        </w:rPr>
        <w:t xml:space="preserve">This child’s </w:t>
      </w:r>
      <w:r w:rsidR="00C05862">
        <w:rPr>
          <w:lang w:val="en"/>
        </w:rPr>
        <w:t xml:space="preserve">initial </w:t>
      </w:r>
      <w:r>
        <w:rPr>
          <w:lang w:val="en"/>
        </w:rPr>
        <w:t xml:space="preserve">cancer diagnosis </w:t>
      </w:r>
      <w:r w:rsidR="0046452E">
        <w:rPr>
          <w:lang w:val="en"/>
        </w:rPr>
        <w:t>(</w:t>
      </w:r>
      <w:r>
        <w:rPr>
          <w:lang w:val="en"/>
        </w:rPr>
        <w:t>malignant bone tumors</w:t>
      </w:r>
      <w:r w:rsidR="0046452E">
        <w:rPr>
          <w:lang w:val="en"/>
        </w:rPr>
        <w:t>)</w:t>
      </w:r>
      <w:r>
        <w:rPr>
          <w:lang w:val="en"/>
        </w:rPr>
        <w:t xml:space="preserve"> was included in the study</w:t>
      </w:r>
      <w:r w:rsidR="004449EE">
        <w:rPr>
          <w:lang w:val="en"/>
        </w:rPr>
        <w:t>, but the later diagnosis of leukemia was excluded</w:t>
      </w:r>
      <w:r>
        <w:rPr>
          <w:lang w:val="en"/>
        </w:rPr>
        <w:t>.</w:t>
      </w:r>
    </w:p>
    <w:p w14:paraId="39D552B2" w14:textId="77777777" w:rsidR="00D6049D" w:rsidRPr="00F80B1F" w:rsidRDefault="00D6049D" w:rsidP="00D06A04">
      <w:r w:rsidRPr="00F80B1F">
        <w:t>Leukemia is a cancer of the bone marrow and blood</w:t>
      </w:r>
      <w:r>
        <w:t xml:space="preserve"> (ACS 2014)</w:t>
      </w:r>
      <w:r w:rsidR="00716072">
        <w:t xml:space="preserve">. </w:t>
      </w:r>
      <w:r w:rsidRPr="00F80B1F">
        <w:t>It is the most common type of childhood cancer</w:t>
      </w:r>
      <w:r>
        <w:t xml:space="preserve"> and</w:t>
      </w:r>
      <w:r w:rsidRPr="00F80B1F">
        <w:t xml:space="preserve"> account</w:t>
      </w:r>
      <w:r>
        <w:t>ed</w:t>
      </w:r>
      <w:r w:rsidRPr="00F80B1F">
        <w:t xml:space="preserve"> for slightly more than </w:t>
      </w:r>
      <w:r>
        <w:t>27</w:t>
      </w:r>
      <w:r w:rsidRPr="00F80B1F">
        <w:t>% of all cancers diagnosed in children</w:t>
      </w:r>
      <w:r>
        <w:t xml:space="preserve"> in the US and 24% in Massachusetts during 2000-2009</w:t>
      </w:r>
      <w:r w:rsidRPr="00F80B1F">
        <w:t xml:space="preserve"> (</w:t>
      </w:r>
      <w:r>
        <w:t>MCR 2014</w:t>
      </w:r>
      <w:r w:rsidRPr="006641C3">
        <w:t>)</w:t>
      </w:r>
      <w:r w:rsidR="00716072">
        <w:t xml:space="preserve">. </w:t>
      </w:r>
    </w:p>
    <w:p w14:paraId="47D253CD" w14:textId="77777777" w:rsidR="00D6049D" w:rsidRPr="00F80B1F" w:rsidRDefault="00D6049D" w:rsidP="00D06A04">
      <w:pPr>
        <w:rPr>
          <w:lang w:val="en"/>
        </w:rPr>
      </w:pPr>
      <w:r w:rsidRPr="00F80B1F">
        <w:t>In children, leukemia is classified into f</w:t>
      </w:r>
      <w:r>
        <w:t>ive</w:t>
      </w:r>
      <w:r w:rsidRPr="00F80B1F">
        <w:t xml:space="preserve"> sub</w:t>
      </w:r>
      <w:r>
        <w:t>groups</w:t>
      </w:r>
      <w:r w:rsidRPr="00F80B1F">
        <w:t>: lymphoid leukemia</w:t>
      </w:r>
      <w:r>
        <w:t xml:space="preserve">s, including </w:t>
      </w:r>
      <w:r w:rsidRPr="00F80B1F">
        <w:t>ALL</w:t>
      </w:r>
      <w:r>
        <w:t>;</w:t>
      </w:r>
      <w:r w:rsidRPr="00F80B1F">
        <w:t xml:space="preserve"> AML</w:t>
      </w:r>
      <w:r>
        <w:t>;</w:t>
      </w:r>
      <w:r w:rsidRPr="00F80B1F">
        <w:t xml:space="preserve"> chronic myeloproliferative disease</w:t>
      </w:r>
      <w:r>
        <w:t>s;</w:t>
      </w:r>
      <w:r w:rsidRPr="00F80B1F">
        <w:t xml:space="preserve"> myelodysplastic syndrome</w:t>
      </w:r>
      <w:r>
        <w:t xml:space="preserve"> and other </w:t>
      </w:r>
      <w:r>
        <w:lastRenderedPageBreak/>
        <w:t>myeloproliferative diseases; and unspecified and other leukemias</w:t>
      </w:r>
      <w:r w:rsidRPr="00F80B1F">
        <w:t xml:space="preserve"> </w:t>
      </w:r>
      <w:r w:rsidRPr="006641C3">
        <w:t>(</w:t>
      </w:r>
      <w:proofErr w:type="spellStart"/>
      <w:r w:rsidRPr="006641C3">
        <w:t>Steliarova-Foucher</w:t>
      </w:r>
      <w:proofErr w:type="spellEnd"/>
      <w:r w:rsidRPr="006641C3">
        <w:t xml:space="preserve"> et al</w:t>
      </w:r>
      <w:r w:rsidR="00716072">
        <w:t xml:space="preserve">. </w:t>
      </w:r>
      <w:r w:rsidRPr="006641C3">
        <w:t>2005</w:t>
      </w:r>
      <w:r w:rsidRPr="00F80B1F">
        <w:t>)</w:t>
      </w:r>
      <w:r w:rsidR="00716072">
        <w:t xml:space="preserve">. </w:t>
      </w:r>
      <w:r w:rsidRPr="00F80B1F">
        <w:rPr>
          <w:lang w:val="en"/>
        </w:rPr>
        <w:t>ALL is the most common type</w:t>
      </w:r>
      <w:r>
        <w:rPr>
          <w:lang w:val="en"/>
        </w:rPr>
        <w:t xml:space="preserve"> of leukemia in children</w:t>
      </w:r>
      <w:r w:rsidR="00716072">
        <w:rPr>
          <w:lang w:val="en"/>
        </w:rPr>
        <w:t xml:space="preserve">. </w:t>
      </w:r>
      <w:r>
        <w:rPr>
          <w:lang w:val="en"/>
        </w:rPr>
        <w:t>During 2000-2009</w:t>
      </w:r>
      <w:r w:rsidRPr="00F80B1F">
        <w:rPr>
          <w:lang w:val="en"/>
        </w:rPr>
        <w:t>,</w:t>
      </w:r>
      <w:r>
        <w:rPr>
          <w:lang w:val="en"/>
        </w:rPr>
        <w:t xml:space="preserve"> ALL</w:t>
      </w:r>
      <w:r w:rsidRPr="00F80B1F">
        <w:rPr>
          <w:lang w:val="en"/>
        </w:rPr>
        <w:t xml:space="preserve"> account</w:t>
      </w:r>
      <w:r>
        <w:rPr>
          <w:lang w:val="en"/>
        </w:rPr>
        <w:t>ed</w:t>
      </w:r>
      <w:r w:rsidRPr="00F80B1F">
        <w:rPr>
          <w:lang w:val="en"/>
        </w:rPr>
        <w:t xml:space="preserve"> for about </w:t>
      </w:r>
      <w:r>
        <w:rPr>
          <w:lang w:val="en"/>
        </w:rPr>
        <w:t xml:space="preserve">76% </w:t>
      </w:r>
      <w:r w:rsidRPr="00F80B1F">
        <w:rPr>
          <w:lang w:val="en"/>
        </w:rPr>
        <w:t xml:space="preserve">of </w:t>
      </w:r>
      <w:r>
        <w:rPr>
          <w:lang w:val="en"/>
        </w:rPr>
        <w:t xml:space="preserve">leukemia diagnoses nationally and 78% of leukemia diagnoses in Massachusetts </w:t>
      </w:r>
      <w:r w:rsidRPr="00F80B1F">
        <w:rPr>
          <w:lang w:val="en"/>
        </w:rPr>
        <w:t>(MCR 20</w:t>
      </w:r>
      <w:r>
        <w:rPr>
          <w:lang w:val="en"/>
        </w:rPr>
        <w:t>14</w:t>
      </w:r>
      <w:r w:rsidRPr="00F80B1F">
        <w:rPr>
          <w:lang w:val="en"/>
        </w:rPr>
        <w:t>)</w:t>
      </w:r>
      <w:r w:rsidR="00716072">
        <w:rPr>
          <w:lang w:val="en"/>
        </w:rPr>
        <w:t xml:space="preserve">. </w:t>
      </w:r>
      <w:r w:rsidRPr="00F80B1F">
        <w:rPr>
          <w:lang w:val="en"/>
        </w:rPr>
        <w:t xml:space="preserve">Peak occurrence of ALL is between </w:t>
      </w:r>
      <w:r>
        <w:rPr>
          <w:lang w:val="en"/>
        </w:rPr>
        <w:t>two</w:t>
      </w:r>
      <w:r w:rsidRPr="00F80B1F">
        <w:rPr>
          <w:lang w:val="en"/>
        </w:rPr>
        <w:t xml:space="preserve"> and </w:t>
      </w:r>
      <w:r>
        <w:rPr>
          <w:lang w:val="en"/>
        </w:rPr>
        <w:t>four</w:t>
      </w:r>
      <w:r w:rsidRPr="00F80B1F">
        <w:rPr>
          <w:lang w:val="en"/>
        </w:rPr>
        <w:t xml:space="preserve"> years of age</w:t>
      </w:r>
      <w:r w:rsidR="00716072">
        <w:rPr>
          <w:lang w:val="en"/>
        </w:rPr>
        <w:t xml:space="preserve">. </w:t>
      </w:r>
      <w:r w:rsidRPr="00F80B1F">
        <w:rPr>
          <w:lang w:val="en"/>
        </w:rPr>
        <w:t xml:space="preserve">AML accounts for most of the remaining leukemia </w:t>
      </w:r>
      <w:r>
        <w:rPr>
          <w:lang w:val="en"/>
        </w:rPr>
        <w:t xml:space="preserve">diagnoses </w:t>
      </w:r>
      <w:r w:rsidRPr="00F80B1F">
        <w:rPr>
          <w:lang w:val="en"/>
        </w:rPr>
        <w:t>among children</w:t>
      </w:r>
      <w:r w:rsidR="00716072">
        <w:rPr>
          <w:lang w:val="en"/>
        </w:rPr>
        <w:t xml:space="preserve">. </w:t>
      </w:r>
      <w:r>
        <w:rPr>
          <w:lang w:val="en"/>
        </w:rPr>
        <w:t>Diagnoses</w:t>
      </w:r>
      <w:r w:rsidRPr="00F80B1F">
        <w:rPr>
          <w:lang w:val="en"/>
        </w:rPr>
        <w:t xml:space="preserve"> of AML are more spread out across the childhood years, but it is slightly more common during the first </w:t>
      </w:r>
      <w:r>
        <w:rPr>
          <w:lang w:val="en"/>
        </w:rPr>
        <w:t>two</w:t>
      </w:r>
      <w:r w:rsidRPr="00F80B1F">
        <w:rPr>
          <w:lang w:val="en"/>
        </w:rPr>
        <w:t xml:space="preserve"> years of life and during the teenage years </w:t>
      </w:r>
      <w:r w:rsidRPr="00B811A0">
        <w:rPr>
          <w:lang w:val="en"/>
        </w:rPr>
        <w:t>(ACS 20</w:t>
      </w:r>
      <w:r>
        <w:rPr>
          <w:lang w:val="en"/>
        </w:rPr>
        <w:t>14</w:t>
      </w:r>
      <w:r w:rsidRPr="00F80B1F">
        <w:rPr>
          <w:lang w:val="en"/>
        </w:rPr>
        <w:t>)</w:t>
      </w:r>
      <w:r w:rsidR="00716072">
        <w:rPr>
          <w:lang w:val="en"/>
        </w:rPr>
        <w:t xml:space="preserve">. </w:t>
      </w:r>
      <w:r w:rsidR="006E182D">
        <w:rPr>
          <w:lang w:val="en"/>
        </w:rPr>
        <w:t>While ALL is more common among boys than girls, AML occurs equally among boys and girls</w:t>
      </w:r>
      <w:r w:rsidR="005C38BD">
        <w:rPr>
          <w:lang w:val="en"/>
        </w:rPr>
        <w:t xml:space="preserve"> (MCR 2014; </w:t>
      </w:r>
      <w:proofErr w:type="spellStart"/>
      <w:r w:rsidR="005C38BD">
        <w:rPr>
          <w:lang w:val="en"/>
        </w:rPr>
        <w:t>Noone</w:t>
      </w:r>
      <w:proofErr w:type="spellEnd"/>
      <w:r w:rsidR="005C38BD">
        <w:rPr>
          <w:lang w:val="en"/>
        </w:rPr>
        <w:t xml:space="preserve"> et al</w:t>
      </w:r>
      <w:r w:rsidR="00716072">
        <w:rPr>
          <w:lang w:val="en"/>
        </w:rPr>
        <w:t xml:space="preserve">. </w:t>
      </w:r>
      <w:r w:rsidR="005C38BD">
        <w:rPr>
          <w:lang w:val="en"/>
        </w:rPr>
        <w:t>2018)</w:t>
      </w:r>
      <w:r w:rsidR="00716072">
        <w:rPr>
          <w:lang w:val="en"/>
        </w:rPr>
        <w:t xml:space="preserve">. </w:t>
      </w:r>
    </w:p>
    <w:p w14:paraId="2CAC4C78" w14:textId="77777777" w:rsidR="00D06A04" w:rsidRDefault="00D6049D" w:rsidP="00D06A04">
      <w:r w:rsidRPr="00F80B1F">
        <w:rPr>
          <w:lang w:val="en"/>
        </w:rPr>
        <w:t xml:space="preserve">While some genetic </w:t>
      </w:r>
      <w:r>
        <w:rPr>
          <w:lang w:val="en"/>
        </w:rPr>
        <w:t xml:space="preserve">conditions, </w:t>
      </w:r>
      <w:r w:rsidRPr="00F80B1F">
        <w:rPr>
          <w:lang w:val="en"/>
        </w:rPr>
        <w:t>such as Down’s syndrome</w:t>
      </w:r>
      <w:r>
        <w:rPr>
          <w:lang w:val="en"/>
        </w:rPr>
        <w:t>,</w:t>
      </w:r>
      <w:r w:rsidRPr="00F80B1F">
        <w:rPr>
          <w:lang w:val="en"/>
        </w:rPr>
        <w:t xml:space="preserve"> increase the risk of childhood leukemia, most cases of leukemia are not linked to any known genetic cause</w:t>
      </w:r>
      <w:r w:rsidR="00716072">
        <w:rPr>
          <w:lang w:val="en"/>
        </w:rPr>
        <w:t xml:space="preserve">. </w:t>
      </w:r>
      <w:r w:rsidRPr="00F80B1F">
        <w:rPr>
          <w:lang w:val="en"/>
        </w:rPr>
        <w:t>Brothers and sisters of children with leukemia have a slightly increased chance of developing leukemia, but the overall risk is low</w:t>
      </w:r>
      <w:r w:rsidR="00716072">
        <w:rPr>
          <w:lang w:val="en"/>
        </w:rPr>
        <w:t xml:space="preserve">. </w:t>
      </w:r>
      <w:r w:rsidRPr="00F80B1F">
        <w:rPr>
          <w:lang w:val="en"/>
        </w:rPr>
        <w:t>Siblings with an identical twin</w:t>
      </w:r>
      <w:r>
        <w:rPr>
          <w:lang w:val="en"/>
        </w:rPr>
        <w:t xml:space="preserve"> with leukemia</w:t>
      </w:r>
      <w:r w:rsidRPr="00F80B1F">
        <w:rPr>
          <w:lang w:val="en"/>
        </w:rPr>
        <w:t xml:space="preserve">, however, have a higher risk </w:t>
      </w:r>
      <w:r>
        <w:rPr>
          <w:lang w:val="en"/>
        </w:rPr>
        <w:t>(Ross and Spector 2006).</w:t>
      </w:r>
    </w:p>
    <w:p w14:paraId="08BE325A" w14:textId="7CED0A2D" w:rsidR="00D6049D" w:rsidRPr="00D06A04" w:rsidRDefault="00D6049D" w:rsidP="00D06A04">
      <w:r w:rsidRPr="00F80B1F">
        <w:rPr>
          <w:lang w:val="en"/>
        </w:rPr>
        <w:t xml:space="preserve">Exposure to high levels of </w:t>
      </w:r>
      <w:r>
        <w:rPr>
          <w:lang w:val="en"/>
        </w:rPr>
        <w:t xml:space="preserve">ionizing </w:t>
      </w:r>
      <w:r w:rsidRPr="00F80B1F">
        <w:rPr>
          <w:lang w:val="en"/>
        </w:rPr>
        <w:t>radiation is a known risk factor for childhood leukemia</w:t>
      </w:r>
      <w:r w:rsidR="00716072">
        <w:rPr>
          <w:lang w:val="en"/>
        </w:rPr>
        <w:t xml:space="preserve">. </w:t>
      </w:r>
      <w:r w:rsidRPr="00F80B1F">
        <w:rPr>
          <w:lang w:val="en"/>
        </w:rPr>
        <w:t xml:space="preserve">Japanese atomic bomb survivors had a greatly increased risk of </w:t>
      </w:r>
      <w:r>
        <w:rPr>
          <w:lang w:val="en"/>
        </w:rPr>
        <w:t>developing leukemia, particularly AML (de Gonzalez et al</w:t>
      </w:r>
      <w:r w:rsidR="00716072">
        <w:rPr>
          <w:lang w:val="en"/>
        </w:rPr>
        <w:t xml:space="preserve">. </w:t>
      </w:r>
      <w:r>
        <w:rPr>
          <w:lang w:val="en"/>
        </w:rPr>
        <w:t>2018)</w:t>
      </w:r>
      <w:r w:rsidR="00716072">
        <w:rPr>
          <w:lang w:val="en"/>
        </w:rPr>
        <w:t xml:space="preserve">. </w:t>
      </w:r>
      <w:r>
        <w:rPr>
          <w:lang w:val="en"/>
        </w:rPr>
        <w:t xml:space="preserve">Studies of pregnant women receiving abdominal X-rays during the 1950s and 1960s show an increased risk </w:t>
      </w:r>
      <w:r w:rsidRPr="00F80B1F">
        <w:rPr>
          <w:lang w:val="en"/>
        </w:rPr>
        <w:t xml:space="preserve">of </w:t>
      </w:r>
      <w:r>
        <w:rPr>
          <w:lang w:val="en"/>
        </w:rPr>
        <w:t>acute</w:t>
      </w:r>
      <w:r w:rsidRPr="00F80B1F">
        <w:rPr>
          <w:lang w:val="en"/>
        </w:rPr>
        <w:t xml:space="preserve"> leukemia</w:t>
      </w:r>
      <w:r>
        <w:rPr>
          <w:lang w:val="en"/>
        </w:rPr>
        <w:t xml:space="preserve"> in their children</w:t>
      </w:r>
      <w:r w:rsidR="00716072">
        <w:rPr>
          <w:lang w:val="en"/>
        </w:rPr>
        <w:t xml:space="preserve">. </w:t>
      </w:r>
      <w:r>
        <w:rPr>
          <w:lang w:val="en"/>
        </w:rPr>
        <w:t>Some studies have also shown an increased risk from medical X-rays during childhood (Roman et al</w:t>
      </w:r>
      <w:r w:rsidR="00716072">
        <w:rPr>
          <w:lang w:val="en"/>
        </w:rPr>
        <w:t xml:space="preserve">. </w:t>
      </w:r>
      <w:r>
        <w:rPr>
          <w:lang w:val="en"/>
        </w:rPr>
        <w:t>2018)</w:t>
      </w:r>
      <w:r w:rsidR="00716072">
        <w:rPr>
          <w:lang w:val="en"/>
        </w:rPr>
        <w:t xml:space="preserve">. </w:t>
      </w:r>
      <w:r>
        <w:rPr>
          <w:lang w:val="en"/>
        </w:rPr>
        <w:t xml:space="preserve">Today, medial x-rays use lower doses and guidelines for </w:t>
      </w:r>
      <w:r w:rsidRPr="00F80B1F">
        <w:rPr>
          <w:lang w:val="en"/>
        </w:rPr>
        <w:t xml:space="preserve">doctors </w:t>
      </w:r>
      <w:r>
        <w:rPr>
          <w:lang w:val="en"/>
        </w:rPr>
        <w:t xml:space="preserve">have been developed to protect </w:t>
      </w:r>
      <w:r w:rsidRPr="00F80B1F">
        <w:rPr>
          <w:lang w:val="en"/>
        </w:rPr>
        <w:t>pregnant women and children</w:t>
      </w:r>
      <w:r>
        <w:rPr>
          <w:lang w:val="en"/>
        </w:rPr>
        <w:t xml:space="preserve"> (</w:t>
      </w:r>
      <w:r w:rsidR="00864402">
        <w:rPr>
          <w:lang w:val="en"/>
        </w:rPr>
        <w:t xml:space="preserve">US </w:t>
      </w:r>
      <w:r>
        <w:rPr>
          <w:lang w:val="en"/>
        </w:rPr>
        <w:t>FDA 2019; NCI 2019)</w:t>
      </w:r>
      <w:r w:rsidR="00716072">
        <w:rPr>
          <w:lang w:val="en"/>
        </w:rPr>
        <w:t xml:space="preserve">. </w:t>
      </w:r>
      <w:r>
        <w:rPr>
          <w:lang w:val="en"/>
        </w:rPr>
        <w:t>Research assessing current</w:t>
      </w:r>
      <w:r w:rsidRPr="00F80B1F">
        <w:rPr>
          <w:lang w:val="en"/>
        </w:rPr>
        <w:t xml:space="preserve"> risks from fetal or childhood exposure to </w:t>
      </w:r>
      <w:r>
        <w:rPr>
          <w:lang w:val="en"/>
        </w:rPr>
        <w:t xml:space="preserve">medical radiation from </w:t>
      </w:r>
      <w:r w:rsidRPr="00F80B1F">
        <w:rPr>
          <w:lang w:val="en"/>
        </w:rPr>
        <w:t xml:space="preserve">x-ray tests </w:t>
      </w:r>
      <w:r>
        <w:rPr>
          <w:lang w:val="en"/>
        </w:rPr>
        <w:t>and</w:t>
      </w:r>
      <w:r w:rsidRPr="00F80B1F">
        <w:rPr>
          <w:lang w:val="en"/>
        </w:rPr>
        <w:t xml:space="preserve"> CT scans is </w:t>
      </w:r>
      <w:r>
        <w:rPr>
          <w:lang w:val="en"/>
        </w:rPr>
        <w:t>ongoing</w:t>
      </w:r>
      <w:r w:rsidR="00716072">
        <w:rPr>
          <w:lang w:val="en"/>
        </w:rPr>
        <w:t xml:space="preserve">. </w:t>
      </w:r>
      <w:r w:rsidRPr="00F80B1F">
        <w:rPr>
          <w:lang w:val="en"/>
        </w:rPr>
        <w:t xml:space="preserve">Some studies have found a slight increase in risk, while others have found no increased risk </w:t>
      </w:r>
      <w:r w:rsidRPr="00B811A0">
        <w:rPr>
          <w:lang w:val="en"/>
        </w:rPr>
        <w:t>(</w:t>
      </w:r>
      <w:r w:rsidR="00864402">
        <w:rPr>
          <w:lang w:val="en"/>
        </w:rPr>
        <w:t xml:space="preserve">US </w:t>
      </w:r>
      <w:r>
        <w:rPr>
          <w:lang w:val="en"/>
        </w:rPr>
        <w:t>FDA 2019; NCI 2019; Roman et al</w:t>
      </w:r>
      <w:r w:rsidR="00716072">
        <w:rPr>
          <w:lang w:val="en"/>
        </w:rPr>
        <w:t xml:space="preserve">. </w:t>
      </w:r>
      <w:r>
        <w:rPr>
          <w:lang w:val="en"/>
        </w:rPr>
        <w:t>2018</w:t>
      </w:r>
      <w:r w:rsidRPr="00B811A0">
        <w:rPr>
          <w:lang w:val="en"/>
        </w:rPr>
        <w:t>).</w:t>
      </w:r>
    </w:p>
    <w:p w14:paraId="039E5F1F" w14:textId="77777777" w:rsidR="00D6049D" w:rsidRDefault="00D6049D" w:rsidP="00D06A04">
      <w:pPr>
        <w:rPr>
          <w:lang w:val="en"/>
        </w:rPr>
      </w:pPr>
      <w:r>
        <w:rPr>
          <w:lang w:val="en"/>
        </w:rPr>
        <w:t>Certain chemicals and chemotherapy drugs may increase the risk of leukemia (ACS 2014)</w:t>
      </w:r>
      <w:r w:rsidR="00716072">
        <w:rPr>
          <w:lang w:val="en"/>
        </w:rPr>
        <w:t xml:space="preserve">. </w:t>
      </w:r>
      <w:r>
        <w:rPr>
          <w:lang w:val="en"/>
        </w:rPr>
        <w:t xml:space="preserve">Previous chemotherapy treatment with </w:t>
      </w:r>
      <w:r w:rsidRPr="00827C4B">
        <w:rPr>
          <w:lang w:val="en"/>
        </w:rPr>
        <w:t xml:space="preserve">alkylating and platinum agents </w:t>
      </w:r>
      <w:r>
        <w:rPr>
          <w:lang w:val="en"/>
        </w:rPr>
        <w:t>is</w:t>
      </w:r>
      <w:r w:rsidRPr="00827C4B">
        <w:rPr>
          <w:lang w:val="en"/>
        </w:rPr>
        <w:t xml:space="preserve"> associated with an increased risk of developing AML </w:t>
      </w:r>
      <w:r>
        <w:rPr>
          <w:lang w:val="en"/>
        </w:rPr>
        <w:t>(</w:t>
      </w:r>
      <w:r w:rsidR="00B6093D">
        <w:rPr>
          <w:lang w:val="en"/>
        </w:rPr>
        <w:t>Bradley et al</w:t>
      </w:r>
      <w:r w:rsidR="00716072">
        <w:rPr>
          <w:lang w:val="en"/>
        </w:rPr>
        <w:t xml:space="preserve">. </w:t>
      </w:r>
      <w:r w:rsidR="00B6093D">
        <w:rPr>
          <w:lang w:val="en"/>
        </w:rPr>
        <w:t xml:space="preserve">2018; </w:t>
      </w:r>
      <w:r>
        <w:rPr>
          <w:lang w:val="en"/>
        </w:rPr>
        <w:t>Roman et al</w:t>
      </w:r>
      <w:r w:rsidR="00716072">
        <w:rPr>
          <w:lang w:val="en"/>
        </w:rPr>
        <w:t xml:space="preserve">. </w:t>
      </w:r>
      <w:r>
        <w:rPr>
          <w:lang w:val="en"/>
        </w:rPr>
        <w:t>2018)</w:t>
      </w:r>
      <w:r w:rsidR="00716072">
        <w:rPr>
          <w:lang w:val="en"/>
        </w:rPr>
        <w:t xml:space="preserve">. </w:t>
      </w:r>
      <w:r>
        <w:rPr>
          <w:lang w:val="en"/>
        </w:rPr>
        <w:t xml:space="preserve">Some studies show a link between parental exposure to solvents, paints, and vehicle exhaust (Colt and Blair 1998; </w:t>
      </w:r>
      <w:proofErr w:type="spellStart"/>
      <w:r>
        <w:rPr>
          <w:lang w:val="en"/>
        </w:rPr>
        <w:t>Miligi</w:t>
      </w:r>
      <w:proofErr w:type="spellEnd"/>
      <w:r>
        <w:rPr>
          <w:lang w:val="en"/>
        </w:rPr>
        <w:t xml:space="preserve"> et al</w:t>
      </w:r>
      <w:r w:rsidR="00716072">
        <w:rPr>
          <w:lang w:val="en"/>
        </w:rPr>
        <w:t xml:space="preserve">. </w:t>
      </w:r>
      <w:r>
        <w:rPr>
          <w:lang w:val="en"/>
        </w:rPr>
        <w:t>2013)</w:t>
      </w:r>
      <w:r w:rsidR="00716072">
        <w:rPr>
          <w:lang w:val="en"/>
        </w:rPr>
        <w:t xml:space="preserve">. </w:t>
      </w:r>
      <w:r>
        <w:rPr>
          <w:lang w:val="en"/>
        </w:rPr>
        <w:t>Many studies focus on exposures to benzene, which is a known carcinogen and commonly found in gasoline, vehicle exhaust, paints, glues, and industrial emissions</w:t>
      </w:r>
      <w:r w:rsidR="00716072">
        <w:rPr>
          <w:lang w:val="en"/>
        </w:rPr>
        <w:t xml:space="preserve">. </w:t>
      </w:r>
      <w:r>
        <w:rPr>
          <w:lang w:val="en"/>
        </w:rPr>
        <w:t xml:space="preserve">The </w:t>
      </w:r>
      <w:r w:rsidRPr="00475ACE">
        <w:rPr>
          <w:lang w:val="en"/>
        </w:rPr>
        <w:t>International Agency for</w:t>
      </w:r>
      <w:r>
        <w:rPr>
          <w:lang w:val="en"/>
        </w:rPr>
        <w:t xml:space="preserve"> </w:t>
      </w:r>
      <w:r w:rsidRPr="00475ACE">
        <w:rPr>
          <w:lang w:val="en"/>
        </w:rPr>
        <w:t>Research on Cancer (IARC)</w:t>
      </w:r>
      <w:r>
        <w:rPr>
          <w:lang w:val="en"/>
        </w:rPr>
        <w:t xml:space="preserve"> concludes that exposure to benzene increases the risk of AML in adults and may increase the risk of AML and other types of leukemia in children (ATSDR 2007; IARC 2018)</w:t>
      </w:r>
      <w:r w:rsidR="00716072">
        <w:rPr>
          <w:lang w:val="en"/>
        </w:rPr>
        <w:t xml:space="preserve">. </w:t>
      </w:r>
      <w:r>
        <w:rPr>
          <w:lang w:val="en"/>
        </w:rPr>
        <w:t>Generally, studies show a stronger link between c</w:t>
      </w:r>
      <w:r w:rsidRPr="00F80B1F">
        <w:rPr>
          <w:lang w:val="en"/>
        </w:rPr>
        <w:t xml:space="preserve">hemical exposure </w:t>
      </w:r>
      <w:r>
        <w:rPr>
          <w:lang w:val="en"/>
        </w:rPr>
        <w:t>and</w:t>
      </w:r>
      <w:r w:rsidRPr="00F80B1F">
        <w:rPr>
          <w:lang w:val="en"/>
        </w:rPr>
        <w:t xml:space="preserve"> AML than </w:t>
      </w:r>
      <w:r>
        <w:rPr>
          <w:lang w:val="en"/>
        </w:rPr>
        <w:t>with</w:t>
      </w:r>
      <w:r w:rsidRPr="00F80B1F">
        <w:rPr>
          <w:lang w:val="en"/>
        </w:rPr>
        <w:t xml:space="preserve"> ALL (</w:t>
      </w:r>
      <w:r w:rsidRPr="00B811A0">
        <w:rPr>
          <w:lang w:val="en"/>
        </w:rPr>
        <w:t>ACS 20</w:t>
      </w:r>
      <w:r>
        <w:rPr>
          <w:lang w:val="en"/>
        </w:rPr>
        <w:t xml:space="preserve">14; Freedman </w:t>
      </w:r>
      <w:r w:rsidR="00910280">
        <w:rPr>
          <w:lang w:val="en"/>
        </w:rPr>
        <w:t>et al</w:t>
      </w:r>
      <w:r w:rsidR="00716072">
        <w:rPr>
          <w:lang w:val="en"/>
        </w:rPr>
        <w:t xml:space="preserve">. </w:t>
      </w:r>
      <w:r>
        <w:rPr>
          <w:lang w:val="en"/>
        </w:rPr>
        <w:t>2001</w:t>
      </w:r>
      <w:r w:rsidRPr="00F80B1F">
        <w:rPr>
          <w:lang w:val="en"/>
        </w:rPr>
        <w:t>)</w:t>
      </w:r>
      <w:r w:rsidR="00716072">
        <w:rPr>
          <w:lang w:val="en"/>
        </w:rPr>
        <w:t xml:space="preserve">. </w:t>
      </w:r>
    </w:p>
    <w:p w14:paraId="6DB3D31E" w14:textId="77777777" w:rsidR="00D6049D" w:rsidRPr="00D80EE1" w:rsidRDefault="00D6049D" w:rsidP="00D06A04">
      <w:r>
        <w:rPr>
          <w:lang w:val="en"/>
        </w:rPr>
        <w:lastRenderedPageBreak/>
        <w:t>Some studies have found a link between chemical contamination in drinking water and childhood cancer</w:t>
      </w:r>
      <w:r w:rsidR="00716072">
        <w:rPr>
          <w:lang w:val="en"/>
        </w:rPr>
        <w:t xml:space="preserve">. </w:t>
      </w:r>
      <w:r w:rsidRPr="00D80EE1">
        <w:t>In 1997, the MDPH reported an association between mothers exposed during pregnancy to drinking water</w:t>
      </w:r>
      <w:r>
        <w:t xml:space="preserve"> contaminated with chlorinated solvents </w:t>
      </w:r>
      <w:r w:rsidRPr="00D80EE1">
        <w:t xml:space="preserve">and subsequent diagnosis of leukemia in children </w:t>
      </w:r>
      <w:r>
        <w:t xml:space="preserve">in Woburn, Massachusetts </w:t>
      </w:r>
      <w:r w:rsidRPr="00D80EE1">
        <w:t xml:space="preserve">(Costas </w:t>
      </w:r>
      <w:r>
        <w:t>et al</w:t>
      </w:r>
      <w:r w:rsidR="00716072">
        <w:t xml:space="preserve">. </w:t>
      </w:r>
      <w:r>
        <w:t>2002</w:t>
      </w:r>
      <w:r w:rsidRPr="00D80EE1">
        <w:t>)</w:t>
      </w:r>
      <w:r w:rsidR="00716072">
        <w:t xml:space="preserve">. </w:t>
      </w:r>
      <w:r>
        <w:t>Two later community-based studies also found links with prenatal exposure to chlorinated solvents and other contaminants in drinking water and leukemia</w:t>
      </w:r>
      <w:r w:rsidR="00716072">
        <w:t xml:space="preserve">. </w:t>
      </w:r>
      <w:r>
        <w:t>In 2003, the New Jersey Department of Health and Senior Services reported an association in girls, but not boys in Dover Township, New Jersey (</w:t>
      </w:r>
      <w:proofErr w:type="spellStart"/>
      <w:r>
        <w:t>Fagliano</w:t>
      </w:r>
      <w:proofErr w:type="spellEnd"/>
      <w:r>
        <w:t xml:space="preserve"> et al</w:t>
      </w:r>
      <w:r w:rsidR="00716072">
        <w:t xml:space="preserve">. </w:t>
      </w:r>
      <w:r>
        <w:t>2003)</w:t>
      </w:r>
      <w:r w:rsidR="00716072">
        <w:t xml:space="preserve">. </w:t>
      </w:r>
      <w:r>
        <w:t>In 2013, ATSDR reported a weak association in children born to mothers living at the Marine Corps Base Camp Lejeune in North Carolina (Cantor et al</w:t>
      </w:r>
      <w:r w:rsidR="00716072">
        <w:t xml:space="preserve">. </w:t>
      </w:r>
      <w:r>
        <w:t xml:space="preserve">2018; </w:t>
      </w:r>
      <w:proofErr w:type="spellStart"/>
      <w:r>
        <w:t>Ruckhart</w:t>
      </w:r>
      <w:proofErr w:type="spellEnd"/>
      <w:r>
        <w:t xml:space="preserve"> et al</w:t>
      </w:r>
      <w:r w:rsidR="00716072">
        <w:t xml:space="preserve">. </w:t>
      </w:r>
      <w:r>
        <w:t>2013)</w:t>
      </w:r>
      <w:r w:rsidR="00716072">
        <w:t xml:space="preserve">. </w:t>
      </w:r>
    </w:p>
    <w:p w14:paraId="26B72235" w14:textId="7DF4E2FD" w:rsidR="00D6049D" w:rsidRDefault="00D6049D" w:rsidP="00D06A04">
      <w:pPr>
        <w:rPr>
          <w:lang w:val="en"/>
        </w:rPr>
      </w:pPr>
      <w:r>
        <w:rPr>
          <w:lang w:val="en"/>
        </w:rPr>
        <w:t>The link between leukemia and pesticides has been studied extensively</w:t>
      </w:r>
      <w:r w:rsidR="00716072">
        <w:rPr>
          <w:lang w:val="en"/>
        </w:rPr>
        <w:t xml:space="preserve">. </w:t>
      </w:r>
      <w:r w:rsidRPr="00F80B1F">
        <w:rPr>
          <w:lang w:val="en"/>
        </w:rPr>
        <w:t xml:space="preserve">Studies have found a link between childhood leukemia and household exposure to pesticides, either during pregnancy or </w:t>
      </w:r>
      <w:r w:rsidR="00E83EB1">
        <w:rPr>
          <w:lang w:val="en"/>
        </w:rPr>
        <w:t xml:space="preserve">during </w:t>
      </w:r>
      <w:r w:rsidRPr="00F80B1F">
        <w:rPr>
          <w:lang w:val="en"/>
        </w:rPr>
        <w:t>early childhood</w:t>
      </w:r>
      <w:r w:rsidR="00716072">
        <w:rPr>
          <w:lang w:val="en"/>
        </w:rPr>
        <w:t xml:space="preserve">. </w:t>
      </w:r>
      <w:r w:rsidRPr="00F80B1F">
        <w:rPr>
          <w:lang w:val="en"/>
        </w:rPr>
        <w:t xml:space="preserve">Studies </w:t>
      </w:r>
      <w:r>
        <w:rPr>
          <w:lang w:val="en"/>
        </w:rPr>
        <w:t xml:space="preserve">of parental workplace exposure to pesticides </w:t>
      </w:r>
      <w:r w:rsidRPr="00F80B1F">
        <w:rPr>
          <w:lang w:val="en"/>
        </w:rPr>
        <w:t xml:space="preserve">have also </w:t>
      </w:r>
      <w:r>
        <w:rPr>
          <w:lang w:val="en"/>
        </w:rPr>
        <w:t xml:space="preserve">identified an association with childhood leukemia </w:t>
      </w:r>
      <w:r w:rsidRPr="00B811A0">
        <w:rPr>
          <w:lang w:val="en"/>
        </w:rPr>
        <w:t>(</w:t>
      </w:r>
      <w:r>
        <w:rPr>
          <w:lang w:val="en"/>
        </w:rPr>
        <w:t xml:space="preserve">Chen </w:t>
      </w:r>
      <w:r w:rsidR="00910280">
        <w:rPr>
          <w:lang w:val="en"/>
        </w:rPr>
        <w:t>et al</w:t>
      </w:r>
      <w:r w:rsidR="00716072">
        <w:rPr>
          <w:lang w:val="en"/>
        </w:rPr>
        <w:t xml:space="preserve">. </w:t>
      </w:r>
      <w:r>
        <w:rPr>
          <w:lang w:val="en"/>
        </w:rPr>
        <w:t xml:space="preserve">2015; </w:t>
      </w:r>
      <w:r w:rsidR="007E34A9" w:rsidRPr="007E34A9">
        <w:rPr>
          <w:rFonts w:ascii="Times New Roman" w:hAnsi="Times New Roman"/>
        </w:rPr>
        <w:t>Infante</w:t>
      </w:r>
      <w:r w:rsidR="007E34A9">
        <w:rPr>
          <w:rFonts w:ascii="Times New Roman" w:hAnsi="Times New Roman"/>
        </w:rPr>
        <w:t>-</w:t>
      </w:r>
      <w:proofErr w:type="spellStart"/>
      <w:r w:rsidR="007E34A9">
        <w:rPr>
          <w:rFonts w:ascii="Times New Roman" w:hAnsi="Times New Roman"/>
        </w:rPr>
        <w:t>Rivard</w:t>
      </w:r>
      <w:proofErr w:type="spellEnd"/>
      <w:r w:rsidR="007E34A9">
        <w:rPr>
          <w:rFonts w:ascii="Times New Roman" w:hAnsi="Times New Roman"/>
        </w:rPr>
        <w:t xml:space="preserve"> and </w:t>
      </w:r>
      <w:proofErr w:type="spellStart"/>
      <w:r w:rsidR="007E34A9">
        <w:rPr>
          <w:rFonts w:ascii="Times New Roman" w:hAnsi="Times New Roman"/>
        </w:rPr>
        <w:t>Weichenthal</w:t>
      </w:r>
      <w:proofErr w:type="spellEnd"/>
      <w:r w:rsidR="007E34A9" w:rsidRPr="007E34A9">
        <w:rPr>
          <w:rFonts w:ascii="Times New Roman" w:hAnsi="Times New Roman"/>
        </w:rPr>
        <w:t xml:space="preserve"> 2007</w:t>
      </w:r>
      <w:r w:rsidR="007E34A9">
        <w:rPr>
          <w:rFonts w:ascii="Times New Roman" w:hAnsi="Times New Roman"/>
        </w:rPr>
        <w:t>;</w:t>
      </w:r>
      <w:r w:rsidR="00910280">
        <w:rPr>
          <w:lang w:val="en"/>
        </w:rPr>
        <w:t xml:space="preserve"> </w:t>
      </w:r>
      <w:r w:rsidR="007E153E" w:rsidRPr="00DD14DA">
        <w:rPr>
          <w:lang w:val="en"/>
        </w:rPr>
        <w:t xml:space="preserve">Van </w:t>
      </w:r>
      <w:proofErr w:type="spellStart"/>
      <w:r w:rsidR="007E153E" w:rsidRPr="00DD14DA">
        <w:rPr>
          <w:lang w:val="en"/>
        </w:rPr>
        <w:t>Maele</w:t>
      </w:r>
      <w:proofErr w:type="spellEnd"/>
      <w:r w:rsidR="007E153E" w:rsidRPr="00DD14DA">
        <w:rPr>
          <w:lang w:val="en"/>
        </w:rPr>
        <w:t>-Fabry</w:t>
      </w:r>
      <w:r w:rsidR="007E153E">
        <w:rPr>
          <w:lang w:val="en"/>
        </w:rPr>
        <w:t xml:space="preserve"> et al. 2011; </w:t>
      </w:r>
      <w:r>
        <w:rPr>
          <w:lang w:val="en"/>
        </w:rPr>
        <w:t>Whitehead et al</w:t>
      </w:r>
      <w:r w:rsidR="00716072">
        <w:rPr>
          <w:lang w:val="en"/>
        </w:rPr>
        <w:t xml:space="preserve">. </w:t>
      </w:r>
      <w:r>
        <w:rPr>
          <w:lang w:val="en"/>
        </w:rPr>
        <w:t>2016;</w:t>
      </w:r>
      <w:r w:rsidRPr="0036323A">
        <w:rPr>
          <w:lang w:val="en"/>
        </w:rPr>
        <w:t xml:space="preserve"> </w:t>
      </w:r>
      <w:proofErr w:type="spellStart"/>
      <w:r>
        <w:rPr>
          <w:lang w:val="en"/>
        </w:rPr>
        <w:t>Zahm</w:t>
      </w:r>
      <w:proofErr w:type="spellEnd"/>
      <w:r>
        <w:rPr>
          <w:lang w:val="en"/>
        </w:rPr>
        <w:t xml:space="preserve"> and Ward 1998</w:t>
      </w:r>
      <w:r w:rsidRPr="00B811A0">
        <w:rPr>
          <w:lang w:val="en"/>
        </w:rPr>
        <w:t>)</w:t>
      </w:r>
      <w:r w:rsidR="00716072">
        <w:rPr>
          <w:lang w:val="en"/>
        </w:rPr>
        <w:t xml:space="preserve">. </w:t>
      </w:r>
      <w:r>
        <w:rPr>
          <w:lang w:val="en"/>
        </w:rPr>
        <w:t>While some studies did not find links between residential and parental occupational pesticide exposure and childhood leukemia, summary evidence from recent meta-analyses support these associations (</w:t>
      </w:r>
      <w:r w:rsidRPr="00DD14DA">
        <w:rPr>
          <w:lang w:val="en"/>
        </w:rPr>
        <w:t xml:space="preserve">Van </w:t>
      </w:r>
      <w:proofErr w:type="spellStart"/>
      <w:r w:rsidRPr="00DD14DA">
        <w:rPr>
          <w:lang w:val="en"/>
        </w:rPr>
        <w:t>Maele</w:t>
      </w:r>
      <w:proofErr w:type="spellEnd"/>
      <w:r w:rsidRPr="00DD14DA">
        <w:rPr>
          <w:lang w:val="en"/>
        </w:rPr>
        <w:t>-Fabry</w:t>
      </w:r>
      <w:r>
        <w:rPr>
          <w:lang w:val="en"/>
        </w:rPr>
        <w:t xml:space="preserve"> et al</w:t>
      </w:r>
      <w:r w:rsidR="00716072">
        <w:rPr>
          <w:lang w:val="en"/>
        </w:rPr>
        <w:t xml:space="preserve">. </w:t>
      </w:r>
      <w:r>
        <w:rPr>
          <w:lang w:val="en"/>
        </w:rPr>
        <w:t xml:space="preserve">2010, 2019; </w:t>
      </w:r>
      <w:proofErr w:type="spellStart"/>
      <w:r>
        <w:rPr>
          <w:lang w:val="en"/>
        </w:rPr>
        <w:t>Wigle</w:t>
      </w:r>
      <w:proofErr w:type="spellEnd"/>
      <w:r>
        <w:rPr>
          <w:lang w:val="en"/>
        </w:rPr>
        <w:t xml:space="preserve"> et al</w:t>
      </w:r>
      <w:r w:rsidR="00716072">
        <w:rPr>
          <w:lang w:val="en"/>
        </w:rPr>
        <w:t xml:space="preserve">. </w:t>
      </w:r>
      <w:r>
        <w:rPr>
          <w:lang w:val="en"/>
        </w:rPr>
        <w:t>2009)</w:t>
      </w:r>
      <w:r w:rsidR="00716072">
        <w:rPr>
          <w:lang w:val="en"/>
        </w:rPr>
        <w:t xml:space="preserve">. </w:t>
      </w:r>
    </w:p>
    <w:p w14:paraId="5AA80BEA" w14:textId="340AA16D" w:rsidR="00D6049D" w:rsidRDefault="00D6049D" w:rsidP="00D06A04">
      <w:pPr>
        <w:rPr>
          <w:lang w:val="en"/>
        </w:rPr>
      </w:pPr>
      <w:r>
        <w:rPr>
          <w:lang w:val="en"/>
        </w:rPr>
        <w:t>According to the US Surgeon General, smoking increases the risk of AML (</w:t>
      </w:r>
      <w:r w:rsidR="00EF0735">
        <w:rPr>
          <w:lang w:val="en"/>
        </w:rPr>
        <w:t>US</w:t>
      </w:r>
      <w:r>
        <w:rPr>
          <w:lang w:val="en"/>
        </w:rPr>
        <w:t xml:space="preserve"> HHS 2014)</w:t>
      </w:r>
      <w:r w:rsidR="00716072">
        <w:rPr>
          <w:lang w:val="en"/>
        </w:rPr>
        <w:t xml:space="preserve">. </w:t>
      </w:r>
      <w:r>
        <w:rPr>
          <w:lang w:val="en"/>
        </w:rPr>
        <w:t>The most recent IARC evaluation of cancers related to tobacco smoking concluded that parental smoking increases the risk of childhood leukemia, particularly ALL</w:t>
      </w:r>
      <w:r w:rsidR="0027321E">
        <w:rPr>
          <w:lang w:val="en"/>
        </w:rPr>
        <w:t xml:space="preserve">; </w:t>
      </w:r>
      <w:r w:rsidR="0013272B">
        <w:rPr>
          <w:lang w:val="en"/>
        </w:rPr>
        <w:t>the positive associations were most consistent between paternal and combined parental smoking, while maternal smoking was less consistently associated with childhood leukemia</w:t>
      </w:r>
      <w:r>
        <w:rPr>
          <w:lang w:val="en"/>
        </w:rPr>
        <w:t xml:space="preserve"> (IARC 2012)</w:t>
      </w:r>
      <w:r w:rsidR="00716072">
        <w:rPr>
          <w:lang w:val="en"/>
        </w:rPr>
        <w:t>.</w:t>
      </w:r>
      <w:r w:rsidR="0013272B">
        <w:rPr>
          <w:lang w:val="en"/>
        </w:rPr>
        <w:t xml:space="preserve"> Similarly</w:t>
      </w:r>
      <w:r w:rsidR="00F67D61">
        <w:rPr>
          <w:lang w:val="en"/>
        </w:rPr>
        <w:t xml:space="preserve">, </w:t>
      </w:r>
      <w:r w:rsidR="00F50462">
        <w:rPr>
          <w:lang w:val="en"/>
        </w:rPr>
        <w:t>a</w:t>
      </w:r>
      <w:r w:rsidR="00E95330">
        <w:rPr>
          <w:lang w:val="en"/>
        </w:rPr>
        <w:t xml:space="preserve"> </w:t>
      </w:r>
      <w:r w:rsidR="00F50462">
        <w:rPr>
          <w:lang w:val="en"/>
        </w:rPr>
        <w:t xml:space="preserve">meta-analysis by </w:t>
      </w:r>
      <w:r w:rsidR="005B52BC">
        <w:rPr>
          <w:lang w:val="en"/>
        </w:rPr>
        <w:t xml:space="preserve">Liu </w:t>
      </w:r>
      <w:r w:rsidR="00302777">
        <w:rPr>
          <w:lang w:val="en"/>
        </w:rPr>
        <w:t xml:space="preserve">et al. </w:t>
      </w:r>
      <w:r w:rsidR="00F50462">
        <w:rPr>
          <w:lang w:val="en"/>
        </w:rPr>
        <w:t>(</w:t>
      </w:r>
      <w:r w:rsidR="00302777">
        <w:rPr>
          <w:lang w:val="en"/>
        </w:rPr>
        <w:t>2011</w:t>
      </w:r>
      <w:r w:rsidR="00F50462">
        <w:rPr>
          <w:lang w:val="en"/>
        </w:rPr>
        <w:t xml:space="preserve">) </w:t>
      </w:r>
      <w:r w:rsidR="00F67D61">
        <w:rPr>
          <w:lang w:val="en"/>
        </w:rPr>
        <w:t xml:space="preserve">shows a </w:t>
      </w:r>
      <w:r w:rsidR="00F67D61">
        <w:t>positive association between childhood ALL and paternal ever smoking</w:t>
      </w:r>
      <w:r w:rsidR="00F67D61">
        <w:rPr>
          <w:lang w:val="en"/>
        </w:rPr>
        <w:t xml:space="preserve"> at various time periods of exposure between pre-conception and after birth</w:t>
      </w:r>
      <w:r w:rsidR="0027321E">
        <w:rPr>
          <w:lang w:val="en"/>
        </w:rPr>
        <w:t>.</w:t>
      </w:r>
      <w:r w:rsidR="0027321E" w:rsidDel="0027321E">
        <w:rPr>
          <w:lang w:val="en"/>
        </w:rPr>
        <w:t xml:space="preserve"> </w:t>
      </w:r>
    </w:p>
    <w:p w14:paraId="7BDE06D7" w14:textId="77777777" w:rsidR="00D6049D" w:rsidRPr="00F80B1F" w:rsidRDefault="00D6049D" w:rsidP="00D06A04">
      <w:pPr>
        <w:rPr>
          <w:lang w:val="en"/>
        </w:rPr>
      </w:pPr>
      <w:r>
        <w:rPr>
          <w:color w:val="000000"/>
          <w:lang w:val="en"/>
        </w:rPr>
        <w:t>High birth weight</w:t>
      </w:r>
      <w:r w:rsidR="009A3844">
        <w:rPr>
          <w:color w:val="000000"/>
          <w:lang w:val="en"/>
        </w:rPr>
        <w:t xml:space="preserve">, </w:t>
      </w:r>
      <w:r w:rsidR="009956CF">
        <w:t xml:space="preserve">commonly defined as </w:t>
      </w:r>
      <w:r w:rsidR="009A3844">
        <w:t>greater than 4,000 grams,</w:t>
      </w:r>
      <w:r w:rsidR="009A3844" w:rsidRPr="00F95893">
        <w:t xml:space="preserve"> </w:t>
      </w:r>
      <w:r>
        <w:rPr>
          <w:color w:val="000000"/>
          <w:lang w:val="en"/>
        </w:rPr>
        <w:t>is associated with increased risk for leukemia in a number of epidemiological studies</w:t>
      </w:r>
      <w:r w:rsidR="009A3844">
        <w:rPr>
          <w:color w:val="000000"/>
          <w:lang w:val="en"/>
        </w:rPr>
        <w:t xml:space="preserve"> </w:t>
      </w:r>
      <w:r w:rsidR="009A3844">
        <w:t>(Roman et al</w:t>
      </w:r>
      <w:r w:rsidR="00716072">
        <w:t xml:space="preserve">. </w:t>
      </w:r>
      <w:r w:rsidR="009A3844">
        <w:t>2013)</w:t>
      </w:r>
      <w:r w:rsidR="00716072">
        <w:rPr>
          <w:color w:val="000000"/>
          <w:lang w:val="en"/>
        </w:rPr>
        <w:t xml:space="preserve">. </w:t>
      </w:r>
      <w:r>
        <w:rPr>
          <w:color w:val="000000"/>
          <w:lang w:val="en"/>
        </w:rPr>
        <w:t>The reason for this association is unknown, but similar observations have been made for other cancer types (</w:t>
      </w:r>
      <w:r>
        <w:rPr>
          <w:lang w:val="en"/>
        </w:rPr>
        <w:t>Roman et al</w:t>
      </w:r>
      <w:r w:rsidR="00716072">
        <w:rPr>
          <w:lang w:val="en"/>
        </w:rPr>
        <w:t xml:space="preserve">. </w:t>
      </w:r>
      <w:r>
        <w:rPr>
          <w:lang w:val="en"/>
        </w:rPr>
        <w:t>2018</w:t>
      </w:r>
      <w:r>
        <w:rPr>
          <w:color w:val="000000"/>
          <w:lang w:val="en"/>
        </w:rPr>
        <w:t>)</w:t>
      </w:r>
      <w:r w:rsidR="00716072">
        <w:rPr>
          <w:color w:val="000000"/>
          <w:lang w:val="en"/>
        </w:rPr>
        <w:t xml:space="preserve">. </w:t>
      </w:r>
    </w:p>
    <w:p w14:paraId="0FB96975" w14:textId="30ABD8EA" w:rsidR="00D6049D" w:rsidRDefault="00D6049D" w:rsidP="00D06A04">
      <w:pPr>
        <w:rPr>
          <w:lang w:val="en"/>
        </w:rPr>
      </w:pPr>
      <w:r w:rsidRPr="00F80B1F">
        <w:rPr>
          <w:lang w:val="en"/>
        </w:rPr>
        <w:t>Other factors have been studied for a possible link to childhood leukemia but results have not been consistent or have not demonstrated strong links</w:t>
      </w:r>
      <w:r w:rsidR="00716072">
        <w:rPr>
          <w:lang w:val="en"/>
        </w:rPr>
        <w:t xml:space="preserve">. </w:t>
      </w:r>
      <w:r>
        <w:rPr>
          <w:lang w:val="en"/>
        </w:rPr>
        <w:t>S</w:t>
      </w:r>
      <w:r w:rsidRPr="00F80B1F">
        <w:rPr>
          <w:lang w:val="en"/>
        </w:rPr>
        <w:t>ome studies have suggested that maternal alcohol consumption during pregnancy might increase the risk of leukemia in children</w:t>
      </w:r>
      <w:r w:rsidRPr="00B811A0">
        <w:rPr>
          <w:lang w:val="en"/>
        </w:rPr>
        <w:t xml:space="preserve"> (</w:t>
      </w:r>
      <w:r>
        <w:rPr>
          <w:lang w:val="en"/>
        </w:rPr>
        <w:t xml:space="preserve">Latino-Martel </w:t>
      </w:r>
      <w:r w:rsidR="00EF0735">
        <w:rPr>
          <w:lang w:val="en"/>
        </w:rPr>
        <w:t>et al</w:t>
      </w:r>
      <w:r w:rsidR="00716072">
        <w:rPr>
          <w:lang w:val="en"/>
        </w:rPr>
        <w:t xml:space="preserve">. </w:t>
      </w:r>
      <w:r>
        <w:rPr>
          <w:lang w:val="en"/>
        </w:rPr>
        <w:t>2010</w:t>
      </w:r>
      <w:r w:rsidRPr="00B811A0">
        <w:rPr>
          <w:lang w:val="en"/>
        </w:rPr>
        <w:t>)</w:t>
      </w:r>
      <w:r w:rsidR="00716072">
        <w:rPr>
          <w:lang w:val="en"/>
        </w:rPr>
        <w:t xml:space="preserve">. </w:t>
      </w:r>
      <w:r>
        <w:rPr>
          <w:lang w:val="en"/>
        </w:rPr>
        <w:t xml:space="preserve">Other exposures investigated include </w:t>
      </w:r>
      <w:r w:rsidRPr="00F80B1F">
        <w:rPr>
          <w:lang w:val="en"/>
        </w:rPr>
        <w:t xml:space="preserve">electromagnetic fields (such as living near power lines), living near a nuclear </w:t>
      </w:r>
      <w:r w:rsidRPr="00F80B1F">
        <w:rPr>
          <w:lang w:val="en"/>
        </w:rPr>
        <w:lastRenderedPageBreak/>
        <w:t xml:space="preserve">power plant, infections early in life, mother’s age when child is born, </w:t>
      </w:r>
      <w:r>
        <w:rPr>
          <w:lang w:val="en"/>
        </w:rPr>
        <w:t xml:space="preserve">and </w:t>
      </w:r>
      <w:r w:rsidRPr="00F80B1F">
        <w:rPr>
          <w:lang w:val="en"/>
        </w:rPr>
        <w:t>fetal exposure to hormones such as diethylstilbestrol (DES) or birth control pills</w:t>
      </w:r>
      <w:r w:rsidR="0055215F">
        <w:rPr>
          <w:lang w:val="en"/>
        </w:rPr>
        <w:t>, but research has not produced conclusive results</w:t>
      </w:r>
      <w:r w:rsidRPr="00F80B1F">
        <w:rPr>
          <w:lang w:val="en"/>
        </w:rPr>
        <w:t xml:space="preserve"> </w:t>
      </w:r>
      <w:r w:rsidRPr="0077215A">
        <w:rPr>
          <w:lang w:val="en"/>
        </w:rPr>
        <w:t>(</w:t>
      </w:r>
      <w:r>
        <w:rPr>
          <w:lang w:val="en"/>
        </w:rPr>
        <w:t>Eden 2010; Roman et al</w:t>
      </w:r>
      <w:r w:rsidR="00716072">
        <w:rPr>
          <w:lang w:val="en"/>
        </w:rPr>
        <w:t xml:space="preserve">. </w:t>
      </w:r>
      <w:r>
        <w:rPr>
          <w:lang w:val="en"/>
        </w:rPr>
        <w:t>201</w:t>
      </w:r>
      <w:r w:rsidR="00B04E5F">
        <w:rPr>
          <w:lang w:val="en"/>
        </w:rPr>
        <w:t>8</w:t>
      </w:r>
      <w:r w:rsidRPr="0077215A">
        <w:rPr>
          <w:lang w:val="en"/>
        </w:rPr>
        <w:t>)</w:t>
      </w:r>
      <w:r w:rsidR="00716072">
        <w:rPr>
          <w:lang w:val="en"/>
        </w:rPr>
        <w:t>.</w:t>
      </w:r>
    </w:p>
    <w:p w14:paraId="570F7103" w14:textId="77777777" w:rsidR="00D6049D" w:rsidRPr="00F80B1F" w:rsidRDefault="00D6049D" w:rsidP="0063071E">
      <w:pPr>
        <w:pStyle w:val="StyleHeading4Linespacingsingle"/>
      </w:pPr>
      <w:r w:rsidRPr="009F17A1">
        <w:t>Lymphomas</w:t>
      </w:r>
    </w:p>
    <w:p w14:paraId="066F732F" w14:textId="77777777" w:rsidR="00D6049D" w:rsidRPr="00F80B1F" w:rsidRDefault="00D6049D" w:rsidP="00D06A04">
      <w:pPr>
        <w:rPr>
          <w:lang w:val="en"/>
        </w:rPr>
      </w:pPr>
      <w:r w:rsidRPr="00F80B1F">
        <w:rPr>
          <w:lang w:val="en"/>
        </w:rPr>
        <w:t xml:space="preserve">Lymphoma was diagnosed in </w:t>
      </w:r>
      <w:r>
        <w:rPr>
          <w:lang w:val="en"/>
        </w:rPr>
        <w:t>three</w:t>
      </w:r>
      <w:r w:rsidRPr="00F80B1F">
        <w:rPr>
          <w:lang w:val="en"/>
        </w:rPr>
        <w:t xml:space="preserve"> Wilmington children between 19</w:t>
      </w:r>
      <w:r w:rsidR="00C05862">
        <w:rPr>
          <w:lang w:val="en"/>
        </w:rPr>
        <w:t>90</w:t>
      </w:r>
      <w:r w:rsidRPr="00F80B1F">
        <w:rPr>
          <w:lang w:val="en"/>
        </w:rPr>
        <w:t xml:space="preserve"> and 2000</w:t>
      </w:r>
      <w:r w:rsidR="00716072">
        <w:rPr>
          <w:lang w:val="en"/>
        </w:rPr>
        <w:t xml:space="preserve">. </w:t>
      </w:r>
      <w:r w:rsidRPr="00F80B1F">
        <w:rPr>
          <w:lang w:val="en"/>
        </w:rPr>
        <w:t xml:space="preserve">Two children were diagnosed with Hodgkin </w:t>
      </w:r>
      <w:r>
        <w:rPr>
          <w:lang w:val="en"/>
        </w:rPr>
        <w:t>lymphoma</w:t>
      </w:r>
      <w:r w:rsidRPr="00F80B1F">
        <w:rPr>
          <w:lang w:val="en"/>
        </w:rPr>
        <w:t xml:space="preserve"> and one child was diagnosed with non-Hodgkin lymphoma</w:t>
      </w:r>
      <w:r>
        <w:rPr>
          <w:lang w:val="en"/>
        </w:rPr>
        <w:t xml:space="preserve"> (NHL)</w:t>
      </w:r>
      <w:r w:rsidRPr="00F80B1F">
        <w:rPr>
          <w:lang w:val="en"/>
        </w:rPr>
        <w:t>.</w:t>
      </w:r>
    </w:p>
    <w:p w14:paraId="7CA2858C" w14:textId="77777777" w:rsidR="00D6049D" w:rsidRDefault="00D6049D" w:rsidP="00D06A04">
      <w:pPr>
        <w:rPr>
          <w:lang w:val="en"/>
        </w:rPr>
      </w:pPr>
      <w:r>
        <w:t>Lymphomas are cancers that start in the cells of the lymph system, which is part of the body’s immune system</w:t>
      </w:r>
      <w:r w:rsidR="00716072">
        <w:t xml:space="preserve">. </w:t>
      </w:r>
      <w:r w:rsidRPr="00F80B1F">
        <w:rPr>
          <w:lang w:val="en"/>
        </w:rPr>
        <w:t xml:space="preserve">Lymphoma (including both NHL and Hodgkin </w:t>
      </w:r>
      <w:r>
        <w:rPr>
          <w:lang w:val="en"/>
        </w:rPr>
        <w:t>lymphoma</w:t>
      </w:r>
      <w:r w:rsidRPr="00F80B1F">
        <w:rPr>
          <w:lang w:val="en"/>
        </w:rPr>
        <w:t>) is the third most common cancer in children</w:t>
      </w:r>
      <w:r>
        <w:rPr>
          <w:lang w:val="en"/>
        </w:rPr>
        <w:t xml:space="preserve"> and</w:t>
      </w:r>
      <w:r w:rsidRPr="00F80B1F">
        <w:rPr>
          <w:lang w:val="en"/>
        </w:rPr>
        <w:t xml:space="preserve"> account</w:t>
      </w:r>
      <w:r>
        <w:rPr>
          <w:lang w:val="en"/>
        </w:rPr>
        <w:t>ed</w:t>
      </w:r>
      <w:r w:rsidRPr="00F80B1F">
        <w:rPr>
          <w:lang w:val="en"/>
        </w:rPr>
        <w:t xml:space="preserve"> for about </w:t>
      </w:r>
      <w:r>
        <w:rPr>
          <w:lang w:val="en"/>
        </w:rPr>
        <w:t>17</w:t>
      </w:r>
      <w:r w:rsidRPr="00F80B1F">
        <w:rPr>
          <w:lang w:val="en"/>
        </w:rPr>
        <w:t>% of childhood cancers</w:t>
      </w:r>
      <w:r>
        <w:rPr>
          <w:lang w:val="en"/>
        </w:rPr>
        <w:t xml:space="preserve"> in Massachusetts and 14% in the US during 2000-2009 (MCR 2014)</w:t>
      </w:r>
      <w:r w:rsidR="00716072">
        <w:rPr>
          <w:lang w:val="en"/>
        </w:rPr>
        <w:t xml:space="preserve">. </w:t>
      </w:r>
      <w:r>
        <w:rPr>
          <w:lang w:val="en"/>
        </w:rPr>
        <w:t>In the US and Massachusetts, half of childhood lymphomas are Hodgkin lymphoma, about a third are NHL (excluding Burkitt lymphoma), and about 10% are Burkitt lymphoma</w:t>
      </w:r>
      <w:r w:rsidR="00716072">
        <w:rPr>
          <w:lang w:val="en"/>
        </w:rPr>
        <w:t xml:space="preserve">. </w:t>
      </w:r>
      <w:r>
        <w:rPr>
          <w:lang w:val="en"/>
        </w:rPr>
        <w:t>Lymphoma incidence increases with age</w:t>
      </w:r>
      <w:r w:rsidR="00EF0735">
        <w:rPr>
          <w:lang w:val="en"/>
        </w:rPr>
        <w:t xml:space="preserve"> (MCR 2014)</w:t>
      </w:r>
      <w:r w:rsidR="00716072">
        <w:rPr>
          <w:lang w:val="en"/>
        </w:rPr>
        <w:t xml:space="preserve">. </w:t>
      </w:r>
    </w:p>
    <w:p w14:paraId="01EA43E6" w14:textId="53FE0958" w:rsidR="00D6049D" w:rsidRDefault="00D6049D" w:rsidP="00D06A04">
      <w:pPr>
        <w:rPr>
          <w:lang w:val="en"/>
        </w:rPr>
      </w:pPr>
      <w:r>
        <w:rPr>
          <w:lang w:val="en"/>
        </w:rPr>
        <w:t>NHL</w:t>
      </w:r>
      <w:r w:rsidRPr="00F80B1F">
        <w:rPr>
          <w:lang w:val="en"/>
        </w:rPr>
        <w:t xml:space="preserve"> can occur at any age but is</w:t>
      </w:r>
      <w:r>
        <w:rPr>
          <w:lang w:val="en"/>
        </w:rPr>
        <w:t xml:space="preserve"> rare in the first year of life</w:t>
      </w:r>
      <w:r w:rsidR="00716072">
        <w:rPr>
          <w:lang w:val="en"/>
        </w:rPr>
        <w:t xml:space="preserve">. </w:t>
      </w:r>
      <w:r>
        <w:rPr>
          <w:lang w:val="en"/>
        </w:rPr>
        <w:t>During 2000-2009, 78% of NHL diagnoses among children in Massachusetts occurred after the age of 14</w:t>
      </w:r>
      <w:r w:rsidR="00716072">
        <w:rPr>
          <w:lang w:val="en"/>
        </w:rPr>
        <w:t xml:space="preserve">. </w:t>
      </w:r>
      <w:r>
        <w:rPr>
          <w:lang w:val="en"/>
        </w:rPr>
        <w:t>NHL</w:t>
      </w:r>
      <w:r w:rsidRPr="00F80B1F">
        <w:rPr>
          <w:lang w:val="en"/>
        </w:rPr>
        <w:t xml:space="preserve"> is </w:t>
      </w:r>
      <w:r>
        <w:rPr>
          <w:lang w:val="en"/>
        </w:rPr>
        <w:t>more than</w:t>
      </w:r>
      <w:r w:rsidRPr="00F80B1F">
        <w:rPr>
          <w:lang w:val="en"/>
        </w:rPr>
        <w:t xml:space="preserve"> </w:t>
      </w:r>
      <w:r>
        <w:rPr>
          <w:lang w:val="en"/>
        </w:rPr>
        <w:t>two</w:t>
      </w:r>
      <w:r w:rsidRPr="00F80B1F">
        <w:rPr>
          <w:lang w:val="en"/>
        </w:rPr>
        <w:t xml:space="preserve"> times more common in boys than in girls</w:t>
      </w:r>
      <w:r w:rsidR="00716072">
        <w:rPr>
          <w:lang w:val="en"/>
        </w:rPr>
        <w:t xml:space="preserve">. </w:t>
      </w:r>
      <w:r>
        <w:rPr>
          <w:lang w:val="en"/>
        </w:rPr>
        <w:t>In Massachusetts, two-thirds of non-Hodgkin lymphoma diagnoses are among boys</w:t>
      </w:r>
      <w:r w:rsidR="00716072">
        <w:rPr>
          <w:lang w:val="en"/>
        </w:rPr>
        <w:t xml:space="preserve">. </w:t>
      </w:r>
      <w:r w:rsidRPr="00F80B1F">
        <w:rPr>
          <w:lang w:val="en"/>
        </w:rPr>
        <w:t xml:space="preserve">The reasons for this sex difference are not known </w:t>
      </w:r>
      <w:r w:rsidRPr="0077215A">
        <w:rPr>
          <w:lang w:val="en"/>
        </w:rPr>
        <w:t>(</w:t>
      </w:r>
      <w:r>
        <w:rPr>
          <w:lang w:val="en"/>
        </w:rPr>
        <w:t>Bleyer et al</w:t>
      </w:r>
      <w:r w:rsidR="00716072">
        <w:rPr>
          <w:lang w:val="en"/>
        </w:rPr>
        <w:t xml:space="preserve">. </w:t>
      </w:r>
      <w:r>
        <w:rPr>
          <w:lang w:val="en"/>
        </w:rPr>
        <w:t xml:space="preserve">2006; MCR 2014; </w:t>
      </w:r>
      <w:proofErr w:type="spellStart"/>
      <w:r>
        <w:rPr>
          <w:lang w:val="en"/>
        </w:rPr>
        <w:t>Noone</w:t>
      </w:r>
      <w:proofErr w:type="spellEnd"/>
      <w:r>
        <w:rPr>
          <w:lang w:val="en"/>
        </w:rPr>
        <w:t xml:space="preserve"> et al</w:t>
      </w:r>
      <w:r w:rsidR="00716072">
        <w:rPr>
          <w:lang w:val="en"/>
        </w:rPr>
        <w:t xml:space="preserve">. </w:t>
      </w:r>
      <w:r>
        <w:rPr>
          <w:lang w:val="en"/>
        </w:rPr>
        <w:t>201</w:t>
      </w:r>
      <w:r w:rsidR="006E0AC0">
        <w:rPr>
          <w:lang w:val="en"/>
        </w:rPr>
        <w:t>8</w:t>
      </w:r>
      <w:r>
        <w:rPr>
          <w:lang w:val="en"/>
        </w:rPr>
        <w:t>;</w:t>
      </w:r>
      <w:r w:rsidR="005F5C00">
        <w:rPr>
          <w:lang w:val="en"/>
        </w:rPr>
        <w:t xml:space="preserve"> </w:t>
      </w:r>
      <w:proofErr w:type="spellStart"/>
      <w:r w:rsidR="00894A86">
        <w:rPr>
          <w:lang w:val="en"/>
        </w:rPr>
        <w:t>Ries</w:t>
      </w:r>
      <w:proofErr w:type="spellEnd"/>
      <w:r>
        <w:rPr>
          <w:lang w:val="en"/>
        </w:rPr>
        <w:t xml:space="preserve"> et al</w:t>
      </w:r>
      <w:r w:rsidR="00716072">
        <w:rPr>
          <w:lang w:val="en"/>
        </w:rPr>
        <w:t xml:space="preserve">. </w:t>
      </w:r>
      <w:r>
        <w:rPr>
          <w:lang w:val="en"/>
        </w:rPr>
        <w:t>1999</w:t>
      </w:r>
      <w:r w:rsidRPr="0077215A">
        <w:rPr>
          <w:lang w:val="en"/>
        </w:rPr>
        <w:t>)</w:t>
      </w:r>
      <w:r w:rsidR="00716072">
        <w:rPr>
          <w:lang w:val="en"/>
        </w:rPr>
        <w:t xml:space="preserve">. </w:t>
      </w:r>
    </w:p>
    <w:p w14:paraId="133B81BC" w14:textId="77777777" w:rsidR="00D6049D" w:rsidRPr="00F80B1F" w:rsidRDefault="00D6049D" w:rsidP="00D06A04">
      <w:pPr>
        <w:rPr>
          <w:lang w:val="en"/>
        </w:rPr>
      </w:pPr>
      <w:r>
        <w:rPr>
          <w:lang w:val="en"/>
        </w:rPr>
        <w:t>Children with a family history of lymphoma have a greater risk</w:t>
      </w:r>
      <w:r w:rsidR="00716072">
        <w:rPr>
          <w:lang w:val="en"/>
        </w:rPr>
        <w:t xml:space="preserve">. </w:t>
      </w:r>
      <w:r>
        <w:rPr>
          <w:lang w:val="en"/>
        </w:rPr>
        <w:t>Children with a sibling or parent with NHL have a greater risk of being diagnosed with NHL</w:t>
      </w:r>
      <w:r w:rsidR="00716072">
        <w:rPr>
          <w:lang w:val="en"/>
        </w:rPr>
        <w:t xml:space="preserve">. </w:t>
      </w:r>
      <w:r>
        <w:rPr>
          <w:lang w:val="en"/>
        </w:rPr>
        <w:t>This pattern is likely related to shared genetic and environmental factors (</w:t>
      </w:r>
      <w:proofErr w:type="spellStart"/>
      <w:r>
        <w:rPr>
          <w:lang w:val="en"/>
        </w:rPr>
        <w:t>Cerhan</w:t>
      </w:r>
      <w:proofErr w:type="spellEnd"/>
      <w:r>
        <w:rPr>
          <w:lang w:val="en"/>
        </w:rPr>
        <w:t xml:space="preserve"> et al</w:t>
      </w:r>
      <w:r w:rsidR="00716072">
        <w:rPr>
          <w:lang w:val="en"/>
        </w:rPr>
        <w:t xml:space="preserve">. </w:t>
      </w:r>
      <w:r>
        <w:rPr>
          <w:lang w:val="en"/>
        </w:rPr>
        <w:t>2018; Roman et al</w:t>
      </w:r>
      <w:r w:rsidR="00716072">
        <w:rPr>
          <w:lang w:val="en"/>
        </w:rPr>
        <w:t xml:space="preserve">. </w:t>
      </w:r>
      <w:r>
        <w:rPr>
          <w:lang w:val="en"/>
        </w:rPr>
        <w:t>2018)</w:t>
      </w:r>
      <w:r w:rsidR="00716072">
        <w:rPr>
          <w:lang w:val="en"/>
        </w:rPr>
        <w:t xml:space="preserve">. </w:t>
      </w:r>
      <w:r>
        <w:rPr>
          <w:lang w:val="en"/>
        </w:rPr>
        <w:t>Children with certain genetic syndromes, such as Li-Fraumeni syndrome, have a higher risk of developing non-Hodgkin lymphoma (Roman et al</w:t>
      </w:r>
      <w:r w:rsidR="00716072">
        <w:rPr>
          <w:lang w:val="en"/>
        </w:rPr>
        <w:t xml:space="preserve">. </w:t>
      </w:r>
      <w:r>
        <w:rPr>
          <w:lang w:val="en"/>
        </w:rPr>
        <w:t>2018)</w:t>
      </w:r>
      <w:r w:rsidR="00716072">
        <w:rPr>
          <w:lang w:val="en"/>
        </w:rPr>
        <w:t xml:space="preserve">. </w:t>
      </w:r>
    </w:p>
    <w:p w14:paraId="6CECBF18" w14:textId="77777777" w:rsidR="00D6049D" w:rsidRDefault="00D6049D" w:rsidP="00D06A04">
      <w:pPr>
        <w:rPr>
          <w:lang w:val="en"/>
        </w:rPr>
      </w:pPr>
      <w:r w:rsidRPr="00291F56">
        <w:rPr>
          <w:lang w:val="en"/>
        </w:rPr>
        <w:t>Epstein-Barr virus</w:t>
      </w:r>
      <w:r w:rsidRPr="00F80B1F">
        <w:rPr>
          <w:lang w:val="en"/>
        </w:rPr>
        <w:t xml:space="preserve"> infection</w:t>
      </w:r>
      <w:r w:rsidR="00445D27">
        <w:rPr>
          <w:lang w:val="en"/>
        </w:rPr>
        <w:t xml:space="preserve"> (which is associated with</w:t>
      </w:r>
      <w:r w:rsidR="00445D27" w:rsidRPr="00445D27">
        <w:t> </w:t>
      </w:r>
      <w:r w:rsidR="00445D27" w:rsidRPr="00E83EB1">
        <w:t>infectious mononucleosis</w:t>
      </w:r>
      <w:r w:rsidR="00445D27">
        <w:rPr>
          <w:lang w:val="en"/>
        </w:rPr>
        <w:t>)</w:t>
      </w:r>
      <w:r w:rsidRPr="00F80B1F">
        <w:rPr>
          <w:lang w:val="en"/>
        </w:rPr>
        <w:t xml:space="preserve"> has been implicated in non-Hodgkin lymphoma</w:t>
      </w:r>
      <w:r w:rsidR="00716072">
        <w:rPr>
          <w:lang w:val="en"/>
        </w:rPr>
        <w:t xml:space="preserve">. </w:t>
      </w:r>
      <w:r>
        <w:rPr>
          <w:lang w:val="en"/>
        </w:rPr>
        <w:t xml:space="preserve">Children with a weakened immune system, such as those </w:t>
      </w:r>
      <w:r w:rsidRPr="007F17C3">
        <w:rPr>
          <w:lang w:val="en"/>
        </w:rPr>
        <w:t>taking immunosuppressant drugs following an organ transplant</w:t>
      </w:r>
      <w:r>
        <w:rPr>
          <w:lang w:val="en"/>
        </w:rPr>
        <w:t>, and children with human immunodeficiency virus are at increased risk of lymphoma</w:t>
      </w:r>
      <w:r w:rsidRPr="00F80B1F">
        <w:rPr>
          <w:lang w:val="en"/>
        </w:rPr>
        <w:t xml:space="preserve"> </w:t>
      </w:r>
      <w:r>
        <w:rPr>
          <w:lang w:val="en"/>
        </w:rPr>
        <w:t>(</w:t>
      </w:r>
      <w:proofErr w:type="spellStart"/>
      <w:r>
        <w:rPr>
          <w:lang w:val="en"/>
        </w:rPr>
        <w:t>Cerhan</w:t>
      </w:r>
      <w:proofErr w:type="spellEnd"/>
      <w:r>
        <w:rPr>
          <w:lang w:val="en"/>
        </w:rPr>
        <w:t xml:space="preserve"> et al</w:t>
      </w:r>
      <w:r w:rsidR="00716072">
        <w:rPr>
          <w:lang w:val="en"/>
        </w:rPr>
        <w:t xml:space="preserve">. </w:t>
      </w:r>
      <w:r>
        <w:rPr>
          <w:lang w:val="en"/>
        </w:rPr>
        <w:t>2018; Roman et al</w:t>
      </w:r>
      <w:r w:rsidR="00716072">
        <w:rPr>
          <w:lang w:val="en"/>
        </w:rPr>
        <w:t xml:space="preserve">. </w:t>
      </w:r>
      <w:r>
        <w:rPr>
          <w:lang w:val="en"/>
        </w:rPr>
        <w:t>2018</w:t>
      </w:r>
      <w:r w:rsidRPr="00F80B1F">
        <w:rPr>
          <w:lang w:val="en"/>
        </w:rPr>
        <w:t>)</w:t>
      </w:r>
      <w:r w:rsidR="00716072">
        <w:rPr>
          <w:lang w:val="en"/>
        </w:rPr>
        <w:t xml:space="preserve">. </w:t>
      </w:r>
    </w:p>
    <w:p w14:paraId="516BFC98" w14:textId="77777777" w:rsidR="00D6049D" w:rsidRDefault="00D6049D" w:rsidP="00D06A04">
      <w:pPr>
        <w:rPr>
          <w:lang w:val="en"/>
        </w:rPr>
      </w:pPr>
      <w:r>
        <w:rPr>
          <w:lang w:val="en"/>
        </w:rPr>
        <w:t>Studies indicate that certain chemicals are associated with non-Hodgkin lymphoma</w:t>
      </w:r>
      <w:r w:rsidR="00716072">
        <w:rPr>
          <w:lang w:val="en"/>
        </w:rPr>
        <w:t xml:space="preserve">. </w:t>
      </w:r>
      <w:r w:rsidRPr="00F80B1F">
        <w:rPr>
          <w:lang w:val="en"/>
        </w:rPr>
        <w:t xml:space="preserve">Studies in adults </w:t>
      </w:r>
      <w:r>
        <w:rPr>
          <w:lang w:val="en"/>
        </w:rPr>
        <w:t>suggest</w:t>
      </w:r>
      <w:r w:rsidRPr="00F80B1F">
        <w:rPr>
          <w:lang w:val="en"/>
        </w:rPr>
        <w:t xml:space="preserve"> that </w:t>
      </w:r>
      <w:r>
        <w:rPr>
          <w:lang w:val="en"/>
        </w:rPr>
        <w:t xml:space="preserve">non-Hodgkin lymphoma </w:t>
      </w:r>
      <w:r w:rsidRPr="00F80B1F">
        <w:rPr>
          <w:lang w:val="en"/>
        </w:rPr>
        <w:t>risk may increase with exposure to solvents in the workplace (</w:t>
      </w:r>
      <w:r>
        <w:rPr>
          <w:lang w:val="en"/>
        </w:rPr>
        <w:t>Wang</w:t>
      </w:r>
      <w:r w:rsidR="005827F1">
        <w:rPr>
          <w:lang w:val="en"/>
        </w:rPr>
        <w:t xml:space="preserve"> et al</w:t>
      </w:r>
      <w:r w:rsidR="00716072">
        <w:rPr>
          <w:lang w:val="en"/>
        </w:rPr>
        <w:t xml:space="preserve">. </w:t>
      </w:r>
      <w:r w:rsidR="00EF0735">
        <w:rPr>
          <w:lang w:val="en"/>
        </w:rPr>
        <w:t>2009</w:t>
      </w:r>
      <w:r w:rsidRPr="00F80B1F">
        <w:rPr>
          <w:lang w:val="en"/>
        </w:rPr>
        <w:t>)</w:t>
      </w:r>
      <w:r w:rsidR="00716072">
        <w:rPr>
          <w:lang w:val="en"/>
        </w:rPr>
        <w:t xml:space="preserve">. </w:t>
      </w:r>
      <w:r w:rsidRPr="008A671F">
        <w:t xml:space="preserve">Parental </w:t>
      </w:r>
      <w:r w:rsidR="00445D27" w:rsidRPr="008A671F">
        <w:t>exposure</w:t>
      </w:r>
      <w:r w:rsidR="004449EE">
        <w:t>s</w:t>
      </w:r>
      <w:r w:rsidR="00445D27" w:rsidRPr="008A671F">
        <w:t xml:space="preserve"> to solvents</w:t>
      </w:r>
      <w:r w:rsidR="00445D27">
        <w:t>, vehicle exhaust, and</w:t>
      </w:r>
      <w:r w:rsidR="00445D27" w:rsidRPr="008A671F">
        <w:t xml:space="preserve"> heavy metals ha</w:t>
      </w:r>
      <w:r w:rsidR="001D607B">
        <w:t>ve</w:t>
      </w:r>
      <w:r w:rsidRPr="008A671F">
        <w:t xml:space="preserve"> been associated with increased childhood risk of </w:t>
      </w:r>
      <w:r>
        <w:t>non-</w:t>
      </w:r>
      <w:r>
        <w:lastRenderedPageBreak/>
        <w:t xml:space="preserve">Hodgkin </w:t>
      </w:r>
      <w:r w:rsidRPr="008A671F">
        <w:t>lymphoma (</w:t>
      </w:r>
      <w:proofErr w:type="spellStart"/>
      <w:r>
        <w:t>Miligi</w:t>
      </w:r>
      <w:proofErr w:type="spellEnd"/>
      <w:r>
        <w:t xml:space="preserve"> et al</w:t>
      </w:r>
      <w:r w:rsidR="00716072">
        <w:t xml:space="preserve">. </w:t>
      </w:r>
      <w:r>
        <w:t>2013</w:t>
      </w:r>
      <w:r w:rsidRPr="008A671F">
        <w:t>)</w:t>
      </w:r>
      <w:r w:rsidR="00716072">
        <w:t xml:space="preserve">. </w:t>
      </w:r>
      <w:r>
        <w:t xml:space="preserve">Benzene and polychlorinated biphenyls (PCBs) are categorized by </w:t>
      </w:r>
      <w:r w:rsidRPr="00475ACE">
        <w:rPr>
          <w:lang w:val="en"/>
        </w:rPr>
        <w:t>IARC</w:t>
      </w:r>
      <w:r>
        <w:rPr>
          <w:lang w:val="en"/>
        </w:rPr>
        <w:t xml:space="preserve"> as carcinogens</w:t>
      </w:r>
      <w:r w:rsidR="00716072">
        <w:rPr>
          <w:lang w:val="en"/>
        </w:rPr>
        <w:t xml:space="preserve">. </w:t>
      </w:r>
      <w:r>
        <w:rPr>
          <w:lang w:val="en"/>
        </w:rPr>
        <w:t>IARC evaluations of these chemicals conclude that they may increase the risk of non-Hodgkin lymphoma (IARC 201</w:t>
      </w:r>
      <w:r w:rsidR="008B04C2">
        <w:rPr>
          <w:lang w:val="en"/>
        </w:rPr>
        <w:t>6</w:t>
      </w:r>
      <w:r>
        <w:rPr>
          <w:lang w:val="en"/>
        </w:rPr>
        <w:t>; 2018)</w:t>
      </w:r>
      <w:r w:rsidR="00716072">
        <w:rPr>
          <w:lang w:val="en"/>
        </w:rPr>
        <w:t xml:space="preserve">. </w:t>
      </w:r>
    </w:p>
    <w:p w14:paraId="36C63D3E" w14:textId="216E470E" w:rsidR="00D6049D" w:rsidRDefault="00D6049D" w:rsidP="00D06A04">
      <w:r w:rsidRPr="008A671F">
        <w:t xml:space="preserve">As seen with brain cancer and leukemia, studies demonstrate an association between pesticide exposure and </w:t>
      </w:r>
      <w:r>
        <w:t xml:space="preserve">non-Hodgkin </w:t>
      </w:r>
      <w:r w:rsidRPr="008A671F">
        <w:t xml:space="preserve">lymphoma </w:t>
      </w:r>
      <w:r>
        <w:t xml:space="preserve">in children </w:t>
      </w:r>
      <w:r w:rsidRPr="008A671F">
        <w:t>either through parental occupational exposures or in</w:t>
      </w:r>
      <w:r w:rsidR="001D607B">
        <w:t>-</w:t>
      </w:r>
      <w:r w:rsidRPr="008A671F">
        <w:t>home exposures (</w:t>
      </w:r>
      <w:r>
        <w:t xml:space="preserve">Chen </w:t>
      </w:r>
      <w:r w:rsidR="00910280">
        <w:t>et al</w:t>
      </w:r>
      <w:r w:rsidR="00716072">
        <w:t xml:space="preserve">. </w:t>
      </w:r>
      <w:r>
        <w:t>2015;</w:t>
      </w:r>
      <w:r w:rsidRPr="00BB0475">
        <w:t xml:space="preserve"> </w:t>
      </w:r>
      <w:r w:rsidR="007E153E" w:rsidRPr="007E34A9">
        <w:rPr>
          <w:rFonts w:ascii="Times New Roman" w:hAnsi="Times New Roman"/>
        </w:rPr>
        <w:t>Infante</w:t>
      </w:r>
      <w:r w:rsidR="007E153E">
        <w:rPr>
          <w:rFonts w:ascii="Times New Roman" w:hAnsi="Times New Roman"/>
        </w:rPr>
        <w:t>-</w:t>
      </w:r>
      <w:proofErr w:type="spellStart"/>
      <w:r w:rsidR="007E153E">
        <w:rPr>
          <w:rFonts w:ascii="Times New Roman" w:hAnsi="Times New Roman"/>
        </w:rPr>
        <w:t>Rivard</w:t>
      </w:r>
      <w:proofErr w:type="spellEnd"/>
      <w:r w:rsidR="007E153E">
        <w:rPr>
          <w:rFonts w:ascii="Times New Roman" w:hAnsi="Times New Roman"/>
        </w:rPr>
        <w:t xml:space="preserve"> and </w:t>
      </w:r>
      <w:proofErr w:type="spellStart"/>
      <w:r w:rsidR="007E153E">
        <w:rPr>
          <w:rFonts w:ascii="Times New Roman" w:hAnsi="Times New Roman"/>
        </w:rPr>
        <w:t>Weichenthal</w:t>
      </w:r>
      <w:proofErr w:type="spellEnd"/>
      <w:r w:rsidR="007E153E" w:rsidRPr="00D06A04">
        <w:t xml:space="preserve"> 2007</w:t>
      </w:r>
      <w:r w:rsidR="007E153E">
        <w:rPr>
          <w:rFonts w:ascii="Times New Roman" w:hAnsi="Times New Roman"/>
        </w:rPr>
        <w:t xml:space="preserve">; </w:t>
      </w:r>
      <w:proofErr w:type="spellStart"/>
      <w:r w:rsidRPr="008A671F">
        <w:t>Zahm</w:t>
      </w:r>
      <w:proofErr w:type="spellEnd"/>
      <w:r w:rsidRPr="00011100">
        <w:t xml:space="preserve"> </w:t>
      </w:r>
      <w:r>
        <w:t>and Ward</w:t>
      </w:r>
      <w:r w:rsidRPr="008A671F">
        <w:t xml:space="preserve"> 199</w:t>
      </w:r>
      <w:r w:rsidR="00EF0735">
        <w:t>8</w:t>
      </w:r>
      <w:r w:rsidRPr="008A671F">
        <w:t>)</w:t>
      </w:r>
      <w:r w:rsidR="00716072">
        <w:t xml:space="preserve">. </w:t>
      </w:r>
    </w:p>
    <w:p w14:paraId="6E284E2F" w14:textId="367855DD" w:rsidR="00D6049D" w:rsidRDefault="00D6049D" w:rsidP="00D06A04">
      <w:pPr>
        <w:rPr>
          <w:lang w:val="en"/>
        </w:rPr>
      </w:pPr>
      <w:r>
        <w:rPr>
          <w:lang w:val="en"/>
        </w:rPr>
        <w:t>W</w:t>
      </w:r>
      <w:r w:rsidRPr="00F80B1F">
        <w:rPr>
          <w:lang w:val="en"/>
        </w:rPr>
        <w:t>ard et al</w:t>
      </w:r>
      <w:r w:rsidR="00716072">
        <w:rPr>
          <w:lang w:val="en"/>
        </w:rPr>
        <w:t xml:space="preserve">. </w:t>
      </w:r>
      <w:r w:rsidRPr="00F80B1F">
        <w:rPr>
          <w:lang w:val="en"/>
        </w:rPr>
        <w:t>(1996)</w:t>
      </w:r>
      <w:r>
        <w:rPr>
          <w:lang w:val="en"/>
        </w:rPr>
        <w:t xml:space="preserve"> </w:t>
      </w:r>
      <w:r w:rsidRPr="00F80B1F">
        <w:rPr>
          <w:lang w:val="en"/>
        </w:rPr>
        <w:t xml:space="preserve">found that drinking water contaminated with </w:t>
      </w:r>
      <w:r>
        <w:rPr>
          <w:lang w:val="en"/>
        </w:rPr>
        <w:t>nitrate</w:t>
      </w:r>
      <w:r w:rsidRPr="00F80B1F">
        <w:rPr>
          <w:lang w:val="en"/>
        </w:rPr>
        <w:t xml:space="preserve"> increase</w:t>
      </w:r>
      <w:r>
        <w:rPr>
          <w:lang w:val="en"/>
        </w:rPr>
        <w:t>s</w:t>
      </w:r>
      <w:r w:rsidRPr="00F80B1F">
        <w:rPr>
          <w:lang w:val="en"/>
        </w:rPr>
        <w:t xml:space="preserve"> the risk of non-Hodgkin lymphoma</w:t>
      </w:r>
      <w:r w:rsidR="00716072">
        <w:rPr>
          <w:lang w:val="en"/>
        </w:rPr>
        <w:t xml:space="preserve">. </w:t>
      </w:r>
      <w:r>
        <w:rPr>
          <w:lang w:val="en"/>
        </w:rPr>
        <w:t>However, subsequent studies of nitrate and nitrite exposure from drinking water and diet show mixed results (</w:t>
      </w:r>
      <w:proofErr w:type="spellStart"/>
      <w:r>
        <w:rPr>
          <w:lang w:val="en"/>
        </w:rPr>
        <w:t>Aschebrook-Kilfoy</w:t>
      </w:r>
      <w:proofErr w:type="spellEnd"/>
      <w:r>
        <w:rPr>
          <w:lang w:val="en"/>
        </w:rPr>
        <w:t xml:space="preserve"> et al</w:t>
      </w:r>
      <w:r w:rsidR="00716072">
        <w:rPr>
          <w:lang w:val="en"/>
        </w:rPr>
        <w:t xml:space="preserve">. </w:t>
      </w:r>
      <w:r>
        <w:rPr>
          <w:lang w:val="en"/>
        </w:rPr>
        <w:t>2013; Chiu et al</w:t>
      </w:r>
      <w:r w:rsidR="00716072">
        <w:rPr>
          <w:lang w:val="en"/>
        </w:rPr>
        <w:t xml:space="preserve">. </w:t>
      </w:r>
      <w:r>
        <w:rPr>
          <w:lang w:val="en"/>
        </w:rPr>
        <w:t>20</w:t>
      </w:r>
      <w:r w:rsidR="00271F60">
        <w:rPr>
          <w:lang w:val="en"/>
        </w:rPr>
        <w:t>08</w:t>
      </w:r>
      <w:r>
        <w:rPr>
          <w:lang w:val="en"/>
        </w:rPr>
        <w:t>; Ward et al</w:t>
      </w:r>
      <w:r w:rsidR="00716072">
        <w:rPr>
          <w:lang w:val="en"/>
        </w:rPr>
        <w:t xml:space="preserve">. </w:t>
      </w:r>
      <w:r>
        <w:rPr>
          <w:lang w:val="en"/>
        </w:rPr>
        <w:t>2006).</w:t>
      </w:r>
    </w:p>
    <w:p w14:paraId="1B4C5909" w14:textId="77777777" w:rsidR="00D6049D" w:rsidRDefault="00D6049D" w:rsidP="00D06A04">
      <w:pPr>
        <w:rPr>
          <w:color w:val="000000"/>
          <w:lang w:val="en"/>
        </w:rPr>
      </w:pPr>
      <w:r>
        <w:rPr>
          <w:color w:val="000000"/>
          <w:lang w:val="en"/>
        </w:rPr>
        <w:t>Some studies show an association with high birth weight and increased risk for non-Hodgkin lymphoma</w:t>
      </w:r>
      <w:r w:rsidR="00716072">
        <w:rPr>
          <w:color w:val="000000"/>
          <w:lang w:val="en"/>
        </w:rPr>
        <w:t xml:space="preserve">. </w:t>
      </w:r>
      <w:r w:rsidR="00445D27">
        <w:rPr>
          <w:color w:val="000000"/>
          <w:lang w:val="en"/>
        </w:rPr>
        <w:t>However,</w:t>
      </w:r>
      <w:r>
        <w:rPr>
          <w:color w:val="000000"/>
          <w:lang w:val="en"/>
        </w:rPr>
        <w:t xml:space="preserve"> not all studies confirm this association (</w:t>
      </w:r>
      <w:r>
        <w:rPr>
          <w:lang w:val="en"/>
        </w:rPr>
        <w:t>Roman et al</w:t>
      </w:r>
      <w:r w:rsidR="00716072">
        <w:rPr>
          <w:lang w:val="en"/>
        </w:rPr>
        <w:t xml:space="preserve">. </w:t>
      </w:r>
      <w:r>
        <w:rPr>
          <w:lang w:val="en"/>
        </w:rPr>
        <w:t>2018</w:t>
      </w:r>
      <w:r>
        <w:rPr>
          <w:color w:val="000000"/>
          <w:lang w:val="en"/>
        </w:rPr>
        <w:t>)</w:t>
      </w:r>
      <w:r w:rsidR="00716072">
        <w:rPr>
          <w:color w:val="000000"/>
          <w:lang w:val="en"/>
        </w:rPr>
        <w:t xml:space="preserve">. </w:t>
      </w:r>
    </w:p>
    <w:p w14:paraId="3D58B885" w14:textId="624F1EEF" w:rsidR="00D6049D" w:rsidRDefault="00D6049D" w:rsidP="00D06A04">
      <w:pPr>
        <w:rPr>
          <w:lang w:val="en"/>
        </w:rPr>
      </w:pPr>
      <w:r w:rsidRPr="00F80B1F">
        <w:rPr>
          <w:lang w:val="en"/>
        </w:rPr>
        <w:t xml:space="preserve">Hodgkin </w:t>
      </w:r>
      <w:r>
        <w:rPr>
          <w:lang w:val="en"/>
        </w:rPr>
        <w:t>lymphoma</w:t>
      </w:r>
      <w:r w:rsidRPr="00F80B1F">
        <w:rPr>
          <w:lang w:val="en"/>
        </w:rPr>
        <w:t xml:space="preserve"> occurs most often in children older than 1</w:t>
      </w:r>
      <w:r>
        <w:rPr>
          <w:lang w:val="en"/>
        </w:rPr>
        <w:t>0</w:t>
      </w:r>
      <w:r w:rsidRPr="00F80B1F">
        <w:rPr>
          <w:lang w:val="en"/>
        </w:rPr>
        <w:t xml:space="preserve"> and is rare in children under </w:t>
      </w:r>
      <w:r>
        <w:rPr>
          <w:lang w:val="en"/>
        </w:rPr>
        <w:t>five</w:t>
      </w:r>
      <w:r w:rsidR="00716072">
        <w:rPr>
          <w:lang w:val="en"/>
        </w:rPr>
        <w:t xml:space="preserve">. </w:t>
      </w:r>
      <w:r>
        <w:rPr>
          <w:lang w:val="en"/>
        </w:rPr>
        <w:t xml:space="preserve">It </w:t>
      </w:r>
      <w:r>
        <w:t>is the most common cancer in adolescents, accounting for about 15% of cancer diagnoses in teenagers aged 15 to 19</w:t>
      </w:r>
      <w:r>
        <w:rPr>
          <w:lang w:val="en"/>
        </w:rPr>
        <w:t xml:space="preserve"> (ACS 2014; MCR 2014; </w:t>
      </w:r>
      <w:proofErr w:type="spellStart"/>
      <w:r>
        <w:rPr>
          <w:lang w:val="en"/>
        </w:rPr>
        <w:t>Noone</w:t>
      </w:r>
      <w:proofErr w:type="spellEnd"/>
      <w:r>
        <w:rPr>
          <w:lang w:val="en"/>
        </w:rPr>
        <w:t xml:space="preserve"> et al</w:t>
      </w:r>
      <w:r w:rsidR="00716072">
        <w:rPr>
          <w:lang w:val="en"/>
        </w:rPr>
        <w:t xml:space="preserve">. </w:t>
      </w:r>
      <w:r>
        <w:rPr>
          <w:lang w:val="en"/>
        </w:rPr>
        <w:t>201</w:t>
      </w:r>
      <w:r w:rsidR="006E0AC0">
        <w:rPr>
          <w:lang w:val="en"/>
        </w:rPr>
        <w:t>8</w:t>
      </w:r>
      <w:r>
        <w:rPr>
          <w:lang w:val="en"/>
        </w:rPr>
        <w:t>)</w:t>
      </w:r>
      <w:r w:rsidR="00716072">
        <w:rPr>
          <w:lang w:val="en"/>
        </w:rPr>
        <w:t xml:space="preserve">. </w:t>
      </w:r>
      <w:r w:rsidRPr="00F80B1F">
        <w:rPr>
          <w:lang w:val="en"/>
        </w:rPr>
        <w:t xml:space="preserve">Hodgkin </w:t>
      </w:r>
      <w:r>
        <w:rPr>
          <w:lang w:val="en"/>
        </w:rPr>
        <w:t>lymphoma</w:t>
      </w:r>
      <w:r w:rsidRPr="00F80B1F">
        <w:rPr>
          <w:lang w:val="en"/>
        </w:rPr>
        <w:t xml:space="preserve"> is slightly more common among males</w:t>
      </w:r>
      <w:r w:rsidR="00716072">
        <w:rPr>
          <w:lang w:val="en"/>
        </w:rPr>
        <w:t xml:space="preserve">. </w:t>
      </w:r>
      <w:r>
        <w:rPr>
          <w:lang w:val="en"/>
        </w:rPr>
        <w:t>In Massachusetts, boys make up slightly more than half of Hodgkin lymphoma diagnoses</w:t>
      </w:r>
      <w:r w:rsidRPr="00F80B1F">
        <w:rPr>
          <w:lang w:val="en"/>
        </w:rPr>
        <w:t xml:space="preserve"> </w:t>
      </w:r>
      <w:r w:rsidRPr="0077215A">
        <w:rPr>
          <w:lang w:val="en"/>
        </w:rPr>
        <w:t>(</w:t>
      </w:r>
      <w:r>
        <w:rPr>
          <w:lang w:val="en"/>
        </w:rPr>
        <w:t>Bleyer et al</w:t>
      </w:r>
      <w:r w:rsidR="00716072">
        <w:rPr>
          <w:lang w:val="en"/>
        </w:rPr>
        <w:t xml:space="preserve">. </w:t>
      </w:r>
      <w:r>
        <w:rPr>
          <w:lang w:val="en"/>
        </w:rPr>
        <w:t xml:space="preserve">2006; MCR 2014; </w:t>
      </w:r>
      <w:proofErr w:type="spellStart"/>
      <w:r>
        <w:rPr>
          <w:lang w:val="en"/>
        </w:rPr>
        <w:t>Noone</w:t>
      </w:r>
      <w:proofErr w:type="spellEnd"/>
      <w:r>
        <w:rPr>
          <w:lang w:val="en"/>
        </w:rPr>
        <w:t xml:space="preserve"> et al</w:t>
      </w:r>
      <w:r w:rsidR="00716072">
        <w:rPr>
          <w:lang w:val="en"/>
        </w:rPr>
        <w:t xml:space="preserve">. </w:t>
      </w:r>
      <w:proofErr w:type="gramStart"/>
      <w:r>
        <w:rPr>
          <w:lang w:val="en"/>
        </w:rPr>
        <w:t>201</w:t>
      </w:r>
      <w:r w:rsidR="006E0AC0">
        <w:rPr>
          <w:lang w:val="en"/>
        </w:rPr>
        <w:t>8</w:t>
      </w:r>
      <w:r>
        <w:rPr>
          <w:lang w:val="en"/>
        </w:rPr>
        <w:t>;</w:t>
      </w:r>
      <w:r w:rsidR="00894A86">
        <w:rPr>
          <w:lang w:val="en"/>
        </w:rPr>
        <w:t>Ries</w:t>
      </w:r>
      <w:proofErr w:type="gramEnd"/>
      <w:r>
        <w:rPr>
          <w:lang w:val="en"/>
        </w:rPr>
        <w:t xml:space="preserve"> et al</w:t>
      </w:r>
      <w:r w:rsidR="00716072">
        <w:rPr>
          <w:lang w:val="en"/>
        </w:rPr>
        <w:t xml:space="preserve">. </w:t>
      </w:r>
      <w:r>
        <w:rPr>
          <w:lang w:val="en"/>
        </w:rPr>
        <w:t>1999</w:t>
      </w:r>
      <w:r w:rsidRPr="0077215A">
        <w:rPr>
          <w:lang w:val="en"/>
        </w:rPr>
        <w:t>)</w:t>
      </w:r>
      <w:r w:rsidR="00716072">
        <w:rPr>
          <w:lang w:val="en"/>
        </w:rPr>
        <w:t xml:space="preserve">. </w:t>
      </w:r>
      <w:r>
        <w:rPr>
          <w:lang w:val="en"/>
        </w:rPr>
        <w:t>Siblings, especially identical twins, of children with Hodgkin lymphoma are more likely to develop Hodgkin lymphoma</w:t>
      </w:r>
      <w:r w:rsidRPr="005F325F">
        <w:rPr>
          <w:lang w:val="en"/>
        </w:rPr>
        <w:t xml:space="preserve"> </w:t>
      </w:r>
      <w:r w:rsidR="005F5C00">
        <w:rPr>
          <w:lang w:val="en"/>
        </w:rPr>
        <w:t>(</w:t>
      </w:r>
      <w:r>
        <w:rPr>
          <w:lang w:val="en"/>
        </w:rPr>
        <w:t>Roman et al</w:t>
      </w:r>
      <w:r w:rsidR="00716072">
        <w:rPr>
          <w:lang w:val="en"/>
        </w:rPr>
        <w:t xml:space="preserve">. </w:t>
      </w:r>
      <w:r>
        <w:rPr>
          <w:lang w:val="en"/>
        </w:rPr>
        <w:t>2018)</w:t>
      </w:r>
      <w:r w:rsidR="00716072">
        <w:rPr>
          <w:lang w:val="en"/>
        </w:rPr>
        <w:t xml:space="preserve">. </w:t>
      </w:r>
    </w:p>
    <w:p w14:paraId="0FAB8D94" w14:textId="2B873630" w:rsidR="00D6049D" w:rsidRPr="00F80B1F" w:rsidRDefault="00D6049D" w:rsidP="00D06A04">
      <w:r w:rsidRPr="00291F56">
        <w:rPr>
          <w:lang w:val="en"/>
        </w:rPr>
        <w:t>Based on the epidemiological and medical literature, no environmental risk factors have been identified, with the exception of exposure to the Epstein-Barr virus</w:t>
      </w:r>
      <w:r w:rsidR="00716072">
        <w:rPr>
          <w:lang w:val="en"/>
        </w:rPr>
        <w:t xml:space="preserve">. </w:t>
      </w:r>
      <w:r w:rsidRPr="00F80B1F">
        <w:rPr>
          <w:lang w:val="en"/>
        </w:rPr>
        <w:t xml:space="preserve">People who have had infectious mononucleosis (sometimes called </w:t>
      </w:r>
      <w:r w:rsidRPr="00F80B1F">
        <w:rPr>
          <w:i/>
          <w:iCs/>
          <w:lang w:val="en"/>
        </w:rPr>
        <w:t>mono</w:t>
      </w:r>
      <w:r w:rsidRPr="00F80B1F">
        <w:rPr>
          <w:lang w:val="en"/>
        </w:rPr>
        <w:t xml:space="preserve"> for short), an infection cause</w:t>
      </w:r>
      <w:r>
        <w:rPr>
          <w:lang w:val="en"/>
        </w:rPr>
        <w:t>d by the Epstein-Barr virus</w:t>
      </w:r>
      <w:r w:rsidRPr="00F80B1F">
        <w:rPr>
          <w:lang w:val="en"/>
        </w:rPr>
        <w:t xml:space="preserve">, have an increased risk of Hodgkin </w:t>
      </w:r>
      <w:r>
        <w:rPr>
          <w:lang w:val="en"/>
        </w:rPr>
        <w:t>lymphoma</w:t>
      </w:r>
      <w:r w:rsidR="00716072">
        <w:rPr>
          <w:lang w:val="en"/>
        </w:rPr>
        <w:t xml:space="preserve">. </w:t>
      </w:r>
      <w:r w:rsidR="005F5C00">
        <w:rPr>
          <w:lang w:val="en"/>
        </w:rPr>
        <w:t xml:space="preserve">As stated earlier, </w:t>
      </w:r>
      <w:r w:rsidRPr="00291F56">
        <w:rPr>
          <w:lang w:val="en"/>
        </w:rPr>
        <w:t>Epstein-Barr virus</w:t>
      </w:r>
      <w:r w:rsidRPr="00F80B1F">
        <w:rPr>
          <w:lang w:val="en"/>
        </w:rPr>
        <w:t xml:space="preserve"> infection has also been implicated in non-Hodgkin lymphoma but the connection is less clear</w:t>
      </w:r>
      <w:r w:rsidR="00716072">
        <w:rPr>
          <w:lang w:val="en"/>
        </w:rPr>
        <w:t xml:space="preserve">. </w:t>
      </w:r>
      <w:r>
        <w:rPr>
          <w:lang w:val="en"/>
        </w:rPr>
        <w:t>Some studies show increased</w:t>
      </w:r>
      <w:r w:rsidRPr="00F80B1F">
        <w:rPr>
          <w:lang w:val="en"/>
        </w:rPr>
        <w:t xml:space="preserve"> risk of Hodgkin </w:t>
      </w:r>
      <w:r>
        <w:rPr>
          <w:lang w:val="en"/>
        </w:rPr>
        <w:t>lymphoma</w:t>
      </w:r>
      <w:r w:rsidRPr="00F80B1F">
        <w:rPr>
          <w:lang w:val="en"/>
        </w:rPr>
        <w:t xml:space="preserve"> in people with a higher socioeconomic background</w:t>
      </w:r>
      <w:r w:rsidR="00716072">
        <w:rPr>
          <w:lang w:val="en"/>
        </w:rPr>
        <w:t xml:space="preserve">. </w:t>
      </w:r>
      <w:r w:rsidRPr="00F80B1F">
        <w:rPr>
          <w:lang w:val="en"/>
        </w:rPr>
        <w:t>One possible explanation is that children from more affluent families might be exposed to some type of infection (such as Epstein-Barr virus) later in life than children from less affluent families, which might somehow increase their risk</w:t>
      </w:r>
      <w:r w:rsidR="00716072">
        <w:rPr>
          <w:lang w:val="en"/>
        </w:rPr>
        <w:t xml:space="preserve">. </w:t>
      </w:r>
      <w:r>
        <w:rPr>
          <w:lang w:val="en"/>
        </w:rPr>
        <w:t>Children with a weakened immune system and children with human immunodeficiency virus are at increased risk of Hodgkin lymphoma</w:t>
      </w:r>
      <w:r w:rsidRPr="00F80B1F">
        <w:rPr>
          <w:lang w:val="en"/>
        </w:rPr>
        <w:t xml:space="preserve"> </w:t>
      </w:r>
      <w:r>
        <w:rPr>
          <w:lang w:val="en"/>
        </w:rPr>
        <w:t>(</w:t>
      </w:r>
      <w:proofErr w:type="spellStart"/>
      <w:r>
        <w:rPr>
          <w:lang w:val="en"/>
        </w:rPr>
        <w:t>Hjalgrim</w:t>
      </w:r>
      <w:proofErr w:type="spellEnd"/>
      <w:r>
        <w:rPr>
          <w:lang w:val="en"/>
        </w:rPr>
        <w:t xml:space="preserve"> et al</w:t>
      </w:r>
      <w:r w:rsidR="00716072">
        <w:rPr>
          <w:lang w:val="en"/>
        </w:rPr>
        <w:t xml:space="preserve">. </w:t>
      </w:r>
      <w:r>
        <w:rPr>
          <w:lang w:val="en"/>
        </w:rPr>
        <w:t>2018; Roman et al</w:t>
      </w:r>
      <w:r w:rsidR="00716072">
        <w:rPr>
          <w:lang w:val="en"/>
        </w:rPr>
        <w:t xml:space="preserve">. </w:t>
      </w:r>
      <w:r>
        <w:rPr>
          <w:lang w:val="en"/>
        </w:rPr>
        <w:t>2018</w:t>
      </w:r>
      <w:r w:rsidRPr="00F80B1F">
        <w:rPr>
          <w:lang w:val="en"/>
        </w:rPr>
        <w:t>)</w:t>
      </w:r>
      <w:r w:rsidR="00716072">
        <w:rPr>
          <w:lang w:val="en"/>
        </w:rPr>
        <w:t xml:space="preserve">. </w:t>
      </w:r>
    </w:p>
    <w:p w14:paraId="43631047" w14:textId="77777777" w:rsidR="00D6049D" w:rsidRPr="00F80B1F" w:rsidRDefault="00581265" w:rsidP="0063071E">
      <w:pPr>
        <w:pStyle w:val="StyleHeading4Linespacingsingle"/>
      </w:pPr>
      <w:r>
        <w:lastRenderedPageBreak/>
        <w:t xml:space="preserve">Malignant </w:t>
      </w:r>
      <w:r w:rsidR="00D6049D">
        <w:t>Bone Tumors</w:t>
      </w:r>
    </w:p>
    <w:p w14:paraId="4A743F65" w14:textId="77777777" w:rsidR="00D6049D" w:rsidRDefault="00D6049D" w:rsidP="00D06A04">
      <w:pPr>
        <w:rPr>
          <w:lang w:val="en"/>
        </w:rPr>
      </w:pPr>
      <w:r>
        <w:rPr>
          <w:lang w:val="en"/>
        </w:rPr>
        <w:t>Three</w:t>
      </w:r>
      <w:r w:rsidRPr="00F80B1F">
        <w:rPr>
          <w:lang w:val="en"/>
        </w:rPr>
        <w:t xml:space="preserve"> Wilmington children </w:t>
      </w:r>
      <w:r>
        <w:rPr>
          <w:lang w:val="en"/>
        </w:rPr>
        <w:t xml:space="preserve">were </w:t>
      </w:r>
      <w:r w:rsidRPr="00F80B1F">
        <w:rPr>
          <w:lang w:val="en"/>
        </w:rPr>
        <w:t>diagnosed with bone cancer between 19</w:t>
      </w:r>
      <w:r w:rsidR="00C05862">
        <w:rPr>
          <w:lang w:val="en"/>
        </w:rPr>
        <w:t>90</w:t>
      </w:r>
      <w:r w:rsidRPr="00F80B1F">
        <w:rPr>
          <w:lang w:val="en"/>
        </w:rPr>
        <w:t xml:space="preserve"> and 2000</w:t>
      </w:r>
      <w:r w:rsidR="00716072">
        <w:rPr>
          <w:lang w:val="en"/>
        </w:rPr>
        <w:t xml:space="preserve">. </w:t>
      </w:r>
      <w:r>
        <w:rPr>
          <w:lang w:val="en"/>
        </w:rPr>
        <w:t xml:space="preserve">All three were diagnosed with </w:t>
      </w:r>
      <w:proofErr w:type="spellStart"/>
      <w:r>
        <w:rPr>
          <w:lang w:val="en"/>
        </w:rPr>
        <w:t>Ewings</w:t>
      </w:r>
      <w:proofErr w:type="spellEnd"/>
      <w:r>
        <w:rPr>
          <w:lang w:val="en"/>
        </w:rPr>
        <w:t xml:space="preserve"> Family of Tumors (EFOT), which is </w:t>
      </w:r>
      <w:r>
        <w:t>a group of cancers that start in the bones or nearby soft tissues that share some common features</w:t>
      </w:r>
      <w:r w:rsidR="00716072">
        <w:t xml:space="preserve">. </w:t>
      </w:r>
      <w:r>
        <w:t xml:space="preserve">EFOT consists of Ewing sarcoma, extraosseous Ewing tumor (also known as </w:t>
      </w:r>
      <w:proofErr w:type="spellStart"/>
      <w:r>
        <w:t>extraskeletal</w:t>
      </w:r>
      <w:proofErr w:type="spellEnd"/>
      <w:r>
        <w:t xml:space="preserve"> Ewing sarcoma), and </w:t>
      </w:r>
      <w:r>
        <w:rPr>
          <w:lang w:val="en"/>
        </w:rPr>
        <w:t>p</w:t>
      </w:r>
      <w:r w:rsidRPr="00F80B1F">
        <w:rPr>
          <w:lang w:val="en"/>
        </w:rPr>
        <w:t xml:space="preserve">eripheral primitive neuroectodermal tumors </w:t>
      </w:r>
      <w:r>
        <w:rPr>
          <w:lang w:val="en"/>
        </w:rPr>
        <w:t>(</w:t>
      </w:r>
      <w:proofErr w:type="spellStart"/>
      <w:r>
        <w:rPr>
          <w:lang w:val="en"/>
        </w:rPr>
        <w:t>pPNET</w:t>
      </w:r>
      <w:proofErr w:type="spellEnd"/>
      <w:r>
        <w:rPr>
          <w:lang w:val="en"/>
        </w:rPr>
        <w:t>)</w:t>
      </w:r>
      <w:r w:rsidR="00716072">
        <w:rPr>
          <w:lang w:val="en"/>
        </w:rPr>
        <w:t xml:space="preserve">. </w:t>
      </w:r>
      <w:r>
        <w:rPr>
          <w:lang w:val="en"/>
        </w:rPr>
        <w:t>Specifically, o</w:t>
      </w:r>
      <w:r w:rsidRPr="00F80B1F">
        <w:rPr>
          <w:lang w:val="en"/>
        </w:rPr>
        <w:t xml:space="preserve">ne child </w:t>
      </w:r>
      <w:r>
        <w:rPr>
          <w:lang w:val="en"/>
        </w:rPr>
        <w:t xml:space="preserve">in Wilmington </w:t>
      </w:r>
      <w:r w:rsidRPr="00F80B1F">
        <w:rPr>
          <w:lang w:val="en"/>
        </w:rPr>
        <w:t xml:space="preserve">was diagnosed with Ewing sarcoma and the other two were diagnosed with </w:t>
      </w:r>
      <w:proofErr w:type="spellStart"/>
      <w:r w:rsidRPr="00F80B1F">
        <w:rPr>
          <w:lang w:val="en"/>
        </w:rPr>
        <w:t>pPNET</w:t>
      </w:r>
      <w:r>
        <w:rPr>
          <w:lang w:val="en"/>
        </w:rPr>
        <w:t>s</w:t>
      </w:r>
      <w:proofErr w:type="spellEnd"/>
      <w:r w:rsidRPr="00F80B1F">
        <w:rPr>
          <w:lang w:val="en"/>
        </w:rPr>
        <w:t>.</w:t>
      </w:r>
    </w:p>
    <w:p w14:paraId="68B0EA18" w14:textId="77777777" w:rsidR="00D6049D" w:rsidRPr="00F80B1F" w:rsidRDefault="00D6049D" w:rsidP="00D06A04">
      <w:pPr>
        <w:rPr>
          <w:lang w:val="en"/>
        </w:rPr>
      </w:pPr>
      <w:r w:rsidRPr="00F80B1F">
        <w:t>Malignant bone tumors account</w:t>
      </w:r>
      <w:r>
        <w:t>ed</w:t>
      </w:r>
      <w:r w:rsidRPr="00F80B1F">
        <w:t xml:space="preserve"> for about </w:t>
      </w:r>
      <w:r>
        <w:t>5</w:t>
      </w:r>
      <w:r w:rsidRPr="00F80B1F">
        <w:t xml:space="preserve">% of all childhood cancers in </w:t>
      </w:r>
      <w:r>
        <w:t xml:space="preserve">the US and about 4% in </w:t>
      </w:r>
      <w:r w:rsidRPr="00F80B1F">
        <w:t>Massachusetts</w:t>
      </w:r>
      <w:r>
        <w:t xml:space="preserve"> during 2000-2009</w:t>
      </w:r>
      <w:r w:rsidR="00716072">
        <w:t xml:space="preserve">. </w:t>
      </w:r>
      <w:r>
        <w:rPr>
          <w:lang w:val="en"/>
        </w:rPr>
        <w:t>E</w:t>
      </w:r>
      <w:r w:rsidR="002E7693">
        <w:rPr>
          <w:lang w:val="en"/>
        </w:rPr>
        <w:t>FOT</w:t>
      </w:r>
      <w:r>
        <w:rPr>
          <w:lang w:val="en"/>
        </w:rPr>
        <w:t xml:space="preserve"> accounted for 31% of bone cancers among children in the US and 36% in Massachusetts during 2000-2009 </w:t>
      </w:r>
      <w:r w:rsidRPr="00514A0B">
        <w:rPr>
          <w:lang w:val="en"/>
        </w:rPr>
        <w:t>(</w:t>
      </w:r>
      <w:r>
        <w:rPr>
          <w:lang w:val="en"/>
        </w:rPr>
        <w:t>MCR</w:t>
      </w:r>
      <w:r w:rsidRPr="00514A0B">
        <w:rPr>
          <w:lang w:val="en"/>
        </w:rPr>
        <w:t xml:space="preserve"> 2014</w:t>
      </w:r>
      <w:r w:rsidR="00AB798F">
        <w:rPr>
          <w:lang w:val="en"/>
        </w:rPr>
        <w:t>)</w:t>
      </w:r>
      <w:r w:rsidR="002E7693">
        <w:rPr>
          <w:lang w:val="en"/>
        </w:rPr>
        <w:t>, making EFOT diagnoses account for only about 1% of all childhood cancers</w:t>
      </w:r>
      <w:r w:rsidR="00716072">
        <w:rPr>
          <w:lang w:val="en"/>
        </w:rPr>
        <w:t xml:space="preserve">. </w:t>
      </w:r>
      <w:r>
        <w:t>Most diagnoses of EFOT occur in the early teenage years for unknown reasons, but they can also occur in younger children as well as in adults (</w:t>
      </w:r>
      <w:proofErr w:type="spellStart"/>
      <w:r>
        <w:t>Ries</w:t>
      </w:r>
      <w:proofErr w:type="spellEnd"/>
      <w:r>
        <w:t xml:space="preserve"> et al</w:t>
      </w:r>
      <w:r w:rsidR="00716072">
        <w:t xml:space="preserve">. </w:t>
      </w:r>
      <w:r>
        <w:t>1999)</w:t>
      </w:r>
      <w:r w:rsidR="00716072">
        <w:t>.</w:t>
      </w:r>
      <w:r w:rsidR="002E7693">
        <w:t xml:space="preserve"> The most common type of bone cancer in children, osteosarcoma</w:t>
      </w:r>
      <w:r w:rsidR="00227AA1">
        <w:t>,</w:t>
      </w:r>
      <w:r w:rsidR="00511745">
        <w:t xml:space="preserve"> account</w:t>
      </w:r>
      <w:r w:rsidR="00227AA1">
        <w:t>s</w:t>
      </w:r>
      <w:r w:rsidR="00511745">
        <w:t xml:space="preserve"> for </w:t>
      </w:r>
      <w:r w:rsidR="00227AA1">
        <w:t>about 60</w:t>
      </w:r>
      <w:r w:rsidR="00511745">
        <w:t>% of all childhood bone cancers</w:t>
      </w:r>
      <w:r w:rsidR="00227AA1">
        <w:t xml:space="preserve"> in Massachusetts (MCR 2014)</w:t>
      </w:r>
      <w:r w:rsidR="00511745">
        <w:t>, but was not present among the cancers in Wilmington from 1990-2000.</w:t>
      </w:r>
    </w:p>
    <w:p w14:paraId="661183D7" w14:textId="77777777" w:rsidR="00D6049D" w:rsidRDefault="00D6049D" w:rsidP="00D06A04">
      <w:pPr>
        <w:rPr>
          <w:lang w:val="en"/>
        </w:rPr>
      </w:pPr>
      <w:r>
        <w:rPr>
          <w:lang w:val="en"/>
        </w:rPr>
        <w:t>Ewing sarcoma occurs more frequently among populations of European de</w:t>
      </w:r>
      <w:r w:rsidR="005E4745">
        <w:rPr>
          <w:lang w:val="en"/>
        </w:rPr>
        <w:t>s</w:t>
      </w:r>
      <w:r>
        <w:rPr>
          <w:lang w:val="en"/>
        </w:rPr>
        <w:t>cent</w:t>
      </w:r>
      <w:r w:rsidR="00716072">
        <w:rPr>
          <w:lang w:val="en"/>
        </w:rPr>
        <w:t xml:space="preserve">. </w:t>
      </w:r>
      <w:r>
        <w:rPr>
          <w:lang w:val="en"/>
        </w:rPr>
        <w:t>Genetic research to identify the source of this predisposition is ongoing (Grunewald et al</w:t>
      </w:r>
      <w:r w:rsidR="00716072">
        <w:rPr>
          <w:lang w:val="en"/>
        </w:rPr>
        <w:t xml:space="preserve">. </w:t>
      </w:r>
      <w:r>
        <w:rPr>
          <w:lang w:val="en"/>
        </w:rPr>
        <w:t>2018; Roman et al</w:t>
      </w:r>
      <w:r w:rsidR="00716072">
        <w:rPr>
          <w:lang w:val="en"/>
        </w:rPr>
        <w:t xml:space="preserve">. </w:t>
      </w:r>
      <w:r>
        <w:rPr>
          <w:lang w:val="en"/>
        </w:rPr>
        <w:t>2018)</w:t>
      </w:r>
      <w:r w:rsidR="00716072">
        <w:rPr>
          <w:lang w:val="en"/>
        </w:rPr>
        <w:t xml:space="preserve">. </w:t>
      </w:r>
      <w:r w:rsidRPr="00F80B1F">
        <w:rPr>
          <w:lang w:val="en"/>
        </w:rPr>
        <w:t xml:space="preserve">Nearly all </w:t>
      </w:r>
      <w:r>
        <w:rPr>
          <w:lang w:val="en"/>
        </w:rPr>
        <w:t>EFOT</w:t>
      </w:r>
      <w:r w:rsidRPr="00F80B1F">
        <w:rPr>
          <w:lang w:val="en"/>
        </w:rPr>
        <w:t xml:space="preserve"> cells include a mutation in a specific gene</w:t>
      </w:r>
      <w:r w:rsidR="00716072">
        <w:rPr>
          <w:lang w:val="en"/>
        </w:rPr>
        <w:t xml:space="preserve">. </w:t>
      </w:r>
      <w:r w:rsidRPr="00F80B1F">
        <w:rPr>
          <w:lang w:val="en"/>
        </w:rPr>
        <w:t>This gene mutation is not inherited</w:t>
      </w:r>
      <w:r>
        <w:rPr>
          <w:lang w:val="en"/>
        </w:rPr>
        <w:t>, but occurs after conception</w:t>
      </w:r>
      <w:r w:rsidR="00716072">
        <w:rPr>
          <w:lang w:val="en"/>
        </w:rPr>
        <w:t xml:space="preserve">. </w:t>
      </w:r>
      <w:r>
        <w:rPr>
          <w:lang w:val="en"/>
        </w:rPr>
        <w:t>I</w:t>
      </w:r>
      <w:r w:rsidRPr="00F80B1F">
        <w:rPr>
          <w:lang w:val="en"/>
        </w:rPr>
        <w:t xml:space="preserve">t is not clear what might cause the </w:t>
      </w:r>
      <w:r>
        <w:rPr>
          <w:lang w:val="en"/>
        </w:rPr>
        <w:t xml:space="preserve">genetic </w:t>
      </w:r>
      <w:r w:rsidRPr="00F80B1F">
        <w:rPr>
          <w:lang w:val="en"/>
        </w:rPr>
        <w:t>change</w:t>
      </w:r>
      <w:r w:rsidRPr="003E6F78">
        <w:rPr>
          <w:lang w:val="en"/>
        </w:rPr>
        <w:t xml:space="preserve"> (</w:t>
      </w:r>
      <w:r w:rsidR="0065097A">
        <w:rPr>
          <w:lang w:val="en"/>
        </w:rPr>
        <w:t xml:space="preserve">US </w:t>
      </w:r>
      <w:r>
        <w:rPr>
          <w:lang w:val="en"/>
        </w:rPr>
        <w:t>NLM 2019</w:t>
      </w:r>
      <w:r w:rsidRPr="006641C3">
        <w:rPr>
          <w:lang w:val="en"/>
        </w:rPr>
        <w:t>).</w:t>
      </w:r>
    </w:p>
    <w:p w14:paraId="48FBC93D" w14:textId="77777777" w:rsidR="00D6049D" w:rsidRPr="00F80B1F" w:rsidRDefault="00D6049D" w:rsidP="0085694D">
      <w:pPr>
        <w:pStyle w:val="Heading4"/>
      </w:pPr>
      <w:r>
        <w:t xml:space="preserve">Central Nervous System </w:t>
      </w:r>
      <w:r w:rsidR="00581265">
        <w:t>(CNS)</w:t>
      </w:r>
      <w:r>
        <w:t xml:space="preserve"> Neoplasms</w:t>
      </w:r>
      <w:r w:rsidRPr="00F80B1F">
        <w:t xml:space="preserve"> </w:t>
      </w:r>
    </w:p>
    <w:p w14:paraId="7E6405D8" w14:textId="77777777" w:rsidR="00D6049D" w:rsidRPr="00F80B1F" w:rsidRDefault="00581265" w:rsidP="00D06A04">
      <w:pPr>
        <w:rPr>
          <w:lang w:val="en"/>
        </w:rPr>
      </w:pPr>
      <w:r>
        <w:rPr>
          <w:lang w:val="en"/>
        </w:rPr>
        <w:t xml:space="preserve">The category of CNS neoplasms includes </w:t>
      </w:r>
      <w:r w:rsidRPr="00581265">
        <w:rPr>
          <w:lang w:val="en"/>
        </w:rPr>
        <w:t>miscellaneous intracranial and intraspinal neoplasms</w:t>
      </w:r>
      <w:r w:rsidR="00716072">
        <w:rPr>
          <w:lang w:val="en"/>
        </w:rPr>
        <w:t xml:space="preserve">. </w:t>
      </w:r>
      <w:r w:rsidR="00D6049D">
        <w:rPr>
          <w:lang w:val="en"/>
        </w:rPr>
        <w:t>One</w:t>
      </w:r>
      <w:r w:rsidR="00D6049D" w:rsidRPr="00F80B1F">
        <w:rPr>
          <w:lang w:val="en"/>
        </w:rPr>
        <w:t xml:space="preserve"> Wilmington child w</w:t>
      </w:r>
      <w:r w:rsidR="00D6049D">
        <w:rPr>
          <w:lang w:val="en"/>
        </w:rPr>
        <w:t>as</w:t>
      </w:r>
      <w:r w:rsidR="00D6049D" w:rsidRPr="00F80B1F">
        <w:rPr>
          <w:lang w:val="en"/>
        </w:rPr>
        <w:t xml:space="preserve"> diagnosed with a </w:t>
      </w:r>
      <w:r>
        <w:rPr>
          <w:lang w:val="en"/>
        </w:rPr>
        <w:t xml:space="preserve">CNS </w:t>
      </w:r>
      <w:r w:rsidR="00D6049D" w:rsidRPr="00F80B1F">
        <w:rPr>
          <w:lang w:val="en"/>
        </w:rPr>
        <w:t>tumor</w:t>
      </w:r>
      <w:r>
        <w:rPr>
          <w:lang w:val="en"/>
        </w:rPr>
        <w:t xml:space="preserve"> called</w:t>
      </w:r>
      <w:r w:rsidR="00D6049D" w:rsidRPr="00F80B1F">
        <w:rPr>
          <w:lang w:val="en"/>
        </w:rPr>
        <w:t xml:space="preserve"> astrocytoma</w:t>
      </w:r>
      <w:r w:rsidR="00716072">
        <w:rPr>
          <w:lang w:val="en"/>
        </w:rPr>
        <w:t xml:space="preserve">. </w:t>
      </w:r>
    </w:p>
    <w:p w14:paraId="5E4123C2" w14:textId="77777777" w:rsidR="00D6049D" w:rsidRDefault="00D6049D" w:rsidP="00D06A04">
      <w:r>
        <w:t>CNS tumors</w:t>
      </w:r>
      <w:r w:rsidRPr="00ED224A">
        <w:t xml:space="preserve"> </w:t>
      </w:r>
      <w:r w:rsidRPr="00F80B1F">
        <w:t>include tumors that arise from the brain, spinal cord, and other sites within the skull and spinal cord</w:t>
      </w:r>
      <w:r>
        <w:t xml:space="preserve"> </w:t>
      </w:r>
      <w:r w:rsidRPr="00F80B1F">
        <w:t>(</w:t>
      </w:r>
      <w:r w:rsidRPr="00765B25">
        <w:t>Roman</w:t>
      </w:r>
      <w:r>
        <w:t xml:space="preserve"> </w:t>
      </w:r>
      <w:r w:rsidR="0065097A">
        <w:t>et al</w:t>
      </w:r>
      <w:r w:rsidR="00716072">
        <w:t xml:space="preserve">. </w:t>
      </w:r>
      <w:r>
        <w:t>201</w:t>
      </w:r>
      <w:r w:rsidR="0065097A">
        <w:t>8</w:t>
      </w:r>
      <w:r w:rsidRPr="00F80B1F">
        <w:t>)</w:t>
      </w:r>
      <w:r w:rsidR="00716072">
        <w:t xml:space="preserve">. </w:t>
      </w:r>
      <w:r w:rsidRPr="00F80B1F">
        <w:t>Nationally and statewide, CNS tumors are the second most common type of cancer in children</w:t>
      </w:r>
      <w:r w:rsidR="00716072">
        <w:t xml:space="preserve">. </w:t>
      </w:r>
      <w:r w:rsidRPr="00F80B1F">
        <w:t>CNS tumors account</w:t>
      </w:r>
      <w:r>
        <w:t>ed</w:t>
      </w:r>
      <w:r w:rsidRPr="00F80B1F">
        <w:t xml:space="preserve"> for about </w:t>
      </w:r>
      <w:r>
        <w:t>17</w:t>
      </w:r>
      <w:r w:rsidRPr="00F80B1F">
        <w:t>% of all childhood cancers in the United States and about 1</w:t>
      </w:r>
      <w:r>
        <w:t>9</w:t>
      </w:r>
      <w:r w:rsidRPr="00F80B1F">
        <w:t>% of all childhood cancers in Massachusetts</w:t>
      </w:r>
      <w:r>
        <w:t xml:space="preserve"> during 2000-2009</w:t>
      </w:r>
      <w:r w:rsidRPr="00F80B1F">
        <w:t xml:space="preserve"> (MCR 20</w:t>
      </w:r>
      <w:r>
        <w:t>14</w:t>
      </w:r>
      <w:r w:rsidRPr="00F80B1F">
        <w:t>; ACS 20</w:t>
      </w:r>
      <w:r>
        <w:t>14</w:t>
      </w:r>
      <w:r w:rsidRPr="00F80B1F">
        <w:t>)</w:t>
      </w:r>
      <w:r w:rsidR="00716072">
        <w:t xml:space="preserve">. </w:t>
      </w:r>
      <w:proofErr w:type="spellStart"/>
      <w:r w:rsidRPr="00F80B1F">
        <w:t>Astrocytomas</w:t>
      </w:r>
      <w:proofErr w:type="spellEnd"/>
      <w:r w:rsidRPr="00F80B1F">
        <w:t xml:space="preserve"> are the most common </w:t>
      </w:r>
      <w:r>
        <w:t>type of CNS</w:t>
      </w:r>
      <w:r w:rsidRPr="00F80B1F">
        <w:t xml:space="preserve"> cancer</w:t>
      </w:r>
      <w:r>
        <w:t xml:space="preserve"> and accounted for about half of all CNS cancers among children in the US and Massachusetts during 2000-2009</w:t>
      </w:r>
      <w:r w:rsidRPr="00F80B1F">
        <w:t xml:space="preserve"> (</w:t>
      </w:r>
      <w:r>
        <w:t xml:space="preserve">Bleyer </w:t>
      </w:r>
      <w:r w:rsidR="00EF0735">
        <w:t>et al</w:t>
      </w:r>
      <w:r w:rsidR="00716072">
        <w:t xml:space="preserve">. </w:t>
      </w:r>
      <w:r>
        <w:t>2006; MCR 2014</w:t>
      </w:r>
      <w:r w:rsidRPr="00F80B1F">
        <w:t>).</w:t>
      </w:r>
    </w:p>
    <w:p w14:paraId="04059FB9" w14:textId="77777777" w:rsidR="00D6049D" w:rsidRPr="00CC572F" w:rsidRDefault="00D6049D" w:rsidP="00D06A04">
      <w:pPr>
        <w:rPr>
          <w:lang w:val="en"/>
        </w:rPr>
      </w:pPr>
      <w:r>
        <w:rPr>
          <w:lang w:val="en"/>
        </w:rPr>
        <w:lastRenderedPageBreak/>
        <w:t xml:space="preserve">Children with certain genetic syndromes, such as neurofibromatosis, </w:t>
      </w:r>
      <w:r w:rsidRPr="00E8028E">
        <w:rPr>
          <w:lang w:val="en"/>
        </w:rPr>
        <w:t>Li-Fraumeni syndrome, and tuberous sclerosis</w:t>
      </w:r>
      <w:r>
        <w:rPr>
          <w:lang w:val="en"/>
        </w:rPr>
        <w:t>, have a higher risk for brain and CNS tumors (Roman et al</w:t>
      </w:r>
      <w:r w:rsidR="00716072">
        <w:rPr>
          <w:lang w:val="en"/>
        </w:rPr>
        <w:t xml:space="preserve">. </w:t>
      </w:r>
      <w:r>
        <w:rPr>
          <w:lang w:val="en"/>
        </w:rPr>
        <w:t>2018)</w:t>
      </w:r>
      <w:r w:rsidR="00716072">
        <w:rPr>
          <w:lang w:val="en"/>
        </w:rPr>
        <w:t xml:space="preserve">. </w:t>
      </w:r>
    </w:p>
    <w:p w14:paraId="66CD324E" w14:textId="77777777" w:rsidR="00D6049D" w:rsidRDefault="00D6049D" w:rsidP="00D06A04">
      <w:pPr>
        <w:rPr>
          <w:color w:val="000000"/>
          <w:lang w:val="en"/>
        </w:rPr>
      </w:pPr>
      <w:r w:rsidRPr="00F80B1F">
        <w:rPr>
          <w:color w:val="000000"/>
          <w:lang w:val="en"/>
        </w:rPr>
        <w:t xml:space="preserve">The </w:t>
      </w:r>
      <w:r>
        <w:rPr>
          <w:color w:val="000000"/>
          <w:lang w:val="en"/>
        </w:rPr>
        <w:t>most</w:t>
      </w:r>
      <w:r w:rsidRPr="00F80B1F">
        <w:rPr>
          <w:color w:val="000000"/>
          <w:lang w:val="en"/>
        </w:rPr>
        <w:t xml:space="preserve"> well-established environmental risk factor for brain and CNS tumors is </w:t>
      </w:r>
      <w:r w:rsidR="00132ACE">
        <w:rPr>
          <w:color w:val="000000"/>
          <w:lang w:val="en"/>
        </w:rPr>
        <w:t xml:space="preserve">ionizing </w:t>
      </w:r>
      <w:r w:rsidRPr="00F80B1F">
        <w:rPr>
          <w:color w:val="000000"/>
          <w:lang w:val="en"/>
        </w:rPr>
        <w:t xml:space="preserve">radiation exposure to the head, most often from the treatment of other </w:t>
      </w:r>
      <w:r>
        <w:rPr>
          <w:color w:val="000000"/>
          <w:lang w:val="en"/>
        </w:rPr>
        <w:t xml:space="preserve">cancers (Pollack and </w:t>
      </w:r>
      <w:proofErr w:type="spellStart"/>
      <w:r>
        <w:rPr>
          <w:color w:val="000000"/>
          <w:lang w:val="en"/>
        </w:rPr>
        <w:t>Jakacki</w:t>
      </w:r>
      <w:proofErr w:type="spellEnd"/>
      <w:r>
        <w:rPr>
          <w:color w:val="000000"/>
          <w:lang w:val="en"/>
        </w:rPr>
        <w:t xml:space="preserve"> 2011)</w:t>
      </w:r>
      <w:r w:rsidR="00716072">
        <w:rPr>
          <w:color w:val="000000"/>
          <w:lang w:val="en"/>
        </w:rPr>
        <w:t xml:space="preserve">. </w:t>
      </w:r>
      <w:r>
        <w:rPr>
          <w:color w:val="000000"/>
          <w:lang w:val="en"/>
        </w:rPr>
        <w:t>Historically</w:t>
      </w:r>
      <w:r w:rsidRPr="00F80B1F">
        <w:rPr>
          <w:color w:val="000000"/>
          <w:lang w:val="en"/>
        </w:rPr>
        <w:t>, before the risks of radiation were well known (more than 50 years ago), children with ringworm of the scalp (a fungal infection) often received low-dose radiation therapy</w:t>
      </w:r>
      <w:r>
        <w:rPr>
          <w:color w:val="000000"/>
          <w:lang w:val="en"/>
        </w:rPr>
        <w:t xml:space="preserve"> and were found to have an increased risk of brain tumors as they got older (Ron et al</w:t>
      </w:r>
      <w:r w:rsidR="00716072">
        <w:rPr>
          <w:color w:val="000000"/>
          <w:lang w:val="en"/>
        </w:rPr>
        <w:t xml:space="preserve">. </w:t>
      </w:r>
      <w:r>
        <w:rPr>
          <w:color w:val="000000"/>
          <w:lang w:val="en"/>
        </w:rPr>
        <w:t>1988)</w:t>
      </w:r>
      <w:r w:rsidR="00716072">
        <w:rPr>
          <w:color w:val="000000"/>
          <w:lang w:val="en"/>
        </w:rPr>
        <w:t xml:space="preserve">. </w:t>
      </w:r>
      <w:r w:rsidRPr="00F80B1F">
        <w:rPr>
          <w:color w:val="000000"/>
          <w:lang w:val="en"/>
        </w:rPr>
        <w:t xml:space="preserve">More recently, </w:t>
      </w:r>
      <w:r>
        <w:rPr>
          <w:color w:val="000000"/>
          <w:lang w:val="en"/>
        </w:rPr>
        <w:t>children received radiation exposure to the head as</w:t>
      </w:r>
      <w:r w:rsidRPr="00F80B1F">
        <w:rPr>
          <w:color w:val="000000"/>
          <w:lang w:val="en"/>
        </w:rPr>
        <w:t xml:space="preserve"> treatment for leukemia</w:t>
      </w:r>
      <w:r w:rsidR="00716072">
        <w:rPr>
          <w:color w:val="000000"/>
          <w:lang w:val="en"/>
        </w:rPr>
        <w:t xml:space="preserve">. </w:t>
      </w:r>
      <w:r w:rsidRPr="00F80B1F">
        <w:rPr>
          <w:color w:val="000000"/>
          <w:lang w:val="en"/>
        </w:rPr>
        <w:t xml:space="preserve">These brain tumors usually develop around 10 to 15 years after the radiation treatment </w:t>
      </w:r>
      <w:r w:rsidRPr="006641C3">
        <w:rPr>
          <w:color w:val="000000"/>
          <w:lang w:val="en"/>
        </w:rPr>
        <w:t>(</w:t>
      </w:r>
      <w:proofErr w:type="spellStart"/>
      <w:r w:rsidRPr="00AA497D">
        <w:rPr>
          <w:color w:val="000000"/>
          <w:lang w:val="en"/>
        </w:rPr>
        <w:t>Neglia</w:t>
      </w:r>
      <w:proofErr w:type="spellEnd"/>
      <w:r w:rsidRPr="00AA497D">
        <w:rPr>
          <w:color w:val="000000"/>
          <w:lang w:val="en"/>
        </w:rPr>
        <w:t xml:space="preserve"> et al</w:t>
      </w:r>
      <w:r w:rsidR="00716072">
        <w:rPr>
          <w:color w:val="000000"/>
          <w:lang w:val="en"/>
        </w:rPr>
        <w:t xml:space="preserve">. </w:t>
      </w:r>
      <w:r w:rsidRPr="00AA497D">
        <w:rPr>
          <w:color w:val="000000"/>
          <w:lang w:val="en"/>
        </w:rPr>
        <w:t>1991</w:t>
      </w:r>
      <w:r w:rsidRPr="006641C3">
        <w:rPr>
          <w:color w:val="000000"/>
          <w:lang w:val="en"/>
        </w:rPr>
        <w:t>)</w:t>
      </w:r>
      <w:r w:rsidR="00716072">
        <w:rPr>
          <w:color w:val="000000"/>
          <w:lang w:val="en"/>
        </w:rPr>
        <w:t xml:space="preserve">. </w:t>
      </w:r>
    </w:p>
    <w:p w14:paraId="690FB9B8" w14:textId="77777777" w:rsidR="00D6049D" w:rsidRPr="00D37DD2" w:rsidRDefault="00D6049D" w:rsidP="00D06A04">
      <w:pPr>
        <w:rPr>
          <w:lang w:val="en"/>
        </w:rPr>
      </w:pPr>
      <w:r w:rsidRPr="00F80B1F">
        <w:rPr>
          <w:color w:val="000000"/>
          <w:lang w:val="en"/>
        </w:rPr>
        <w:t xml:space="preserve">The possible risk from exposure to </w:t>
      </w:r>
      <w:r>
        <w:rPr>
          <w:color w:val="000000"/>
          <w:lang w:val="en"/>
        </w:rPr>
        <w:t xml:space="preserve">medical </w:t>
      </w:r>
      <w:r w:rsidRPr="00F80B1F">
        <w:rPr>
          <w:color w:val="000000"/>
          <w:lang w:val="en"/>
        </w:rPr>
        <w:t xml:space="preserve">imaging tests that use radiation, such as x-rays or CT scans, is not </w:t>
      </w:r>
      <w:r w:rsidR="00C42900">
        <w:rPr>
          <w:color w:val="000000"/>
          <w:lang w:val="en"/>
        </w:rPr>
        <w:t>fully understood and</w:t>
      </w:r>
      <w:r>
        <w:rPr>
          <w:color w:val="000000"/>
          <w:lang w:val="en"/>
        </w:rPr>
        <w:t xml:space="preserve"> r</w:t>
      </w:r>
      <w:r>
        <w:rPr>
          <w:lang w:val="en"/>
        </w:rPr>
        <w:t xml:space="preserve">esearch </w:t>
      </w:r>
      <w:r w:rsidR="00C42900">
        <w:rPr>
          <w:lang w:val="en"/>
        </w:rPr>
        <w:t xml:space="preserve">is </w:t>
      </w:r>
      <w:r>
        <w:rPr>
          <w:lang w:val="en"/>
        </w:rPr>
        <w:t>ongoing</w:t>
      </w:r>
      <w:r w:rsidR="00716072">
        <w:rPr>
          <w:lang w:val="en"/>
        </w:rPr>
        <w:t xml:space="preserve">. </w:t>
      </w:r>
      <w:r>
        <w:rPr>
          <w:lang w:val="en"/>
        </w:rPr>
        <w:t xml:space="preserve">A recent study shows a small increased risk, but more research is necessary to confirm </w:t>
      </w:r>
      <w:r w:rsidR="008B04C2">
        <w:rPr>
          <w:lang w:val="en"/>
        </w:rPr>
        <w:t>this finding (Roman et al</w:t>
      </w:r>
      <w:r w:rsidR="00716072">
        <w:rPr>
          <w:lang w:val="en"/>
        </w:rPr>
        <w:t xml:space="preserve">. </w:t>
      </w:r>
      <w:r w:rsidR="008B04C2">
        <w:rPr>
          <w:lang w:val="en"/>
        </w:rPr>
        <w:t>2018</w:t>
      </w:r>
      <w:r w:rsidRPr="00B811A0">
        <w:rPr>
          <w:lang w:val="en"/>
        </w:rPr>
        <w:t>)</w:t>
      </w:r>
      <w:r w:rsidR="00716072">
        <w:rPr>
          <w:lang w:val="en"/>
        </w:rPr>
        <w:t xml:space="preserve">. </w:t>
      </w:r>
      <w:r>
        <w:rPr>
          <w:lang w:val="en"/>
        </w:rPr>
        <w:t xml:space="preserve">Guidelines recommending appropriate radiation levels for tests on children and asking doctors to order these tests only when absolutely necessary have been developed to help </w:t>
      </w:r>
      <w:r w:rsidRPr="00D37DD2">
        <w:rPr>
          <w:lang w:val="en"/>
        </w:rPr>
        <w:t>doctors protect children (</w:t>
      </w:r>
      <w:r w:rsidR="00864402" w:rsidRPr="00D37DD2">
        <w:rPr>
          <w:lang w:val="en"/>
        </w:rPr>
        <w:t xml:space="preserve">US </w:t>
      </w:r>
      <w:r w:rsidRPr="00D37DD2">
        <w:rPr>
          <w:lang w:val="en"/>
        </w:rPr>
        <w:t>FDA 2019)</w:t>
      </w:r>
      <w:r w:rsidR="00716072">
        <w:rPr>
          <w:lang w:val="en"/>
        </w:rPr>
        <w:t xml:space="preserve">. </w:t>
      </w:r>
    </w:p>
    <w:p w14:paraId="1B54AA74" w14:textId="77777777" w:rsidR="00AD1F18" w:rsidRDefault="001922A8" w:rsidP="00D06A04">
      <w:r>
        <w:rPr>
          <w:lang w:val="en"/>
        </w:rPr>
        <w:t xml:space="preserve">Studies investigating the risk of </w:t>
      </w:r>
      <w:r w:rsidR="00D37DD2">
        <w:t>CNS tumors in children and e</w:t>
      </w:r>
      <w:proofErr w:type="spellStart"/>
      <w:r w:rsidR="00D6049D" w:rsidRPr="00D37DD2">
        <w:rPr>
          <w:lang w:val="en"/>
        </w:rPr>
        <w:t>xposure</w:t>
      </w:r>
      <w:proofErr w:type="spellEnd"/>
      <w:r w:rsidR="00D6049D" w:rsidRPr="00D37DD2">
        <w:rPr>
          <w:lang w:val="en"/>
        </w:rPr>
        <w:t xml:space="preserve"> to non-ionizing </w:t>
      </w:r>
      <w:r w:rsidR="00D6049D" w:rsidRPr="00E42962">
        <w:rPr>
          <w:lang w:val="en"/>
        </w:rPr>
        <w:t xml:space="preserve">radiation from </w:t>
      </w:r>
      <w:r w:rsidR="00D6049D" w:rsidRPr="00E42962">
        <w:t xml:space="preserve">electromagnetic fields </w:t>
      </w:r>
      <w:r w:rsidR="00D37DD2" w:rsidRPr="00E42962">
        <w:t>(EMF)</w:t>
      </w:r>
      <w:r w:rsidR="00C360BA" w:rsidRPr="00E42962">
        <w:t xml:space="preserve"> </w:t>
      </w:r>
      <w:r w:rsidR="00D6049D" w:rsidRPr="00E42962">
        <w:t>from</w:t>
      </w:r>
      <w:r w:rsidR="00D37DD2" w:rsidRPr="00E42962">
        <w:t xml:space="preserve"> sources such as</w:t>
      </w:r>
      <w:r w:rsidR="00D6049D" w:rsidRPr="00E42962">
        <w:t xml:space="preserve"> residential appliances and power lines </w:t>
      </w:r>
      <w:r w:rsidR="009D48FF" w:rsidRPr="00E42962">
        <w:t>have found little evidence of an</w:t>
      </w:r>
      <w:r w:rsidRPr="00E42962">
        <w:t xml:space="preserve"> association (</w:t>
      </w:r>
      <w:proofErr w:type="spellStart"/>
      <w:r w:rsidR="0063645A" w:rsidRPr="00E42962">
        <w:t>Feychting</w:t>
      </w:r>
      <w:proofErr w:type="spellEnd"/>
      <w:r w:rsidR="0063645A" w:rsidRPr="00E42962">
        <w:t xml:space="preserve"> and </w:t>
      </w:r>
      <w:proofErr w:type="spellStart"/>
      <w:r w:rsidR="0063645A" w:rsidRPr="00E42962">
        <w:t>Schuz</w:t>
      </w:r>
      <w:proofErr w:type="spellEnd"/>
      <w:r w:rsidR="0063645A" w:rsidRPr="00E42962">
        <w:t xml:space="preserve"> 2018)</w:t>
      </w:r>
      <w:r w:rsidR="00716072" w:rsidRPr="00E42962">
        <w:t xml:space="preserve">. </w:t>
      </w:r>
      <w:r w:rsidR="0063645A" w:rsidRPr="00E42962">
        <w:t>Risk of e</w:t>
      </w:r>
      <w:r w:rsidR="00D6049D" w:rsidRPr="00E42962">
        <w:t xml:space="preserve">xposure to radio-frequency </w:t>
      </w:r>
      <w:r w:rsidR="00DD313B" w:rsidRPr="00E42962">
        <w:t>EMF</w:t>
      </w:r>
      <w:r w:rsidR="009D48FF" w:rsidRPr="00E42962">
        <w:t>, such as</w:t>
      </w:r>
      <w:r w:rsidR="00D6049D" w:rsidRPr="00E42962">
        <w:t xml:space="preserve"> from mobile phones and other wireless devices</w:t>
      </w:r>
      <w:r w:rsidR="009D48FF" w:rsidRPr="00E42962">
        <w:t>,</w:t>
      </w:r>
      <w:r w:rsidR="00D6049D" w:rsidRPr="00E42962">
        <w:t xml:space="preserve"> is an active area of research</w:t>
      </w:r>
      <w:r w:rsidR="00670B8B" w:rsidRPr="00E42962">
        <w:t>; most</w:t>
      </w:r>
      <w:r w:rsidR="009D48FF" w:rsidRPr="00E42962">
        <w:t xml:space="preserve"> studies evaluating a link to CNS cancer have </w:t>
      </w:r>
      <w:r w:rsidR="00670B8B" w:rsidRPr="00E42962">
        <w:t>failed to find an association, however, and very little of the research has been in children</w:t>
      </w:r>
      <w:r w:rsidR="00716072" w:rsidRPr="00E42962">
        <w:t xml:space="preserve">. </w:t>
      </w:r>
      <w:r w:rsidR="00B060FF" w:rsidRPr="00E42962">
        <w:t xml:space="preserve">Overall, </w:t>
      </w:r>
      <w:r w:rsidR="00670B8B" w:rsidRPr="00E42962">
        <w:t xml:space="preserve">epidemiological evidence </w:t>
      </w:r>
      <w:r w:rsidR="00B060FF" w:rsidRPr="00E42962">
        <w:t>does not</w:t>
      </w:r>
      <w:r w:rsidR="00670B8B" w:rsidRPr="00E42962">
        <w:t xml:space="preserve"> suggest </w:t>
      </w:r>
      <w:r w:rsidR="00B060FF" w:rsidRPr="00E42962">
        <w:rPr>
          <w:lang w:val="en"/>
        </w:rPr>
        <w:t>non-ionizing radiation from</w:t>
      </w:r>
      <w:r w:rsidR="00B060FF" w:rsidRPr="00E42962">
        <w:t xml:space="preserve"> </w:t>
      </w:r>
      <w:r w:rsidR="00670B8B" w:rsidRPr="00E42962">
        <w:t>EMF</w:t>
      </w:r>
      <w:r w:rsidR="00B060FF" w:rsidRPr="00E42962">
        <w:t xml:space="preserve"> as a risk factor for CNS tumors in children </w:t>
      </w:r>
      <w:r w:rsidR="00D6049D" w:rsidRPr="00E42962">
        <w:t>(</w:t>
      </w:r>
      <w:proofErr w:type="spellStart"/>
      <w:r w:rsidR="004A5A5E" w:rsidRPr="00E42962">
        <w:t>Feychting</w:t>
      </w:r>
      <w:proofErr w:type="spellEnd"/>
      <w:r w:rsidR="004A5A5E" w:rsidRPr="00E42962">
        <w:t xml:space="preserve"> and </w:t>
      </w:r>
      <w:proofErr w:type="spellStart"/>
      <w:r w:rsidR="004A5A5E" w:rsidRPr="00E42962">
        <w:t>Schuz</w:t>
      </w:r>
      <w:proofErr w:type="spellEnd"/>
      <w:r w:rsidR="004A5A5E" w:rsidRPr="00E42962">
        <w:t xml:space="preserve"> 2018; </w:t>
      </w:r>
      <w:r w:rsidR="00D6049D" w:rsidRPr="00E42962">
        <w:t>Roman et al</w:t>
      </w:r>
      <w:r w:rsidR="00716072" w:rsidRPr="00E42962">
        <w:t xml:space="preserve">. </w:t>
      </w:r>
      <w:r w:rsidR="00D6049D" w:rsidRPr="00E42962">
        <w:t>2018</w:t>
      </w:r>
      <w:r w:rsidR="00AD1F18" w:rsidRPr="00E42962">
        <w:t>).</w:t>
      </w:r>
    </w:p>
    <w:p w14:paraId="1A1BD91E" w14:textId="1A3A0211" w:rsidR="00D6049D" w:rsidRPr="00AD1F18" w:rsidRDefault="00D6049D" w:rsidP="00D06A04">
      <w:r>
        <w:rPr>
          <w:color w:val="000000"/>
        </w:rPr>
        <w:t>Prenatal and postnatal p</w:t>
      </w:r>
      <w:r w:rsidRPr="009D4C0F">
        <w:rPr>
          <w:color w:val="000000"/>
        </w:rPr>
        <w:t xml:space="preserve">esticide exposure in the home environment as well as </w:t>
      </w:r>
      <w:r>
        <w:rPr>
          <w:color w:val="000000"/>
        </w:rPr>
        <w:t xml:space="preserve">through </w:t>
      </w:r>
      <w:r w:rsidRPr="009D4C0F">
        <w:rPr>
          <w:color w:val="000000"/>
        </w:rPr>
        <w:t xml:space="preserve">parental occupations </w:t>
      </w:r>
      <w:r>
        <w:rPr>
          <w:color w:val="000000"/>
        </w:rPr>
        <w:t>is</w:t>
      </w:r>
      <w:r w:rsidRPr="009D4C0F">
        <w:rPr>
          <w:color w:val="000000"/>
        </w:rPr>
        <w:t xml:space="preserve"> thought to be associated with brain cancer</w:t>
      </w:r>
      <w:r>
        <w:rPr>
          <w:color w:val="000000"/>
        </w:rPr>
        <w:t>s</w:t>
      </w:r>
      <w:r w:rsidRPr="009D4C0F">
        <w:rPr>
          <w:color w:val="000000"/>
        </w:rPr>
        <w:t xml:space="preserve"> (</w:t>
      </w:r>
      <w:proofErr w:type="spellStart"/>
      <w:r w:rsidR="007E153E">
        <w:rPr>
          <w:color w:val="000000"/>
        </w:rPr>
        <w:t>Bagazgoi</w:t>
      </w:r>
      <w:r w:rsidR="007E153E" w:rsidRPr="00753421">
        <w:rPr>
          <w:color w:val="000000"/>
        </w:rPr>
        <w:t>tia</w:t>
      </w:r>
      <w:proofErr w:type="spellEnd"/>
      <w:r w:rsidR="007E153E">
        <w:rPr>
          <w:color w:val="000000"/>
        </w:rPr>
        <w:t xml:space="preserve"> et al. 2018; </w:t>
      </w:r>
      <w:proofErr w:type="spellStart"/>
      <w:r w:rsidR="007E153E" w:rsidRPr="009D4C0F">
        <w:rPr>
          <w:color w:val="000000"/>
        </w:rPr>
        <w:t>Feychting</w:t>
      </w:r>
      <w:proofErr w:type="spellEnd"/>
      <w:r w:rsidR="007E153E">
        <w:rPr>
          <w:color w:val="000000"/>
        </w:rPr>
        <w:t xml:space="preserve"> et al. </w:t>
      </w:r>
      <w:r w:rsidR="007E153E" w:rsidRPr="009D4C0F">
        <w:rPr>
          <w:color w:val="000000"/>
        </w:rPr>
        <w:t>2001</w:t>
      </w:r>
      <w:r w:rsidR="007E153E">
        <w:rPr>
          <w:color w:val="000000"/>
        </w:rPr>
        <w:t xml:space="preserve">; </w:t>
      </w:r>
      <w:r w:rsidR="007E153E" w:rsidRPr="007E34A9">
        <w:rPr>
          <w:rFonts w:ascii="Times New Roman" w:hAnsi="Times New Roman"/>
        </w:rPr>
        <w:t>Infante</w:t>
      </w:r>
      <w:r w:rsidR="007E153E">
        <w:rPr>
          <w:rFonts w:ascii="Times New Roman" w:hAnsi="Times New Roman"/>
        </w:rPr>
        <w:t>-</w:t>
      </w:r>
      <w:proofErr w:type="spellStart"/>
      <w:r w:rsidR="007E153E">
        <w:rPr>
          <w:rFonts w:ascii="Times New Roman" w:hAnsi="Times New Roman"/>
        </w:rPr>
        <w:t>Rivard</w:t>
      </w:r>
      <w:proofErr w:type="spellEnd"/>
      <w:r w:rsidR="007E153E">
        <w:rPr>
          <w:rFonts w:ascii="Times New Roman" w:hAnsi="Times New Roman"/>
        </w:rPr>
        <w:t xml:space="preserve"> and </w:t>
      </w:r>
      <w:proofErr w:type="spellStart"/>
      <w:r w:rsidR="007E153E">
        <w:rPr>
          <w:rFonts w:ascii="Times New Roman" w:hAnsi="Times New Roman"/>
        </w:rPr>
        <w:t>Weichenthal</w:t>
      </w:r>
      <w:proofErr w:type="spellEnd"/>
      <w:r w:rsidR="007E153E" w:rsidRPr="007E34A9">
        <w:rPr>
          <w:rFonts w:ascii="Times New Roman" w:hAnsi="Times New Roman"/>
        </w:rPr>
        <w:t xml:space="preserve"> 2007</w:t>
      </w:r>
      <w:r w:rsidR="007E153E">
        <w:rPr>
          <w:rFonts w:ascii="Times New Roman" w:hAnsi="Times New Roman"/>
        </w:rPr>
        <w:t xml:space="preserve">; </w:t>
      </w:r>
      <w:proofErr w:type="spellStart"/>
      <w:r w:rsidR="00316DD1" w:rsidRPr="009D4C0F">
        <w:rPr>
          <w:color w:val="000000"/>
        </w:rPr>
        <w:t>Pogoda</w:t>
      </w:r>
      <w:proofErr w:type="spellEnd"/>
      <w:r w:rsidR="00316DD1" w:rsidRPr="00C91929">
        <w:t xml:space="preserve"> </w:t>
      </w:r>
      <w:r w:rsidR="00316DD1">
        <w:t xml:space="preserve">and </w:t>
      </w:r>
      <w:r w:rsidR="00316DD1" w:rsidRPr="00EC1B1E">
        <w:t>Preston-Martin</w:t>
      </w:r>
      <w:r w:rsidR="00316DD1" w:rsidRPr="009D4C0F">
        <w:rPr>
          <w:color w:val="000000"/>
        </w:rPr>
        <w:t xml:space="preserve"> 1997</w:t>
      </w:r>
      <w:r w:rsidR="00316DD1">
        <w:rPr>
          <w:color w:val="000000"/>
        </w:rPr>
        <w:t xml:space="preserve">; </w:t>
      </w:r>
      <w:r w:rsidR="007E153E">
        <w:rPr>
          <w:color w:val="000000"/>
        </w:rPr>
        <w:t xml:space="preserve">Shim et al. 2009; </w:t>
      </w:r>
      <w:proofErr w:type="spellStart"/>
      <w:r w:rsidRPr="009D4C0F">
        <w:rPr>
          <w:color w:val="000000"/>
        </w:rPr>
        <w:t>Zahm</w:t>
      </w:r>
      <w:proofErr w:type="spellEnd"/>
      <w:r w:rsidRPr="00C91929">
        <w:t xml:space="preserve"> </w:t>
      </w:r>
      <w:r>
        <w:t>and Ward</w:t>
      </w:r>
      <w:r w:rsidRPr="009D4C0F">
        <w:rPr>
          <w:color w:val="000000"/>
        </w:rPr>
        <w:t xml:space="preserve"> 199</w:t>
      </w:r>
      <w:r w:rsidR="00EF0735">
        <w:rPr>
          <w:color w:val="000000"/>
        </w:rPr>
        <w:t>8</w:t>
      </w:r>
      <w:r w:rsidRPr="009D4C0F">
        <w:rPr>
          <w:color w:val="000000"/>
        </w:rPr>
        <w:t>)</w:t>
      </w:r>
      <w:r w:rsidR="00716072">
        <w:rPr>
          <w:color w:val="000000"/>
        </w:rPr>
        <w:t xml:space="preserve">. </w:t>
      </w:r>
      <w:r>
        <w:rPr>
          <w:color w:val="000000"/>
        </w:rPr>
        <w:t>Brain cancers in children have also been found to be associated with p</w:t>
      </w:r>
      <w:r w:rsidRPr="009D4C0F">
        <w:rPr>
          <w:color w:val="000000"/>
        </w:rPr>
        <w:t>arental exposure to chemical</w:t>
      </w:r>
      <w:r>
        <w:rPr>
          <w:color w:val="000000"/>
        </w:rPr>
        <w:t xml:space="preserve">s such as chlorinated solvents </w:t>
      </w:r>
      <w:r w:rsidRPr="009D4C0F">
        <w:rPr>
          <w:color w:val="000000"/>
        </w:rPr>
        <w:t>and heavy metals (Colt and Blair 1998</w:t>
      </w:r>
      <w:r>
        <w:rPr>
          <w:color w:val="000000"/>
        </w:rPr>
        <w:t>; Johnson et al</w:t>
      </w:r>
      <w:r w:rsidR="00716072">
        <w:rPr>
          <w:color w:val="000000"/>
        </w:rPr>
        <w:t xml:space="preserve">. </w:t>
      </w:r>
      <w:r>
        <w:rPr>
          <w:color w:val="000000"/>
        </w:rPr>
        <w:t>2014</w:t>
      </w:r>
      <w:r w:rsidRPr="009D4C0F">
        <w:rPr>
          <w:color w:val="000000"/>
        </w:rPr>
        <w:t>)</w:t>
      </w:r>
      <w:r w:rsidR="00716072">
        <w:rPr>
          <w:color w:val="000000"/>
        </w:rPr>
        <w:t xml:space="preserve">. </w:t>
      </w:r>
    </w:p>
    <w:p w14:paraId="3965177C" w14:textId="77777777" w:rsidR="00D6049D" w:rsidRPr="00F95893" w:rsidRDefault="00D6049D" w:rsidP="00D06A04">
      <w:r w:rsidRPr="008A671F">
        <w:rPr>
          <w:lang w:val="en"/>
        </w:rPr>
        <w:t xml:space="preserve">Studies evaluating risk factors for </w:t>
      </w:r>
      <w:r>
        <w:rPr>
          <w:lang w:val="en"/>
        </w:rPr>
        <w:t>CNS</w:t>
      </w:r>
      <w:r w:rsidRPr="008A671F">
        <w:rPr>
          <w:lang w:val="en"/>
        </w:rPr>
        <w:t xml:space="preserve"> cancer have included the ingestion of nitrates and nitrites</w:t>
      </w:r>
      <w:r w:rsidR="00716072">
        <w:rPr>
          <w:lang w:val="en"/>
        </w:rPr>
        <w:t xml:space="preserve">. </w:t>
      </w:r>
      <w:r>
        <w:rPr>
          <w:lang w:val="en"/>
        </w:rPr>
        <w:t>Ingestion of food is the main source of exposure to nitrates and nitrites, but contaminated drinking water can contribute to overall exposure</w:t>
      </w:r>
      <w:r w:rsidR="00716072">
        <w:rPr>
          <w:lang w:val="en"/>
        </w:rPr>
        <w:t xml:space="preserve">. </w:t>
      </w:r>
      <w:r>
        <w:rPr>
          <w:lang w:val="en"/>
        </w:rPr>
        <w:t xml:space="preserve">In the stomach, nitrite </w:t>
      </w:r>
      <w:r>
        <w:rPr>
          <w:lang w:val="en"/>
        </w:rPr>
        <w:lastRenderedPageBreak/>
        <w:t xml:space="preserve">reacts with some </w:t>
      </w:r>
      <w:r w:rsidRPr="00D91CF9">
        <w:rPr>
          <w:lang w:val="en"/>
        </w:rPr>
        <w:t xml:space="preserve">types of amines </w:t>
      </w:r>
      <w:r>
        <w:rPr>
          <w:lang w:val="en"/>
        </w:rPr>
        <w:t>and</w:t>
      </w:r>
      <w:r w:rsidRPr="00D91CF9">
        <w:rPr>
          <w:lang w:val="en"/>
        </w:rPr>
        <w:t xml:space="preserve"> amides</w:t>
      </w:r>
      <w:r>
        <w:rPr>
          <w:lang w:val="en"/>
        </w:rPr>
        <w:t xml:space="preserve"> to form NDMA and other </w:t>
      </w:r>
      <w:r w:rsidR="00A26E6D">
        <w:rPr>
          <w:i/>
          <w:lang w:val="en"/>
        </w:rPr>
        <w:t>n</w:t>
      </w:r>
      <w:r w:rsidRPr="00D91CF9">
        <w:rPr>
          <w:lang w:val="en"/>
        </w:rPr>
        <w:t>-nitroso compounds</w:t>
      </w:r>
      <w:r w:rsidR="00716072">
        <w:rPr>
          <w:lang w:val="en"/>
        </w:rPr>
        <w:t xml:space="preserve">. </w:t>
      </w:r>
      <w:r>
        <w:rPr>
          <w:lang w:val="en"/>
        </w:rPr>
        <w:t xml:space="preserve">Ingested nitrate is converted to nitrite in saliva, which increases nitrite available for conversion into NDMA and other </w:t>
      </w:r>
      <w:r w:rsidR="00A26E6D" w:rsidRPr="00A26E6D">
        <w:rPr>
          <w:i/>
          <w:lang w:val="en"/>
        </w:rPr>
        <w:t>n</w:t>
      </w:r>
      <w:r>
        <w:rPr>
          <w:lang w:val="en"/>
        </w:rPr>
        <w:t>-nitroso compounds (IARC 2010)</w:t>
      </w:r>
      <w:r w:rsidR="00716072">
        <w:rPr>
          <w:lang w:val="en"/>
        </w:rPr>
        <w:t xml:space="preserve">. </w:t>
      </w:r>
      <w:r w:rsidRPr="008A671F">
        <w:rPr>
          <w:lang w:val="en"/>
        </w:rPr>
        <w:t xml:space="preserve">An increased risk of childhood brain cancer has been reported following maternal nitrite intake from cured meats during </w:t>
      </w:r>
      <w:r w:rsidR="0078284A">
        <w:rPr>
          <w:lang w:val="en"/>
        </w:rPr>
        <w:t>p</w:t>
      </w:r>
      <w:r w:rsidRPr="008A671F">
        <w:rPr>
          <w:lang w:val="en"/>
        </w:rPr>
        <w:t>regnancy (Preston-Martin et al</w:t>
      </w:r>
      <w:r w:rsidR="00716072">
        <w:rPr>
          <w:lang w:val="en"/>
        </w:rPr>
        <w:t xml:space="preserve">. </w:t>
      </w:r>
      <w:r w:rsidRPr="008A671F">
        <w:rPr>
          <w:lang w:val="en"/>
        </w:rPr>
        <w:t xml:space="preserve">1996; </w:t>
      </w:r>
      <w:proofErr w:type="spellStart"/>
      <w:r w:rsidRPr="008A671F">
        <w:rPr>
          <w:lang w:val="en"/>
        </w:rPr>
        <w:t>Pogoda</w:t>
      </w:r>
      <w:proofErr w:type="spellEnd"/>
      <w:r w:rsidRPr="008A671F">
        <w:rPr>
          <w:lang w:val="en"/>
        </w:rPr>
        <w:t xml:space="preserve"> </w:t>
      </w:r>
      <w:r w:rsidR="001927FE">
        <w:rPr>
          <w:lang w:val="en"/>
        </w:rPr>
        <w:t>and</w:t>
      </w:r>
      <w:r w:rsidRPr="008A671F">
        <w:rPr>
          <w:lang w:val="en"/>
        </w:rPr>
        <w:t xml:space="preserve"> Preston-Martin 2001</w:t>
      </w:r>
      <w:r>
        <w:rPr>
          <w:lang w:val="en"/>
        </w:rPr>
        <w:t xml:space="preserve">; </w:t>
      </w:r>
      <w:proofErr w:type="spellStart"/>
      <w:r>
        <w:rPr>
          <w:lang w:val="en"/>
        </w:rPr>
        <w:t>Pogoda</w:t>
      </w:r>
      <w:proofErr w:type="spellEnd"/>
      <w:r>
        <w:rPr>
          <w:lang w:val="en"/>
        </w:rPr>
        <w:t xml:space="preserve"> et al</w:t>
      </w:r>
      <w:r w:rsidR="00716072">
        <w:rPr>
          <w:lang w:val="en"/>
        </w:rPr>
        <w:t xml:space="preserve">. </w:t>
      </w:r>
      <w:r>
        <w:rPr>
          <w:lang w:val="en"/>
        </w:rPr>
        <w:t>2009; Nielsen et al</w:t>
      </w:r>
      <w:r w:rsidR="00716072">
        <w:rPr>
          <w:lang w:val="en"/>
        </w:rPr>
        <w:t xml:space="preserve">. </w:t>
      </w:r>
      <w:r>
        <w:rPr>
          <w:lang w:val="en"/>
        </w:rPr>
        <w:t>2011</w:t>
      </w:r>
      <w:r w:rsidRPr="008A671F">
        <w:rPr>
          <w:lang w:val="en"/>
        </w:rPr>
        <w:t>)</w:t>
      </w:r>
      <w:r w:rsidR="00716072">
        <w:rPr>
          <w:lang w:val="en"/>
        </w:rPr>
        <w:t xml:space="preserve">. </w:t>
      </w:r>
      <w:r w:rsidRPr="008A671F">
        <w:rPr>
          <w:lang w:val="en"/>
        </w:rPr>
        <w:t xml:space="preserve">Maternal ingestion of nitrite from drinking water </w:t>
      </w:r>
      <w:r>
        <w:rPr>
          <w:lang w:val="en"/>
        </w:rPr>
        <w:t>during pregnancy is also</w:t>
      </w:r>
      <w:r w:rsidRPr="008A671F">
        <w:rPr>
          <w:lang w:val="en"/>
        </w:rPr>
        <w:t xml:space="preserve"> associated with an increased risk of brain tumors in children, but the results were limited to </w:t>
      </w:r>
      <w:proofErr w:type="spellStart"/>
      <w:r w:rsidRPr="008A671F">
        <w:rPr>
          <w:lang w:val="en"/>
        </w:rPr>
        <w:t>astroglial</w:t>
      </w:r>
      <w:proofErr w:type="spellEnd"/>
      <w:r w:rsidRPr="008A671F">
        <w:rPr>
          <w:lang w:val="en"/>
        </w:rPr>
        <w:t xml:space="preserve"> tumors and other studies have </w:t>
      </w:r>
      <w:r>
        <w:rPr>
          <w:lang w:val="en"/>
        </w:rPr>
        <w:t>not shown a link</w:t>
      </w:r>
      <w:r w:rsidRPr="008A671F">
        <w:rPr>
          <w:lang w:val="en"/>
        </w:rPr>
        <w:t xml:space="preserve"> (Mueller et al</w:t>
      </w:r>
      <w:r w:rsidR="00716072">
        <w:rPr>
          <w:lang w:val="en"/>
        </w:rPr>
        <w:t xml:space="preserve">. </w:t>
      </w:r>
      <w:r w:rsidRPr="008A671F">
        <w:rPr>
          <w:lang w:val="en"/>
        </w:rPr>
        <w:t>2004)</w:t>
      </w:r>
      <w:r w:rsidR="00716072">
        <w:rPr>
          <w:lang w:val="en"/>
        </w:rPr>
        <w:t xml:space="preserve">. </w:t>
      </w:r>
      <w:r>
        <w:rPr>
          <w:lang w:val="en"/>
        </w:rPr>
        <w:t>There is l</w:t>
      </w:r>
      <w:r w:rsidRPr="008A671F">
        <w:rPr>
          <w:lang w:val="en"/>
        </w:rPr>
        <w:t xml:space="preserve">ittle evidence of an association </w:t>
      </w:r>
      <w:r w:rsidRPr="00F95893">
        <w:t>between brain cancer and ingestion of nitrate (IARC 2010).</w:t>
      </w:r>
    </w:p>
    <w:p w14:paraId="7642C3BD" w14:textId="77777777" w:rsidR="00D6049D" w:rsidRDefault="00D6049D" w:rsidP="00D06A04">
      <w:pPr>
        <w:rPr>
          <w:lang w:val="en"/>
        </w:rPr>
      </w:pPr>
      <w:r w:rsidRPr="00F95893">
        <w:t>High birth weight has been associated with brain and CNS cancers in a number of epidemiological studies</w:t>
      </w:r>
      <w:r w:rsidR="00E83EB1">
        <w:t xml:space="preserve"> </w:t>
      </w:r>
      <w:r w:rsidRPr="00F95893">
        <w:t>(Johnson et al</w:t>
      </w:r>
      <w:r w:rsidR="00716072">
        <w:t xml:space="preserve">. </w:t>
      </w:r>
      <w:r w:rsidRPr="00F95893">
        <w:t>2014).</w:t>
      </w:r>
    </w:p>
    <w:p w14:paraId="7A5C25BD" w14:textId="77777777" w:rsidR="00D6049D" w:rsidRPr="00F80B1F" w:rsidRDefault="00D6049D" w:rsidP="0063071E">
      <w:pPr>
        <w:pStyle w:val="StyleHeading4Linespacingsingle"/>
      </w:pPr>
      <w:r w:rsidRPr="007B62B8">
        <w:t xml:space="preserve">Soft </w:t>
      </w:r>
      <w:r w:rsidR="00581265">
        <w:t>T</w:t>
      </w:r>
      <w:r w:rsidRPr="007B62B8">
        <w:t xml:space="preserve">issue </w:t>
      </w:r>
      <w:r w:rsidR="00581265">
        <w:t>Sarcomas</w:t>
      </w:r>
    </w:p>
    <w:p w14:paraId="3C20BC12" w14:textId="77777777" w:rsidR="00D6049D" w:rsidRPr="00F80B1F" w:rsidRDefault="00D6049D" w:rsidP="00D06A04">
      <w:pPr>
        <w:rPr>
          <w:lang w:val="en"/>
        </w:rPr>
      </w:pPr>
      <w:r>
        <w:rPr>
          <w:lang w:val="en"/>
        </w:rPr>
        <w:t>O</w:t>
      </w:r>
      <w:r w:rsidRPr="00F80B1F">
        <w:rPr>
          <w:lang w:val="en"/>
        </w:rPr>
        <w:t xml:space="preserve">ne Wilmington child </w:t>
      </w:r>
      <w:r>
        <w:rPr>
          <w:lang w:val="en"/>
        </w:rPr>
        <w:t xml:space="preserve">was </w:t>
      </w:r>
      <w:r w:rsidRPr="00F80B1F">
        <w:rPr>
          <w:lang w:val="en"/>
        </w:rPr>
        <w:t>diagnosed with rhabdomyosarcoma between 19</w:t>
      </w:r>
      <w:r w:rsidR="00C05862">
        <w:rPr>
          <w:lang w:val="en"/>
        </w:rPr>
        <w:t>90</w:t>
      </w:r>
      <w:r w:rsidRPr="00F80B1F">
        <w:rPr>
          <w:lang w:val="en"/>
        </w:rPr>
        <w:t xml:space="preserve"> and 2000.</w:t>
      </w:r>
    </w:p>
    <w:p w14:paraId="4EDBD47B" w14:textId="77777777" w:rsidR="00D6049D" w:rsidRDefault="00D6049D" w:rsidP="00D06A04">
      <w:pPr>
        <w:rPr>
          <w:lang w:val="en"/>
        </w:rPr>
      </w:pPr>
      <w:r w:rsidRPr="00F80B1F">
        <w:t>Soft tissue sarcomas are cancers that develop in connective tissues, such as muscle, fat and blood vessels, and can occur at any site throughout the body</w:t>
      </w:r>
      <w:r w:rsidR="00716072">
        <w:t xml:space="preserve">. </w:t>
      </w:r>
      <w:r w:rsidRPr="00F80B1F">
        <w:t>Soft tissue sarcomas accounted for about 7% of all childhood cancers in Massachusetts</w:t>
      </w:r>
      <w:r>
        <w:t xml:space="preserve"> during 2000-2009</w:t>
      </w:r>
      <w:r w:rsidRPr="00F80B1F">
        <w:t>, which coincide</w:t>
      </w:r>
      <w:r>
        <w:t>d</w:t>
      </w:r>
      <w:r w:rsidRPr="00F80B1F">
        <w:t xml:space="preserve"> with national trends (MCR 20</w:t>
      </w:r>
      <w:r>
        <w:t>14</w:t>
      </w:r>
      <w:r w:rsidRPr="00F80B1F">
        <w:t xml:space="preserve">; </w:t>
      </w:r>
      <w:proofErr w:type="spellStart"/>
      <w:r w:rsidRPr="00F80B1F">
        <w:t>Ries</w:t>
      </w:r>
      <w:proofErr w:type="spellEnd"/>
      <w:r w:rsidRPr="00F80B1F">
        <w:t xml:space="preserve"> et al</w:t>
      </w:r>
      <w:r w:rsidR="00716072">
        <w:t xml:space="preserve">. </w:t>
      </w:r>
      <w:r w:rsidRPr="00F80B1F">
        <w:t>1999)</w:t>
      </w:r>
      <w:r w:rsidR="00716072">
        <w:t xml:space="preserve">. </w:t>
      </w:r>
      <w:r w:rsidRPr="00F80B1F">
        <w:t>There are many different types of soft tissue sarcomas</w:t>
      </w:r>
      <w:r w:rsidR="00716072">
        <w:t xml:space="preserve">. </w:t>
      </w:r>
      <w:r w:rsidRPr="00F80B1F">
        <w:t>The most common type of childhood soft tissue sarcoma is rhabdomyosarcoma, which develops in skeletal muscle</w:t>
      </w:r>
      <w:r w:rsidR="00716072">
        <w:t xml:space="preserve">. </w:t>
      </w:r>
      <w:r>
        <w:t>R</w:t>
      </w:r>
      <w:r w:rsidRPr="00F80B1F">
        <w:t xml:space="preserve">habdomyosarcomas </w:t>
      </w:r>
      <w:r>
        <w:t>make up a</w:t>
      </w:r>
      <w:r w:rsidRPr="00F80B1F">
        <w:t xml:space="preserve">bout </w:t>
      </w:r>
      <w:r>
        <w:t>2.4</w:t>
      </w:r>
      <w:r w:rsidRPr="00F80B1F">
        <w:t xml:space="preserve">% of childhood cancers </w:t>
      </w:r>
      <w:r>
        <w:t>in Massachusetts and 2.9% in the US</w:t>
      </w:r>
      <w:r w:rsidRPr="00F80B1F">
        <w:t xml:space="preserve"> (</w:t>
      </w:r>
      <w:r>
        <w:t xml:space="preserve">MCR </w:t>
      </w:r>
      <w:r w:rsidRPr="00F80B1F">
        <w:t>20</w:t>
      </w:r>
      <w:r>
        <w:t>14</w:t>
      </w:r>
      <w:r w:rsidRPr="00F80B1F">
        <w:t>)</w:t>
      </w:r>
      <w:r w:rsidR="00716072">
        <w:t xml:space="preserve">. </w:t>
      </w:r>
      <w:r>
        <w:t>Although</w:t>
      </w:r>
      <w:r w:rsidRPr="00F80B1F">
        <w:t xml:space="preserve"> the incidence of soft tissue sarcomas is highest among young children during infancy and children aged 15 to 19 years old</w:t>
      </w:r>
      <w:r>
        <w:t xml:space="preserve">, </w:t>
      </w:r>
      <w:r w:rsidRPr="00F80B1F">
        <w:t>more than half are diagnosed by age 10 (</w:t>
      </w:r>
      <w:proofErr w:type="spellStart"/>
      <w:r w:rsidRPr="00F80B1F">
        <w:t>Ries</w:t>
      </w:r>
      <w:proofErr w:type="spellEnd"/>
      <w:r w:rsidRPr="00F80B1F">
        <w:t xml:space="preserve"> et al</w:t>
      </w:r>
      <w:r w:rsidR="00716072">
        <w:t xml:space="preserve">. </w:t>
      </w:r>
      <w:r w:rsidRPr="00F80B1F">
        <w:t>1999)</w:t>
      </w:r>
      <w:r w:rsidR="00716072">
        <w:t xml:space="preserve">. </w:t>
      </w:r>
      <w:r>
        <w:t>The incidence in Massachusetts follows this pattern (MCR 2014)</w:t>
      </w:r>
      <w:r w:rsidR="00716072">
        <w:t xml:space="preserve">. </w:t>
      </w:r>
    </w:p>
    <w:p w14:paraId="627359A2" w14:textId="77777777" w:rsidR="00D6049D" w:rsidRDefault="00D6049D" w:rsidP="00D06A04">
      <w:pPr>
        <w:rPr>
          <w:lang w:val="en"/>
        </w:rPr>
      </w:pPr>
      <w:r>
        <w:rPr>
          <w:lang w:val="en"/>
        </w:rPr>
        <w:t>There are few established risk factors for rhabdomyosarcoma</w:t>
      </w:r>
      <w:r w:rsidR="00716072">
        <w:rPr>
          <w:lang w:val="en"/>
        </w:rPr>
        <w:t xml:space="preserve">. </w:t>
      </w:r>
      <w:r>
        <w:rPr>
          <w:lang w:val="en"/>
        </w:rPr>
        <w:t>Some rare genetic syndromes (e.g., Li-Fraumeni) increase risk but only account for a small number of diagnoses</w:t>
      </w:r>
      <w:r w:rsidR="00716072">
        <w:rPr>
          <w:lang w:val="en"/>
        </w:rPr>
        <w:t xml:space="preserve">. </w:t>
      </w:r>
      <w:r w:rsidRPr="00F80B1F">
        <w:rPr>
          <w:lang w:val="en"/>
        </w:rPr>
        <w:t xml:space="preserve">Some studies have suggested that exposure to </w:t>
      </w:r>
      <w:r>
        <w:rPr>
          <w:lang w:val="en"/>
        </w:rPr>
        <w:t>X</w:t>
      </w:r>
      <w:r w:rsidRPr="00F80B1F">
        <w:rPr>
          <w:lang w:val="en"/>
        </w:rPr>
        <w:t xml:space="preserve">-rays during pregnancy might be linked with an increased risk of </w:t>
      </w:r>
      <w:r w:rsidR="00311A8D" w:rsidRPr="00F80B1F">
        <w:rPr>
          <w:lang w:val="en"/>
        </w:rPr>
        <w:t>rhabdomyosarcoma</w:t>
      </w:r>
      <w:r w:rsidRPr="00F80B1F">
        <w:rPr>
          <w:lang w:val="en"/>
        </w:rPr>
        <w:t xml:space="preserve"> in young children</w:t>
      </w:r>
      <w:r>
        <w:rPr>
          <w:lang w:val="en"/>
        </w:rPr>
        <w:t xml:space="preserve"> (Roman et al</w:t>
      </w:r>
      <w:r w:rsidR="00716072">
        <w:rPr>
          <w:lang w:val="en"/>
        </w:rPr>
        <w:t xml:space="preserve">. </w:t>
      </w:r>
      <w:r>
        <w:rPr>
          <w:lang w:val="en"/>
        </w:rPr>
        <w:t>2018)</w:t>
      </w:r>
      <w:r w:rsidR="00716072">
        <w:rPr>
          <w:lang w:val="en"/>
        </w:rPr>
        <w:t xml:space="preserve">. </w:t>
      </w:r>
      <w:r w:rsidRPr="00F80B1F">
        <w:rPr>
          <w:lang w:val="en"/>
        </w:rPr>
        <w:t xml:space="preserve">Parental use of drugs such as marijuana and cocaine has </w:t>
      </w:r>
      <w:r>
        <w:rPr>
          <w:lang w:val="en"/>
        </w:rPr>
        <w:t xml:space="preserve">also </w:t>
      </w:r>
      <w:r w:rsidRPr="00F80B1F">
        <w:rPr>
          <w:lang w:val="en"/>
        </w:rPr>
        <w:t>been suggested as a possible risk factor</w:t>
      </w:r>
      <w:r>
        <w:rPr>
          <w:lang w:val="en"/>
        </w:rPr>
        <w:t xml:space="preserve"> b</w:t>
      </w:r>
      <w:r w:rsidRPr="00F80B1F">
        <w:rPr>
          <w:lang w:val="en"/>
        </w:rPr>
        <w:t xml:space="preserve">ut these have been small studies, and more research is needed </w:t>
      </w:r>
      <w:r w:rsidRPr="0077215A">
        <w:rPr>
          <w:lang w:val="en"/>
        </w:rPr>
        <w:t>(</w:t>
      </w:r>
      <w:proofErr w:type="spellStart"/>
      <w:r>
        <w:rPr>
          <w:lang w:val="en"/>
        </w:rPr>
        <w:t>Grufferman</w:t>
      </w:r>
      <w:proofErr w:type="spellEnd"/>
      <w:r w:rsidR="00FF514E">
        <w:rPr>
          <w:lang w:val="en"/>
        </w:rPr>
        <w:t xml:space="preserve"> et al</w:t>
      </w:r>
      <w:r w:rsidR="00716072">
        <w:rPr>
          <w:lang w:val="en"/>
        </w:rPr>
        <w:t xml:space="preserve">. </w:t>
      </w:r>
      <w:r>
        <w:rPr>
          <w:lang w:val="en"/>
        </w:rPr>
        <w:t>1993</w:t>
      </w:r>
      <w:r w:rsidRPr="0077215A">
        <w:rPr>
          <w:lang w:val="en"/>
        </w:rPr>
        <w:t>).</w:t>
      </w:r>
    </w:p>
    <w:p w14:paraId="7E428BB7" w14:textId="77777777" w:rsidR="00D6049D" w:rsidRDefault="00D6049D" w:rsidP="0063071E">
      <w:pPr>
        <w:pStyle w:val="StyleHeading4Linespacingsingle"/>
        <w:rPr>
          <w:lang w:val="en"/>
        </w:rPr>
      </w:pPr>
      <w:r>
        <w:rPr>
          <w:lang w:val="en"/>
        </w:rPr>
        <w:t>Germ Cell Tumors</w:t>
      </w:r>
    </w:p>
    <w:p w14:paraId="59F6F2F3" w14:textId="77777777" w:rsidR="00D6049D" w:rsidRDefault="00D6049D" w:rsidP="00D06A04">
      <w:pPr>
        <w:rPr>
          <w:lang w:val="en"/>
        </w:rPr>
      </w:pPr>
      <w:r>
        <w:rPr>
          <w:lang w:val="en"/>
        </w:rPr>
        <w:t>Two children in Wilmington were diagnosed with germ cell tumors between 19</w:t>
      </w:r>
      <w:r w:rsidR="00C05862">
        <w:rPr>
          <w:lang w:val="en"/>
        </w:rPr>
        <w:t>90</w:t>
      </w:r>
      <w:r>
        <w:rPr>
          <w:lang w:val="en"/>
        </w:rPr>
        <w:t xml:space="preserve"> and 2000</w:t>
      </w:r>
      <w:r w:rsidR="00716072">
        <w:rPr>
          <w:lang w:val="en"/>
        </w:rPr>
        <w:t xml:space="preserve">. </w:t>
      </w:r>
      <w:r>
        <w:rPr>
          <w:lang w:val="en"/>
        </w:rPr>
        <w:t>Both were</w:t>
      </w:r>
      <w:r w:rsidR="000F1F59">
        <w:rPr>
          <w:lang w:val="en"/>
        </w:rPr>
        <w:t xml:space="preserve"> of the type known as</w:t>
      </w:r>
      <w:r>
        <w:rPr>
          <w:lang w:val="en"/>
        </w:rPr>
        <w:t xml:space="preserve"> intracranial and intraspinal germ cell tumors</w:t>
      </w:r>
      <w:r w:rsidR="00716072">
        <w:rPr>
          <w:lang w:val="en"/>
        </w:rPr>
        <w:t xml:space="preserve">. </w:t>
      </w:r>
    </w:p>
    <w:p w14:paraId="71D33DB3" w14:textId="77777777" w:rsidR="00D6049D" w:rsidRDefault="00D6049D" w:rsidP="00D06A04">
      <w:pPr>
        <w:rPr>
          <w:lang w:val="en"/>
        </w:rPr>
      </w:pPr>
      <w:r w:rsidRPr="007501DE">
        <w:rPr>
          <w:lang w:val="en"/>
        </w:rPr>
        <w:lastRenderedPageBreak/>
        <w:t xml:space="preserve">Germ cell (egg or sperm), trophoblastic (cells outside an early embryo), and other gonadal (ovarian or testicular) </w:t>
      </w:r>
      <w:r>
        <w:rPr>
          <w:lang w:val="en"/>
        </w:rPr>
        <w:t>tumors</w:t>
      </w:r>
      <w:r w:rsidRPr="007501DE">
        <w:rPr>
          <w:lang w:val="en"/>
        </w:rPr>
        <w:t xml:space="preserve"> arise from reproductive cells</w:t>
      </w:r>
      <w:r w:rsidR="00716072">
        <w:rPr>
          <w:lang w:val="en"/>
        </w:rPr>
        <w:t xml:space="preserve">. </w:t>
      </w:r>
      <w:r>
        <w:rPr>
          <w:lang w:val="en"/>
        </w:rPr>
        <w:t>These cancers accounted for about 6% of all childhood cancers in Massachusetts and about 7% in the US during 2000-2009</w:t>
      </w:r>
      <w:r w:rsidR="00716072">
        <w:rPr>
          <w:lang w:val="en"/>
        </w:rPr>
        <w:t xml:space="preserve">. </w:t>
      </w:r>
      <w:r>
        <w:rPr>
          <w:lang w:val="en"/>
        </w:rPr>
        <w:t>The majority of these cancers (about 65%) are gonadal germ cell tumors, located in either the ovaries or testes (MCR 2014)</w:t>
      </w:r>
      <w:r w:rsidR="00716072">
        <w:rPr>
          <w:lang w:val="en"/>
        </w:rPr>
        <w:t xml:space="preserve">. </w:t>
      </w:r>
      <w:r>
        <w:rPr>
          <w:lang w:val="en"/>
        </w:rPr>
        <w:t xml:space="preserve">Intracranial and intraspinal germ cell tumors </w:t>
      </w:r>
      <w:r w:rsidRPr="00076227">
        <w:rPr>
          <w:lang w:val="en"/>
        </w:rPr>
        <w:t xml:space="preserve">are </w:t>
      </w:r>
      <w:r w:rsidR="00311A8D">
        <w:rPr>
          <w:lang w:val="en"/>
        </w:rPr>
        <w:t>those</w:t>
      </w:r>
      <w:r w:rsidRPr="00076227">
        <w:rPr>
          <w:lang w:val="en"/>
        </w:rPr>
        <w:t xml:space="preserve"> that develop when the sex cells</w:t>
      </w:r>
      <w:r>
        <w:rPr>
          <w:lang w:val="en"/>
        </w:rPr>
        <w:t>,</w:t>
      </w:r>
      <w:r w:rsidRPr="00076227">
        <w:rPr>
          <w:lang w:val="en"/>
        </w:rPr>
        <w:t xml:space="preserve"> normally found in the ovaries and testes</w:t>
      </w:r>
      <w:r>
        <w:rPr>
          <w:lang w:val="en"/>
        </w:rPr>
        <w:t>,</w:t>
      </w:r>
      <w:r w:rsidRPr="00076227">
        <w:rPr>
          <w:lang w:val="en"/>
        </w:rPr>
        <w:t xml:space="preserve"> do not migrate </w:t>
      </w:r>
      <w:r>
        <w:rPr>
          <w:lang w:val="en"/>
        </w:rPr>
        <w:t>to their proper location during fetal development</w:t>
      </w:r>
      <w:r w:rsidRPr="00076227">
        <w:rPr>
          <w:lang w:val="en"/>
        </w:rPr>
        <w:t xml:space="preserve"> and become trapped in the brain</w:t>
      </w:r>
      <w:r w:rsidR="00716072">
        <w:rPr>
          <w:lang w:val="en"/>
        </w:rPr>
        <w:t xml:space="preserve">. </w:t>
      </w:r>
      <w:r w:rsidRPr="00076227">
        <w:rPr>
          <w:lang w:val="en"/>
        </w:rPr>
        <w:t>They are most frequently found around the pituitary and pineal glands</w:t>
      </w:r>
      <w:r>
        <w:rPr>
          <w:lang w:val="en"/>
        </w:rPr>
        <w:t xml:space="preserve"> (Roman et al</w:t>
      </w:r>
      <w:r w:rsidR="00716072">
        <w:rPr>
          <w:lang w:val="en"/>
        </w:rPr>
        <w:t xml:space="preserve">. </w:t>
      </w:r>
      <w:r>
        <w:rPr>
          <w:lang w:val="en"/>
        </w:rPr>
        <w:t>2018)</w:t>
      </w:r>
      <w:r w:rsidR="00716072">
        <w:rPr>
          <w:lang w:val="en"/>
        </w:rPr>
        <w:t xml:space="preserve">. </w:t>
      </w:r>
      <w:r w:rsidR="00E42962">
        <w:rPr>
          <w:lang w:val="en"/>
        </w:rPr>
        <w:t>Intracranial and intraspinal germ cell tumors</w:t>
      </w:r>
      <w:r>
        <w:rPr>
          <w:lang w:val="en"/>
        </w:rPr>
        <w:t xml:space="preserve"> accounted for about 13% of </w:t>
      </w:r>
      <w:r w:rsidR="00E42962">
        <w:rPr>
          <w:lang w:val="en"/>
        </w:rPr>
        <w:t xml:space="preserve">all </w:t>
      </w:r>
      <w:r>
        <w:rPr>
          <w:lang w:val="en"/>
        </w:rPr>
        <w:t>germ cell tumors in Massachusetts and about 16% in the US during 2000-2009 (MCR 2014)</w:t>
      </w:r>
      <w:r w:rsidR="00E42962">
        <w:rPr>
          <w:lang w:val="en"/>
        </w:rPr>
        <w:t>, account</w:t>
      </w:r>
      <w:r w:rsidR="00F7491B">
        <w:rPr>
          <w:lang w:val="en"/>
        </w:rPr>
        <w:t>ing</w:t>
      </w:r>
      <w:r w:rsidR="00E42962">
        <w:rPr>
          <w:lang w:val="en"/>
        </w:rPr>
        <w:t xml:space="preserve"> for &lt;1% of all childhood cancers</w:t>
      </w:r>
      <w:r w:rsidR="00716072">
        <w:rPr>
          <w:lang w:val="en"/>
        </w:rPr>
        <w:t xml:space="preserve">. </w:t>
      </w:r>
      <w:r>
        <w:rPr>
          <w:lang w:val="en"/>
        </w:rPr>
        <w:t>While the incidence of germ cell tumors as a whole increases sharply in males after age 14 and more gradually among females, the incidence of intracranial and intraspinal germ cell tumors is relatively constant among children of all ages</w:t>
      </w:r>
      <w:r w:rsidR="00716072">
        <w:rPr>
          <w:lang w:val="en"/>
        </w:rPr>
        <w:t xml:space="preserve">. </w:t>
      </w:r>
      <w:r>
        <w:rPr>
          <w:lang w:val="en"/>
        </w:rPr>
        <w:t xml:space="preserve">There are no established risk factors for </w:t>
      </w:r>
      <w:r w:rsidRPr="0052398C">
        <w:rPr>
          <w:lang w:val="en"/>
        </w:rPr>
        <w:t>intracranial and intraspinal germ cell tumors</w:t>
      </w:r>
      <w:r>
        <w:rPr>
          <w:lang w:val="en"/>
        </w:rPr>
        <w:t xml:space="preserve"> (Roman et al</w:t>
      </w:r>
      <w:r w:rsidR="00716072">
        <w:rPr>
          <w:lang w:val="en"/>
        </w:rPr>
        <w:t xml:space="preserve">. </w:t>
      </w:r>
      <w:r>
        <w:rPr>
          <w:lang w:val="en"/>
        </w:rPr>
        <w:t>2018)</w:t>
      </w:r>
      <w:r w:rsidR="00716072">
        <w:rPr>
          <w:lang w:val="en"/>
        </w:rPr>
        <w:t xml:space="preserve">. </w:t>
      </w:r>
    </w:p>
    <w:p w14:paraId="4FF2EBAB" w14:textId="77777777" w:rsidR="00D6049D" w:rsidRPr="00F80B1F" w:rsidRDefault="00D6049D" w:rsidP="0063071E">
      <w:pPr>
        <w:pStyle w:val="StyleHeading4Linespacingsingle"/>
      </w:pPr>
      <w:r>
        <w:t>Renal Tumors</w:t>
      </w:r>
    </w:p>
    <w:p w14:paraId="3547F1D6" w14:textId="77777777" w:rsidR="00D6049D" w:rsidRPr="00F80B1F" w:rsidRDefault="00D6049D" w:rsidP="00D06A04">
      <w:pPr>
        <w:rPr>
          <w:lang w:val="en"/>
        </w:rPr>
      </w:pPr>
      <w:r w:rsidRPr="00F80B1F">
        <w:rPr>
          <w:lang w:val="en"/>
        </w:rPr>
        <w:t xml:space="preserve">One Wilmington child was diagnosed with </w:t>
      </w:r>
      <w:r>
        <w:rPr>
          <w:lang w:val="en"/>
        </w:rPr>
        <w:t xml:space="preserve">nephroblastoma (also called </w:t>
      </w:r>
      <w:r w:rsidRPr="00F80B1F">
        <w:rPr>
          <w:lang w:val="en"/>
        </w:rPr>
        <w:t>Wilms’ tumor</w:t>
      </w:r>
      <w:r>
        <w:rPr>
          <w:lang w:val="en"/>
        </w:rPr>
        <w:t>)</w:t>
      </w:r>
      <w:r w:rsidRPr="00F80B1F">
        <w:rPr>
          <w:lang w:val="en"/>
        </w:rPr>
        <w:t xml:space="preserve"> between 19</w:t>
      </w:r>
      <w:r w:rsidR="00C05862">
        <w:rPr>
          <w:lang w:val="en"/>
        </w:rPr>
        <w:t>90</w:t>
      </w:r>
      <w:r w:rsidRPr="00F80B1F">
        <w:rPr>
          <w:lang w:val="en"/>
        </w:rPr>
        <w:t xml:space="preserve"> and 2000.</w:t>
      </w:r>
    </w:p>
    <w:p w14:paraId="24157C1B" w14:textId="77777777" w:rsidR="00D6049D" w:rsidRPr="00F80B1F" w:rsidRDefault="00D6049D" w:rsidP="00D06A04">
      <w:pPr>
        <w:rPr>
          <w:lang w:val="en"/>
        </w:rPr>
      </w:pPr>
      <w:r>
        <w:rPr>
          <w:lang w:val="en"/>
        </w:rPr>
        <w:t>Renal tumors are cancers that originate in the kidney</w:t>
      </w:r>
      <w:r w:rsidR="00716072">
        <w:rPr>
          <w:lang w:val="en"/>
        </w:rPr>
        <w:t xml:space="preserve">. </w:t>
      </w:r>
      <w:r>
        <w:rPr>
          <w:lang w:val="en"/>
        </w:rPr>
        <w:t>In the US and Massachusetts, a</w:t>
      </w:r>
      <w:r w:rsidRPr="00F80B1F">
        <w:rPr>
          <w:lang w:val="en"/>
        </w:rPr>
        <w:t xml:space="preserve">bout </w:t>
      </w:r>
      <w:r>
        <w:rPr>
          <w:lang w:val="en"/>
        </w:rPr>
        <w:t>4</w:t>
      </w:r>
      <w:r w:rsidRPr="00F80B1F">
        <w:rPr>
          <w:lang w:val="en"/>
        </w:rPr>
        <w:t xml:space="preserve">% of all cancers in children </w:t>
      </w:r>
      <w:r>
        <w:rPr>
          <w:lang w:val="en"/>
        </w:rPr>
        <w:t>we</w:t>
      </w:r>
      <w:r w:rsidRPr="00F80B1F">
        <w:rPr>
          <w:lang w:val="en"/>
        </w:rPr>
        <w:t xml:space="preserve">re </w:t>
      </w:r>
      <w:r>
        <w:rPr>
          <w:lang w:val="en"/>
        </w:rPr>
        <w:t>renal</w:t>
      </w:r>
      <w:r w:rsidRPr="00F80B1F">
        <w:rPr>
          <w:lang w:val="en"/>
        </w:rPr>
        <w:t xml:space="preserve"> tumors</w:t>
      </w:r>
      <w:r>
        <w:rPr>
          <w:lang w:val="en"/>
        </w:rPr>
        <w:t xml:space="preserve"> during 2000-2009</w:t>
      </w:r>
      <w:r w:rsidR="00716072">
        <w:rPr>
          <w:lang w:val="en"/>
        </w:rPr>
        <w:t xml:space="preserve">. </w:t>
      </w:r>
      <w:r>
        <w:rPr>
          <w:lang w:val="en"/>
        </w:rPr>
        <w:t xml:space="preserve">Wilms’ tumor is the most common type of kidney cancer in children, accounting for 89% of kidney tumors in Massachusetts (MCR 2014; </w:t>
      </w:r>
      <w:proofErr w:type="spellStart"/>
      <w:r>
        <w:rPr>
          <w:lang w:val="en"/>
        </w:rPr>
        <w:t>Ries</w:t>
      </w:r>
      <w:proofErr w:type="spellEnd"/>
      <w:r>
        <w:rPr>
          <w:lang w:val="en"/>
        </w:rPr>
        <w:t xml:space="preserve"> et al</w:t>
      </w:r>
      <w:r w:rsidR="00716072">
        <w:rPr>
          <w:lang w:val="en"/>
        </w:rPr>
        <w:t xml:space="preserve">. </w:t>
      </w:r>
      <w:r>
        <w:rPr>
          <w:lang w:val="en"/>
        </w:rPr>
        <w:t>1999)</w:t>
      </w:r>
      <w:r w:rsidR="00716072">
        <w:rPr>
          <w:lang w:val="en"/>
        </w:rPr>
        <w:t xml:space="preserve">. </w:t>
      </w:r>
      <w:r w:rsidRPr="00F80B1F">
        <w:rPr>
          <w:lang w:val="en"/>
        </w:rPr>
        <w:t>These cancers tend to occur in young children</w:t>
      </w:r>
      <w:r w:rsidR="00716072">
        <w:rPr>
          <w:lang w:val="en"/>
        </w:rPr>
        <w:t xml:space="preserve">. </w:t>
      </w:r>
      <w:r>
        <w:rPr>
          <w:lang w:val="en"/>
        </w:rPr>
        <w:t>Nationally, t</w:t>
      </w:r>
      <w:r w:rsidRPr="00F80B1F">
        <w:rPr>
          <w:lang w:val="en"/>
        </w:rPr>
        <w:t>he average age at diagnosis is about 3 to 4 years</w:t>
      </w:r>
      <w:r w:rsidR="00716072">
        <w:rPr>
          <w:lang w:val="en"/>
        </w:rPr>
        <w:t xml:space="preserve">. </w:t>
      </w:r>
      <w:r w:rsidRPr="00F80B1F">
        <w:rPr>
          <w:lang w:val="en"/>
        </w:rPr>
        <w:t>The disease becomes less common as children grow older and is uncommon after age 6</w:t>
      </w:r>
      <w:r w:rsidR="00716072">
        <w:rPr>
          <w:lang w:val="en"/>
        </w:rPr>
        <w:t xml:space="preserve">. </w:t>
      </w:r>
      <w:r>
        <w:rPr>
          <w:lang w:val="en"/>
        </w:rPr>
        <w:t>Wilms</w:t>
      </w:r>
      <w:r w:rsidR="00E371B9">
        <w:rPr>
          <w:lang w:val="en"/>
        </w:rPr>
        <w:t>’</w:t>
      </w:r>
      <w:r>
        <w:rPr>
          <w:lang w:val="en"/>
        </w:rPr>
        <w:t xml:space="preserve"> tumor is slightly more common in girls than boys (ACS 2014)</w:t>
      </w:r>
      <w:r w:rsidR="00716072">
        <w:rPr>
          <w:lang w:val="en"/>
        </w:rPr>
        <w:t xml:space="preserve">. </w:t>
      </w:r>
    </w:p>
    <w:p w14:paraId="6746D7B8" w14:textId="77777777" w:rsidR="00D6049D" w:rsidRDefault="00D6049D" w:rsidP="00D06A04">
      <w:pPr>
        <w:rPr>
          <w:lang w:val="en"/>
        </w:rPr>
      </w:pPr>
      <w:r w:rsidRPr="00F80B1F">
        <w:rPr>
          <w:lang w:val="en"/>
        </w:rPr>
        <w:t>Wilms</w:t>
      </w:r>
      <w:r>
        <w:rPr>
          <w:lang w:val="en"/>
        </w:rPr>
        <w:t>’</w:t>
      </w:r>
      <w:r w:rsidRPr="00F80B1F">
        <w:rPr>
          <w:lang w:val="en"/>
        </w:rPr>
        <w:t xml:space="preserve"> tumor is more common in children with certain </w:t>
      </w:r>
      <w:r>
        <w:rPr>
          <w:lang w:val="en"/>
        </w:rPr>
        <w:t>genetic syndromes, such as Beckwith-Wiedemann syndrome and others</w:t>
      </w:r>
      <w:r w:rsidR="00716072">
        <w:rPr>
          <w:lang w:val="en"/>
        </w:rPr>
        <w:t xml:space="preserve">. </w:t>
      </w:r>
      <w:r>
        <w:rPr>
          <w:lang w:val="en"/>
        </w:rPr>
        <w:t xml:space="preserve">About 10% of children with Wilms’ tumor also have certain </w:t>
      </w:r>
      <w:r w:rsidRPr="00F80B1F">
        <w:rPr>
          <w:lang w:val="en"/>
        </w:rPr>
        <w:t xml:space="preserve">birth defects, including </w:t>
      </w:r>
      <w:r>
        <w:rPr>
          <w:lang w:val="en"/>
        </w:rPr>
        <w:t>a</w:t>
      </w:r>
      <w:r w:rsidRPr="00F80B1F">
        <w:rPr>
          <w:lang w:val="en"/>
        </w:rPr>
        <w:t xml:space="preserve">niridia, </w:t>
      </w:r>
      <w:proofErr w:type="spellStart"/>
      <w:proofErr w:type="gramStart"/>
      <w:r w:rsidRPr="000D6EA2">
        <w:rPr>
          <w:lang w:val="en"/>
        </w:rPr>
        <w:t>hemihyperplasia</w:t>
      </w:r>
      <w:proofErr w:type="spellEnd"/>
      <w:r w:rsidRPr="000D6EA2" w:rsidDel="000D6EA2">
        <w:rPr>
          <w:lang w:val="en"/>
        </w:rPr>
        <w:t xml:space="preserve"> </w:t>
      </w:r>
      <w:r w:rsidRPr="00F80B1F">
        <w:rPr>
          <w:lang w:val="en"/>
        </w:rPr>
        <w:t>,</w:t>
      </w:r>
      <w:proofErr w:type="gramEnd"/>
      <w:r w:rsidRPr="00F80B1F">
        <w:rPr>
          <w:lang w:val="en"/>
        </w:rPr>
        <w:t xml:space="preserve"> </w:t>
      </w:r>
      <w:r>
        <w:rPr>
          <w:lang w:val="en"/>
        </w:rPr>
        <w:t>c</w:t>
      </w:r>
      <w:r w:rsidRPr="00F80B1F">
        <w:rPr>
          <w:lang w:val="en"/>
        </w:rPr>
        <w:t xml:space="preserve">ryptorchidism, and </w:t>
      </w:r>
      <w:r>
        <w:rPr>
          <w:lang w:val="en"/>
        </w:rPr>
        <w:t>h</w:t>
      </w:r>
      <w:r w:rsidRPr="00F80B1F">
        <w:rPr>
          <w:lang w:val="en"/>
        </w:rPr>
        <w:t>ypospadias</w:t>
      </w:r>
      <w:r w:rsidR="00716072">
        <w:rPr>
          <w:lang w:val="en"/>
        </w:rPr>
        <w:t xml:space="preserve">. </w:t>
      </w:r>
      <w:r w:rsidRPr="00F80B1F">
        <w:rPr>
          <w:lang w:val="en"/>
        </w:rPr>
        <w:t xml:space="preserve">Only about </w:t>
      </w:r>
      <w:r>
        <w:rPr>
          <w:lang w:val="en"/>
        </w:rPr>
        <w:t>2</w:t>
      </w:r>
      <w:r w:rsidRPr="00F80B1F">
        <w:rPr>
          <w:lang w:val="en"/>
        </w:rPr>
        <w:t xml:space="preserve">% of children with Wilms’ tumors have </w:t>
      </w:r>
      <w:r>
        <w:rPr>
          <w:lang w:val="en"/>
        </w:rPr>
        <w:t>a family history of the cancer</w:t>
      </w:r>
      <w:r w:rsidR="00716072">
        <w:rPr>
          <w:lang w:val="en"/>
        </w:rPr>
        <w:t xml:space="preserve">. </w:t>
      </w:r>
      <w:r w:rsidRPr="00F80B1F">
        <w:rPr>
          <w:lang w:val="en"/>
        </w:rPr>
        <w:t>Scientists think that these children inherit an abnormal gene that increases their risk of developing Wilms’ tumor</w:t>
      </w:r>
      <w:r>
        <w:rPr>
          <w:lang w:val="en"/>
        </w:rPr>
        <w:t xml:space="preserve"> </w:t>
      </w:r>
      <w:r w:rsidRPr="006641C3">
        <w:rPr>
          <w:lang w:val="en"/>
        </w:rPr>
        <w:t>(</w:t>
      </w:r>
      <w:r>
        <w:rPr>
          <w:lang w:val="en"/>
        </w:rPr>
        <w:t>NCI 2019</w:t>
      </w:r>
      <w:r w:rsidRPr="006641C3">
        <w:rPr>
          <w:lang w:val="en"/>
        </w:rPr>
        <w:t>).</w:t>
      </w:r>
    </w:p>
    <w:p w14:paraId="23CEABBA" w14:textId="77777777" w:rsidR="00D6049D" w:rsidRPr="00F80B1F" w:rsidRDefault="00D6049D" w:rsidP="00D06A04">
      <w:pPr>
        <w:rPr>
          <w:lang w:val="en"/>
        </w:rPr>
      </w:pPr>
      <w:r>
        <w:rPr>
          <w:lang w:val="en"/>
        </w:rPr>
        <w:t xml:space="preserve">Studies show that high birth weight is consistently associated with </w:t>
      </w:r>
      <w:r w:rsidRPr="00271902">
        <w:rPr>
          <w:lang w:val="en"/>
        </w:rPr>
        <w:t xml:space="preserve">increased risk for </w:t>
      </w:r>
      <w:r>
        <w:rPr>
          <w:lang w:val="en"/>
        </w:rPr>
        <w:t>Wilms’ tumor</w:t>
      </w:r>
      <w:r w:rsidR="008B04C2">
        <w:rPr>
          <w:lang w:val="en"/>
        </w:rPr>
        <w:t xml:space="preserve"> (Roman et al</w:t>
      </w:r>
      <w:r w:rsidR="00716072">
        <w:rPr>
          <w:lang w:val="en"/>
        </w:rPr>
        <w:t xml:space="preserve">. </w:t>
      </w:r>
      <w:r w:rsidR="008B04C2">
        <w:rPr>
          <w:lang w:val="en"/>
        </w:rPr>
        <w:t>2018</w:t>
      </w:r>
      <w:r w:rsidRPr="00271902">
        <w:rPr>
          <w:lang w:val="en"/>
        </w:rPr>
        <w:t>)</w:t>
      </w:r>
      <w:r w:rsidR="00716072">
        <w:rPr>
          <w:lang w:val="en"/>
        </w:rPr>
        <w:t xml:space="preserve">. </w:t>
      </w:r>
      <w:r>
        <w:rPr>
          <w:lang w:val="en"/>
        </w:rPr>
        <w:t>No environmental risk factors have been identified for Wilms’ tumor (Roman et al</w:t>
      </w:r>
      <w:r w:rsidR="00716072">
        <w:rPr>
          <w:lang w:val="en"/>
        </w:rPr>
        <w:t xml:space="preserve">. </w:t>
      </w:r>
      <w:r>
        <w:rPr>
          <w:lang w:val="en"/>
        </w:rPr>
        <w:t>2018).</w:t>
      </w:r>
    </w:p>
    <w:p w14:paraId="4A9EB80A" w14:textId="77777777" w:rsidR="00D6049D" w:rsidRPr="00F80B1F" w:rsidRDefault="00D6049D" w:rsidP="0063071E">
      <w:pPr>
        <w:pStyle w:val="StyleHeading4Linespacingsingle"/>
        <w:rPr>
          <w:lang w:val="en"/>
        </w:rPr>
      </w:pPr>
      <w:r>
        <w:lastRenderedPageBreak/>
        <w:t>Hepatic tumors</w:t>
      </w:r>
    </w:p>
    <w:p w14:paraId="46073DAF" w14:textId="77777777" w:rsidR="00D6049D" w:rsidRPr="00F80B1F" w:rsidRDefault="00D6049D" w:rsidP="00D06A04">
      <w:pPr>
        <w:rPr>
          <w:lang w:val="en"/>
        </w:rPr>
      </w:pPr>
      <w:r>
        <w:rPr>
          <w:lang w:val="en"/>
        </w:rPr>
        <w:t>O</w:t>
      </w:r>
      <w:r w:rsidRPr="00F80B1F">
        <w:rPr>
          <w:lang w:val="en"/>
        </w:rPr>
        <w:t xml:space="preserve">ne child </w:t>
      </w:r>
      <w:r>
        <w:rPr>
          <w:lang w:val="en"/>
        </w:rPr>
        <w:t xml:space="preserve">in Wilmington was </w:t>
      </w:r>
      <w:r w:rsidRPr="00F80B1F">
        <w:rPr>
          <w:lang w:val="en"/>
        </w:rPr>
        <w:t>diagnosed with hep</w:t>
      </w:r>
      <w:r w:rsidR="00166CE4">
        <w:rPr>
          <w:lang w:val="en"/>
        </w:rPr>
        <w:t>a</w:t>
      </w:r>
      <w:r w:rsidRPr="00F80B1F">
        <w:rPr>
          <w:lang w:val="en"/>
        </w:rPr>
        <w:t>toblastoma between 19</w:t>
      </w:r>
      <w:r w:rsidR="00C05862">
        <w:rPr>
          <w:lang w:val="en"/>
        </w:rPr>
        <w:t>90</w:t>
      </w:r>
      <w:r w:rsidRPr="00F80B1F">
        <w:rPr>
          <w:lang w:val="en"/>
        </w:rPr>
        <w:t xml:space="preserve"> and 2000.</w:t>
      </w:r>
    </w:p>
    <w:p w14:paraId="1ED64B8D" w14:textId="77777777" w:rsidR="00D6049D" w:rsidRPr="00F80B1F" w:rsidRDefault="00D6049D" w:rsidP="00D06A04">
      <w:pPr>
        <w:rPr>
          <w:lang w:val="en"/>
        </w:rPr>
      </w:pPr>
      <w:r>
        <w:t>Hepatic tumors are cancers that originate in the liver</w:t>
      </w:r>
      <w:r w:rsidR="00716072">
        <w:t xml:space="preserve">. </w:t>
      </w:r>
      <w:r>
        <w:t>Hepatic tumors are rare in children and accounted for about 1.1% of childhood cancers in Massachusetts and 1.3% in the US during 2000-2009 (MCR 2014)</w:t>
      </w:r>
      <w:r w:rsidR="00716072">
        <w:t xml:space="preserve">. </w:t>
      </w:r>
      <w:r w:rsidRPr="00F80B1F">
        <w:t xml:space="preserve">Hepatoblastoma </w:t>
      </w:r>
      <w:r>
        <w:t>is the most common type, accounting for about 85% of childhood hepatic tumors cancers in Massachusetts (MCR 2014)</w:t>
      </w:r>
      <w:r w:rsidR="00716072">
        <w:t xml:space="preserve">. </w:t>
      </w:r>
      <w:r>
        <w:t>Rates of hepatoblastoma are highest among children 3 years of age and younger (Roman et al</w:t>
      </w:r>
      <w:r w:rsidR="00716072">
        <w:t xml:space="preserve">. </w:t>
      </w:r>
      <w:r>
        <w:t>2018)</w:t>
      </w:r>
      <w:r w:rsidR="00716072">
        <w:t xml:space="preserve">. </w:t>
      </w:r>
    </w:p>
    <w:p w14:paraId="1E1D260F" w14:textId="77777777" w:rsidR="00D6049D" w:rsidRPr="00F80B1F" w:rsidRDefault="00D6049D" w:rsidP="00D06A04">
      <w:pPr>
        <w:rPr>
          <w:lang w:val="en"/>
        </w:rPr>
      </w:pPr>
      <w:r w:rsidRPr="00F80B1F">
        <w:rPr>
          <w:lang w:val="en"/>
        </w:rPr>
        <w:t xml:space="preserve">Some </w:t>
      </w:r>
      <w:r>
        <w:rPr>
          <w:lang w:val="en"/>
        </w:rPr>
        <w:t xml:space="preserve">genetic disorders (e.g., </w:t>
      </w:r>
      <w:r w:rsidRPr="00F80B1F">
        <w:rPr>
          <w:lang w:val="en"/>
        </w:rPr>
        <w:t>Beckwith-Wiedemann syndrome, familial adenomatous polyposis, and Aicardi syndrome</w:t>
      </w:r>
      <w:r>
        <w:rPr>
          <w:lang w:val="en"/>
        </w:rPr>
        <w:t xml:space="preserve">) increase a child’s risk of </w:t>
      </w:r>
      <w:r w:rsidRPr="00F80B1F">
        <w:rPr>
          <w:lang w:val="en"/>
        </w:rPr>
        <w:t>being diagnosed with hepatoblastoma</w:t>
      </w:r>
      <w:r>
        <w:rPr>
          <w:lang w:val="en"/>
        </w:rPr>
        <w:t xml:space="preserve"> </w:t>
      </w:r>
      <w:r w:rsidRPr="00F80B1F">
        <w:rPr>
          <w:lang w:val="en"/>
        </w:rPr>
        <w:t>(</w:t>
      </w:r>
      <w:r>
        <w:rPr>
          <w:lang w:val="en"/>
        </w:rPr>
        <w:t>Roman et al</w:t>
      </w:r>
      <w:r w:rsidR="00716072">
        <w:rPr>
          <w:lang w:val="en"/>
        </w:rPr>
        <w:t xml:space="preserve">. </w:t>
      </w:r>
      <w:r>
        <w:rPr>
          <w:lang w:val="en"/>
        </w:rPr>
        <w:t>2018</w:t>
      </w:r>
      <w:r w:rsidRPr="00F80B1F">
        <w:rPr>
          <w:lang w:val="en"/>
        </w:rPr>
        <w:t>)</w:t>
      </w:r>
      <w:r w:rsidR="00716072">
        <w:rPr>
          <w:lang w:val="en"/>
        </w:rPr>
        <w:t xml:space="preserve">. </w:t>
      </w:r>
    </w:p>
    <w:p w14:paraId="61591AFB" w14:textId="5D67346F" w:rsidR="004708EF" w:rsidRPr="00E35A60" w:rsidRDefault="00D6049D" w:rsidP="00D06A04">
      <w:pPr>
        <w:rPr>
          <w:lang w:val="en"/>
        </w:rPr>
      </w:pPr>
      <w:r w:rsidRPr="00F80B1F">
        <w:rPr>
          <w:lang w:val="en"/>
        </w:rPr>
        <w:t>There are few clues to the cause of this cancer in children</w:t>
      </w:r>
      <w:r w:rsidR="00716072">
        <w:rPr>
          <w:lang w:val="en"/>
        </w:rPr>
        <w:t xml:space="preserve">. </w:t>
      </w:r>
      <w:r>
        <w:rPr>
          <w:lang w:val="en"/>
        </w:rPr>
        <w:t>IARC concluded that parental tobacco smoking may increase the risk of hepatoblastoma (IARC 2012)</w:t>
      </w:r>
      <w:r w:rsidR="00716072">
        <w:rPr>
          <w:lang w:val="en"/>
        </w:rPr>
        <w:t xml:space="preserve">. </w:t>
      </w:r>
      <w:r>
        <w:rPr>
          <w:lang w:val="en"/>
        </w:rPr>
        <w:t>Very low birth weight has been linked with hepatoblastoma (Roman et al</w:t>
      </w:r>
      <w:r w:rsidR="00716072">
        <w:rPr>
          <w:lang w:val="en"/>
        </w:rPr>
        <w:t xml:space="preserve">. </w:t>
      </w:r>
      <w:r>
        <w:rPr>
          <w:lang w:val="en"/>
        </w:rPr>
        <w:t>2018)</w:t>
      </w:r>
      <w:r w:rsidR="00716072">
        <w:rPr>
          <w:lang w:val="en"/>
        </w:rPr>
        <w:t xml:space="preserve">. </w:t>
      </w:r>
      <w:r w:rsidRPr="00F80B1F">
        <w:rPr>
          <w:lang w:val="en"/>
        </w:rPr>
        <w:t>Some research suggests parental occupation</w:t>
      </w:r>
      <w:r w:rsidR="00E371B9">
        <w:rPr>
          <w:lang w:val="en"/>
        </w:rPr>
        <w:t>al</w:t>
      </w:r>
      <w:r>
        <w:rPr>
          <w:lang w:val="en"/>
        </w:rPr>
        <w:t xml:space="preserve"> exposure</w:t>
      </w:r>
      <w:r w:rsidRPr="00F80B1F">
        <w:rPr>
          <w:lang w:val="en"/>
        </w:rPr>
        <w:t xml:space="preserve"> to </w:t>
      </w:r>
      <w:r>
        <w:rPr>
          <w:lang w:val="en"/>
        </w:rPr>
        <w:t xml:space="preserve">oil products, paints, or </w:t>
      </w:r>
      <w:r w:rsidRPr="00F80B1F">
        <w:rPr>
          <w:lang w:val="en"/>
        </w:rPr>
        <w:t>metals (e.g., soldering fumes), particularly by the mother during pregnancy, may increase the risk of hep</w:t>
      </w:r>
      <w:r w:rsidR="00166CE4">
        <w:rPr>
          <w:lang w:val="en"/>
        </w:rPr>
        <w:t>a</w:t>
      </w:r>
      <w:r w:rsidRPr="00F80B1F">
        <w:rPr>
          <w:lang w:val="en"/>
        </w:rPr>
        <w:t>toblastoma in children</w:t>
      </w:r>
      <w:r>
        <w:rPr>
          <w:lang w:val="en"/>
        </w:rPr>
        <w:t>, but more research is necessary</w:t>
      </w:r>
      <w:r w:rsidRPr="00F80B1F">
        <w:rPr>
          <w:lang w:val="en"/>
        </w:rPr>
        <w:t xml:space="preserve"> (</w:t>
      </w:r>
      <w:r>
        <w:rPr>
          <w:lang w:val="en"/>
        </w:rPr>
        <w:t>Buckley</w:t>
      </w:r>
      <w:r w:rsidR="00F959B3">
        <w:rPr>
          <w:lang w:val="en"/>
        </w:rPr>
        <w:t xml:space="preserve"> et al</w:t>
      </w:r>
      <w:r w:rsidR="00716072">
        <w:rPr>
          <w:lang w:val="en"/>
        </w:rPr>
        <w:t xml:space="preserve">. </w:t>
      </w:r>
      <w:r>
        <w:rPr>
          <w:lang w:val="en"/>
        </w:rPr>
        <w:t xml:space="preserve">1989; </w:t>
      </w:r>
      <w:proofErr w:type="spellStart"/>
      <w:r>
        <w:rPr>
          <w:lang w:val="en"/>
        </w:rPr>
        <w:t>Janitz</w:t>
      </w:r>
      <w:proofErr w:type="spellEnd"/>
      <w:r>
        <w:rPr>
          <w:lang w:val="en"/>
        </w:rPr>
        <w:t xml:space="preserve"> et al</w:t>
      </w:r>
      <w:r w:rsidR="00716072">
        <w:rPr>
          <w:lang w:val="en"/>
        </w:rPr>
        <w:t xml:space="preserve">. </w:t>
      </w:r>
      <w:r>
        <w:rPr>
          <w:lang w:val="en"/>
        </w:rPr>
        <w:t>2017</w:t>
      </w:r>
      <w:r w:rsidRPr="00F80B1F">
        <w:rPr>
          <w:lang w:val="en"/>
        </w:rPr>
        <w:t>).</w:t>
      </w:r>
    </w:p>
    <w:p w14:paraId="2D2482A1" w14:textId="77777777" w:rsidR="00D6049D" w:rsidRPr="00F80B1F" w:rsidRDefault="00D6049D" w:rsidP="0063071E">
      <w:pPr>
        <w:pStyle w:val="StyleHeading4Linespacingsingle"/>
      </w:pPr>
      <w:r w:rsidRPr="00815BBB">
        <w:t xml:space="preserve">Other Malignant Epithelial Neoplasms </w:t>
      </w:r>
      <w:r w:rsidR="00B00155">
        <w:t>and Malignant Melanoma</w:t>
      </w:r>
    </w:p>
    <w:p w14:paraId="6CB437C6" w14:textId="77777777" w:rsidR="00D6049D" w:rsidRPr="002E7657" w:rsidRDefault="00D6049D" w:rsidP="00D06A04">
      <w:r w:rsidRPr="002E7657">
        <w:t xml:space="preserve">In Wilmington, one child was diagnosed with a </w:t>
      </w:r>
      <w:r>
        <w:t xml:space="preserve">skin </w:t>
      </w:r>
      <w:r w:rsidRPr="002E7657">
        <w:t>adenocarcinoma</w:t>
      </w:r>
      <w:r>
        <w:t xml:space="preserve"> - specifically, a sweat gland adenocarcinoma (eccrine papillary adenocarcinoma)</w:t>
      </w:r>
      <w:r w:rsidR="005E353D">
        <w:t xml:space="preserve"> between 1990 and 2000</w:t>
      </w:r>
      <w:r w:rsidR="00716072">
        <w:t xml:space="preserve">. </w:t>
      </w:r>
      <w:r w:rsidR="005E353D">
        <w:t>A second child (a teenager) was diagnosed with a cancer of this type, a malignant melanoma</w:t>
      </w:r>
      <w:r w:rsidR="00716072">
        <w:t xml:space="preserve">. </w:t>
      </w:r>
      <w:r w:rsidR="00C976AB">
        <w:t xml:space="preserve">This child was excluded from the study </w:t>
      </w:r>
      <w:r w:rsidR="00EF1C47">
        <w:t>b</w:t>
      </w:r>
      <w:r w:rsidR="005E353D">
        <w:t xml:space="preserve">ecause exposure to sunlight is </w:t>
      </w:r>
      <w:r w:rsidR="00C976AB">
        <w:t>the</w:t>
      </w:r>
      <w:r w:rsidR="005E353D">
        <w:t xml:space="preserve"> major risk factor for most melanomas</w:t>
      </w:r>
      <w:r w:rsidR="00C976AB">
        <w:t xml:space="preserve"> with 80% of primary melanomas carrying UV signature mutations</w:t>
      </w:r>
      <w:r w:rsidR="005E353D">
        <w:t xml:space="preserve"> </w:t>
      </w:r>
      <w:r w:rsidR="00E50640">
        <w:t>(Armstrong et al</w:t>
      </w:r>
      <w:r w:rsidR="00716072">
        <w:t xml:space="preserve">. </w:t>
      </w:r>
      <w:r w:rsidR="00E50640">
        <w:t>2018)</w:t>
      </w:r>
      <w:r w:rsidR="00C976AB">
        <w:t>.</w:t>
      </w:r>
    </w:p>
    <w:p w14:paraId="58CC863D" w14:textId="77777777" w:rsidR="00D6049D" w:rsidRDefault="00D6049D" w:rsidP="00D06A04">
      <w:r>
        <w:t xml:space="preserve">In general, malignant epithelial tumors </w:t>
      </w:r>
      <w:r w:rsidRPr="002E7657">
        <w:t xml:space="preserve">develop from epithelial cells that can be located in </w:t>
      </w:r>
      <w:r>
        <w:t xml:space="preserve">the lining of organs and </w:t>
      </w:r>
      <w:r w:rsidRPr="002E7657">
        <w:t>different parts of the body, including the skin</w:t>
      </w:r>
      <w:r w:rsidR="005F29F1">
        <w:t xml:space="preserve"> </w:t>
      </w:r>
      <w:r w:rsidRPr="002E7657">
        <w:t>(Roman et al</w:t>
      </w:r>
      <w:r w:rsidR="00716072">
        <w:t xml:space="preserve">. </w:t>
      </w:r>
      <w:r w:rsidRPr="002E7657">
        <w:t>2018)</w:t>
      </w:r>
      <w:r w:rsidR="00716072">
        <w:t xml:space="preserve">. </w:t>
      </w:r>
      <w:r w:rsidRPr="002E7657">
        <w:t>As a group, these cancers accounted for about 10% of childhood cancers in the US and 11% in Massachusetts during 2000-2009</w:t>
      </w:r>
      <w:r w:rsidR="00716072">
        <w:t xml:space="preserve">. </w:t>
      </w:r>
      <w:r>
        <w:t>A</w:t>
      </w:r>
      <w:r w:rsidRPr="002E7657">
        <w:t xml:space="preserve">bout 97% of </w:t>
      </w:r>
      <w:r>
        <w:t xml:space="preserve">these </w:t>
      </w:r>
      <w:r w:rsidRPr="002E7657">
        <w:t xml:space="preserve">cancers </w:t>
      </w:r>
      <w:r>
        <w:t xml:space="preserve">in Massachusetts children </w:t>
      </w:r>
      <w:r w:rsidRPr="002E7657">
        <w:t>were diagnosed after age 14</w:t>
      </w:r>
      <w:r w:rsidR="00716072">
        <w:t xml:space="preserve">. </w:t>
      </w:r>
      <w:r>
        <w:t>The most common types of these cancers are thyroid carcinoma and malignant melanoma (MCR 2014; Roman et al</w:t>
      </w:r>
      <w:r w:rsidR="00716072">
        <w:t xml:space="preserve">. </w:t>
      </w:r>
      <w:r>
        <w:t>2018</w:t>
      </w:r>
      <w:r w:rsidRPr="002E7657">
        <w:t>)</w:t>
      </w:r>
      <w:r w:rsidR="00716072">
        <w:t xml:space="preserve">. </w:t>
      </w:r>
    </w:p>
    <w:p w14:paraId="3946ADCC" w14:textId="77777777" w:rsidR="00AB147A" w:rsidRPr="00F80B1F" w:rsidRDefault="00D6049D" w:rsidP="00D06A04">
      <w:r w:rsidRPr="002E7657">
        <w:t xml:space="preserve">Skin carcinomas </w:t>
      </w:r>
      <w:r>
        <w:t>(that are</w:t>
      </w:r>
      <w:r w:rsidRPr="00003A8D">
        <w:t xml:space="preserve"> not histologically a melanoma nor </w:t>
      </w:r>
      <w:r>
        <w:t xml:space="preserve">a </w:t>
      </w:r>
      <w:r w:rsidRPr="00003A8D">
        <w:t>b</w:t>
      </w:r>
      <w:r>
        <w:t xml:space="preserve">asal or squamous cell carcinoma) </w:t>
      </w:r>
      <w:r w:rsidRPr="002E7657">
        <w:t xml:space="preserve">make up </w:t>
      </w:r>
      <w:r>
        <w:t>less than</w:t>
      </w:r>
      <w:r w:rsidRPr="002E7657">
        <w:t xml:space="preserve"> 1% of this group (MCR 2014)</w:t>
      </w:r>
      <w:r w:rsidR="00716072">
        <w:t xml:space="preserve">. </w:t>
      </w:r>
      <w:r>
        <w:t xml:space="preserve">More specifically, sweat </w:t>
      </w:r>
      <w:r>
        <w:lastRenderedPageBreak/>
        <w:t xml:space="preserve">gland adenocarcinomas are rare with </w:t>
      </w:r>
      <w:r w:rsidR="003325DB">
        <w:t xml:space="preserve">687 </w:t>
      </w:r>
      <w:r>
        <w:t xml:space="preserve">diagnoses reported </w:t>
      </w:r>
      <w:r w:rsidR="003325DB">
        <w:t xml:space="preserve">among individuals of all ages </w:t>
      </w:r>
      <w:r>
        <w:t>to the Surveillance, Epidemiology, and End Results (SEER) Program of the National Cancer Institute from 1973 to 2014</w:t>
      </w:r>
      <w:r w:rsidR="00716072">
        <w:t xml:space="preserve">. </w:t>
      </w:r>
      <w:r>
        <w:t>The median age at diagnosis is 67 and about 60% of cases occur in females</w:t>
      </w:r>
      <w:r w:rsidDel="001C4C09">
        <w:t xml:space="preserve"> </w:t>
      </w:r>
      <w:r>
        <w:t xml:space="preserve">(Dang </w:t>
      </w:r>
      <w:r w:rsidR="00F959B3">
        <w:t>and Chin</w:t>
      </w:r>
      <w:r>
        <w:t xml:space="preserve"> 2018)</w:t>
      </w:r>
      <w:r w:rsidR="00716072">
        <w:t xml:space="preserve">. </w:t>
      </w:r>
      <w:r>
        <w:t xml:space="preserve">There are no established risk factors for sweat gland adenocarcinomas; however, a review of case reports indicated that previous radiotherapy, exposure to ultra violet radiation (e.g., sun exposure), and a </w:t>
      </w:r>
      <w:r w:rsidRPr="00D17331">
        <w:t>weakened immune system</w:t>
      </w:r>
      <w:r>
        <w:t xml:space="preserve"> may increase risk (Gordon et al</w:t>
      </w:r>
      <w:r w:rsidR="00716072">
        <w:t xml:space="preserve">. </w:t>
      </w:r>
      <w:r>
        <w:t>2017).</w:t>
      </w:r>
    </w:p>
    <w:p w14:paraId="67864A91" w14:textId="77777777" w:rsidR="003743D3" w:rsidRPr="00EF4305" w:rsidRDefault="003743D3" w:rsidP="009B5DA2">
      <w:pPr>
        <w:pStyle w:val="Heading2"/>
      </w:pPr>
      <w:bookmarkStart w:id="55" w:name="_Toc67488271"/>
      <w:r w:rsidRPr="00F80B1F">
        <w:t xml:space="preserve">ENVIRONMENTAL </w:t>
      </w:r>
      <w:r w:rsidR="006B3B48" w:rsidRPr="00F80B1F">
        <w:t>CONCERN</w:t>
      </w:r>
      <w:r w:rsidR="00EF4305">
        <w:t>S</w:t>
      </w:r>
      <w:bookmarkEnd w:id="55"/>
    </w:p>
    <w:p w14:paraId="25E78640" w14:textId="7A33DA3B" w:rsidR="00616C2C" w:rsidRPr="00616C2C" w:rsidRDefault="00616C2C" w:rsidP="00D06A04">
      <w:r w:rsidRPr="00616C2C">
        <w:t xml:space="preserve">Through meetings with the Wilmington Childhood Cancer Community Advisory Committee and </w:t>
      </w:r>
      <w:r>
        <w:t xml:space="preserve">research of public records, </w:t>
      </w:r>
      <w:r w:rsidR="00590C2C">
        <w:t>such as those produced and compiled by the</w:t>
      </w:r>
      <w:r w:rsidR="00401E1B">
        <w:t xml:space="preserve"> US</w:t>
      </w:r>
      <w:r w:rsidR="00590C2C">
        <w:t xml:space="preserve"> EPA</w:t>
      </w:r>
      <w:r w:rsidR="00042181">
        <w:t xml:space="preserve">, </w:t>
      </w:r>
      <w:r w:rsidR="005D2C0D">
        <w:t xml:space="preserve">MA </w:t>
      </w:r>
      <w:r w:rsidR="00042181">
        <w:t>DEP</w:t>
      </w:r>
      <w:r w:rsidR="003F4FDE">
        <w:t>,</w:t>
      </w:r>
      <w:r w:rsidR="00042181">
        <w:t xml:space="preserve"> and</w:t>
      </w:r>
      <w:r w:rsidR="00590C2C">
        <w:t xml:space="preserve"> the </w:t>
      </w:r>
      <w:r w:rsidR="00042181">
        <w:t xml:space="preserve">Wilmington </w:t>
      </w:r>
      <w:r w:rsidR="009671F0">
        <w:t>BOH</w:t>
      </w:r>
      <w:r w:rsidR="00590C2C">
        <w:t>, sources of environmental concern and potential exposure were identified</w:t>
      </w:r>
      <w:r w:rsidR="00716072">
        <w:t xml:space="preserve">. </w:t>
      </w:r>
      <w:r w:rsidR="00042181">
        <w:t xml:space="preserve">Concerns raised </w:t>
      </w:r>
      <w:r w:rsidR="00FD52E9">
        <w:t xml:space="preserve">by residents </w:t>
      </w:r>
      <w:r w:rsidR="00042181">
        <w:t>included air pollution from nearby industries</w:t>
      </w:r>
      <w:r w:rsidR="003F4FDE">
        <w:t>,</w:t>
      </w:r>
      <w:r w:rsidR="00042181">
        <w:t xml:space="preserve"> indoor air pollution from </w:t>
      </w:r>
      <w:r w:rsidR="00852A81">
        <w:t>t</w:t>
      </w:r>
      <w:r w:rsidR="00A93CDF">
        <w:t>richloroethylene (</w:t>
      </w:r>
      <w:r w:rsidR="00042181">
        <w:t>TCE</w:t>
      </w:r>
      <w:r w:rsidR="00A93CDF">
        <w:t>)</w:t>
      </w:r>
      <w:r w:rsidR="005F5C00">
        <w:t>-</w:t>
      </w:r>
      <w:r w:rsidR="00042181">
        <w:t>contaminated groundwater</w:t>
      </w:r>
      <w:r w:rsidR="003F4FDE">
        <w:t xml:space="preserve">, and possible bedrock aquifer contamination </w:t>
      </w:r>
      <w:r w:rsidR="008D3A39">
        <w:t xml:space="preserve">by </w:t>
      </w:r>
      <w:r w:rsidR="00A93CDF">
        <w:t>volatile organic compounds (</w:t>
      </w:r>
      <w:r w:rsidR="008D3A39">
        <w:t>VOCs</w:t>
      </w:r>
      <w:r w:rsidR="00A93CDF">
        <w:t>)</w:t>
      </w:r>
      <w:r w:rsidR="008D3A39">
        <w:t xml:space="preserve"> </w:t>
      </w:r>
      <w:r w:rsidR="003F4FDE">
        <w:t>in the Kelly Hill area</w:t>
      </w:r>
      <w:r w:rsidR="00716072">
        <w:t xml:space="preserve">. </w:t>
      </w:r>
      <w:r w:rsidR="007A02A9">
        <w:t xml:space="preserve">Local air contamination data from nearby industries was evaluated by MA DEP and determined to be a nuisance, but not a toxicity concern. MA DEP also noted that the TCE contamination was not in shallow groundwater and was, therefore, unlikely to cause an indoor air pollution problem. </w:t>
      </w:r>
      <w:r w:rsidR="00EC3AD8">
        <w:t>After a review of available data, the two environmental exposures of principal interest remained</w:t>
      </w:r>
      <w:r w:rsidR="00FD52E9">
        <w:t xml:space="preserve"> groundwater and public drinking water concerns</w:t>
      </w:r>
      <w:r w:rsidR="00A93CDF">
        <w:t xml:space="preserve"> from TCE and NDMA</w:t>
      </w:r>
      <w:r w:rsidR="003A4C38">
        <w:t xml:space="preserve"> contamination</w:t>
      </w:r>
      <w:r w:rsidR="00FD52E9">
        <w:t>.</w:t>
      </w:r>
    </w:p>
    <w:p w14:paraId="3E161C78" w14:textId="2FF1466C" w:rsidR="003743D3" w:rsidRPr="00F80B1F" w:rsidRDefault="003743D3" w:rsidP="0010161F">
      <w:pPr>
        <w:pStyle w:val="Heading3"/>
      </w:pPr>
      <w:r w:rsidRPr="00F80B1F">
        <w:t>Olin Chemical Site</w:t>
      </w:r>
      <w:bookmarkEnd w:id="54"/>
    </w:p>
    <w:p w14:paraId="714EEB8D" w14:textId="0669F41B" w:rsidR="003743D3" w:rsidRDefault="003743D3" w:rsidP="00D06A04">
      <w:pPr>
        <w:rPr>
          <w:lang w:val="en"/>
        </w:rPr>
      </w:pPr>
      <w:r w:rsidRPr="00F80B1F">
        <w:rPr>
          <w:lang w:val="en"/>
        </w:rPr>
        <w:t>The Olin Chemical facility encompasses a 53-acre property located at 51 Eames Street in Wilmington</w:t>
      </w:r>
      <w:r w:rsidR="00716072">
        <w:rPr>
          <w:lang w:val="en"/>
        </w:rPr>
        <w:t xml:space="preserve">. </w:t>
      </w:r>
      <w:r w:rsidRPr="00F80B1F">
        <w:rPr>
          <w:lang w:val="en"/>
        </w:rPr>
        <w:t>The inactive facility is completely fenced and is bounded on the north by Eames Street, on the east by Boston and Maine railroad tracks, on the south by the Woburn/Wilmington town line, and on the west by an inactive Boston and Maine railroad spur</w:t>
      </w:r>
      <w:r w:rsidR="00716072">
        <w:rPr>
          <w:lang w:val="en"/>
        </w:rPr>
        <w:t xml:space="preserve">. </w:t>
      </w:r>
      <w:r w:rsidRPr="00F80B1F">
        <w:rPr>
          <w:lang w:val="en"/>
        </w:rPr>
        <w:t>Surrounding the property to the north, east and west are heavy and light industrial facilities, and to the south is a former municipal landfill for the City of Woburn</w:t>
      </w:r>
      <w:r w:rsidR="00716072">
        <w:rPr>
          <w:lang w:val="en"/>
        </w:rPr>
        <w:t xml:space="preserve">. </w:t>
      </w:r>
      <w:r w:rsidRPr="00F80B1F">
        <w:rPr>
          <w:lang w:val="en"/>
        </w:rPr>
        <w:t>The closest residential areas are</w:t>
      </w:r>
      <w:r w:rsidR="001D36FA">
        <w:rPr>
          <w:lang w:val="en"/>
        </w:rPr>
        <w:t xml:space="preserve"> approximately one quarter of a mile</w:t>
      </w:r>
      <w:r w:rsidRPr="00F80B1F">
        <w:rPr>
          <w:lang w:val="en"/>
        </w:rPr>
        <w:t xml:space="preserve"> west of the Olin Chemical facility along Main Street and Cook Avenue</w:t>
      </w:r>
      <w:r w:rsidR="004A1044" w:rsidRPr="00F80B1F">
        <w:rPr>
          <w:lang w:val="en"/>
        </w:rPr>
        <w:t xml:space="preserve"> (see </w:t>
      </w:r>
      <w:r w:rsidR="00950805">
        <w:rPr>
          <w:lang w:val="en"/>
        </w:rPr>
        <w:fldChar w:fldCharType="begin"/>
      </w:r>
      <w:r w:rsidR="00950805">
        <w:rPr>
          <w:lang w:val="en"/>
        </w:rPr>
        <w:instrText xml:space="preserve"> REF  Figure1 \h </w:instrText>
      </w:r>
      <w:r w:rsidR="00D06A04">
        <w:rPr>
          <w:lang w:val="en"/>
        </w:rPr>
        <w:instrText xml:space="preserve"> \* MERGEFORMAT </w:instrText>
      </w:r>
      <w:r w:rsidR="00950805">
        <w:rPr>
          <w:lang w:val="en"/>
        </w:rPr>
      </w:r>
      <w:r w:rsidR="00950805">
        <w:rPr>
          <w:lang w:val="en"/>
        </w:rPr>
        <w:fldChar w:fldCharType="separate"/>
      </w:r>
      <w:r w:rsidR="00977423" w:rsidRPr="00E43A72">
        <w:t xml:space="preserve">Figure </w:t>
      </w:r>
      <w:r w:rsidR="00977423">
        <w:rPr>
          <w:noProof/>
        </w:rPr>
        <w:t>1</w:t>
      </w:r>
      <w:r w:rsidR="00950805">
        <w:rPr>
          <w:lang w:val="en"/>
        </w:rPr>
        <w:fldChar w:fldCharType="end"/>
      </w:r>
      <w:r w:rsidR="004A1044" w:rsidRPr="00F80B1F">
        <w:rPr>
          <w:lang w:val="en"/>
        </w:rPr>
        <w:t>)</w:t>
      </w:r>
      <w:r w:rsidR="00716072">
        <w:rPr>
          <w:lang w:val="en"/>
        </w:rPr>
        <w:t xml:space="preserve">. </w:t>
      </w:r>
    </w:p>
    <w:p w14:paraId="7BAF76C2" w14:textId="77777777" w:rsidR="003743D3" w:rsidRPr="00F80B1F" w:rsidRDefault="003743D3" w:rsidP="00D06A04">
      <w:pPr>
        <w:rPr>
          <w:lang w:val="en"/>
        </w:rPr>
      </w:pPr>
      <w:r w:rsidRPr="00F80B1F">
        <w:rPr>
          <w:lang w:val="en"/>
        </w:rPr>
        <w:t xml:space="preserve">The Olin Chemical property was used for chemical manufacturing starting in 1953 by National </w:t>
      </w:r>
      <w:proofErr w:type="spellStart"/>
      <w:r w:rsidRPr="00F80B1F">
        <w:rPr>
          <w:lang w:val="en"/>
        </w:rPr>
        <w:t>Polychemicals</w:t>
      </w:r>
      <w:proofErr w:type="spellEnd"/>
      <w:r w:rsidRPr="00F80B1F">
        <w:rPr>
          <w:lang w:val="en"/>
        </w:rPr>
        <w:t>, Inc</w:t>
      </w:r>
      <w:r w:rsidR="00716072">
        <w:rPr>
          <w:lang w:val="en"/>
        </w:rPr>
        <w:t xml:space="preserve">. </w:t>
      </w:r>
      <w:r w:rsidRPr="00F80B1F">
        <w:rPr>
          <w:lang w:val="en"/>
        </w:rPr>
        <w:t>(NPI)</w:t>
      </w:r>
      <w:r w:rsidR="00716072">
        <w:rPr>
          <w:lang w:val="en"/>
        </w:rPr>
        <w:t xml:space="preserve">. </w:t>
      </w:r>
      <w:r w:rsidRPr="00F80B1F">
        <w:rPr>
          <w:lang w:val="en"/>
        </w:rPr>
        <w:t xml:space="preserve">Between 1953 and 1971, NPI was owned and operated by American Biltrite Rubber Co., </w:t>
      </w:r>
      <w:proofErr w:type="spellStart"/>
      <w:r w:rsidRPr="00F80B1F">
        <w:rPr>
          <w:lang w:val="en"/>
        </w:rPr>
        <w:t>Fisons</w:t>
      </w:r>
      <w:proofErr w:type="spellEnd"/>
      <w:r w:rsidRPr="00F80B1F">
        <w:rPr>
          <w:lang w:val="en"/>
        </w:rPr>
        <w:t xml:space="preserve"> Limited, and </w:t>
      </w:r>
      <w:proofErr w:type="spellStart"/>
      <w:r w:rsidRPr="00F80B1F">
        <w:rPr>
          <w:lang w:val="en"/>
        </w:rPr>
        <w:t>Fisons</w:t>
      </w:r>
      <w:proofErr w:type="spellEnd"/>
      <w:r w:rsidRPr="00F80B1F">
        <w:rPr>
          <w:lang w:val="en"/>
        </w:rPr>
        <w:t xml:space="preserve"> Corporation</w:t>
      </w:r>
      <w:r w:rsidR="00716072">
        <w:rPr>
          <w:lang w:val="en"/>
        </w:rPr>
        <w:t xml:space="preserve">. </w:t>
      </w:r>
      <w:r w:rsidRPr="00F80B1F">
        <w:rPr>
          <w:lang w:val="en"/>
        </w:rPr>
        <w:t>In 1968, Stepan Chemical Corporation purchased NPI and operated the facility until it was purchased by Olin Corporation in 1980</w:t>
      </w:r>
      <w:r w:rsidR="00716072">
        <w:rPr>
          <w:lang w:val="en"/>
        </w:rPr>
        <w:t xml:space="preserve">. </w:t>
      </w:r>
      <w:r w:rsidRPr="00F80B1F">
        <w:t>During the 33</w:t>
      </w:r>
      <w:r w:rsidRPr="00F80B1F">
        <w:rPr>
          <w:rFonts w:ascii="Times New Roman" w:hAnsi="Times New Roman"/>
        </w:rPr>
        <w:t>‐</w:t>
      </w:r>
      <w:r w:rsidRPr="00F80B1F">
        <w:t>year history (1953</w:t>
      </w:r>
      <w:r w:rsidRPr="00F80B1F">
        <w:rPr>
          <w:rFonts w:ascii="Times New Roman" w:hAnsi="Times New Roman"/>
        </w:rPr>
        <w:t>‐</w:t>
      </w:r>
      <w:r w:rsidRPr="00F80B1F">
        <w:t xml:space="preserve">1986) of chemical manufacturing at the Olin </w:t>
      </w:r>
      <w:r w:rsidR="007C00A4">
        <w:t xml:space="preserve">Chemical </w:t>
      </w:r>
      <w:r w:rsidRPr="00F80B1F">
        <w:t xml:space="preserve">site, many different chemicals were </w:t>
      </w:r>
      <w:r w:rsidRPr="00F80B1F">
        <w:lastRenderedPageBreak/>
        <w:t>produced  including acids and bases, phthalates, oxidizing agents, phenols, metal salts, alkenes,</w:t>
      </w:r>
      <w:r w:rsidR="004A1044" w:rsidRPr="00F80B1F">
        <w:t xml:space="preserve"> </w:t>
      </w:r>
      <w:r w:rsidRPr="00F80B1F">
        <w:t>alcohols, and aldehydes</w:t>
      </w:r>
      <w:r w:rsidR="004A1044" w:rsidRPr="00F80B1F">
        <w:t xml:space="preserve"> (MACTEC 2</w:t>
      </w:r>
      <w:r w:rsidR="00253786">
        <w:t>0</w:t>
      </w:r>
      <w:r w:rsidR="004A1044" w:rsidRPr="00F80B1F">
        <w:t>03</w:t>
      </w:r>
      <w:r w:rsidR="00663543">
        <w:t>b</w:t>
      </w:r>
      <w:r w:rsidR="004A1044" w:rsidRPr="00F80B1F">
        <w:t>)</w:t>
      </w:r>
      <w:r w:rsidR="00716072">
        <w:t xml:space="preserve">. </w:t>
      </w:r>
      <w:r w:rsidRPr="00F80B1F">
        <w:rPr>
          <w:lang w:val="en"/>
        </w:rPr>
        <w:t>The facility closed in 1986, but the property is still owned by Olin Corporation</w:t>
      </w:r>
      <w:r w:rsidR="00716072">
        <w:rPr>
          <w:lang w:val="en"/>
        </w:rPr>
        <w:t xml:space="preserve">. </w:t>
      </w:r>
      <w:r w:rsidR="005A7394" w:rsidRPr="005A7394">
        <w:rPr>
          <w:lang w:val="en"/>
        </w:rPr>
        <w:t>The Olin</w:t>
      </w:r>
      <w:r w:rsidR="007C00A4">
        <w:rPr>
          <w:lang w:val="en"/>
        </w:rPr>
        <w:t xml:space="preserve"> Chemical</w:t>
      </w:r>
      <w:r w:rsidR="005A7394" w:rsidRPr="005A7394">
        <w:rPr>
          <w:lang w:val="en"/>
        </w:rPr>
        <w:t xml:space="preserve"> site was listed as a federal National Priorities List Superfund site in 2006</w:t>
      </w:r>
      <w:r w:rsidR="00716072">
        <w:rPr>
          <w:lang w:val="en"/>
        </w:rPr>
        <w:t xml:space="preserve">. </w:t>
      </w:r>
    </w:p>
    <w:p w14:paraId="156BD81B" w14:textId="77777777" w:rsidR="003743D3" w:rsidRPr="00F80B1F" w:rsidRDefault="003743D3" w:rsidP="00D06A04">
      <w:r w:rsidRPr="00F80B1F">
        <w:rPr>
          <w:lang w:val="en"/>
        </w:rPr>
        <w:t>Historical wastewater disposal practices were a major source of subsurface contamination both on and off the Olin Chemical property</w:t>
      </w:r>
      <w:r w:rsidR="006B3B48" w:rsidRPr="00F80B1F">
        <w:rPr>
          <w:lang w:val="en"/>
        </w:rPr>
        <w:t xml:space="preserve"> resulting in</w:t>
      </w:r>
      <w:r w:rsidRPr="00F80B1F">
        <w:rPr>
          <w:lang w:val="en"/>
        </w:rPr>
        <w:t xml:space="preserve"> </w:t>
      </w:r>
      <w:r w:rsidR="005A7394">
        <w:rPr>
          <w:lang w:val="en"/>
        </w:rPr>
        <w:t xml:space="preserve">contamination of the Maple Meadow Brook </w:t>
      </w:r>
      <w:r w:rsidR="008F7E58">
        <w:rPr>
          <w:lang w:val="en"/>
        </w:rPr>
        <w:t>(MMB) a</w:t>
      </w:r>
      <w:r w:rsidR="005A7394">
        <w:rPr>
          <w:lang w:val="en"/>
        </w:rPr>
        <w:t xml:space="preserve">quifer and </w:t>
      </w:r>
      <w:r w:rsidRPr="00F80B1F">
        <w:rPr>
          <w:lang w:val="en"/>
        </w:rPr>
        <w:t xml:space="preserve">the closure of </w:t>
      </w:r>
      <w:r w:rsidR="00594EA9">
        <w:rPr>
          <w:lang w:val="en"/>
        </w:rPr>
        <w:t>four</w:t>
      </w:r>
      <w:r w:rsidR="00594EA9" w:rsidRPr="00F80B1F">
        <w:rPr>
          <w:lang w:val="en"/>
        </w:rPr>
        <w:t xml:space="preserve"> </w:t>
      </w:r>
      <w:r w:rsidRPr="00F80B1F">
        <w:rPr>
          <w:lang w:val="en"/>
        </w:rPr>
        <w:t>municipal drinking water supply wells in 200</w:t>
      </w:r>
      <w:r w:rsidR="00657CE4">
        <w:rPr>
          <w:lang w:val="en"/>
        </w:rPr>
        <w:t>2</w:t>
      </w:r>
      <w:r w:rsidR="00716072">
        <w:rPr>
          <w:lang w:val="en"/>
        </w:rPr>
        <w:t xml:space="preserve">. </w:t>
      </w:r>
      <w:r w:rsidR="00657CE4">
        <w:rPr>
          <w:lang w:val="en"/>
        </w:rPr>
        <w:t>The fifth well, Town Park Well, was closed in 2003</w:t>
      </w:r>
      <w:r w:rsidR="00716072">
        <w:rPr>
          <w:lang w:val="en"/>
        </w:rPr>
        <w:t xml:space="preserve">. </w:t>
      </w:r>
      <w:r w:rsidRPr="00F80B1F">
        <w:rPr>
          <w:lang w:val="en"/>
        </w:rPr>
        <w:t>Prior to 1970, all liquid wastes were discharged directly into several unlined pits and ponds in the central portion of the property, as well as into a man-made excavation called Lake Poly Liquid Waste Disposal Area (Lake Poly)</w:t>
      </w:r>
      <w:r w:rsidR="00716072">
        <w:rPr>
          <w:lang w:val="en"/>
        </w:rPr>
        <w:t xml:space="preserve">. </w:t>
      </w:r>
      <w:r w:rsidRPr="00F80B1F">
        <w:rPr>
          <w:lang w:val="en"/>
        </w:rPr>
        <w:t>In 1970, Stepan Chemical installed an acid treatment and neutralization system and new lined lagoons to replace the unlined pits and ponds</w:t>
      </w:r>
      <w:r w:rsidR="00716072">
        <w:rPr>
          <w:lang w:val="en"/>
        </w:rPr>
        <w:t xml:space="preserve">. </w:t>
      </w:r>
      <w:r w:rsidRPr="00F80B1F">
        <w:rPr>
          <w:lang w:val="en"/>
        </w:rPr>
        <w:t>Treated wastes were released into the lagoons where calcium sulfate sludge settled out</w:t>
      </w:r>
      <w:r w:rsidR="00716072">
        <w:rPr>
          <w:lang w:val="en"/>
        </w:rPr>
        <w:t xml:space="preserve">. </w:t>
      </w:r>
      <w:r w:rsidRPr="00F80B1F">
        <w:rPr>
          <w:lang w:val="en"/>
        </w:rPr>
        <w:t>The lagoons were periodically dredged and the sludge was deposited in a landfill in the southwest corner of the property (now known as the Calcium Sulfate Landfill)</w:t>
      </w:r>
      <w:r w:rsidR="00716072">
        <w:rPr>
          <w:lang w:val="en"/>
        </w:rPr>
        <w:t xml:space="preserve">. </w:t>
      </w:r>
      <w:r w:rsidRPr="00F80B1F">
        <w:rPr>
          <w:lang w:val="en"/>
        </w:rPr>
        <w:t xml:space="preserve">Residual liquid wastes were released to an unlined on-property ditch system until 1972, </w:t>
      </w:r>
      <w:r w:rsidRPr="00F80B1F">
        <w:t>but the discharge was diverted to the municipal sewer when it was constructed in 1972</w:t>
      </w:r>
      <w:r w:rsidR="00411170">
        <w:t xml:space="preserve"> (</w:t>
      </w:r>
      <w:r w:rsidR="00276B65">
        <w:t xml:space="preserve">CRA 1993; </w:t>
      </w:r>
      <w:r w:rsidR="00411170">
        <w:t>M</w:t>
      </w:r>
      <w:r w:rsidR="007A02A9">
        <w:t>ACTEC</w:t>
      </w:r>
      <w:r w:rsidR="00411170">
        <w:t xml:space="preserve"> 2003a)</w:t>
      </w:r>
      <w:r w:rsidRPr="00F80B1F">
        <w:t>.</w:t>
      </w:r>
    </w:p>
    <w:p w14:paraId="654E3F60" w14:textId="77777777" w:rsidR="005A7394" w:rsidRPr="00A040E0" w:rsidRDefault="00594EA9" w:rsidP="00D06A04">
      <w:pPr>
        <w:rPr>
          <w:spacing w:val="-4"/>
          <w:lang w:val="en"/>
        </w:rPr>
      </w:pPr>
      <w:r>
        <w:rPr>
          <w:lang w:val="en"/>
        </w:rPr>
        <w:t>The p</w:t>
      </w:r>
      <w:r w:rsidR="003743D3" w:rsidRPr="00F80B1F">
        <w:rPr>
          <w:lang w:val="en"/>
        </w:rPr>
        <w:t>rincip</w:t>
      </w:r>
      <w:r>
        <w:rPr>
          <w:lang w:val="en"/>
        </w:rPr>
        <w:t>a</w:t>
      </w:r>
      <w:r w:rsidR="003743D3" w:rsidRPr="00F80B1F">
        <w:rPr>
          <w:lang w:val="en"/>
        </w:rPr>
        <w:t xml:space="preserve">l contaminants associated with the site include ammonia, chloride, sodium, sulfate, chromium, and NDMA, </w:t>
      </w:r>
      <w:r w:rsidRPr="00F80B1F">
        <w:rPr>
          <w:lang w:val="en"/>
        </w:rPr>
        <w:t>a probable human carcinogen</w:t>
      </w:r>
      <w:r w:rsidR="00716072">
        <w:rPr>
          <w:lang w:val="en"/>
        </w:rPr>
        <w:t xml:space="preserve">. </w:t>
      </w:r>
      <w:r w:rsidR="00D2642F">
        <w:rPr>
          <w:lang w:val="en"/>
        </w:rPr>
        <w:t>NDMA was not used</w:t>
      </w:r>
      <w:r w:rsidR="005A7394">
        <w:rPr>
          <w:lang w:val="en"/>
        </w:rPr>
        <w:t>, produced, or disposed of by the Olin</w:t>
      </w:r>
      <w:r w:rsidR="007C00A4">
        <w:rPr>
          <w:lang w:val="en"/>
        </w:rPr>
        <w:t xml:space="preserve"> Chemical</w:t>
      </w:r>
      <w:r w:rsidR="005A7394">
        <w:rPr>
          <w:lang w:val="en"/>
        </w:rPr>
        <w:t xml:space="preserve"> facility</w:t>
      </w:r>
      <w:r w:rsidR="00716072">
        <w:rPr>
          <w:lang w:val="en"/>
        </w:rPr>
        <w:t xml:space="preserve">. </w:t>
      </w:r>
      <w:r w:rsidR="005A7394">
        <w:rPr>
          <w:lang w:val="en"/>
        </w:rPr>
        <w:t>However, m</w:t>
      </w:r>
      <w:r w:rsidR="00D2642F" w:rsidRPr="00D2642F">
        <w:t xml:space="preserve">any of </w:t>
      </w:r>
      <w:r w:rsidR="00D2642F" w:rsidRPr="00A040E0">
        <w:rPr>
          <w:spacing w:val="-4"/>
        </w:rPr>
        <w:t>the chemicals used and produced on the site were nitrogen containing compounds, including ammonia, amides, nitrosamines, and amines</w:t>
      </w:r>
      <w:r w:rsidR="00716072" w:rsidRPr="00A040E0">
        <w:rPr>
          <w:spacing w:val="-4"/>
        </w:rPr>
        <w:t xml:space="preserve">. </w:t>
      </w:r>
      <w:r w:rsidR="005A7394" w:rsidRPr="00A040E0">
        <w:rPr>
          <w:spacing w:val="-4"/>
        </w:rPr>
        <w:t>I</w:t>
      </w:r>
      <w:r w:rsidR="00D2642F" w:rsidRPr="00A040E0">
        <w:rPr>
          <w:spacing w:val="-4"/>
        </w:rPr>
        <w:t>t has thus been hypothesized that the high levels of NDMA observed in groundwater beneath the site resulted from chemical reactions that occurred after wastes</w:t>
      </w:r>
      <w:r w:rsidR="00D2642F" w:rsidRPr="00A040E0">
        <w:rPr>
          <w:spacing w:val="-4"/>
          <w:lang w:val="en"/>
        </w:rPr>
        <w:t xml:space="preserve"> that </w:t>
      </w:r>
      <w:r w:rsidR="008A6F95" w:rsidRPr="00A040E0">
        <w:rPr>
          <w:spacing w:val="-4"/>
          <w:lang w:val="en"/>
        </w:rPr>
        <w:t>were</w:t>
      </w:r>
      <w:r w:rsidR="00D2642F" w:rsidRPr="00A040E0">
        <w:rPr>
          <w:spacing w:val="-4"/>
          <w:lang w:val="en"/>
        </w:rPr>
        <w:t xml:space="preserve"> produced </w:t>
      </w:r>
      <w:r w:rsidR="008A6F95" w:rsidRPr="00A040E0">
        <w:rPr>
          <w:spacing w:val="-4"/>
          <w:lang w:val="en"/>
        </w:rPr>
        <w:t xml:space="preserve">at the Olin Chemical site </w:t>
      </w:r>
      <w:r w:rsidR="00D2642F" w:rsidRPr="00A040E0">
        <w:rPr>
          <w:spacing w:val="-4"/>
          <w:lang w:val="en"/>
        </w:rPr>
        <w:t>were released and entered</w:t>
      </w:r>
      <w:r w:rsidR="001E7664" w:rsidRPr="00A040E0">
        <w:rPr>
          <w:spacing w:val="-4"/>
          <w:lang w:val="en"/>
        </w:rPr>
        <w:t xml:space="preserve"> the groundwater </w:t>
      </w:r>
      <w:r w:rsidR="00655675" w:rsidRPr="00A040E0">
        <w:rPr>
          <w:spacing w:val="-4"/>
          <w:lang w:val="en"/>
        </w:rPr>
        <w:t>(MACTEC</w:t>
      </w:r>
      <w:r w:rsidR="00276B65" w:rsidRPr="00A040E0">
        <w:rPr>
          <w:spacing w:val="-4"/>
          <w:lang w:val="en"/>
        </w:rPr>
        <w:t xml:space="preserve"> 2003a)</w:t>
      </w:r>
      <w:r w:rsidR="00655675" w:rsidRPr="00A040E0">
        <w:rPr>
          <w:spacing w:val="-4"/>
          <w:lang w:val="en"/>
        </w:rPr>
        <w:t xml:space="preserve"> (see Appendix C for more detail)</w:t>
      </w:r>
      <w:r w:rsidR="00716072" w:rsidRPr="00A040E0">
        <w:rPr>
          <w:spacing w:val="-4"/>
          <w:lang w:val="en"/>
        </w:rPr>
        <w:t xml:space="preserve">. </w:t>
      </w:r>
      <w:r w:rsidR="003743D3" w:rsidRPr="00A040E0">
        <w:rPr>
          <w:spacing w:val="-4"/>
          <w:lang w:val="en"/>
        </w:rPr>
        <w:t xml:space="preserve">The </w:t>
      </w:r>
      <w:r w:rsidRPr="00A040E0">
        <w:rPr>
          <w:spacing w:val="-4"/>
          <w:lang w:val="en"/>
        </w:rPr>
        <w:t xml:space="preserve">discovery of NDMA in the </w:t>
      </w:r>
      <w:r w:rsidR="003D0D11" w:rsidRPr="00A040E0">
        <w:rPr>
          <w:spacing w:val="-4"/>
          <w:lang w:val="en"/>
        </w:rPr>
        <w:t>MMB</w:t>
      </w:r>
      <w:r w:rsidRPr="00A040E0">
        <w:rPr>
          <w:spacing w:val="-4"/>
          <w:lang w:val="en"/>
        </w:rPr>
        <w:t xml:space="preserve"> aquifer resulted in the </w:t>
      </w:r>
      <w:r w:rsidR="003743D3" w:rsidRPr="00A040E0">
        <w:rPr>
          <w:spacing w:val="-4"/>
          <w:lang w:val="en"/>
        </w:rPr>
        <w:t xml:space="preserve">closure of </w:t>
      </w:r>
      <w:r w:rsidRPr="00A040E0">
        <w:rPr>
          <w:spacing w:val="-4"/>
          <w:lang w:val="en"/>
        </w:rPr>
        <w:t xml:space="preserve">four of the five </w:t>
      </w:r>
      <w:r w:rsidR="00253786" w:rsidRPr="00A040E0">
        <w:rPr>
          <w:spacing w:val="-4"/>
          <w:lang w:val="en"/>
        </w:rPr>
        <w:t xml:space="preserve">municipal drinking water </w:t>
      </w:r>
      <w:r w:rsidR="003743D3" w:rsidRPr="00A040E0">
        <w:rPr>
          <w:spacing w:val="-4"/>
          <w:lang w:val="en"/>
        </w:rPr>
        <w:t xml:space="preserve">wells </w:t>
      </w:r>
      <w:r w:rsidR="00657CE4" w:rsidRPr="00A040E0">
        <w:rPr>
          <w:spacing w:val="-4"/>
          <w:lang w:val="en"/>
        </w:rPr>
        <w:t>drawing water from</w:t>
      </w:r>
      <w:r w:rsidR="003743D3" w:rsidRPr="00A040E0">
        <w:rPr>
          <w:spacing w:val="-4"/>
          <w:lang w:val="en"/>
        </w:rPr>
        <w:t xml:space="preserve"> the </w:t>
      </w:r>
      <w:r w:rsidR="003D0D11" w:rsidRPr="00A040E0">
        <w:rPr>
          <w:spacing w:val="-4"/>
          <w:lang w:val="en"/>
        </w:rPr>
        <w:t>MMB</w:t>
      </w:r>
      <w:r w:rsidR="004A1044" w:rsidRPr="00A040E0">
        <w:rPr>
          <w:spacing w:val="-4"/>
          <w:lang w:val="en"/>
        </w:rPr>
        <w:t xml:space="preserve"> a</w:t>
      </w:r>
      <w:r w:rsidR="003743D3" w:rsidRPr="00A040E0">
        <w:rPr>
          <w:spacing w:val="-4"/>
          <w:lang w:val="en"/>
        </w:rPr>
        <w:t>quifer</w:t>
      </w:r>
      <w:r w:rsidR="00276B65" w:rsidRPr="00A040E0">
        <w:rPr>
          <w:spacing w:val="-4"/>
          <w:lang w:val="en"/>
        </w:rPr>
        <w:t xml:space="preserve"> </w:t>
      </w:r>
      <w:r w:rsidR="00655675" w:rsidRPr="00A040E0">
        <w:rPr>
          <w:spacing w:val="-4"/>
          <w:lang w:val="en"/>
        </w:rPr>
        <w:t>(MACTEC</w:t>
      </w:r>
      <w:r w:rsidR="00276B65" w:rsidRPr="00A040E0">
        <w:rPr>
          <w:spacing w:val="-4"/>
          <w:lang w:val="en"/>
        </w:rPr>
        <w:t xml:space="preserve"> 2005)</w:t>
      </w:r>
      <w:r w:rsidR="003743D3" w:rsidRPr="00A040E0">
        <w:rPr>
          <w:spacing w:val="-4"/>
          <w:lang w:val="en"/>
        </w:rPr>
        <w:t>.</w:t>
      </w:r>
    </w:p>
    <w:p w14:paraId="2501A363" w14:textId="6041BF42" w:rsidR="00D06A04" w:rsidRPr="0085694D" w:rsidRDefault="001D59BD" w:rsidP="00D06A04">
      <w:pPr>
        <w:rPr>
          <w:spacing w:val="-4"/>
          <w:lang w:val="en"/>
        </w:rPr>
      </w:pPr>
      <w:r w:rsidRPr="00A040E0">
        <w:rPr>
          <w:spacing w:val="-4"/>
        </w:rPr>
        <w:t xml:space="preserve">Ongoing </w:t>
      </w:r>
      <w:r w:rsidR="00401E1B" w:rsidRPr="00A040E0">
        <w:rPr>
          <w:spacing w:val="-4"/>
        </w:rPr>
        <w:t xml:space="preserve">US </w:t>
      </w:r>
      <w:r w:rsidRPr="00A040E0">
        <w:rPr>
          <w:spacing w:val="-4"/>
        </w:rPr>
        <w:t>EPA site clean-up studies are separately addressing three areas of the site: the former facility property, including all contamination except groundwater contamination; off-facility areas of sediment, surface water and soil; and all groundwater</w:t>
      </w:r>
      <w:r w:rsidR="00716072" w:rsidRPr="00A040E0">
        <w:rPr>
          <w:spacing w:val="-4"/>
        </w:rPr>
        <w:t xml:space="preserve">. </w:t>
      </w:r>
      <w:r w:rsidRPr="00A040E0">
        <w:rPr>
          <w:spacing w:val="-4"/>
        </w:rPr>
        <w:t>Substantial cleanup work has been completed on the Olin</w:t>
      </w:r>
      <w:r w:rsidR="007C00A4" w:rsidRPr="00A040E0">
        <w:rPr>
          <w:spacing w:val="-4"/>
        </w:rPr>
        <w:t xml:space="preserve"> Chemical</w:t>
      </w:r>
      <w:r w:rsidRPr="00A040E0">
        <w:rPr>
          <w:spacing w:val="-4"/>
        </w:rPr>
        <w:t xml:space="preserve"> property</w:t>
      </w:r>
      <w:r w:rsidR="008F776A" w:rsidRPr="00A040E0">
        <w:rPr>
          <w:spacing w:val="-4"/>
        </w:rPr>
        <w:t>, including the installation of a temporary cap and slurry wall to manage the source of groundwater contamination</w:t>
      </w:r>
      <w:r w:rsidR="00716072" w:rsidRPr="00A040E0">
        <w:rPr>
          <w:spacing w:val="-4"/>
        </w:rPr>
        <w:t xml:space="preserve">. </w:t>
      </w:r>
      <w:r w:rsidR="008F776A" w:rsidRPr="00A040E0">
        <w:rPr>
          <w:spacing w:val="-4"/>
        </w:rPr>
        <w:t xml:space="preserve">The Olin </w:t>
      </w:r>
      <w:r w:rsidR="00294DDB" w:rsidRPr="00A040E0">
        <w:rPr>
          <w:spacing w:val="-4"/>
        </w:rPr>
        <w:t xml:space="preserve">Chemical </w:t>
      </w:r>
      <w:r w:rsidR="008F776A" w:rsidRPr="00A040E0">
        <w:rPr>
          <w:spacing w:val="-4"/>
        </w:rPr>
        <w:t>property is fenced and public access to known contaminated areas is restricted</w:t>
      </w:r>
      <w:r w:rsidR="001C4EC3" w:rsidRPr="00A040E0">
        <w:rPr>
          <w:spacing w:val="-4"/>
        </w:rPr>
        <w:t>.</w:t>
      </w:r>
      <w:r w:rsidR="005F29F1" w:rsidRPr="00A040E0">
        <w:rPr>
          <w:spacing w:val="-4"/>
        </w:rPr>
        <w:t xml:space="preserve"> </w:t>
      </w:r>
      <w:r w:rsidR="003743D3" w:rsidRPr="00A040E0">
        <w:rPr>
          <w:spacing w:val="-4"/>
          <w:lang w:val="en"/>
        </w:rPr>
        <w:t xml:space="preserve">More details </w:t>
      </w:r>
      <w:r w:rsidR="00294DDB" w:rsidRPr="00A040E0">
        <w:rPr>
          <w:spacing w:val="-4"/>
          <w:lang w:val="en"/>
        </w:rPr>
        <w:t>about</w:t>
      </w:r>
      <w:r w:rsidR="003743D3" w:rsidRPr="00A040E0">
        <w:rPr>
          <w:spacing w:val="-4"/>
          <w:lang w:val="en"/>
        </w:rPr>
        <w:t xml:space="preserve"> the Olin </w:t>
      </w:r>
      <w:r w:rsidR="00294DDB" w:rsidRPr="00A040E0">
        <w:rPr>
          <w:spacing w:val="-4"/>
          <w:lang w:val="en"/>
        </w:rPr>
        <w:t xml:space="preserve">Chemical </w:t>
      </w:r>
      <w:r w:rsidR="003743D3" w:rsidRPr="00A040E0">
        <w:rPr>
          <w:spacing w:val="-4"/>
          <w:lang w:val="en"/>
        </w:rPr>
        <w:t>site can be</w:t>
      </w:r>
      <w:r w:rsidR="00294DDB" w:rsidRPr="00A040E0">
        <w:rPr>
          <w:spacing w:val="-4"/>
          <w:lang w:val="en"/>
        </w:rPr>
        <w:t xml:space="preserve"> found on</w:t>
      </w:r>
      <w:r w:rsidR="003743D3" w:rsidRPr="00A040E0">
        <w:rPr>
          <w:spacing w:val="-4"/>
          <w:lang w:val="en"/>
        </w:rPr>
        <w:t xml:space="preserve"> the </w:t>
      </w:r>
      <w:r w:rsidR="00EF0735" w:rsidRPr="00A040E0">
        <w:rPr>
          <w:spacing w:val="-4"/>
          <w:lang w:val="en"/>
        </w:rPr>
        <w:t>US</w:t>
      </w:r>
      <w:r w:rsidR="003743D3" w:rsidRPr="00A040E0">
        <w:rPr>
          <w:spacing w:val="-4"/>
          <w:lang w:val="en"/>
        </w:rPr>
        <w:t xml:space="preserve"> EPA</w:t>
      </w:r>
      <w:r w:rsidR="00294DDB" w:rsidRPr="00A040E0">
        <w:rPr>
          <w:spacing w:val="-4"/>
          <w:lang w:val="en"/>
        </w:rPr>
        <w:t>’s</w:t>
      </w:r>
      <w:r w:rsidR="003743D3" w:rsidRPr="00A040E0">
        <w:rPr>
          <w:spacing w:val="-4"/>
          <w:lang w:val="en"/>
        </w:rPr>
        <w:t xml:space="preserve"> </w:t>
      </w:r>
      <w:r w:rsidR="00294DDB" w:rsidRPr="00A040E0">
        <w:rPr>
          <w:spacing w:val="-4"/>
          <w:lang w:val="en"/>
        </w:rPr>
        <w:t xml:space="preserve">Superfund </w:t>
      </w:r>
      <w:r w:rsidR="003743D3" w:rsidRPr="00A040E0">
        <w:rPr>
          <w:spacing w:val="-4"/>
          <w:lang w:val="en"/>
        </w:rPr>
        <w:t>website</w:t>
      </w:r>
      <w:r w:rsidR="00294DDB" w:rsidRPr="00A040E0">
        <w:rPr>
          <w:spacing w:val="-4"/>
          <w:lang w:val="en"/>
        </w:rPr>
        <w:t xml:space="preserve"> for the facility</w:t>
      </w:r>
      <w:r w:rsidR="00132ACE" w:rsidRPr="00A040E0">
        <w:rPr>
          <w:spacing w:val="-4"/>
          <w:lang w:val="en"/>
        </w:rPr>
        <w:t xml:space="preserve"> </w:t>
      </w:r>
      <w:r w:rsidR="00030AD9" w:rsidRPr="00A040E0">
        <w:rPr>
          <w:spacing w:val="-4"/>
          <w:lang w:val="en"/>
        </w:rPr>
        <w:t>(US EPA 2019).</w:t>
      </w:r>
    </w:p>
    <w:p w14:paraId="513A8662" w14:textId="77777777" w:rsidR="003743D3" w:rsidRPr="00F80B1F" w:rsidRDefault="003743D3" w:rsidP="0010161F">
      <w:pPr>
        <w:pStyle w:val="Heading3"/>
      </w:pPr>
      <w:bookmarkStart w:id="56" w:name="_Toc365640904"/>
      <w:r w:rsidRPr="00F80B1F">
        <w:lastRenderedPageBreak/>
        <w:t>Maple Meadow Brook Aquifer</w:t>
      </w:r>
    </w:p>
    <w:p w14:paraId="4D422DED" w14:textId="56F93C40" w:rsidR="003743D3" w:rsidRPr="00F80B1F" w:rsidRDefault="003743D3" w:rsidP="007553EF">
      <w:pPr>
        <w:spacing w:after="120"/>
      </w:pPr>
      <w:r w:rsidRPr="00F80B1F">
        <w:rPr>
          <w:lang w:val="en"/>
        </w:rPr>
        <w:t xml:space="preserve">The </w:t>
      </w:r>
      <w:r w:rsidR="003D0D11">
        <w:rPr>
          <w:lang w:val="en"/>
        </w:rPr>
        <w:t>MMB</w:t>
      </w:r>
      <w:r w:rsidRPr="00F80B1F">
        <w:rPr>
          <w:lang w:val="en"/>
        </w:rPr>
        <w:t xml:space="preserve"> aquifer </w:t>
      </w:r>
      <w:r w:rsidR="00AA47C1">
        <w:rPr>
          <w:lang w:val="en"/>
        </w:rPr>
        <w:t>is an important factor in environmental concerns for two reasons</w:t>
      </w:r>
      <w:r w:rsidR="00716072">
        <w:rPr>
          <w:lang w:val="en"/>
        </w:rPr>
        <w:t xml:space="preserve">. </w:t>
      </w:r>
      <w:r w:rsidR="00AA47C1">
        <w:rPr>
          <w:lang w:val="en"/>
        </w:rPr>
        <w:t xml:space="preserve">One is that it </w:t>
      </w:r>
      <w:r w:rsidRPr="00F80B1F">
        <w:rPr>
          <w:lang w:val="en"/>
        </w:rPr>
        <w:t>served as a source of public drinking water beginning prior to 1974, the initial year of interest for drinking water information in this study</w:t>
      </w:r>
      <w:r w:rsidR="00716072">
        <w:rPr>
          <w:lang w:val="en"/>
        </w:rPr>
        <w:t xml:space="preserve">. </w:t>
      </w:r>
      <w:r w:rsidR="00AA47C1">
        <w:rPr>
          <w:lang w:val="en"/>
        </w:rPr>
        <w:t xml:space="preserve">The second is that </w:t>
      </w:r>
      <w:r w:rsidR="00AA47C1">
        <w:t>g</w:t>
      </w:r>
      <w:r w:rsidRPr="00F80B1F">
        <w:t>roundwater</w:t>
      </w:r>
      <w:r w:rsidR="00AA47C1">
        <w:t xml:space="preserve"> flows beneath the Olin</w:t>
      </w:r>
      <w:r w:rsidR="00294DDB">
        <w:t xml:space="preserve"> Chemical</w:t>
      </w:r>
      <w:r w:rsidR="00AA47C1">
        <w:t xml:space="preserve"> site</w:t>
      </w:r>
      <w:r w:rsidR="00163D77">
        <w:t xml:space="preserve"> to the aquifer</w:t>
      </w:r>
      <w:r w:rsidR="00716072">
        <w:t xml:space="preserve">. </w:t>
      </w:r>
      <w:r w:rsidR="00AA47C1">
        <w:t>The grou</w:t>
      </w:r>
      <w:r w:rsidR="004E6932">
        <w:t>n</w:t>
      </w:r>
      <w:r w:rsidR="00AA47C1">
        <w:t>dwater</w:t>
      </w:r>
      <w:r w:rsidR="00163D77">
        <w:t xml:space="preserve"> </w:t>
      </w:r>
      <w:r w:rsidRPr="00F80B1F">
        <w:t>flow beneath the Olin</w:t>
      </w:r>
      <w:r w:rsidR="00294DDB">
        <w:t xml:space="preserve"> Chemical</w:t>
      </w:r>
      <w:r w:rsidRPr="00F80B1F">
        <w:t xml:space="preserve"> site reflects the bedrock and surface topography but is modified by groundwater pumping (</w:t>
      </w:r>
      <w:proofErr w:type="spellStart"/>
      <w:r w:rsidRPr="00F80B1F">
        <w:t>Geomega</w:t>
      </w:r>
      <w:proofErr w:type="spellEnd"/>
      <w:r w:rsidRPr="00F80B1F">
        <w:t xml:space="preserve"> 2001</w:t>
      </w:r>
      <w:r w:rsidR="006B6DD0">
        <w:t>a</w:t>
      </w:r>
      <w:r w:rsidR="00773297">
        <w:t>, 2001b</w:t>
      </w:r>
      <w:r w:rsidRPr="00F80B1F">
        <w:t>)</w:t>
      </w:r>
      <w:r w:rsidR="00716072">
        <w:t xml:space="preserve">. </w:t>
      </w:r>
      <w:r w:rsidRPr="00F80B1F">
        <w:t>Although relatively little surface water drains northward from the Olin</w:t>
      </w:r>
      <w:r w:rsidR="00294DDB">
        <w:t xml:space="preserve"> Chemical</w:t>
      </w:r>
      <w:r w:rsidRPr="00F80B1F">
        <w:t xml:space="preserve"> site, there is northward groundwater flow from the site</w:t>
      </w:r>
      <w:r w:rsidR="00716072">
        <w:t xml:space="preserve">. </w:t>
      </w:r>
      <w:r w:rsidRPr="00F80B1F">
        <w:t xml:space="preserve">Groundwater from the northern and western parts of the site flows west and north, eventually to the </w:t>
      </w:r>
      <w:r w:rsidR="003D0D11">
        <w:t>MMB</w:t>
      </w:r>
      <w:r w:rsidRPr="00F80B1F">
        <w:t xml:space="preserve"> aquifer</w:t>
      </w:r>
      <w:r w:rsidR="00716072">
        <w:t xml:space="preserve">. </w:t>
      </w:r>
      <w:r w:rsidRPr="00F80B1F">
        <w:t xml:space="preserve">Groundwater from the eastern and southern parts of the site flows east and south, where it discharges to shallow ditches near the eastern boundary of the Olin </w:t>
      </w:r>
      <w:r w:rsidR="00294DDB">
        <w:t xml:space="preserve">Chemical </w:t>
      </w:r>
      <w:r w:rsidRPr="00F80B1F">
        <w:t xml:space="preserve">site and then flows south to the </w:t>
      </w:r>
      <w:proofErr w:type="spellStart"/>
      <w:r w:rsidRPr="00F80B1F">
        <w:t>Aberjona</w:t>
      </w:r>
      <w:proofErr w:type="spellEnd"/>
      <w:r w:rsidRPr="00F80B1F">
        <w:t xml:space="preserve"> River</w:t>
      </w:r>
      <w:r w:rsidR="00716072">
        <w:t xml:space="preserve">. </w:t>
      </w:r>
    </w:p>
    <w:p w14:paraId="7EE8AC25" w14:textId="430CFBE6" w:rsidR="000A0FD8" w:rsidRPr="00586328" w:rsidRDefault="003743D3" w:rsidP="007553EF">
      <w:pPr>
        <w:spacing w:after="120"/>
        <w:rPr>
          <w:color w:val="000000"/>
        </w:rPr>
      </w:pPr>
      <w:r w:rsidRPr="00586328">
        <w:t xml:space="preserve">The manufacture of a broad range of products at the Olin </w:t>
      </w:r>
      <w:r w:rsidR="00EB7C97" w:rsidRPr="00586328">
        <w:t xml:space="preserve">Chemical </w:t>
      </w:r>
      <w:r w:rsidRPr="00586328">
        <w:t xml:space="preserve">facility produced a variety of wastes that were highly salty and acidic (CRA 1993), </w:t>
      </w:r>
      <w:r w:rsidRPr="00586328">
        <w:rPr>
          <w:lang w:val="en"/>
        </w:rPr>
        <w:t>including a complex mixture of inorganic chemicals and at least 196 organic chemicals</w:t>
      </w:r>
      <w:r w:rsidR="00716072" w:rsidRPr="00586328">
        <w:rPr>
          <w:lang w:val="en"/>
        </w:rPr>
        <w:t xml:space="preserve">. </w:t>
      </w:r>
      <w:r w:rsidRPr="00586328">
        <w:t xml:space="preserve">Because salt water is </w:t>
      </w:r>
      <w:r w:rsidR="00657CE4" w:rsidRPr="00586328">
        <w:t xml:space="preserve">denser </w:t>
      </w:r>
      <w:r w:rsidRPr="00586328">
        <w:t>than freshwater, it will settle in low areas on the underlying bedrock (Smith 1997)</w:t>
      </w:r>
      <w:r w:rsidR="00716072" w:rsidRPr="00586328">
        <w:t xml:space="preserve">. </w:t>
      </w:r>
      <w:r w:rsidRPr="00586328">
        <w:t>In Wilmington</w:t>
      </w:r>
      <w:r w:rsidR="00A26E6D" w:rsidRPr="00586328">
        <w:t>,</w:t>
      </w:r>
      <w:r w:rsidRPr="00586328">
        <w:t xml:space="preserve"> this resulted in the creation of two pools of Dense Aqueous</w:t>
      </w:r>
      <w:r w:rsidRPr="00586328">
        <w:rPr>
          <w:rFonts w:cs="Cambria Math"/>
        </w:rPr>
        <w:t>‐</w:t>
      </w:r>
      <w:r w:rsidRPr="00586328">
        <w:t>Phase Liquid (DAPL) on the bedrock surface west of the Olin</w:t>
      </w:r>
      <w:r w:rsidR="00EB7C97" w:rsidRPr="00586328">
        <w:t xml:space="preserve"> Chemical</w:t>
      </w:r>
      <w:r w:rsidRPr="00586328">
        <w:t xml:space="preserve"> site (</w:t>
      </w:r>
      <w:r w:rsidR="002700D3" w:rsidRPr="00586328">
        <w:t>AMEC 2013</w:t>
      </w:r>
      <w:r w:rsidRPr="00586328">
        <w:t>)</w:t>
      </w:r>
      <w:r w:rsidR="00716072" w:rsidRPr="00586328">
        <w:t xml:space="preserve">. </w:t>
      </w:r>
      <w:r w:rsidR="000A0FD8" w:rsidRPr="00586328">
        <w:rPr>
          <w:color w:val="000000"/>
        </w:rPr>
        <w:t>A DAPL is a liqui</w:t>
      </w:r>
      <w:r w:rsidR="001D59BD" w:rsidRPr="00586328">
        <w:rPr>
          <w:color w:val="000000"/>
        </w:rPr>
        <w:t>d that is denser than water</w:t>
      </w:r>
      <w:r w:rsidR="00716072" w:rsidRPr="00586328">
        <w:rPr>
          <w:color w:val="000000"/>
        </w:rPr>
        <w:t xml:space="preserve">. </w:t>
      </w:r>
      <w:r w:rsidR="001D59BD" w:rsidRPr="00586328">
        <w:rPr>
          <w:color w:val="000000"/>
        </w:rPr>
        <w:t>A DAPL can dissolve in water, but</w:t>
      </w:r>
      <w:r w:rsidR="000A0FD8" w:rsidRPr="00586328">
        <w:rPr>
          <w:color w:val="000000"/>
        </w:rPr>
        <w:t xml:space="preserve"> groundwater </w:t>
      </w:r>
      <w:r w:rsidR="00806A9E" w:rsidRPr="00586328">
        <w:rPr>
          <w:color w:val="000000"/>
        </w:rPr>
        <w:t xml:space="preserve">conditions typically provide poor opportunity for </w:t>
      </w:r>
      <w:r w:rsidR="000A0FD8" w:rsidRPr="00586328">
        <w:rPr>
          <w:color w:val="000000"/>
        </w:rPr>
        <w:t>mixing</w:t>
      </w:r>
      <w:r w:rsidR="00806A9E" w:rsidRPr="00586328">
        <w:rPr>
          <w:color w:val="000000"/>
        </w:rPr>
        <w:t xml:space="preserve"> and</w:t>
      </w:r>
      <w:r w:rsidR="000A0FD8" w:rsidRPr="00586328">
        <w:rPr>
          <w:color w:val="000000"/>
        </w:rPr>
        <w:t xml:space="preserve"> DAPL layers often sink to the bottom and dissolve slowly over time into the overlying aquifer</w:t>
      </w:r>
      <w:r w:rsidR="00716072" w:rsidRPr="00586328">
        <w:rPr>
          <w:color w:val="000000"/>
        </w:rPr>
        <w:t xml:space="preserve">. </w:t>
      </w:r>
      <w:r w:rsidR="000A0FD8" w:rsidRPr="00586328">
        <w:rPr>
          <w:color w:val="000000"/>
        </w:rPr>
        <w:t>In contrast, LNAPLs (non-aqueous-phase liquids that are less dense than water) and DNAPLs (non-aqueous-phase liquids that are denser than water) are liquids that are only sparingly soluble in water</w:t>
      </w:r>
      <w:r w:rsidR="00716072" w:rsidRPr="00586328">
        <w:rPr>
          <w:color w:val="000000"/>
        </w:rPr>
        <w:t xml:space="preserve">. </w:t>
      </w:r>
      <w:r w:rsidR="000A0FD8" w:rsidRPr="00586328">
        <w:rPr>
          <w:color w:val="000000"/>
        </w:rPr>
        <w:t>As a result</w:t>
      </w:r>
      <w:r w:rsidR="00806A9E" w:rsidRPr="00586328">
        <w:rPr>
          <w:color w:val="000000"/>
        </w:rPr>
        <w:t>,</w:t>
      </w:r>
      <w:r w:rsidR="000A0FD8" w:rsidRPr="00586328">
        <w:rPr>
          <w:color w:val="000000"/>
        </w:rPr>
        <w:t xml:space="preserve"> subsurface spills of LNAPLs such as gasoline and home heating oil tend to float on aquifer surfaces, while subsurface spills of DNAPLs such as pure-phase chlorinated solvents tend to sink to the bottom of aquifers</w:t>
      </w:r>
      <w:r w:rsidR="00716072" w:rsidRPr="00586328">
        <w:rPr>
          <w:color w:val="000000"/>
        </w:rPr>
        <w:t xml:space="preserve">. </w:t>
      </w:r>
      <w:r w:rsidR="000A0FD8" w:rsidRPr="00586328">
        <w:rPr>
          <w:color w:val="000000"/>
        </w:rPr>
        <w:t xml:space="preserve">NAPLs are typically </w:t>
      </w:r>
      <w:r w:rsidR="005B0CB2" w:rsidRPr="00586328">
        <w:rPr>
          <w:color w:val="000000"/>
        </w:rPr>
        <w:t xml:space="preserve">hundreds </w:t>
      </w:r>
      <w:r w:rsidR="000A0FD8" w:rsidRPr="00586328">
        <w:rPr>
          <w:color w:val="000000"/>
        </w:rPr>
        <w:t xml:space="preserve">to </w:t>
      </w:r>
      <w:r w:rsidR="005B0CB2" w:rsidRPr="00586328">
        <w:rPr>
          <w:color w:val="000000"/>
        </w:rPr>
        <w:t>thousands</w:t>
      </w:r>
      <w:r w:rsidR="000A0FD8" w:rsidRPr="00586328">
        <w:rPr>
          <w:color w:val="000000"/>
        </w:rPr>
        <w:t xml:space="preserve"> of times less soluble in water compared to DAPLs.</w:t>
      </w:r>
    </w:p>
    <w:p w14:paraId="6EC9160B" w14:textId="55533E43" w:rsidR="00D06A04" w:rsidRPr="00586328" w:rsidRDefault="003743D3" w:rsidP="007553EF">
      <w:r w:rsidRPr="00586328">
        <w:t xml:space="preserve">The DAPL from the Olin </w:t>
      </w:r>
      <w:r w:rsidR="00EB7C97" w:rsidRPr="00586328">
        <w:t xml:space="preserve">Chemical </w:t>
      </w:r>
      <w:r w:rsidRPr="00586328">
        <w:t>property wastes is characterized by a variety of inorganic (e.g., ammonia, chloride</w:t>
      </w:r>
      <w:r w:rsidR="00657CE4" w:rsidRPr="00586328">
        <w:t>, sodium, and sulfate</w:t>
      </w:r>
      <w:r w:rsidRPr="00586328">
        <w:t>) and organic compounds (e.g., NDMA, acetone) (Smith 1997)</w:t>
      </w:r>
      <w:r w:rsidR="00716072" w:rsidRPr="00586328">
        <w:t xml:space="preserve">. </w:t>
      </w:r>
      <w:r w:rsidRPr="00586328">
        <w:t>The direction of groundwater flow</w:t>
      </w:r>
      <w:r w:rsidR="00657CE4" w:rsidRPr="00586328">
        <w:t xml:space="preserve"> within the </w:t>
      </w:r>
      <w:r w:rsidR="003D0D11" w:rsidRPr="00586328">
        <w:t>MMB</w:t>
      </w:r>
      <w:r w:rsidR="00657CE4" w:rsidRPr="00586328">
        <w:t xml:space="preserve"> aquifer</w:t>
      </w:r>
      <w:r w:rsidRPr="00586328">
        <w:t xml:space="preserve"> is generally northward past the DAPL pools</w:t>
      </w:r>
      <w:r w:rsidR="00657CE4" w:rsidRPr="00586328">
        <w:t>, which causes</w:t>
      </w:r>
      <w:r w:rsidRPr="00586328">
        <w:t xml:space="preserve"> </w:t>
      </w:r>
      <w:r w:rsidR="00657CE4" w:rsidRPr="00586328">
        <w:t>g</w:t>
      </w:r>
      <w:r w:rsidRPr="00586328">
        <w:t xml:space="preserve">roundwater flowing past the pools </w:t>
      </w:r>
      <w:r w:rsidR="001B3989" w:rsidRPr="00586328">
        <w:t xml:space="preserve">to </w:t>
      </w:r>
      <w:r w:rsidRPr="00586328">
        <w:t>bec</w:t>
      </w:r>
      <w:r w:rsidR="001B3989" w:rsidRPr="00586328">
        <w:t>o</w:t>
      </w:r>
      <w:r w:rsidRPr="00586328">
        <w:t>me contaminated by chemicals from the DAPL, including NDMA</w:t>
      </w:r>
      <w:r w:rsidR="00716072" w:rsidRPr="00586328">
        <w:t xml:space="preserve">. </w:t>
      </w:r>
      <w:r w:rsidR="001B3989" w:rsidRPr="00586328">
        <w:t>MACTEC (200</w:t>
      </w:r>
      <w:r w:rsidR="008F0A1E" w:rsidRPr="00586328">
        <w:t>7</w:t>
      </w:r>
      <w:r w:rsidR="001B3989" w:rsidRPr="00586328">
        <w:t xml:space="preserve">) reported NDMA concentrations as high as 25,000 </w:t>
      </w:r>
      <w:r w:rsidR="00852A81" w:rsidRPr="00586328">
        <w:t>nanograms per liter (</w:t>
      </w:r>
      <w:r w:rsidR="001B3989" w:rsidRPr="00586328">
        <w:t>ng/L</w:t>
      </w:r>
      <w:r w:rsidR="00852A81" w:rsidRPr="00586328">
        <w:t>)</w:t>
      </w:r>
      <w:r w:rsidR="001B3989" w:rsidRPr="00586328">
        <w:t xml:space="preserve"> at monitoring wells in the DAPL zone</w:t>
      </w:r>
      <w:r w:rsidR="00A26E6D" w:rsidRPr="00586328">
        <w:t>.</w:t>
      </w:r>
    </w:p>
    <w:p w14:paraId="6F0FCF34" w14:textId="2ADB9428" w:rsidR="003743D3" w:rsidRPr="00F80B1F" w:rsidRDefault="00EA72F7" w:rsidP="0010161F">
      <w:pPr>
        <w:pStyle w:val="Heading3"/>
      </w:pPr>
      <w:r>
        <w:lastRenderedPageBreak/>
        <w:t xml:space="preserve">Principal Contaminants of the </w:t>
      </w:r>
      <w:r w:rsidR="003743D3" w:rsidRPr="00F80B1F">
        <w:t xml:space="preserve">Wilmington Public </w:t>
      </w:r>
      <w:r>
        <w:t xml:space="preserve">Drinking </w:t>
      </w:r>
      <w:r w:rsidR="003743D3" w:rsidRPr="00F80B1F">
        <w:t>Water System</w:t>
      </w:r>
      <w:bookmarkEnd w:id="56"/>
    </w:p>
    <w:p w14:paraId="4C8CF0D5" w14:textId="2197B0B9" w:rsidR="00037C9C" w:rsidRDefault="00D107F0" w:rsidP="00D06A04">
      <w:r>
        <w:t xml:space="preserve">The Wilmington drinking water distribution system is </w:t>
      </w:r>
      <w:r w:rsidRPr="00D107F0">
        <w:t>the network of underground water supply mains that transports treated drinking water from the treatment plant</w:t>
      </w:r>
      <w:r>
        <w:t>s</w:t>
      </w:r>
      <w:r w:rsidRPr="00D107F0">
        <w:t xml:space="preserve"> to residences, businesses, and other users</w:t>
      </w:r>
      <w:r w:rsidR="00716072">
        <w:t xml:space="preserve">. </w:t>
      </w:r>
      <w:r w:rsidR="00253786" w:rsidRPr="00253786">
        <w:t xml:space="preserve">The period of interest in </w:t>
      </w:r>
      <w:r>
        <w:t xml:space="preserve">the system for </w:t>
      </w:r>
      <w:r w:rsidR="00253786" w:rsidRPr="00253786">
        <w:t xml:space="preserve">this study is </w:t>
      </w:r>
      <w:r w:rsidR="00000576" w:rsidRPr="00253786">
        <w:t>197</w:t>
      </w:r>
      <w:r w:rsidR="00000576">
        <w:t>4</w:t>
      </w:r>
      <w:r w:rsidR="00253786" w:rsidRPr="00253786">
        <w:t>-2000</w:t>
      </w:r>
      <w:r w:rsidR="00716072">
        <w:t xml:space="preserve">. </w:t>
      </w:r>
      <w:r w:rsidR="00253786" w:rsidRPr="00253786">
        <w:t>During that time period, the Wilmington municipal</w:t>
      </w:r>
      <w:r w:rsidR="00FF561E">
        <w:t xml:space="preserve"> water</w:t>
      </w:r>
      <w:r w:rsidR="00253786" w:rsidRPr="00253786">
        <w:t xml:space="preserve"> supply sources were nine groundwater wells, five of which were</w:t>
      </w:r>
      <w:r w:rsidR="00415730">
        <w:t xml:space="preserve"> in the </w:t>
      </w:r>
      <w:r w:rsidR="003D0D11">
        <w:t>MMB</w:t>
      </w:r>
      <w:r w:rsidR="00415730">
        <w:t xml:space="preserve"> aquifer</w:t>
      </w:r>
      <w:r w:rsidR="00253786" w:rsidRPr="00253786">
        <w:t xml:space="preserve"> in southern Wilmington </w:t>
      </w:r>
      <w:r w:rsidR="00FF561E">
        <w:t>(</w:t>
      </w:r>
      <w:r w:rsidR="00E96124">
        <w:t>Butters Row 1 and</w:t>
      </w:r>
      <w:r w:rsidR="00FF561E" w:rsidRPr="00253786">
        <w:t xml:space="preserve"> 2, Chestnut St</w:t>
      </w:r>
      <w:r w:rsidR="00FF561E">
        <w:t xml:space="preserve">. </w:t>
      </w:r>
      <w:r w:rsidR="00FF561E" w:rsidRPr="00253786">
        <w:t>1 and 1A/2, and Town Park)</w:t>
      </w:r>
      <w:r w:rsidR="00FF561E">
        <w:t xml:space="preserve">. The water from these wells </w:t>
      </w:r>
      <w:r w:rsidR="00037C9C">
        <w:t>began being</w:t>
      </w:r>
      <w:r w:rsidR="00FF561E">
        <w:t xml:space="preserve"> processed at </w:t>
      </w:r>
      <w:r w:rsidR="00253786" w:rsidRPr="00253786">
        <w:t>the Butters Row</w:t>
      </w:r>
      <w:r w:rsidR="00037C9C">
        <w:t xml:space="preserve"> Water</w:t>
      </w:r>
      <w:r w:rsidR="00253786" w:rsidRPr="00253786">
        <w:t xml:space="preserve"> Treatment Plant </w:t>
      </w:r>
      <w:r w:rsidR="00037C9C">
        <w:t xml:space="preserve">after it was brought online </w:t>
      </w:r>
      <w:r w:rsidR="00FF561E">
        <w:t>in June 1981</w:t>
      </w:r>
      <w:r w:rsidR="00037C9C">
        <w:t xml:space="preserve">. The Shawsheen Ave. well in the western part of town was connected to the Butters Row Water Treatment Plant in 2000, before which it </w:t>
      </w:r>
      <w:r w:rsidR="00037C9C">
        <w:rPr>
          <w:sz w:val="22"/>
          <w:szCs w:val="22"/>
        </w:rPr>
        <w:t>injected water directly into the water distribution system.</w:t>
      </w:r>
      <w:r w:rsidR="00037C9C">
        <w:t xml:space="preserve"> The remaining three wells (Brown’s Crossing, Salem St., and Barrows)</w:t>
      </w:r>
      <w:r w:rsidR="00253786" w:rsidRPr="00253786">
        <w:t xml:space="preserve"> </w:t>
      </w:r>
      <w:r w:rsidR="00037C9C">
        <w:t>are located</w:t>
      </w:r>
      <w:r w:rsidR="00253786" w:rsidRPr="00253786">
        <w:t xml:space="preserve"> in northern Wilmington </w:t>
      </w:r>
      <w:r w:rsidR="00FF561E">
        <w:t xml:space="preserve">and </w:t>
      </w:r>
      <w:r w:rsidR="00037C9C">
        <w:t xml:space="preserve">produce water that is </w:t>
      </w:r>
      <w:r w:rsidR="00FF561E">
        <w:t xml:space="preserve">processed at </w:t>
      </w:r>
      <w:r w:rsidR="00253786" w:rsidRPr="00253786">
        <w:t xml:space="preserve">the Sargent </w:t>
      </w:r>
      <w:r w:rsidR="00037C9C">
        <w:t xml:space="preserve">Water </w:t>
      </w:r>
      <w:r w:rsidR="00253786" w:rsidRPr="00253786">
        <w:t>Treatment Plant</w:t>
      </w:r>
      <w:r w:rsidR="00716072">
        <w:t>.</w:t>
      </w:r>
      <w:r w:rsidR="00A13DBD">
        <w:t xml:space="preserve"> </w:t>
      </w:r>
      <w:r w:rsidR="00A13DBD">
        <w:fldChar w:fldCharType="begin"/>
      </w:r>
      <w:r w:rsidR="00A13DBD">
        <w:instrText xml:space="preserve"> REF  Figure4 \h </w:instrText>
      </w:r>
      <w:r w:rsidR="0040594E">
        <w:instrText xml:space="preserve"> \* MERGEFORMAT </w:instrText>
      </w:r>
      <w:r w:rsidR="00A13DBD">
        <w:fldChar w:fldCharType="separate"/>
      </w:r>
      <w:r w:rsidR="00977423">
        <w:t xml:space="preserve">Figure </w:t>
      </w:r>
      <w:r w:rsidR="00977423">
        <w:rPr>
          <w:noProof/>
        </w:rPr>
        <w:t>4</w:t>
      </w:r>
      <w:r w:rsidR="00A13DBD">
        <w:fldChar w:fldCharType="end"/>
      </w:r>
      <w:r w:rsidR="00A91989">
        <w:fldChar w:fldCharType="begin"/>
      </w:r>
      <w:r w:rsidR="00A91989">
        <w:instrText xml:space="preserve"> REF _Ref13217823 \h </w:instrText>
      </w:r>
      <w:r w:rsidR="0040594E">
        <w:instrText xml:space="preserve"> \* MERGEFORMAT </w:instrText>
      </w:r>
      <w:r w:rsidR="00A91989">
        <w:fldChar w:fldCharType="end"/>
      </w:r>
      <w:r w:rsidR="00253786" w:rsidRPr="00253786">
        <w:t xml:space="preserve"> shows</w:t>
      </w:r>
      <w:r w:rsidR="00514E43">
        <w:t xml:space="preserve"> the </w:t>
      </w:r>
      <w:r w:rsidR="00037C9C" w:rsidRPr="00A65C11">
        <w:t>Wilmi</w:t>
      </w:r>
      <w:r w:rsidR="00037C9C">
        <w:t>ngton water distribution system along with well and treatment plant locations</w:t>
      </w:r>
      <w:r w:rsidR="00253786" w:rsidRPr="00253786">
        <w:t xml:space="preserve"> in </w:t>
      </w:r>
      <w:r w:rsidR="00037C9C">
        <w:t xml:space="preserve">the year </w:t>
      </w:r>
      <w:r w:rsidR="00253786" w:rsidRPr="00253786">
        <w:t>200</w:t>
      </w:r>
      <w:r w:rsidR="00037C9C">
        <w:t>0</w:t>
      </w:r>
      <w:r w:rsidR="00716072">
        <w:t xml:space="preserve">. </w:t>
      </w:r>
      <w:r w:rsidR="00037C9C">
        <w:t>The Aldrich Road well shown in the far western part of town has been out of service since 1973.</w:t>
      </w:r>
    </w:p>
    <w:p w14:paraId="00895E7F" w14:textId="40BD5FEE" w:rsidR="00581DB6" w:rsidRDefault="0085694D" w:rsidP="00B26D34">
      <w:pPr>
        <w:spacing w:line="240" w:lineRule="auto"/>
        <w:rPr>
          <w:rFonts w:asciiTheme="majorHAnsi" w:hAnsiTheme="majorHAnsi"/>
          <w:sz w:val="22"/>
          <w:szCs w:val="22"/>
        </w:rPr>
      </w:pPr>
      <w:bookmarkStart w:id="57" w:name="_Ref13217823"/>
      <w:r w:rsidRPr="00A040E0">
        <w:rPr>
          <w:noProof/>
          <w:spacing w:val="-8"/>
        </w:rPr>
        <w:lastRenderedPageBreak/>
        <w:drawing>
          <wp:anchor distT="0" distB="0" distL="114300" distR="114300" simplePos="0" relativeHeight="251665408" behindDoc="1" locked="0" layoutInCell="1" allowOverlap="1" wp14:anchorId="3FB5F8F1" wp14:editId="013A2CB7">
            <wp:simplePos x="0" y="0"/>
            <wp:positionH relativeFrom="margin">
              <wp:posOffset>829945</wp:posOffset>
            </wp:positionH>
            <wp:positionV relativeFrom="paragraph">
              <wp:posOffset>265430</wp:posOffset>
            </wp:positionV>
            <wp:extent cx="4072255" cy="5292725"/>
            <wp:effectExtent l="0" t="0" r="4445" b="3175"/>
            <wp:wrapTopAndBottom/>
            <wp:docPr id="41" name="Picture 41" descr="C:\Users\walke\AppData\Local\Microsoft\Windows\INetCache\Conten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lke\AppData\Local\Microsoft\Windows\INetCache\Content.Word\screensho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2255" cy="529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D34" w:rsidRPr="00A040E0">
        <w:rPr>
          <w:noProof/>
          <w:spacing w:val="-8"/>
        </w:rPr>
        <mc:AlternateContent>
          <mc:Choice Requires="wps">
            <w:drawing>
              <wp:anchor distT="0" distB="0" distL="114300" distR="114300" simplePos="0" relativeHeight="251666432" behindDoc="0" locked="0" layoutInCell="1" allowOverlap="1" wp14:anchorId="28926977" wp14:editId="02F69016">
                <wp:simplePos x="0" y="0"/>
                <wp:positionH relativeFrom="margin">
                  <wp:align>left</wp:align>
                </wp:positionH>
                <wp:positionV relativeFrom="paragraph">
                  <wp:posOffset>8255</wp:posOffset>
                </wp:positionV>
                <wp:extent cx="5459095" cy="219710"/>
                <wp:effectExtent l="0" t="0" r="8255" b="8890"/>
                <wp:wrapNone/>
                <wp:docPr id="6" name="Text Box 6"/>
                <wp:cNvGraphicFramePr/>
                <a:graphic xmlns:a="http://schemas.openxmlformats.org/drawingml/2006/main">
                  <a:graphicData uri="http://schemas.microsoft.com/office/word/2010/wordprocessingShape">
                    <wps:wsp>
                      <wps:cNvSpPr txBox="1"/>
                      <wps:spPr>
                        <a:xfrm>
                          <a:off x="0" y="0"/>
                          <a:ext cx="5459095" cy="219710"/>
                        </a:xfrm>
                        <a:prstGeom prst="rect">
                          <a:avLst/>
                        </a:prstGeom>
                        <a:solidFill>
                          <a:prstClr val="white"/>
                        </a:solidFill>
                        <a:ln>
                          <a:noFill/>
                        </a:ln>
                        <a:effectLst/>
                      </wps:spPr>
                      <wps:txbx>
                        <w:txbxContent>
                          <w:p w14:paraId="26F2F8AF" w14:textId="2ADE906B" w:rsidR="00C2588D" w:rsidRPr="000268FF" w:rsidRDefault="00C2588D" w:rsidP="008335D0">
                            <w:pPr>
                              <w:pStyle w:val="Caption"/>
                              <w:rPr>
                                <w:noProof/>
                                <w:szCs w:val="24"/>
                              </w:rPr>
                            </w:pPr>
                            <w:bookmarkStart w:id="58" w:name="Figure4"/>
                            <w:bookmarkStart w:id="59" w:name="_Toc45717779"/>
                            <w:r>
                              <w:t xml:space="preserve">Figure </w:t>
                            </w:r>
                            <w:fldSimple w:instr=" SEQ Figure \* ARABIC ">
                              <w:r>
                                <w:rPr>
                                  <w:noProof/>
                                </w:rPr>
                                <w:t>4</w:t>
                              </w:r>
                            </w:fldSimple>
                            <w:bookmarkEnd w:id="58"/>
                            <w:r>
                              <w:t>.</w:t>
                            </w:r>
                            <w:r w:rsidRPr="00DB175E">
                              <w:t xml:space="preserve"> Map of the Wilmington Water Distribution System in the year 2000</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6977" id="Text Box 6" o:spid="_x0000_s1030" type="#_x0000_t202" style="position:absolute;margin-left:0;margin-top:.65pt;width:429.85pt;height:17.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" stroked="f">
                <v:textbox inset="0,0,0,0">
                  <w:txbxContent>
                    <w:p w14:paraId="26F2F8AF" w14:textId="2ADE906B" w:rsidR="00C2588D" w:rsidRPr="000268FF" w:rsidRDefault="00C2588D" w:rsidP="008335D0">
                      <w:pPr>
                        <w:pStyle w:val="Caption"/>
                        <w:rPr>
                          <w:noProof/>
                          <w:szCs w:val="24"/>
                        </w:rPr>
                      </w:pPr>
                      <w:bookmarkStart w:id="60" w:name="Figure4"/>
                      <w:bookmarkStart w:id="61" w:name="_Toc45717779"/>
                      <w:r>
                        <w:t xml:space="preserve">Figure </w:t>
                      </w:r>
                      <w:fldSimple w:instr=" SEQ Figure \* ARABIC ">
                        <w:r>
                          <w:rPr>
                            <w:noProof/>
                          </w:rPr>
                          <w:t>4</w:t>
                        </w:r>
                      </w:fldSimple>
                      <w:bookmarkEnd w:id="60"/>
                      <w:r>
                        <w:t>.</w:t>
                      </w:r>
                      <w:r w:rsidRPr="00DB175E">
                        <w:t xml:space="preserve"> Map of the Wilmington Water Distribution System in the year 2000</w:t>
                      </w:r>
                      <w:bookmarkEnd w:id="61"/>
                    </w:p>
                  </w:txbxContent>
                </v:textbox>
                <w10:wrap anchorx="margin"/>
              </v:shape>
            </w:pict>
          </mc:Fallback>
        </mc:AlternateContent>
      </w:r>
      <w:bookmarkStart w:id="62" w:name="_Hlk16065804"/>
      <w:bookmarkEnd w:id="57"/>
    </w:p>
    <w:p w14:paraId="40BA6876" w14:textId="484B019A" w:rsidR="00947255" w:rsidRPr="00E35A60" w:rsidRDefault="00947255" w:rsidP="0040594E">
      <w:pPr>
        <w:pStyle w:val="Default"/>
        <w:rPr>
          <w:rFonts w:asciiTheme="majorHAnsi" w:hAnsiTheme="majorHAnsi" w:cs="Arial"/>
          <w:sz w:val="22"/>
          <w:szCs w:val="22"/>
        </w:rPr>
      </w:pPr>
      <w:r w:rsidRPr="00E35A60">
        <w:rPr>
          <w:rFonts w:asciiTheme="majorHAnsi" w:hAnsiTheme="majorHAnsi"/>
          <w:sz w:val="22"/>
          <w:szCs w:val="22"/>
        </w:rPr>
        <w:t xml:space="preserve">Source: Durant et al., 2018. Modeling </w:t>
      </w:r>
      <w:r w:rsidRPr="00E35A60">
        <w:rPr>
          <w:rFonts w:asciiTheme="majorHAnsi" w:hAnsiTheme="majorHAnsi"/>
          <w:i/>
          <w:sz w:val="22"/>
          <w:szCs w:val="22"/>
        </w:rPr>
        <w:t>N</w:t>
      </w:r>
      <w:r w:rsidRPr="00E35A60">
        <w:rPr>
          <w:rFonts w:asciiTheme="majorHAnsi" w:hAnsiTheme="majorHAnsi"/>
          <w:sz w:val="22"/>
          <w:szCs w:val="22"/>
        </w:rPr>
        <w:t>-</w:t>
      </w:r>
      <w:proofErr w:type="spellStart"/>
      <w:r w:rsidRPr="00E35A60">
        <w:rPr>
          <w:rFonts w:asciiTheme="majorHAnsi" w:hAnsiTheme="majorHAnsi"/>
          <w:sz w:val="22"/>
          <w:szCs w:val="22"/>
        </w:rPr>
        <w:t>Nitrosodimethylamine</w:t>
      </w:r>
      <w:proofErr w:type="spellEnd"/>
      <w:r w:rsidRPr="00E35A60">
        <w:rPr>
          <w:rFonts w:asciiTheme="majorHAnsi" w:hAnsiTheme="majorHAnsi"/>
          <w:sz w:val="22"/>
          <w:szCs w:val="22"/>
        </w:rPr>
        <w:t xml:space="preserve"> And Trichloroethylene Concentrations </w:t>
      </w:r>
      <w:proofErr w:type="gramStart"/>
      <w:r w:rsidRPr="00E35A60">
        <w:rPr>
          <w:rFonts w:asciiTheme="majorHAnsi" w:hAnsiTheme="majorHAnsi"/>
          <w:sz w:val="22"/>
          <w:szCs w:val="22"/>
        </w:rPr>
        <w:t>In</w:t>
      </w:r>
      <w:proofErr w:type="gramEnd"/>
      <w:r w:rsidRPr="00E35A60">
        <w:rPr>
          <w:rFonts w:asciiTheme="majorHAnsi" w:hAnsiTheme="majorHAnsi"/>
          <w:sz w:val="22"/>
          <w:szCs w:val="22"/>
        </w:rPr>
        <w:t xml:space="preserve"> The Wilmington, Massachusetts, Water Supply System: 1974 To 2000. Available at: Appendix C, Figure 2.3. </w:t>
      </w:r>
    </w:p>
    <w:p w14:paraId="55FFE76E" w14:textId="6E84092A" w:rsidR="00253786" w:rsidRDefault="00253786" w:rsidP="00A05FCD">
      <w:pPr>
        <w:spacing w:before="360"/>
      </w:pPr>
      <w:r w:rsidRPr="00253786">
        <w:t xml:space="preserve">In 2003, testing </w:t>
      </w:r>
      <w:r w:rsidR="001B3989">
        <w:t xml:space="preserve">of the </w:t>
      </w:r>
      <w:r w:rsidR="003D0D11">
        <w:t>MMB</w:t>
      </w:r>
      <w:r w:rsidR="001B3989">
        <w:t xml:space="preserve"> water supply </w:t>
      </w:r>
      <w:r w:rsidRPr="00253786">
        <w:t xml:space="preserve">wells revealed NDMA at levels ranging from </w:t>
      </w:r>
      <w:r w:rsidR="003C2EA4" w:rsidRPr="00253786">
        <w:t>3</w:t>
      </w:r>
      <w:r w:rsidR="000B5157">
        <w:t>2</w:t>
      </w:r>
      <w:r w:rsidR="003C2EA4" w:rsidRPr="00253786">
        <w:t xml:space="preserve"> </w:t>
      </w:r>
      <w:r w:rsidRPr="00253786">
        <w:t>to</w:t>
      </w:r>
      <w:r w:rsidR="00806A9E">
        <w:t xml:space="preserve"> </w:t>
      </w:r>
      <w:r w:rsidRPr="00253786">
        <w:t>1</w:t>
      </w:r>
      <w:r w:rsidR="00CA1001">
        <w:t>66</w:t>
      </w:r>
      <w:r w:rsidRPr="00253786">
        <w:t xml:space="preserve"> ng/L</w:t>
      </w:r>
      <w:r w:rsidR="001B3989">
        <w:t xml:space="preserve"> in four of the wells</w:t>
      </w:r>
      <w:r w:rsidR="00276B65">
        <w:t xml:space="preserve"> </w:t>
      </w:r>
      <w:r w:rsidR="00655675">
        <w:t>(MACTEC</w:t>
      </w:r>
      <w:r w:rsidR="00276B65">
        <w:t xml:space="preserve"> 2003a)</w:t>
      </w:r>
      <w:r w:rsidR="00716072">
        <w:t xml:space="preserve">. </w:t>
      </w:r>
      <w:r w:rsidR="001B3989">
        <w:t xml:space="preserve">No NDMA was detected in water samples from </w:t>
      </w:r>
      <w:r w:rsidR="00037C9C">
        <w:t xml:space="preserve">the </w:t>
      </w:r>
      <w:r w:rsidR="001B3989">
        <w:t>Town Park well</w:t>
      </w:r>
      <w:r w:rsidR="00716072">
        <w:t xml:space="preserve">. </w:t>
      </w:r>
      <w:r w:rsidR="00FF1A0A">
        <w:t>S</w:t>
      </w:r>
      <w:r w:rsidRPr="00253786">
        <w:t xml:space="preserve">amples of finished water </w:t>
      </w:r>
      <w:r w:rsidR="00FF1A0A">
        <w:t xml:space="preserve">collected at </w:t>
      </w:r>
      <w:r w:rsidR="000215EC">
        <w:t xml:space="preserve">the same time at </w:t>
      </w:r>
      <w:r w:rsidR="00FF1A0A">
        <w:t xml:space="preserve">13 different sites within the </w:t>
      </w:r>
      <w:r w:rsidR="003E1782">
        <w:t xml:space="preserve">drinking water </w:t>
      </w:r>
      <w:r w:rsidR="00FF1A0A">
        <w:t>distribution system near the</w:t>
      </w:r>
      <w:r w:rsidRPr="00253786">
        <w:t xml:space="preserve"> Butters Row W</w:t>
      </w:r>
      <w:r w:rsidR="00067F08">
        <w:t xml:space="preserve">ater </w:t>
      </w:r>
      <w:r w:rsidRPr="00253786">
        <w:t>T</w:t>
      </w:r>
      <w:r w:rsidR="00067F08">
        <w:t xml:space="preserve">reatment </w:t>
      </w:r>
      <w:r w:rsidRPr="00253786">
        <w:t>P</w:t>
      </w:r>
      <w:r w:rsidR="001C1E79">
        <w:t xml:space="preserve">lant </w:t>
      </w:r>
      <w:r w:rsidRPr="00253786">
        <w:t>showed no detectable NDMA, but the lack of NDMA detection</w:t>
      </w:r>
      <w:r w:rsidR="000215EC">
        <w:t xml:space="preserve"> is</w:t>
      </w:r>
      <w:r w:rsidRPr="00253786">
        <w:t xml:space="preserve"> thought to be </w:t>
      </w:r>
      <w:r w:rsidR="001C1E79">
        <w:t xml:space="preserve">because </w:t>
      </w:r>
      <w:r w:rsidRPr="00253786">
        <w:t>the contaminated wells were not being used at the time of sampling</w:t>
      </w:r>
      <w:r w:rsidR="00694055">
        <w:t xml:space="preserve"> (they were taken offline in 2002)</w:t>
      </w:r>
      <w:r w:rsidR="00716072">
        <w:t>.</w:t>
      </w:r>
      <w:r w:rsidR="00F73943">
        <w:t xml:space="preserve"> </w:t>
      </w:r>
      <w:bookmarkEnd w:id="62"/>
      <w:r w:rsidR="001454EF">
        <w:t>T</w:t>
      </w:r>
      <w:r w:rsidR="00F73943">
        <w:t xml:space="preserve">he detections in municipal wells led to </w:t>
      </w:r>
      <w:r w:rsidR="00F73943">
        <w:lastRenderedPageBreak/>
        <w:t xml:space="preserve">closure of </w:t>
      </w:r>
      <w:r w:rsidR="001454EF">
        <w:t xml:space="preserve">all five MMB </w:t>
      </w:r>
      <w:r w:rsidR="00F73943">
        <w:t>wells</w:t>
      </w:r>
      <w:r w:rsidR="00276B65">
        <w:t xml:space="preserve"> </w:t>
      </w:r>
      <w:r w:rsidR="001454EF">
        <w:t xml:space="preserve">in 2003 </w:t>
      </w:r>
      <w:r w:rsidR="00655675">
        <w:t>(MACTEC</w:t>
      </w:r>
      <w:r w:rsidR="00276B65">
        <w:t xml:space="preserve"> 2005)</w:t>
      </w:r>
      <w:r w:rsidR="00716072">
        <w:t xml:space="preserve">. </w:t>
      </w:r>
      <w:r w:rsidR="00F73943">
        <w:t xml:space="preserve">This decision was based on the </w:t>
      </w:r>
      <w:r w:rsidR="00F73943" w:rsidRPr="00F73943">
        <w:t>MA</w:t>
      </w:r>
      <w:r w:rsidR="005D2C0D">
        <w:t xml:space="preserve"> </w:t>
      </w:r>
      <w:r w:rsidR="00F73943" w:rsidRPr="00F73943">
        <w:t xml:space="preserve">DEP’s drinking </w:t>
      </w:r>
      <w:r w:rsidR="00F73943">
        <w:t xml:space="preserve">water </w:t>
      </w:r>
      <w:r w:rsidR="00F73943" w:rsidRPr="00F73943">
        <w:t xml:space="preserve">guidance level </w:t>
      </w:r>
      <w:r w:rsidR="00F73943">
        <w:t xml:space="preserve">for NDMA, which </w:t>
      </w:r>
      <w:r w:rsidR="00F73943" w:rsidRPr="00F73943">
        <w:t>is 10 ng/L</w:t>
      </w:r>
      <w:r w:rsidR="00F73943">
        <w:t xml:space="preserve"> (M</w:t>
      </w:r>
      <w:r w:rsidR="005D2C0D">
        <w:t xml:space="preserve">A </w:t>
      </w:r>
      <w:r w:rsidR="00F73943">
        <w:t xml:space="preserve">DEP </w:t>
      </w:r>
      <w:r w:rsidR="002369BC">
        <w:t>2019</w:t>
      </w:r>
      <w:r w:rsidR="00F73943">
        <w:t>)</w:t>
      </w:r>
      <w:r w:rsidR="00716072">
        <w:t xml:space="preserve">. </w:t>
      </w:r>
      <w:r w:rsidR="00F73943">
        <w:t xml:space="preserve">There is no drinking water </w:t>
      </w:r>
      <w:r w:rsidR="00852A81">
        <w:t xml:space="preserve">regulatory </w:t>
      </w:r>
      <w:r w:rsidR="00F73943">
        <w:t>standard for NDMA</w:t>
      </w:r>
      <w:r w:rsidR="001C1E79">
        <w:t>.</w:t>
      </w:r>
    </w:p>
    <w:p w14:paraId="4DF70310" w14:textId="77777777" w:rsidR="00852F39" w:rsidRDefault="003743D3" w:rsidP="00D06A04">
      <w:r w:rsidRPr="00F80B1F">
        <w:t>Routine measurements of water quality in the Wilmington water distribution system were started in the 1970s and continue to the present</w:t>
      </w:r>
      <w:r w:rsidR="00716072">
        <w:t xml:space="preserve">. </w:t>
      </w:r>
      <w:r w:rsidR="001454EF">
        <w:t>D</w:t>
      </w:r>
      <w:r w:rsidR="001454EF" w:rsidRPr="00852F39">
        <w:t>ue to changes in regulatory testing requirements</w:t>
      </w:r>
      <w:r w:rsidR="001454EF" w:rsidRPr="001454EF">
        <w:t xml:space="preserve"> </w:t>
      </w:r>
      <w:r w:rsidR="001454EF" w:rsidRPr="00852F39">
        <w:t>over the years</w:t>
      </w:r>
      <w:r w:rsidR="001454EF">
        <w:t xml:space="preserve">, </w:t>
      </w:r>
      <w:r w:rsidR="001454EF" w:rsidRPr="00852F39">
        <w:t xml:space="preserve">measurements are </w:t>
      </w:r>
      <w:r w:rsidR="001454EF">
        <w:t>varied in terms of the compounds evaluated.</w:t>
      </w:r>
      <w:r w:rsidR="001454EF" w:rsidRPr="00852F39">
        <w:t xml:space="preserve"> </w:t>
      </w:r>
      <w:r w:rsidRPr="00F80B1F">
        <w:t>In the late 1970s, t</w:t>
      </w:r>
      <w:r w:rsidR="00514E43">
        <w:t>esting</w:t>
      </w:r>
      <w:r w:rsidRPr="00F80B1F">
        <w:t xml:space="preserve"> included compounds such as sodium and nitrates and some chlorinated volatile organic compounds (VOCs)</w:t>
      </w:r>
      <w:r w:rsidR="00716072">
        <w:t xml:space="preserve">. </w:t>
      </w:r>
      <w:r w:rsidR="00852F39" w:rsidRPr="00852F39">
        <w:t>Today</w:t>
      </w:r>
      <w:r w:rsidR="001454EF">
        <w:t>,</w:t>
      </w:r>
      <w:r w:rsidR="00852F39" w:rsidRPr="00852F39">
        <w:t xml:space="preserve"> </w:t>
      </w:r>
      <w:r w:rsidR="001454EF">
        <w:t xml:space="preserve">many additional chlorinated VOCs, </w:t>
      </w:r>
      <w:r w:rsidR="00852F39" w:rsidRPr="00852F39">
        <w:t>non-chlorinated VOCs</w:t>
      </w:r>
      <w:r w:rsidR="001454EF">
        <w:t>,</w:t>
      </w:r>
      <w:r w:rsidR="00852F39" w:rsidRPr="00852F39">
        <w:t xml:space="preserve"> semi-volatile organic compounds, </w:t>
      </w:r>
      <w:r w:rsidR="001454EF">
        <w:t>and</w:t>
      </w:r>
      <w:r w:rsidR="00852F39" w:rsidRPr="00852F39">
        <w:t xml:space="preserve"> metals are routinely tested for</w:t>
      </w:r>
      <w:r w:rsidR="001454EF">
        <w:t>.</w:t>
      </w:r>
    </w:p>
    <w:p w14:paraId="183D5E4C" w14:textId="3DD1510A" w:rsidR="00317836" w:rsidRDefault="00317836" w:rsidP="00D06A04">
      <w:r>
        <w:t xml:space="preserve">The </w:t>
      </w:r>
      <w:proofErr w:type="gramStart"/>
      <w:r>
        <w:t>most commonly detected</w:t>
      </w:r>
      <w:proofErr w:type="gramEnd"/>
      <w:r>
        <w:t xml:space="preserve"> compounds in municipal wells </w:t>
      </w:r>
      <w:r w:rsidR="001454EF">
        <w:t xml:space="preserve">during the period of interest (1974-2000) </w:t>
      </w:r>
      <w:r>
        <w:t>w</w:t>
      </w:r>
      <w:r w:rsidR="00D9003B">
        <w:t xml:space="preserve">ere </w:t>
      </w:r>
      <w:r w:rsidRPr="00CA7290">
        <w:t xml:space="preserve">TCE, 1,2-dichloroethylene (1,2-DCE), </w:t>
      </w:r>
      <w:r>
        <w:t xml:space="preserve">ammonia, nitrates, </w:t>
      </w:r>
      <w:r w:rsidRPr="00CA7290">
        <w:t>nitrites, and trihalomethanes</w:t>
      </w:r>
      <w:r w:rsidR="00716072">
        <w:t xml:space="preserve">. </w:t>
      </w:r>
      <w:r w:rsidR="001454EF">
        <w:t xml:space="preserve">Drinking water standards or guidelines in finished </w:t>
      </w:r>
      <w:r w:rsidR="00D0324F">
        <w:t>drinking</w:t>
      </w:r>
      <w:r w:rsidR="001454EF">
        <w:t xml:space="preserve"> water </w:t>
      </w:r>
      <w:r w:rsidR="00D0324F">
        <w:t xml:space="preserve">were not exceeded for </w:t>
      </w:r>
      <w:r>
        <w:t xml:space="preserve">1,2-DCE, </w:t>
      </w:r>
      <w:proofErr w:type="gramStart"/>
      <w:r>
        <w:t xml:space="preserve">ammonia,  </w:t>
      </w:r>
      <w:r w:rsidR="00D0324F">
        <w:t>or</w:t>
      </w:r>
      <w:proofErr w:type="gramEnd"/>
      <w:r>
        <w:t xml:space="preserve"> nitrates</w:t>
      </w:r>
      <w:r w:rsidR="00716072">
        <w:t xml:space="preserve">. </w:t>
      </w:r>
      <w:r>
        <w:t xml:space="preserve">Nitrite levels </w:t>
      </w:r>
      <w:r w:rsidR="00D9003B">
        <w:t xml:space="preserve">were found to </w:t>
      </w:r>
      <w:r>
        <w:t xml:space="preserve">exceed </w:t>
      </w:r>
      <w:r w:rsidR="00852A81">
        <w:t xml:space="preserve">the standard </w:t>
      </w:r>
      <w:r w:rsidR="00D9003B">
        <w:t>of 1</w:t>
      </w:r>
      <w:r w:rsidR="00C27B2B">
        <w:t xml:space="preserve"> </w:t>
      </w:r>
      <w:r w:rsidR="00852A81">
        <w:t>part per million (</w:t>
      </w:r>
      <w:r w:rsidR="00D9003B">
        <w:t>ppm)</w:t>
      </w:r>
      <w:r>
        <w:t xml:space="preserve"> in a couple of dea</w:t>
      </w:r>
      <w:r w:rsidR="00852A81">
        <w:t xml:space="preserve">d-end streets in 2000 and 2002 with a </w:t>
      </w:r>
      <w:r w:rsidR="00D9003B">
        <w:t xml:space="preserve">maximum </w:t>
      </w:r>
      <w:r w:rsidR="00852A81">
        <w:t xml:space="preserve">measured </w:t>
      </w:r>
      <w:r w:rsidR="00D9003B">
        <w:t xml:space="preserve">concentration </w:t>
      </w:r>
      <w:r w:rsidR="00852A81">
        <w:t>of</w:t>
      </w:r>
      <w:r w:rsidR="00D9003B">
        <w:t xml:space="preserve"> </w:t>
      </w:r>
      <w:r>
        <w:t>1.3 ppm</w:t>
      </w:r>
      <w:r w:rsidR="00716072">
        <w:t xml:space="preserve">. </w:t>
      </w:r>
      <w:r>
        <w:t xml:space="preserve">Trihalomethanes exceeded </w:t>
      </w:r>
      <w:r w:rsidR="00852A81">
        <w:t xml:space="preserve">the </w:t>
      </w:r>
      <w:r>
        <w:t xml:space="preserve">standard </w:t>
      </w:r>
      <w:r w:rsidR="00852A81">
        <w:t xml:space="preserve">of </w:t>
      </w:r>
      <w:r>
        <w:t>80</w:t>
      </w:r>
      <w:r w:rsidR="00852A81">
        <w:t xml:space="preserve"> parts per billion (</w:t>
      </w:r>
      <w:r>
        <w:t>ppb) in a few locations in the distribution system</w:t>
      </w:r>
      <w:r w:rsidR="00D0324F">
        <w:t xml:space="preserve"> i</w:t>
      </w:r>
      <w:r>
        <w:t xml:space="preserve">n the early 1980s </w:t>
      </w:r>
      <w:r w:rsidR="00D0324F">
        <w:t xml:space="preserve">and again in 2003 </w:t>
      </w:r>
      <w:r>
        <w:t>(200 ppb maximum)</w:t>
      </w:r>
      <w:r w:rsidR="00716072">
        <w:t xml:space="preserve">. </w:t>
      </w:r>
      <w:r>
        <w:t>TCE exceeded the standard (5 ppb) in several locations in the distribution system up until the late 1980s (2</w:t>
      </w:r>
      <w:r w:rsidR="00DE2625">
        <w:t>7</w:t>
      </w:r>
      <w:r>
        <w:t xml:space="preserve"> ppb maximum)</w:t>
      </w:r>
      <w:r w:rsidR="00D0324F">
        <w:t>.</w:t>
      </w:r>
    </w:p>
    <w:p w14:paraId="05574927" w14:textId="77777777" w:rsidR="00317836" w:rsidRDefault="00317836" w:rsidP="00D06A04">
      <w:r w:rsidRPr="004A39E9">
        <w:t>In the 1980s</w:t>
      </w:r>
      <w:r w:rsidR="00D0324F">
        <w:t>,</w:t>
      </w:r>
      <w:r w:rsidRPr="004A39E9">
        <w:t xml:space="preserve"> chlorinated VOCs were regularly detected in the </w:t>
      </w:r>
      <w:r w:rsidR="003D0D11">
        <w:t>MMB</w:t>
      </w:r>
      <w:r w:rsidRPr="004A39E9">
        <w:t xml:space="preserve"> aquifer supply wells, the Butters Rows </w:t>
      </w:r>
      <w:r w:rsidR="00D0324F">
        <w:t>Water T</w:t>
      </w:r>
      <w:r w:rsidRPr="004A39E9">
        <w:t xml:space="preserve">reatment </w:t>
      </w:r>
      <w:r w:rsidR="00D0324F">
        <w:t>P</w:t>
      </w:r>
      <w:r w:rsidRPr="004A39E9">
        <w:t>lant, and sampling stations in the Wilmington water distribution system</w:t>
      </w:r>
      <w:r w:rsidR="00716072">
        <w:t xml:space="preserve">. </w:t>
      </w:r>
      <w:r w:rsidRPr="004A39E9">
        <w:t>The highest concentrations were in Butters Row #1 and #2</w:t>
      </w:r>
      <w:r w:rsidR="00D0324F">
        <w:t xml:space="preserve"> wells</w:t>
      </w:r>
      <w:r w:rsidRPr="004A39E9">
        <w:t xml:space="preserve">, while lower concentrations were present in </w:t>
      </w:r>
      <w:r w:rsidR="00D0324F">
        <w:t xml:space="preserve">the </w:t>
      </w:r>
      <w:r w:rsidRPr="004A39E9">
        <w:t>Chestnut St</w:t>
      </w:r>
      <w:r w:rsidR="00716072">
        <w:t xml:space="preserve">. </w:t>
      </w:r>
      <w:r w:rsidRPr="004A39E9">
        <w:t>#1 and Town Park</w:t>
      </w:r>
      <w:r w:rsidR="00D0324F">
        <w:t xml:space="preserve"> wells</w:t>
      </w:r>
      <w:r w:rsidR="00716072">
        <w:t xml:space="preserve">. </w:t>
      </w:r>
      <w:r w:rsidRPr="004A39E9">
        <w:t>The results also show that TCE</w:t>
      </w:r>
      <w:r w:rsidR="00CE207D">
        <w:t xml:space="preserve"> (and 1,2-DCE) was</w:t>
      </w:r>
      <w:r w:rsidRPr="004A39E9">
        <w:t xml:space="preserve"> present in finish</w:t>
      </w:r>
      <w:r w:rsidR="00D0324F">
        <w:t>ed</w:t>
      </w:r>
      <w:r w:rsidRPr="004A39E9">
        <w:t xml:space="preserve"> water from the Butters Row </w:t>
      </w:r>
      <w:r w:rsidR="00D0324F">
        <w:t>Water Treatment Plant</w:t>
      </w:r>
      <w:r w:rsidRPr="004A39E9">
        <w:t xml:space="preserve">, indicating that </w:t>
      </w:r>
      <w:r w:rsidR="00CE207D">
        <w:t>treatment methods used at the time were not completely effective</w:t>
      </w:r>
      <w:r w:rsidR="00716072">
        <w:t xml:space="preserve">. </w:t>
      </w:r>
      <w:r w:rsidRPr="004A39E9">
        <w:t xml:space="preserve">As a result, TCE and 1,2-DCE were detected at several sampling </w:t>
      </w:r>
      <w:r w:rsidR="00D0324F">
        <w:t>locations</w:t>
      </w:r>
      <w:r w:rsidRPr="004A39E9">
        <w:t xml:space="preserve"> in the water distribution system</w:t>
      </w:r>
      <w:r w:rsidR="00716072">
        <w:t xml:space="preserve">. </w:t>
      </w:r>
      <w:r w:rsidRPr="004A39E9">
        <w:t xml:space="preserve">The highest concentrations of TCE measured at these sites were in excess of the current drinking water standard </w:t>
      </w:r>
      <w:r w:rsidR="00D0324F">
        <w:t xml:space="preserve">of </w:t>
      </w:r>
      <w:r w:rsidRPr="004A39E9">
        <w:t xml:space="preserve">5 </w:t>
      </w:r>
      <w:r w:rsidR="00852A81">
        <w:t>ppb</w:t>
      </w:r>
      <w:r w:rsidR="00716072">
        <w:t xml:space="preserve">. </w:t>
      </w:r>
    </w:p>
    <w:p w14:paraId="009E11D9" w14:textId="77777777" w:rsidR="003743D3" w:rsidRPr="00F80B1F" w:rsidRDefault="000122EF" w:rsidP="00D06A04">
      <w:r>
        <w:t xml:space="preserve">The TCE in the distribution system appears to have been the result of contamination of the </w:t>
      </w:r>
      <w:r w:rsidR="003D0D11">
        <w:t>MMB</w:t>
      </w:r>
      <w:r>
        <w:t xml:space="preserve"> aquifer</w:t>
      </w:r>
      <w:r w:rsidR="00716072">
        <w:t xml:space="preserve">. </w:t>
      </w:r>
      <w:r>
        <w:t>However</w:t>
      </w:r>
      <w:r w:rsidR="004774BF">
        <w:t>,</w:t>
      </w:r>
      <w:r>
        <w:t xml:space="preserve"> the source of contamination is unclear and </w:t>
      </w:r>
      <w:r w:rsidR="00DE2625">
        <w:t xml:space="preserve">there were </w:t>
      </w:r>
      <w:r>
        <w:t xml:space="preserve">likely multiple </w:t>
      </w:r>
      <w:r w:rsidR="00DE2625">
        <w:t>contamination sites, possibly from</w:t>
      </w:r>
      <w:r>
        <w:t xml:space="preserve"> chemicals used to clean home septic systems</w:t>
      </w:r>
      <w:r w:rsidR="00716072">
        <w:t xml:space="preserve">. </w:t>
      </w:r>
      <w:r>
        <w:t xml:space="preserve">The levels of </w:t>
      </w:r>
      <w:r w:rsidR="00DE2625">
        <w:t xml:space="preserve">TCE </w:t>
      </w:r>
      <w:r w:rsidR="004774BF">
        <w:t>contamination</w:t>
      </w:r>
      <w:r>
        <w:t xml:space="preserve"> dropped below detection limits </w:t>
      </w:r>
      <w:r w:rsidR="004774BF">
        <w:t xml:space="preserve">by the late 1980s </w:t>
      </w:r>
      <w:r>
        <w:t xml:space="preserve">after new treatment methods were initiated by </w:t>
      </w:r>
      <w:r w:rsidR="004774BF">
        <w:t xml:space="preserve">the Wilmington Water </w:t>
      </w:r>
      <w:r w:rsidR="00FA1A63">
        <w:t>and Sewer Division</w:t>
      </w:r>
      <w:r w:rsidR="004774BF">
        <w:t xml:space="preserve"> (Appendix </w:t>
      </w:r>
      <w:r w:rsidR="001E7664">
        <w:t>C</w:t>
      </w:r>
      <w:r w:rsidR="004774BF">
        <w:t>)</w:t>
      </w:r>
      <w:r w:rsidR="00DE2625">
        <w:t>.</w:t>
      </w:r>
    </w:p>
    <w:p w14:paraId="4B1F598B" w14:textId="48F41EB4" w:rsidR="003743D3" w:rsidRDefault="003743D3" w:rsidP="0010161F">
      <w:pPr>
        <w:pStyle w:val="Heading3"/>
      </w:pPr>
      <w:r w:rsidRPr="00A26E6D">
        <w:lastRenderedPageBreak/>
        <w:t>N</w:t>
      </w:r>
      <w:r w:rsidRPr="00EA72F7">
        <w:t>-</w:t>
      </w:r>
      <w:proofErr w:type="spellStart"/>
      <w:r w:rsidR="00A26E6D">
        <w:t>n</w:t>
      </w:r>
      <w:r w:rsidRPr="00EA72F7">
        <w:t>itrosodimethylamine</w:t>
      </w:r>
      <w:proofErr w:type="spellEnd"/>
      <w:r w:rsidRPr="00EA72F7">
        <w:t xml:space="preserve"> (NDMA)</w:t>
      </w:r>
      <w:r w:rsidR="003D069F">
        <w:t xml:space="preserve"> </w:t>
      </w:r>
    </w:p>
    <w:p w14:paraId="0CBB0DAE" w14:textId="77777777" w:rsidR="00EA72F7" w:rsidRPr="00EA72F7" w:rsidRDefault="00EA72F7" w:rsidP="0063071E">
      <w:pPr>
        <w:pStyle w:val="StyleHeading4Linespacingsingle"/>
      </w:pPr>
      <w:r w:rsidRPr="00EA72F7">
        <w:t>Chemistry</w:t>
      </w:r>
    </w:p>
    <w:p w14:paraId="7F088587" w14:textId="6F5BB8EB" w:rsidR="00B83133" w:rsidRDefault="003743D3" w:rsidP="00D06A04">
      <w:pPr>
        <w:rPr>
          <w:rFonts w:eastAsia="Arial Unicode MS"/>
        </w:rPr>
      </w:pPr>
      <w:r w:rsidRPr="00F80B1F">
        <w:t>NDMA is a volatile, yellow, oily liquid of low viscosity</w:t>
      </w:r>
      <w:r w:rsidR="00716072">
        <w:t xml:space="preserve">. </w:t>
      </w:r>
      <w:r w:rsidRPr="00F80B1F">
        <w:t xml:space="preserve">NDMA </w:t>
      </w:r>
      <w:r w:rsidRPr="00F80B1F">
        <w:rPr>
          <w:rFonts w:eastAsia="Arial Unicode MS"/>
        </w:rPr>
        <w:t xml:space="preserve">is no longer used industrially or commercially in the US or Canada, though it may still be used in other countries in rubber formulations as a fire retardant and in the organic chemical industry as an intermediate, catalyst, antioxidant, additive for lubricants, and softener of copolymers (ATSDR 1989; </w:t>
      </w:r>
      <w:proofErr w:type="spellStart"/>
      <w:r w:rsidRPr="00F80B1F">
        <w:rPr>
          <w:rFonts w:eastAsia="Arial Unicode MS"/>
        </w:rPr>
        <w:t>Budavari</w:t>
      </w:r>
      <w:proofErr w:type="spellEnd"/>
      <w:r w:rsidRPr="00F80B1F">
        <w:rPr>
          <w:rFonts w:eastAsia="Arial Unicode MS"/>
        </w:rPr>
        <w:t xml:space="preserve"> et al</w:t>
      </w:r>
      <w:r w:rsidR="00716072">
        <w:rPr>
          <w:rFonts w:eastAsia="Arial Unicode MS"/>
        </w:rPr>
        <w:t xml:space="preserve">. </w:t>
      </w:r>
      <w:r w:rsidRPr="00F80B1F">
        <w:rPr>
          <w:rFonts w:eastAsia="Arial Unicode MS"/>
        </w:rPr>
        <w:t>1989)</w:t>
      </w:r>
      <w:r w:rsidR="00716072">
        <w:rPr>
          <w:rFonts w:eastAsia="Arial Unicode MS"/>
        </w:rPr>
        <w:t xml:space="preserve">. </w:t>
      </w:r>
      <w:r w:rsidRPr="00F80B1F">
        <w:rPr>
          <w:rFonts w:eastAsia="Arial Unicode MS"/>
        </w:rPr>
        <w:t>However, it c</w:t>
      </w:r>
      <w:r w:rsidR="00B83133">
        <w:rPr>
          <w:rFonts w:eastAsia="Arial Unicode MS"/>
        </w:rPr>
        <w:t>an</w:t>
      </w:r>
      <w:r w:rsidRPr="00F80B1F">
        <w:rPr>
          <w:rFonts w:eastAsia="Arial Unicode MS"/>
        </w:rPr>
        <w:t xml:space="preserve"> be formed from precursors in wastewater and released as a byproduct and contaminant from various industries and municipal wastewater treatment plants</w:t>
      </w:r>
      <w:r w:rsidR="0020728A">
        <w:rPr>
          <w:rFonts w:eastAsia="Arial Unicode MS"/>
        </w:rPr>
        <w:t>, including</w:t>
      </w:r>
      <w:r w:rsidRPr="00F80B1F">
        <w:rPr>
          <w:rFonts w:eastAsia="Arial Unicode MS"/>
        </w:rPr>
        <w:t xml:space="preserve"> from the manufacture of pesticides, rubber tires, alkylamines, and dyes</w:t>
      </w:r>
      <w:r w:rsidR="00716072">
        <w:rPr>
          <w:rFonts w:eastAsia="Arial Unicode MS"/>
        </w:rPr>
        <w:t xml:space="preserve">. </w:t>
      </w:r>
    </w:p>
    <w:p w14:paraId="04F78A87" w14:textId="7F7D04F5" w:rsidR="00990250" w:rsidRDefault="003743D3" w:rsidP="00D06A04">
      <w:pPr>
        <w:rPr>
          <w:rFonts w:eastAsia="Arial Unicode MS"/>
        </w:rPr>
      </w:pPr>
      <w:r w:rsidRPr="00F80B1F">
        <w:rPr>
          <w:rFonts w:eastAsia="Arial Unicode MS"/>
        </w:rPr>
        <w:t>NDMA may also form under natural conditions in air, water, and soil as a result of chemical, photochemical, and biological processes and has been detected in drinking</w:t>
      </w:r>
      <w:r w:rsidR="0067268D">
        <w:rPr>
          <w:rFonts w:eastAsia="Arial Unicode MS"/>
        </w:rPr>
        <w:t xml:space="preserve"> </w:t>
      </w:r>
      <w:r w:rsidRPr="00F80B1F">
        <w:rPr>
          <w:rFonts w:eastAsia="Arial Unicode MS"/>
        </w:rPr>
        <w:t>water</w:t>
      </w:r>
      <w:r w:rsidR="00E96124">
        <w:rPr>
          <w:rFonts w:eastAsia="Arial Unicode MS"/>
        </w:rPr>
        <w:t xml:space="preserve">. </w:t>
      </w:r>
      <w:r w:rsidR="00B83133">
        <w:rPr>
          <w:rFonts w:eastAsia="Arial Unicode MS"/>
        </w:rPr>
        <w:t>Formation can occur d</w:t>
      </w:r>
      <w:r w:rsidRPr="00F80B1F">
        <w:rPr>
          <w:rFonts w:eastAsia="Arial Unicode MS"/>
        </w:rPr>
        <w:t>ue to chemical reaction between ubiquitous, naturally occurring precursors classified as nitrosatable substrates (</w:t>
      </w:r>
      <w:r w:rsidR="006B110C">
        <w:rPr>
          <w:rFonts w:eastAsia="Arial Unicode MS"/>
        </w:rPr>
        <w:t xml:space="preserve">e.g. </w:t>
      </w:r>
      <w:r w:rsidRPr="00F80B1F">
        <w:rPr>
          <w:rFonts w:eastAsia="Arial Unicode MS"/>
        </w:rPr>
        <w:t xml:space="preserve">secondary amines) </w:t>
      </w:r>
      <w:r w:rsidR="00BF74DA">
        <w:rPr>
          <w:rFonts w:eastAsia="Arial Unicode MS"/>
        </w:rPr>
        <w:t>and</w:t>
      </w:r>
      <w:r w:rsidRPr="00F80B1F">
        <w:rPr>
          <w:rFonts w:eastAsia="Arial Unicode MS"/>
        </w:rPr>
        <w:t xml:space="preserve"> </w:t>
      </w:r>
      <w:proofErr w:type="spellStart"/>
      <w:r w:rsidRPr="00F80B1F">
        <w:rPr>
          <w:rFonts w:eastAsia="Arial Unicode MS"/>
        </w:rPr>
        <w:t>nitrosating</w:t>
      </w:r>
      <w:proofErr w:type="spellEnd"/>
      <w:r w:rsidRPr="00F80B1F">
        <w:rPr>
          <w:rFonts w:eastAsia="Arial Unicode MS"/>
        </w:rPr>
        <w:t xml:space="preserve"> agents (nitrite</w:t>
      </w:r>
      <w:r w:rsidR="00BF74DA">
        <w:rPr>
          <w:rFonts w:eastAsia="Arial Unicode MS"/>
        </w:rPr>
        <w:t xml:space="preserve"> reaction products</w:t>
      </w:r>
      <w:r w:rsidRPr="00F80B1F">
        <w:rPr>
          <w:rFonts w:eastAsia="Arial Unicode MS"/>
        </w:rPr>
        <w:t>) (OME 1998)</w:t>
      </w:r>
      <w:r w:rsidR="00716072">
        <w:rPr>
          <w:rFonts w:eastAsia="Arial Unicode MS"/>
        </w:rPr>
        <w:t xml:space="preserve">. </w:t>
      </w:r>
      <w:r w:rsidRPr="00F80B1F">
        <w:rPr>
          <w:rFonts w:eastAsia="Arial Unicode MS"/>
        </w:rPr>
        <w:t xml:space="preserve">For example, NDMA may form in </w:t>
      </w:r>
      <w:r w:rsidR="00E96124">
        <w:rPr>
          <w:rFonts w:eastAsia="Arial Unicode MS"/>
        </w:rPr>
        <w:t xml:space="preserve">the </w:t>
      </w:r>
      <w:r w:rsidRPr="00F80B1F">
        <w:rPr>
          <w:rFonts w:eastAsia="Arial Unicode MS"/>
        </w:rPr>
        <w:t xml:space="preserve">air during nighttime as a result of the atmospheric reaction of dimethylamine (DMA) with nitrogen oxides (Cohen </w:t>
      </w:r>
      <w:r w:rsidR="00E96124">
        <w:rPr>
          <w:rFonts w:eastAsia="Arial Unicode MS"/>
        </w:rPr>
        <w:t>and</w:t>
      </w:r>
      <w:r w:rsidRPr="00F80B1F">
        <w:rPr>
          <w:rFonts w:eastAsia="Arial Unicode MS"/>
        </w:rPr>
        <w:t xml:space="preserve"> Bachman 1978)</w:t>
      </w:r>
      <w:r w:rsidR="00716072">
        <w:rPr>
          <w:rFonts w:eastAsia="Arial Unicode MS"/>
        </w:rPr>
        <w:t xml:space="preserve">. </w:t>
      </w:r>
      <w:r w:rsidRPr="00F80B1F">
        <w:rPr>
          <w:rFonts w:eastAsia="Arial Unicode MS"/>
        </w:rPr>
        <w:t>Soil bacteria may also synthesize NDMA from various precursor substances, such as nitrate, nitrite, and amine compounds (ATSDR 1989)</w:t>
      </w:r>
      <w:r w:rsidR="00716072">
        <w:rPr>
          <w:rFonts w:eastAsia="Arial Unicode MS"/>
        </w:rPr>
        <w:t xml:space="preserve">. </w:t>
      </w:r>
      <w:r w:rsidR="0020728A" w:rsidRPr="0020728A">
        <w:rPr>
          <w:rFonts w:eastAsia="Arial Unicode MS"/>
        </w:rPr>
        <w:t xml:space="preserve">NDMA can be formed as an unintended </w:t>
      </w:r>
      <w:r w:rsidR="009B1A48">
        <w:rPr>
          <w:rFonts w:eastAsia="Arial Unicode MS"/>
        </w:rPr>
        <w:t xml:space="preserve">disinfection </w:t>
      </w:r>
      <w:r w:rsidR="0020728A" w:rsidRPr="0020728A">
        <w:rPr>
          <w:rFonts w:eastAsia="Arial Unicode MS"/>
        </w:rPr>
        <w:t xml:space="preserve">byproduct of the chlorination of wastewater and drinking water at treatment plants that incorporate a chlorination or </w:t>
      </w:r>
      <w:proofErr w:type="spellStart"/>
      <w:r w:rsidR="0020728A" w:rsidRPr="0020728A">
        <w:rPr>
          <w:rFonts w:eastAsia="Arial Unicode MS"/>
        </w:rPr>
        <w:t>chloramination</w:t>
      </w:r>
      <w:proofErr w:type="spellEnd"/>
      <w:r w:rsidR="0020728A" w:rsidRPr="0020728A">
        <w:rPr>
          <w:rFonts w:eastAsia="Arial Unicode MS"/>
        </w:rPr>
        <w:t xml:space="preserve"> process in the presence of nitrogen-containing organic matter (OME 1994; Richardson 2003; Mitch et al</w:t>
      </w:r>
      <w:r w:rsidR="00716072">
        <w:rPr>
          <w:rFonts w:eastAsia="Arial Unicode MS"/>
        </w:rPr>
        <w:t xml:space="preserve">. </w:t>
      </w:r>
      <w:r w:rsidR="0020728A" w:rsidRPr="0020728A">
        <w:rPr>
          <w:rFonts w:eastAsia="Arial Unicode MS"/>
        </w:rPr>
        <w:t>2003; Bradley et al</w:t>
      </w:r>
      <w:r w:rsidR="00716072">
        <w:rPr>
          <w:rFonts w:eastAsia="Arial Unicode MS"/>
        </w:rPr>
        <w:t xml:space="preserve">. </w:t>
      </w:r>
      <w:r w:rsidR="0020728A" w:rsidRPr="0020728A">
        <w:rPr>
          <w:rFonts w:eastAsia="Arial Unicode MS"/>
        </w:rPr>
        <w:t>2005)</w:t>
      </w:r>
      <w:r w:rsidR="00716072">
        <w:rPr>
          <w:rFonts w:eastAsia="Arial Unicode MS"/>
        </w:rPr>
        <w:t xml:space="preserve">. </w:t>
      </w:r>
      <w:r w:rsidR="0067268D">
        <w:rPr>
          <w:rFonts w:eastAsia="Arial Unicode MS"/>
        </w:rPr>
        <w:t xml:space="preserve">It can be </w:t>
      </w:r>
      <w:r w:rsidR="0020728A" w:rsidRPr="0020728A">
        <w:rPr>
          <w:rFonts w:eastAsia="Arial Unicode MS"/>
        </w:rPr>
        <w:t>formed in water treatment plants or from groundwater contaminated by industrial effluents (ATSDR 1989)</w:t>
      </w:r>
      <w:r w:rsidR="00716072">
        <w:rPr>
          <w:rFonts w:eastAsia="Arial Unicode MS"/>
        </w:rPr>
        <w:t xml:space="preserve">. </w:t>
      </w:r>
      <w:r w:rsidRPr="00F80B1F">
        <w:rPr>
          <w:rFonts w:eastAsia="Arial Unicode MS"/>
        </w:rPr>
        <w:t>NDMA precursors are widespread throughout the environment, occurring in plants, fish, algae, urine, and feces (</w:t>
      </w:r>
      <w:proofErr w:type="spellStart"/>
      <w:r w:rsidRPr="00F80B1F">
        <w:rPr>
          <w:rFonts w:eastAsia="Arial Unicode MS"/>
        </w:rPr>
        <w:t>Ayanaba</w:t>
      </w:r>
      <w:proofErr w:type="spellEnd"/>
      <w:r w:rsidRPr="00F80B1F">
        <w:rPr>
          <w:rFonts w:eastAsia="Arial Unicode MS"/>
        </w:rPr>
        <w:t xml:space="preserve"> </w:t>
      </w:r>
      <w:r w:rsidR="00AD01FE">
        <w:rPr>
          <w:rFonts w:eastAsia="Arial Unicode MS"/>
        </w:rPr>
        <w:t>and</w:t>
      </w:r>
      <w:r w:rsidRPr="00F80B1F">
        <w:rPr>
          <w:rFonts w:eastAsia="Arial Unicode MS"/>
        </w:rPr>
        <w:t xml:space="preserve"> Alexander 1974)</w:t>
      </w:r>
      <w:r w:rsidR="00716072">
        <w:rPr>
          <w:rFonts w:eastAsia="Arial Unicode MS"/>
        </w:rPr>
        <w:t xml:space="preserve">. </w:t>
      </w:r>
    </w:p>
    <w:p w14:paraId="278A0189" w14:textId="66D088F5" w:rsidR="00B475D2" w:rsidRDefault="00990250" w:rsidP="00D06A04">
      <w:pPr>
        <w:rPr>
          <w:color w:val="000000"/>
        </w:rPr>
      </w:pPr>
      <w:r>
        <w:t>T</w:t>
      </w:r>
      <w:r w:rsidRPr="00F80B1F">
        <w:t>he chemical properties of NDMA</w:t>
      </w:r>
      <w:r>
        <w:t xml:space="preserve"> can help explain how it is released into the environment</w:t>
      </w:r>
      <w:r w:rsidR="00716072">
        <w:t xml:space="preserve">. </w:t>
      </w:r>
      <w:r w:rsidR="00440534">
        <w:t>In the atmosphere, NDMA exist</w:t>
      </w:r>
      <w:r w:rsidR="00E96124">
        <w:t>s</w:t>
      </w:r>
      <w:r w:rsidR="00440534">
        <w:t xml:space="preserve"> as a vapor, </w:t>
      </w:r>
      <w:r w:rsidR="00E96124">
        <w:t>does</w:t>
      </w:r>
      <w:r w:rsidR="00440534">
        <w:t xml:space="preserve"> not attach to airborne particles, and rapidly degrade</w:t>
      </w:r>
      <w:r w:rsidR="00E96124">
        <w:t>s</w:t>
      </w:r>
      <w:r w:rsidR="00440534">
        <w:t xml:space="preserve"> in sunlight by direct photolysis (NDMA half-life of about 5-30 minutes)</w:t>
      </w:r>
      <w:r w:rsidR="00440534" w:rsidRPr="00440534">
        <w:t xml:space="preserve"> </w:t>
      </w:r>
      <w:r w:rsidR="00440534">
        <w:t xml:space="preserve">(Sax </w:t>
      </w:r>
      <w:r w:rsidR="00E31A4B">
        <w:t>and</w:t>
      </w:r>
      <w:r w:rsidR="00440534">
        <w:t xml:space="preserve"> Lewis 1987)</w:t>
      </w:r>
      <w:r w:rsidR="00716072">
        <w:t xml:space="preserve">. </w:t>
      </w:r>
      <w:r w:rsidR="00440534">
        <w:t>In soil</w:t>
      </w:r>
      <w:r w:rsidR="00F64328">
        <w:t>,</w:t>
      </w:r>
      <w:r w:rsidR="00440534">
        <w:t xml:space="preserve"> it also does not attach to particles</w:t>
      </w:r>
      <w:r w:rsidR="00716072">
        <w:t xml:space="preserve">. </w:t>
      </w:r>
      <w:r w:rsidR="00440534">
        <w:t>Consequently, it is very mobile and can leach into groundwater</w:t>
      </w:r>
      <w:r w:rsidR="00716072">
        <w:t xml:space="preserve">. </w:t>
      </w:r>
      <w:r w:rsidR="00440534">
        <w:t xml:space="preserve">In surface water, </w:t>
      </w:r>
      <w:r w:rsidR="00E96124">
        <w:t>NDMA</w:t>
      </w:r>
      <w:r w:rsidR="00440534">
        <w:t xml:space="preserve"> is also broken down by sunlight though more slowly because of the presence</w:t>
      </w:r>
      <w:r w:rsidR="00F64328">
        <w:t xml:space="preserve"> of other suspended particles</w:t>
      </w:r>
      <w:r w:rsidR="00440534">
        <w:t xml:space="preserve"> (half-life of about 16 minutes)</w:t>
      </w:r>
      <w:r w:rsidR="00716072">
        <w:t xml:space="preserve">. </w:t>
      </w:r>
      <w:r w:rsidR="00440534">
        <w:t xml:space="preserve">In groundwater, it </w:t>
      </w:r>
      <w:r w:rsidR="00131422">
        <w:t xml:space="preserve">can </w:t>
      </w:r>
      <w:r w:rsidR="00440534">
        <w:t xml:space="preserve">readily mix with water, lipids, and organic solvents </w:t>
      </w:r>
      <w:r w:rsidRPr="00F80B1F">
        <w:t>(ATSDR 1989</w:t>
      </w:r>
      <w:r w:rsidR="001821F9">
        <w:t>, 1999</w:t>
      </w:r>
      <w:r w:rsidRPr="00F80B1F">
        <w:t xml:space="preserve">; </w:t>
      </w:r>
      <w:r w:rsidR="001821F9" w:rsidRPr="00F80B1F">
        <w:rPr>
          <w:color w:val="000000"/>
        </w:rPr>
        <w:t>HSDB 20</w:t>
      </w:r>
      <w:r w:rsidR="001821F9">
        <w:rPr>
          <w:color w:val="000000"/>
        </w:rPr>
        <w:t xml:space="preserve">19; </w:t>
      </w:r>
      <w:r w:rsidRPr="00F80B1F">
        <w:t>OME 1991</w:t>
      </w:r>
      <w:r w:rsidR="00664826">
        <w:rPr>
          <w:color w:val="000000"/>
        </w:rPr>
        <w:t>;</w:t>
      </w:r>
      <w:r w:rsidRPr="00F80B1F">
        <w:rPr>
          <w:color w:val="000000"/>
        </w:rPr>
        <w:t xml:space="preserve"> </w:t>
      </w:r>
      <w:r w:rsidR="001821F9" w:rsidRPr="00F80B1F">
        <w:t>Thomas 1982;</w:t>
      </w:r>
      <w:r w:rsidR="001821F9">
        <w:t xml:space="preserve"> </w:t>
      </w:r>
      <w:r w:rsidR="0079240F">
        <w:rPr>
          <w:color w:val="000000"/>
        </w:rPr>
        <w:t xml:space="preserve">US </w:t>
      </w:r>
      <w:r w:rsidRPr="00FC78E5">
        <w:rPr>
          <w:color w:val="000000"/>
        </w:rPr>
        <w:t xml:space="preserve">EPA </w:t>
      </w:r>
      <w:r w:rsidR="003C00B9" w:rsidRPr="00FC78E5">
        <w:rPr>
          <w:color w:val="000000"/>
        </w:rPr>
        <w:t>201</w:t>
      </w:r>
      <w:r w:rsidR="003C00B9">
        <w:rPr>
          <w:color w:val="000000"/>
        </w:rPr>
        <w:t>7</w:t>
      </w:r>
      <w:r w:rsidR="001821F9">
        <w:rPr>
          <w:color w:val="000000"/>
        </w:rPr>
        <w:t>)</w:t>
      </w:r>
      <w:r w:rsidRPr="00F80B1F">
        <w:rPr>
          <w:color w:val="000000"/>
        </w:rPr>
        <w:t>.</w:t>
      </w:r>
    </w:p>
    <w:p w14:paraId="7469A9DA" w14:textId="77777777" w:rsidR="00B475D2" w:rsidRPr="00EA72F7" w:rsidRDefault="00B475D2" w:rsidP="00B26D34">
      <w:pPr>
        <w:pStyle w:val="Heading5"/>
      </w:pPr>
      <w:r w:rsidRPr="00EA72F7">
        <w:lastRenderedPageBreak/>
        <w:t>Health Risks</w:t>
      </w:r>
    </w:p>
    <w:p w14:paraId="14A5FC2C" w14:textId="4BDA3733" w:rsidR="00B475D2" w:rsidRPr="00F80B1F" w:rsidRDefault="00B475D2" w:rsidP="00D06A04">
      <w:r w:rsidRPr="00F80B1F">
        <w:rPr>
          <w:rFonts w:eastAsia="Arial Unicode MS"/>
        </w:rPr>
        <w:t xml:space="preserve">There is overwhelming evidence that NDMA is mutagenic </w:t>
      </w:r>
      <w:r>
        <w:rPr>
          <w:rFonts w:eastAsia="Arial Unicode MS"/>
        </w:rPr>
        <w:t>(i.e., causing an increased rate of change in a gene that can lead to cancer)</w:t>
      </w:r>
      <w:r w:rsidR="000322FD">
        <w:rPr>
          <w:rFonts w:eastAsia="Arial Unicode MS"/>
        </w:rPr>
        <w:t xml:space="preserve">, </w:t>
      </w:r>
      <w:r w:rsidRPr="00F80B1F">
        <w:rPr>
          <w:rFonts w:eastAsia="Arial Unicode MS"/>
        </w:rPr>
        <w:t xml:space="preserve">clastogenic </w:t>
      </w:r>
      <w:r w:rsidRPr="00F80B1F">
        <w:t>(</w:t>
      </w:r>
      <w:r>
        <w:t>i.e., causing a break in chromosomes that can lead to mutagenesis and possibly cancer</w:t>
      </w:r>
      <w:r w:rsidRPr="00F80B1F">
        <w:t>)</w:t>
      </w:r>
      <w:r w:rsidR="000322FD">
        <w:t xml:space="preserve"> and carcinogenic</w:t>
      </w:r>
      <w:r w:rsidR="00217F0C">
        <w:rPr>
          <w:rFonts w:eastAsia="Arial Unicode MS"/>
        </w:rPr>
        <w:t xml:space="preserve"> (</w:t>
      </w:r>
      <w:r w:rsidR="001821F9">
        <w:rPr>
          <w:rFonts w:eastAsia="Arial Unicode MS"/>
        </w:rPr>
        <w:t>ATSDR</w:t>
      </w:r>
      <w:r w:rsidR="001821F9" w:rsidRPr="00F80B1F">
        <w:rPr>
          <w:rFonts w:eastAsia="Arial Unicode MS"/>
        </w:rPr>
        <w:t xml:space="preserve"> 1989</w:t>
      </w:r>
      <w:r w:rsidR="001821F9">
        <w:rPr>
          <w:rFonts w:eastAsia="Arial Unicode MS"/>
        </w:rPr>
        <w:t xml:space="preserve">; </w:t>
      </w:r>
      <w:r w:rsidR="00217F0C">
        <w:rPr>
          <w:rFonts w:eastAsia="Arial Unicode MS"/>
        </w:rPr>
        <w:t>IARC 1978</w:t>
      </w:r>
      <w:r w:rsidR="00B414AB">
        <w:rPr>
          <w:rFonts w:eastAsia="Arial Unicode MS"/>
        </w:rPr>
        <w:t>, 1987</w:t>
      </w:r>
      <w:r w:rsidR="00217F0C">
        <w:rPr>
          <w:rFonts w:eastAsia="Arial Unicode MS"/>
        </w:rPr>
        <w:t>; US EPA</w:t>
      </w:r>
      <w:r w:rsidR="00851B42">
        <w:rPr>
          <w:rFonts w:eastAsia="Arial Unicode MS"/>
        </w:rPr>
        <w:t xml:space="preserve"> 201</w:t>
      </w:r>
      <w:r w:rsidR="003C00B9">
        <w:rPr>
          <w:rFonts w:eastAsia="Arial Unicode MS"/>
        </w:rPr>
        <w:t>7</w:t>
      </w:r>
      <w:r w:rsidRPr="00F80B1F">
        <w:rPr>
          <w:rFonts w:eastAsia="Arial Unicode MS"/>
        </w:rPr>
        <w:t>)</w:t>
      </w:r>
      <w:r w:rsidR="00716072">
        <w:rPr>
          <w:rFonts w:eastAsia="Arial Unicode MS"/>
        </w:rPr>
        <w:t xml:space="preserve">. </w:t>
      </w:r>
      <w:r w:rsidRPr="00F80B1F">
        <w:rPr>
          <w:rFonts w:eastAsia="Arial Unicode MS"/>
        </w:rPr>
        <w:t xml:space="preserve">Increased frequencies of gene mutations, chromosomal damage, </w:t>
      </w:r>
      <w:r>
        <w:rPr>
          <w:rFonts w:eastAsia="Arial Unicode MS"/>
        </w:rPr>
        <w:t>and gene repair</w:t>
      </w:r>
      <w:r w:rsidRPr="00F80B1F">
        <w:rPr>
          <w:rFonts w:eastAsia="Arial Unicode MS"/>
        </w:rPr>
        <w:t>s have been observed in a wide variety of cell assays</w:t>
      </w:r>
      <w:r w:rsidR="00716072">
        <w:rPr>
          <w:rFonts w:eastAsia="Arial Unicode MS"/>
        </w:rPr>
        <w:t xml:space="preserve">. </w:t>
      </w:r>
      <w:r w:rsidRPr="00F80B1F">
        <w:t>Similarly, clear evidence of genetic effects has been observed in</w:t>
      </w:r>
      <w:r w:rsidRPr="00F80B1F">
        <w:rPr>
          <w:i/>
          <w:iCs/>
        </w:rPr>
        <w:t xml:space="preserve"> </w:t>
      </w:r>
      <w:r w:rsidRPr="00F80B1F">
        <w:rPr>
          <w:iCs/>
        </w:rPr>
        <w:t>animal studies</w:t>
      </w:r>
      <w:r w:rsidR="00716072">
        <w:t xml:space="preserve">. </w:t>
      </w:r>
      <w:r w:rsidRPr="00F80B1F">
        <w:rPr>
          <w:rFonts w:eastAsia="Arial Unicode MS"/>
        </w:rPr>
        <w:t xml:space="preserve">Notably, </w:t>
      </w:r>
      <w:r>
        <w:rPr>
          <w:rFonts w:eastAsia="Arial Unicode MS"/>
        </w:rPr>
        <w:t xml:space="preserve">these </w:t>
      </w:r>
      <w:r w:rsidRPr="00F80B1F">
        <w:rPr>
          <w:rFonts w:eastAsia="Arial Unicode MS"/>
        </w:rPr>
        <w:t>genotoxic effects have been observed in liver, kidney, and lung tissues, based upon where tumors commonly arose following experimental exposure to NDMA and from exposure by germ cells</w:t>
      </w:r>
      <w:r w:rsidR="00143FCC">
        <w:rPr>
          <w:rFonts w:eastAsia="Arial Unicode MS"/>
        </w:rPr>
        <w:t xml:space="preserve"> (Gray</w:t>
      </w:r>
      <w:r w:rsidR="009455BD">
        <w:rPr>
          <w:rFonts w:eastAsia="Arial Unicode MS"/>
        </w:rPr>
        <w:t xml:space="preserve"> et al</w:t>
      </w:r>
      <w:r w:rsidR="00716072">
        <w:rPr>
          <w:rFonts w:eastAsia="Arial Unicode MS"/>
        </w:rPr>
        <w:t xml:space="preserve">. </w:t>
      </w:r>
      <w:r w:rsidR="00143FCC">
        <w:rPr>
          <w:rFonts w:eastAsia="Arial Unicode MS"/>
        </w:rPr>
        <w:t>1991)</w:t>
      </w:r>
      <w:r w:rsidR="00716072">
        <w:rPr>
          <w:rFonts w:eastAsia="Arial Unicode MS"/>
        </w:rPr>
        <w:t xml:space="preserve">. </w:t>
      </w:r>
    </w:p>
    <w:p w14:paraId="3EC7CDB8" w14:textId="563E9C75" w:rsidR="00B475D2" w:rsidRPr="00F80B1F" w:rsidRDefault="00B475D2" w:rsidP="00D06A04">
      <w:pPr>
        <w:rPr>
          <w:rFonts w:eastAsia="Arial Unicode MS"/>
        </w:rPr>
      </w:pPr>
      <w:r w:rsidRPr="00F80B1F">
        <w:t>NDMA has been classified by the International Agency for Research on Cancer</w:t>
      </w:r>
      <w:r w:rsidR="00CC5469">
        <w:t xml:space="preserve"> (IARC)</w:t>
      </w:r>
      <w:r w:rsidRPr="00F80B1F">
        <w:t xml:space="preserve"> </w:t>
      </w:r>
      <w:r w:rsidR="00CC5469">
        <w:t>as</w:t>
      </w:r>
      <w:r w:rsidRPr="00F80B1F">
        <w:t xml:space="preserve"> “probably carcinogenic to humans” (IARC 1987), which was upgraded from its previous classification of “possibly carcinogenic to humans” (IARC 1978)</w:t>
      </w:r>
      <w:r w:rsidR="00716072">
        <w:t xml:space="preserve">. </w:t>
      </w:r>
      <w:r w:rsidRPr="00F80B1F">
        <w:t>This classification is consistent with that of Environment Canada and Health Canada (</w:t>
      </w:r>
      <w:r w:rsidR="00231EF3">
        <w:t>Health Canada</w:t>
      </w:r>
      <w:r w:rsidR="00851B42">
        <w:t xml:space="preserve"> </w:t>
      </w:r>
      <w:r w:rsidRPr="00F80B1F">
        <w:t>2001), which indicates that NDMA is highly likely to be carcinogenic to humans</w:t>
      </w:r>
      <w:r w:rsidR="00716072">
        <w:t xml:space="preserve">. </w:t>
      </w:r>
      <w:r w:rsidRPr="00F80B1F">
        <w:t xml:space="preserve">The European Union categorizes NDMA as </w:t>
      </w:r>
      <w:r w:rsidR="0035639B">
        <w:t xml:space="preserve">a </w:t>
      </w:r>
      <w:r w:rsidRPr="00F80B1F">
        <w:t>category 1B carcinogen (i.e., presumed to have carcinogenic potential for humans; largely based on animal evidence)</w:t>
      </w:r>
      <w:r w:rsidR="00716072">
        <w:t xml:space="preserve">. </w:t>
      </w:r>
      <w:r w:rsidRPr="00F80B1F">
        <w:t xml:space="preserve">In the US, the </w:t>
      </w:r>
      <w:r w:rsidR="00401E1B">
        <w:t>EPA</w:t>
      </w:r>
      <w:r w:rsidRPr="00F80B1F">
        <w:t xml:space="preserve"> classifies NDMA as a “probable human carcinogen (category B2)” under its 1986 carcinogen assessment guidelines </w:t>
      </w:r>
      <w:r w:rsidRPr="002265DC">
        <w:t>(</w:t>
      </w:r>
      <w:r w:rsidR="006B0971">
        <w:t>US EPA 201</w:t>
      </w:r>
      <w:r w:rsidR="003C00B9">
        <w:t>7</w:t>
      </w:r>
      <w:r w:rsidR="0035639B">
        <w:t>).</w:t>
      </w:r>
    </w:p>
    <w:p w14:paraId="09B81586" w14:textId="77777777" w:rsidR="00E60A5A" w:rsidRDefault="00B475D2" w:rsidP="00D06A04">
      <w:r w:rsidRPr="00F80B1F">
        <w:rPr>
          <w:rFonts w:eastAsia="Arial Unicode MS"/>
        </w:rPr>
        <w:t xml:space="preserve">Although epidemiological studies are limited, </w:t>
      </w:r>
      <w:r w:rsidR="00DD0A55">
        <w:rPr>
          <w:rFonts w:eastAsia="Arial Unicode MS"/>
        </w:rPr>
        <w:t>results</w:t>
      </w:r>
      <w:r w:rsidRPr="00F80B1F">
        <w:rPr>
          <w:rFonts w:eastAsia="Arial Unicode MS"/>
        </w:rPr>
        <w:t xml:space="preserve"> have been suggestive of an association between exposure to NDMA and several forms of cancer, most consistently with gastric and lung cancer</w:t>
      </w:r>
      <w:r w:rsidR="00716072">
        <w:rPr>
          <w:rFonts w:eastAsia="Arial Unicode MS"/>
        </w:rPr>
        <w:t xml:space="preserve">. </w:t>
      </w:r>
      <w:r w:rsidR="00DD0A55">
        <w:rPr>
          <w:rFonts w:eastAsia="Arial Unicode MS"/>
        </w:rPr>
        <w:t>Exposure to</w:t>
      </w:r>
      <w:r w:rsidRPr="00F80B1F">
        <w:rPr>
          <w:rFonts w:eastAsia="Arial Unicode MS"/>
        </w:rPr>
        <w:t xml:space="preserve"> NDMA in these studies has been </w:t>
      </w:r>
      <w:r w:rsidR="00DD0A55">
        <w:rPr>
          <w:rFonts w:eastAsia="Arial Unicode MS"/>
        </w:rPr>
        <w:t>f</w:t>
      </w:r>
      <w:r w:rsidRPr="00F80B1F">
        <w:rPr>
          <w:rFonts w:eastAsia="Arial Unicode MS"/>
        </w:rPr>
        <w:t>rom the ingestion of foods containing NDMA</w:t>
      </w:r>
      <w:r w:rsidR="00716072">
        <w:rPr>
          <w:rFonts w:eastAsia="Arial Unicode MS"/>
        </w:rPr>
        <w:t xml:space="preserve">. </w:t>
      </w:r>
      <w:r w:rsidRPr="00F80B1F">
        <w:t>Relevant epidemiological studies include case–control investigations of cancer of the stomach (</w:t>
      </w:r>
      <w:r w:rsidR="001821F9" w:rsidRPr="00F80B1F">
        <w:t>González et al</w:t>
      </w:r>
      <w:r w:rsidR="001821F9">
        <w:t xml:space="preserve">. </w:t>
      </w:r>
      <w:r w:rsidR="001821F9" w:rsidRPr="00F80B1F">
        <w:t>1994</w:t>
      </w:r>
      <w:r w:rsidR="001821F9">
        <w:t xml:space="preserve">; </w:t>
      </w:r>
      <w:r w:rsidR="001821F9" w:rsidRPr="00F80B1F">
        <w:t xml:space="preserve">La </w:t>
      </w:r>
      <w:proofErr w:type="spellStart"/>
      <w:r w:rsidR="001821F9" w:rsidRPr="00F80B1F">
        <w:t>Vecchia</w:t>
      </w:r>
      <w:proofErr w:type="spellEnd"/>
      <w:r w:rsidR="001821F9" w:rsidRPr="00F80B1F">
        <w:t xml:space="preserve"> et al</w:t>
      </w:r>
      <w:r w:rsidR="001821F9">
        <w:t xml:space="preserve">. </w:t>
      </w:r>
      <w:r w:rsidR="001821F9" w:rsidRPr="00F80B1F">
        <w:t xml:space="preserve">1995; </w:t>
      </w:r>
      <w:proofErr w:type="spellStart"/>
      <w:r w:rsidR="001821F9" w:rsidRPr="00F80B1F">
        <w:t>Pobel</w:t>
      </w:r>
      <w:proofErr w:type="spellEnd"/>
      <w:r w:rsidR="001821F9" w:rsidRPr="00F80B1F">
        <w:t xml:space="preserve"> et al</w:t>
      </w:r>
      <w:r w:rsidR="001821F9">
        <w:t xml:space="preserve">. </w:t>
      </w:r>
      <w:r w:rsidR="001821F9" w:rsidRPr="00F80B1F">
        <w:t>1995</w:t>
      </w:r>
      <w:r w:rsidR="001821F9">
        <w:t xml:space="preserve">; </w:t>
      </w:r>
      <w:proofErr w:type="spellStart"/>
      <w:r w:rsidRPr="00F80B1F">
        <w:t>Risch</w:t>
      </w:r>
      <w:proofErr w:type="spellEnd"/>
      <w:r w:rsidRPr="00F80B1F">
        <w:t xml:space="preserve"> et al</w:t>
      </w:r>
      <w:r w:rsidR="00716072">
        <w:t xml:space="preserve">. </w:t>
      </w:r>
      <w:r w:rsidRPr="00F80B1F">
        <w:t>1985), upper digestive tract (Rogers et al</w:t>
      </w:r>
      <w:r w:rsidR="00716072">
        <w:t xml:space="preserve">. </w:t>
      </w:r>
      <w:r w:rsidRPr="00F80B1F">
        <w:t>1995), lung (De Stefani et al</w:t>
      </w:r>
      <w:r w:rsidR="00716072">
        <w:t xml:space="preserve">. </w:t>
      </w:r>
      <w:r w:rsidRPr="00F80B1F">
        <w:t>1996</w:t>
      </w:r>
      <w:r w:rsidR="001821F9">
        <w:t>;</w:t>
      </w:r>
      <w:r w:rsidR="001821F9" w:rsidRPr="001821F9">
        <w:t xml:space="preserve"> </w:t>
      </w:r>
      <w:r w:rsidR="001821F9" w:rsidRPr="00F80B1F">
        <w:t>Goodman et al</w:t>
      </w:r>
      <w:r w:rsidR="001821F9">
        <w:t xml:space="preserve">. </w:t>
      </w:r>
      <w:r w:rsidR="001821F9" w:rsidRPr="00F80B1F">
        <w:t>1992</w:t>
      </w:r>
      <w:r w:rsidRPr="00F80B1F">
        <w:t>), and childhood brain cancer (</w:t>
      </w:r>
      <w:proofErr w:type="spellStart"/>
      <w:r>
        <w:t>Huncharek</w:t>
      </w:r>
      <w:proofErr w:type="spellEnd"/>
      <w:r w:rsidR="00D420CF">
        <w:t xml:space="preserve"> and </w:t>
      </w:r>
      <w:proofErr w:type="spellStart"/>
      <w:r w:rsidR="00D420CF">
        <w:t>Kupelnick</w:t>
      </w:r>
      <w:proofErr w:type="spellEnd"/>
      <w:r>
        <w:t xml:space="preserve"> 2004</w:t>
      </w:r>
      <w:r w:rsidRPr="00D11864">
        <w:t>)</w:t>
      </w:r>
      <w:r w:rsidRPr="00F80B1F">
        <w:t>, in which the potential risks were found to be associated with ingestion of NDMA</w:t>
      </w:r>
      <w:r w:rsidR="00716072">
        <w:t xml:space="preserve">. </w:t>
      </w:r>
      <w:r w:rsidR="00231EF3">
        <w:t>There have been no human epidemiological studies</w:t>
      </w:r>
      <w:r w:rsidR="000E322C">
        <w:t xml:space="preserve"> of NDMA in drinking water or associations reported between NDMA exposure and leukemia or lymphoma.</w:t>
      </w:r>
      <w:r w:rsidR="00E60A5A">
        <w:t xml:space="preserve"> </w:t>
      </w:r>
    </w:p>
    <w:p w14:paraId="3A1710BD" w14:textId="72D2529C" w:rsidR="00B475D2" w:rsidRPr="00F80B1F" w:rsidRDefault="00B475D2" w:rsidP="00D06A04">
      <w:pPr>
        <w:rPr>
          <w:rFonts w:eastAsia="Arial Unicode MS"/>
        </w:rPr>
      </w:pPr>
      <w:r w:rsidRPr="00F80B1F">
        <w:rPr>
          <w:rFonts w:eastAsia="Arial Unicode MS"/>
        </w:rPr>
        <w:t xml:space="preserve">Information on non-cancer effects in humans and experimental animals associated with exposure to NDMA is inadequate to characterize exposure–response </w:t>
      </w:r>
      <w:r w:rsidRPr="003A1597">
        <w:rPr>
          <w:rFonts w:eastAsia="Arial Unicode MS"/>
        </w:rPr>
        <w:t>(</w:t>
      </w:r>
      <w:r>
        <w:rPr>
          <w:rFonts w:eastAsia="Arial Unicode MS"/>
        </w:rPr>
        <w:t>WHO 2002</w:t>
      </w:r>
      <w:r w:rsidRPr="003A1597">
        <w:rPr>
          <w:rFonts w:eastAsia="Arial Unicode MS"/>
        </w:rPr>
        <w:t>).</w:t>
      </w:r>
    </w:p>
    <w:p w14:paraId="623148D7" w14:textId="20B1DE74" w:rsidR="00581DB6" w:rsidRPr="00B26D34" w:rsidRDefault="003743D3" w:rsidP="00B26D34">
      <w:pPr>
        <w:pStyle w:val="Heading5"/>
        <w:spacing w:after="0"/>
      </w:pPr>
      <w:r w:rsidRPr="00F80B1F">
        <w:t>Source</w:t>
      </w:r>
      <w:r w:rsidR="008D2155" w:rsidRPr="00F80B1F">
        <w:t>s of E</w:t>
      </w:r>
      <w:r w:rsidRPr="00F80B1F">
        <w:t>xposure</w:t>
      </w:r>
      <w:r w:rsidR="00D0288F" w:rsidRPr="00F80B1F">
        <w:t xml:space="preserve"> to NDMA</w:t>
      </w:r>
    </w:p>
    <w:p w14:paraId="253E5211" w14:textId="615DAFE2" w:rsidR="0015450E" w:rsidRPr="00F80B1F" w:rsidRDefault="00346D55" w:rsidP="00D06A04">
      <w:r w:rsidRPr="00346D55">
        <w:rPr>
          <w:rFonts w:eastAsia="Arial Unicode MS"/>
        </w:rPr>
        <w:t xml:space="preserve">The principal source of </w:t>
      </w:r>
      <w:r>
        <w:rPr>
          <w:rFonts w:eastAsia="Arial Unicode MS"/>
        </w:rPr>
        <w:t xml:space="preserve">exposure to </w:t>
      </w:r>
      <w:r w:rsidRPr="00346D55">
        <w:rPr>
          <w:rFonts w:eastAsia="Arial Unicode MS"/>
        </w:rPr>
        <w:t>NDMA for humans in the general population</w:t>
      </w:r>
      <w:r w:rsidR="000A7010">
        <w:rPr>
          <w:rFonts w:eastAsia="Arial Unicode MS"/>
        </w:rPr>
        <w:t>,</w:t>
      </w:r>
      <w:r w:rsidRPr="00346D55">
        <w:rPr>
          <w:rFonts w:eastAsia="Arial Unicode MS"/>
        </w:rPr>
        <w:t xml:space="preserve"> </w:t>
      </w:r>
      <w:r w:rsidR="00593EBE">
        <w:rPr>
          <w:rFonts w:eastAsia="Arial Unicode MS"/>
        </w:rPr>
        <w:t>both</w:t>
      </w:r>
      <w:r w:rsidR="002F7C14">
        <w:rPr>
          <w:rFonts w:eastAsia="Arial Unicode MS"/>
        </w:rPr>
        <w:t xml:space="preserve"> past and present</w:t>
      </w:r>
      <w:r w:rsidR="000A7010">
        <w:rPr>
          <w:rFonts w:eastAsia="Arial Unicode MS"/>
        </w:rPr>
        <w:t>,</w:t>
      </w:r>
      <w:r w:rsidR="002F7C14">
        <w:rPr>
          <w:rFonts w:eastAsia="Arial Unicode MS"/>
        </w:rPr>
        <w:t xml:space="preserve"> </w:t>
      </w:r>
      <w:r w:rsidRPr="00346D55">
        <w:rPr>
          <w:rFonts w:eastAsia="Arial Unicode MS"/>
        </w:rPr>
        <w:t>is from the ingestion of food (ATSDR 1999)</w:t>
      </w:r>
      <w:r w:rsidR="00716072">
        <w:rPr>
          <w:rFonts w:eastAsia="Arial Unicode MS"/>
        </w:rPr>
        <w:t xml:space="preserve">. </w:t>
      </w:r>
      <w:r w:rsidR="000A7010" w:rsidRPr="00346D55">
        <w:rPr>
          <w:rFonts w:eastAsia="Arial Unicode MS"/>
        </w:rPr>
        <w:t xml:space="preserve">NDMA has been </w:t>
      </w:r>
      <w:r w:rsidR="000A7010" w:rsidRPr="00346D55">
        <w:rPr>
          <w:rFonts w:eastAsia="Arial Unicode MS"/>
        </w:rPr>
        <w:lastRenderedPageBreak/>
        <w:t>demonstrated most frequently in beer, cured meat, fish products, and some cheeses</w:t>
      </w:r>
      <w:r w:rsidR="000A7010">
        <w:rPr>
          <w:rFonts w:eastAsia="Arial Unicode MS"/>
        </w:rPr>
        <w:t>. Although l</w:t>
      </w:r>
      <w:r w:rsidR="000A7010" w:rsidRPr="00346D55">
        <w:rPr>
          <w:rFonts w:eastAsia="Arial Unicode MS"/>
        </w:rPr>
        <w:t>evels of NDMA in these products have decreased in recent years as a result of changes in food processing</w:t>
      </w:r>
      <w:r w:rsidR="00336134">
        <w:rPr>
          <w:rFonts w:eastAsia="Arial Unicode MS"/>
        </w:rPr>
        <w:t xml:space="preserve"> (Sen and </w:t>
      </w:r>
      <w:proofErr w:type="spellStart"/>
      <w:r w:rsidR="00336134">
        <w:rPr>
          <w:rFonts w:eastAsia="Arial Unicode MS"/>
        </w:rPr>
        <w:t>Baddoo</w:t>
      </w:r>
      <w:proofErr w:type="spellEnd"/>
      <w:r w:rsidR="00336134">
        <w:rPr>
          <w:rFonts w:eastAsia="Arial Unicode MS"/>
        </w:rPr>
        <w:t xml:space="preserve"> 1997)</w:t>
      </w:r>
      <w:r w:rsidR="000A7010">
        <w:rPr>
          <w:rFonts w:eastAsia="Arial Unicode MS"/>
        </w:rPr>
        <w:t xml:space="preserve">, ingestion of food containing </w:t>
      </w:r>
      <w:r w:rsidR="00593EBE">
        <w:rPr>
          <w:rFonts w:eastAsia="Arial Unicode MS"/>
        </w:rPr>
        <w:t xml:space="preserve">NDMA </w:t>
      </w:r>
      <w:r w:rsidR="000A7010" w:rsidRPr="002F7C14">
        <w:rPr>
          <w:color w:val="000000"/>
        </w:rPr>
        <w:t xml:space="preserve">precursors (e.g., </w:t>
      </w:r>
      <w:r w:rsidR="000A7010">
        <w:rPr>
          <w:color w:val="000000"/>
        </w:rPr>
        <w:t xml:space="preserve">nitrites and </w:t>
      </w:r>
      <w:r w:rsidR="000A7010" w:rsidRPr="002F7C14">
        <w:rPr>
          <w:color w:val="000000"/>
        </w:rPr>
        <w:t>nitrates</w:t>
      </w:r>
      <w:r w:rsidR="00593EBE">
        <w:rPr>
          <w:color w:val="000000"/>
        </w:rPr>
        <w:t>)</w:t>
      </w:r>
      <w:r w:rsidR="00593EBE">
        <w:rPr>
          <w:rFonts w:eastAsia="Arial Unicode MS"/>
        </w:rPr>
        <w:t xml:space="preserve"> can lead to the formation of NDMA in the body</w:t>
      </w:r>
      <w:r w:rsidR="000A7010">
        <w:rPr>
          <w:color w:val="000000"/>
        </w:rPr>
        <w:t>.</w:t>
      </w:r>
      <w:r w:rsidR="000A7010" w:rsidRPr="002F7C14">
        <w:rPr>
          <w:color w:val="000000"/>
        </w:rPr>
        <w:t xml:space="preserve"> </w:t>
      </w:r>
      <w:r w:rsidR="00593EBE">
        <w:rPr>
          <w:color w:val="000000"/>
        </w:rPr>
        <w:t>I</w:t>
      </w:r>
      <w:r w:rsidR="000740CA">
        <w:rPr>
          <w:color w:val="000000"/>
        </w:rPr>
        <w:t xml:space="preserve">ngestion of </w:t>
      </w:r>
      <w:r w:rsidR="00593EBE">
        <w:rPr>
          <w:color w:val="000000"/>
        </w:rPr>
        <w:t>food containing NDMA or NDMA-</w:t>
      </w:r>
      <w:r w:rsidR="000740CA" w:rsidRPr="002F7C14">
        <w:rPr>
          <w:color w:val="000000"/>
        </w:rPr>
        <w:t xml:space="preserve">precursors </w:t>
      </w:r>
      <w:r w:rsidR="00A34592" w:rsidRPr="002F7C14">
        <w:rPr>
          <w:color w:val="000000"/>
        </w:rPr>
        <w:t>appear</w:t>
      </w:r>
      <w:r w:rsidR="00593EBE">
        <w:rPr>
          <w:color w:val="000000"/>
        </w:rPr>
        <w:t>s</w:t>
      </w:r>
      <w:r w:rsidR="00A34592" w:rsidRPr="002F7C14">
        <w:rPr>
          <w:color w:val="000000"/>
        </w:rPr>
        <w:t xml:space="preserve"> to be responsible for most human exposure to NDMA (</w:t>
      </w:r>
      <w:proofErr w:type="spellStart"/>
      <w:r w:rsidR="00A34592" w:rsidRPr="002F7C14">
        <w:rPr>
          <w:color w:val="000000"/>
        </w:rPr>
        <w:t>Hrudey</w:t>
      </w:r>
      <w:proofErr w:type="spellEnd"/>
      <w:r w:rsidR="00A34592" w:rsidRPr="002F7C14">
        <w:rPr>
          <w:color w:val="000000"/>
        </w:rPr>
        <w:t xml:space="preserve"> 2013)</w:t>
      </w:r>
      <w:r w:rsidR="00716072">
        <w:rPr>
          <w:color w:val="000000"/>
        </w:rPr>
        <w:t>.</w:t>
      </w:r>
    </w:p>
    <w:p w14:paraId="62DF1B68" w14:textId="5D8CA448" w:rsidR="00E96124" w:rsidRDefault="00593EBE" w:rsidP="00D06A04">
      <w:r>
        <w:rPr>
          <w:rFonts w:eastAsia="Arial Unicode MS"/>
        </w:rPr>
        <w:t>Historically, o</w:t>
      </w:r>
      <w:r w:rsidR="00346D55">
        <w:rPr>
          <w:rFonts w:eastAsia="Arial Unicode MS"/>
        </w:rPr>
        <w:t>ther sources of e</w:t>
      </w:r>
      <w:r w:rsidR="004305E2" w:rsidRPr="00F80B1F">
        <w:rPr>
          <w:rFonts w:eastAsia="Arial Unicode MS"/>
        </w:rPr>
        <w:t xml:space="preserve">xposure to NDMA </w:t>
      </w:r>
      <w:r>
        <w:rPr>
          <w:rFonts w:eastAsia="Arial Unicode MS"/>
        </w:rPr>
        <w:t>include</w:t>
      </w:r>
      <w:r w:rsidR="004305E2" w:rsidRPr="00F80B1F">
        <w:rPr>
          <w:rFonts w:eastAsia="Arial Unicode MS"/>
        </w:rPr>
        <w:t xml:space="preserve"> consumer products that contain NDMA such as cosmetics, personal care products, and tobacco</w:t>
      </w:r>
      <w:r>
        <w:rPr>
          <w:rFonts w:eastAsia="Arial Unicode MS"/>
        </w:rPr>
        <w:t xml:space="preserve"> </w:t>
      </w:r>
      <w:r w:rsidRPr="00F80B1F">
        <w:t>(</w:t>
      </w:r>
      <w:r w:rsidR="001821F9">
        <w:t xml:space="preserve">ATSDR 1989; </w:t>
      </w:r>
      <w:proofErr w:type="spellStart"/>
      <w:r w:rsidRPr="00F80B1F">
        <w:t>Spiegelhalder</w:t>
      </w:r>
      <w:proofErr w:type="spellEnd"/>
      <w:r>
        <w:t xml:space="preserve"> </w:t>
      </w:r>
      <w:r w:rsidR="00E96124">
        <w:t xml:space="preserve">and </w:t>
      </w:r>
      <w:proofErr w:type="spellStart"/>
      <w:r w:rsidRPr="00F80B1F">
        <w:t>Preussmann</w:t>
      </w:r>
      <w:proofErr w:type="spellEnd"/>
      <w:r w:rsidRPr="00F80B1F">
        <w:t>, 1984</w:t>
      </w:r>
      <w:r w:rsidRPr="00F80B1F">
        <w:rPr>
          <w:rFonts w:eastAsia="Arial Unicode MS"/>
        </w:rPr>
        <w:t>)</w:t>
      </w:r>
      <w:r w:rsidR="00716072">
        <w:rPr>
          <w:rFonts w:eastAsia="Arial Unicode MS"/>
        </w:rPr>
        <w:t xml:space="preserve">. </w:t>
      </w:r>
      <w:r w:rsidR="004305E2" w:rsidRPr="00F80B1F">
        <w:t>NDMA ha</w:t>
      </w:r>
      <w:r>
        <w:t>s</w:t>
      </w:r>
      <w:r w:rsidR="004305E2" w:rsidRPr="00F80B1F">
        <w:t xml:space="preserve"> </w:t>
      </w:r>
      <w:r>
        <w:t xml:space="preserve">also been found </w:t>
      </w:r>
      <w:r w:rsidR="004305E2" w:rsidRPr="00F80B1F">
        <w:t>in indoor air contaminated with en</w:t>
      </w:r>
      <w:r>
        <w:t xml:space="preserve">vironmental tobacco smoke </w:t>
      </w:r>
      <w:r w:rsidR="004305E2" w:rsidRPr="00F80B1F">
        <w:t>in the US (</w:t>
      </w:r>
      <w:proofErr w:type="spellStart"/>
      <w:r w:rsidR="004305E2" w:rsidRPr="00F80B1F">
        <w:t>Brunnemann</w:t>
      </w:r>
      <w:proofErr w:type="spellEnd"/>
      <w:r w:rsidR="004305E2" w:rsidRPr="00F80B1F">
        <w:t xml:space="preserve"> </w:t>
      </w:r>
      <w:r w:rsidR="00E96124">
        <w:t>and</w:t>
      </w:r>
      <w:r w:rsidR="004305E2" w:rsidRPr="00F80B1F">
        <w:t xml:space="preserve"> Hoffmann 1978) and in Austria (</w:t>
      </w:r>
      <w:proofErr w:type="spellStart"/>
      <w:r w:rsidR="00E5561F" w:rsidRPr="00F80B1F">
        <w:t>Klus</w:t>
      </w:r>
      <w:proofErr w:type="spellEnd"/>
      <w:r w:rsidR="00E5561F" w:rsidRPr="00F80B1F">
        <w:t xml:space="preserve"> et al. 1992</w:t>
      </w:r>
      <w:r w:rsidR="00E5561F">
        <w:t xml:space="preserve">; </w:t>
      </w:r>
      <w:r w:rsidR="004305E2" w:rsidRPr="00F80B1F">
        <w:t>Stehlik et al. 1982)</w:t>
      </w:r>
      <w:r w:rsidR="00716072">
        <w:t>.</w:t>
      </w:r>
    </w:p>
    <w:p w14:paraId="535A8D9E" w14:textId="74392C65" w:rsidR="009B1A48" w:rsidRDefault="00990250" w:rsidP="00D06A04">
      <w:pPr>
        <w:rPr>
          <w:rFonts w:eastAsia="Arial Unicode MS"/>
        </w:rPr>
      </w:pPr>
      <w:r>
        <w:rPr>
          <w:rFonts w:eastAsia="Arial Unicode MS"/>
        </w:rPr>
        <w:t xml:space="preserve">Drinking water </w:t>
      </w:r>
      <w:r w:rsidR="00CF0D6B">
        <w:rPr>
          <w:rFonts w:eastAsia="Arial Unicode MS"/>
        </w:rPr>
        <w:t xml:space="preserve">has been the most thoroughly studied source of NDMA exposure and it </w:t>
      </w:r>
      <w:r>
        <w:rPr>
          <w:rFonts w:eastAsia="Arial Unicode MS"/>
        </w:rPr>
        <w:t xml:space="preserve">has been reported to be both a past and present source of </w:t>
      </w:r>
      <w:r w:rsidR="00CF0D6B">
        <w:rPr>
          <w:rFonts w:eastAsia="Arial Unicode MS"/>
        </w:rPr>
        <w:t>e</w:t>
      </w:r>
      <w:r>
        <w:rPr>
          <w:rFonts w:eastAsia="Arial Unicode MS"/>
        </w:rPr>
        <w:t>xposure</w:t>
      </w:r>
      <w:r w:rsidR="00716072">
        <w:rPr>
          <w:rFonts w:eastAsia="Arial Unicode MS"/>
        </w:rPr>
        <w:t xml:space="preserve">. </w:t>
      </w:r>
      <w:r>
        <w:rPr>
          <w:rFonts w:eastAsia="Arial Unicode MS"/>
        </w:rPr>
        <w:t>However, d</w:t>
      </w:r>
      <w:r w:rsidR="00F651E2" w:rsidRPr="00F80B1F">
        <w:rPr>
          <w:rFonts w:eastAsia="Arial Unicode MS"/>
        </w:rPr>
        <w:t>rinking water sources</w:t>
      </w:r>
      <w:r w:rsidR="00346D55">
        <w:rPr>
          <w:rFonts w:eastAsia="Arial Unicode MS"/>
        </w:rPr>
        <w:t xml:space="preserve"> </w:t>
      </w:r>
      <w:r w:rsidR="00F9359E" w:rsidRPr="00F80B1F">
        <w:rPr>
          <w:rFonts w:eastAsia="Arial Unicode MS"/>
        </w:rPr>
        <w:t>h</w:t>
      </w:r>
      <w:r w:rsidR="00F651E2" w:rsidRPr="00F80B1F">
        <w:rPr>
          <w:rFonts w:eastAsia="Arial Unicode MS"/>
        </w:rPr>
        <w:t xml:space="preserve">ave been reported to </w:t>
      </w:r>
      <w:r w:rsidR="009B1A48">
        <w:rPr>
          <w:rFonts w:eastAsia="Arial Unicode MS"/>
        </w:rPr>
        <w:t xml:space="preserve">typically </w:t>
      </w:r>
      <w:r w:rsidR="00F651E2" w:rsidRPr="00F80B1F">
        <w:rPr>
          <w:rFonts w:eastAsia="Arial Unicode MS"/>
        </w:rPr>
        <w:t xml:space="preserve">contribute </w:t>
      </w:r>
      <w:r w:rsidR="00F9359E" w:rsidRPr="00F80B1F">
        <w:rPr>
          <w:rFonts w:eastAsia="Arial Unicode MS"/>
        </w:rPr>
        <w:t xml:space="preserve">only a small proportion of NDMA when compared to </w:t>
      </w:r>
      <w:r>
        <w:rPr>
          <w:rFonts w:eastAsia="Arial Unicode MS"/>
        </w:rPr>
        <w:t xml:space="preserve">food and </w:t>
      </w:r>
      <w:r w:rsidR="00F9359E" w:rsidRPr="00F80B1F">
        <w:rPr>
          <w:rFonts w:eastAsia="Arial Unicode MS"/>
        </w:rPr>
        <w:t>consumer products</w:t>
      </w:r>
      <w:r w:rsidR="003F2BB0">
        <w:rPr>
          <w:rFonts w:eastAsia="Arial Unicode MS"/>
        </w:rPr>
        <w:t xml:space="preserve"> (</w:t>
      </w:r>
      <w:proofErr w:type="spellStart"/>
      <w:r w:rsidR="003F2BB0">
        <w:rPr>
          <w:rFonts w:eastAsia="Arial Unicode MS"/>
        </w:rPr>
        <w:t>Hrudey</w:t>
      </w:r>
      <w:proofErr w:type="spellEnd"/>
      <w:r w:rsidR="003F2BB0">
        <w:rPr>
          <w:rFonts w:eastAsia="Arial Unicode MS"/>
        </w:rPr>
        <w:t xml:space="preserve"> et al. 2013; </w:t>
      </w:r>
      <w:proofErr w:type="spellStart"/>
      <w:r w:rsidR="003F2BB0">
        <w:rPr>
          <w:rFonts w:eastAsia="Arial Unicode MS"/>
        </w:rPr>
        <w:t>Fristachi</w:t>
      </w:r>
      <w:proofErr w:type="spellEnd"/>
      <w:r w:rsidR="003F2BB0">
        <w:rPr>
          <w:rFonts w:eastAsia="Arial Unicode MS"/>
        </w:rPr>
        <w:t xml:space="preserve"> and Rice 2007)</w:t>
      </w:r>
      <w:r w:rsidR="00716072">
        <w:rPr>
          <w:rFonts w:eastAsia="Arial Unicode MS"/>
        </w:rPr>
        <w:t xml:space="preserve">. </w:t>
      </w:r>
      <w:proofErr w:type="spellStart"/>
      <w:r w:rsidR="00F9359E" w:rsidRPr="00F80B1F">
        <w:rPr>
          <w:rFonts w:eastAsia="Arial Unicode MS"/>
        </w:rPr>
        <w:t>Zeilmaker’s</w:t>
      </w:r>
      <w:proofErr w:type="spellEnd"/>
      <w:r w:rsidR="00F9359E" w:rsidRPr="00F80B1F">
        <w:rPr>
          <w:rFonts w:eastAsia="Arial Unicode MS"/>
        </w:rPr>
        <w:t xml:space="preserve"> (2010) review of literature presented that the proportion of NDMA </w:t>
      </w:r>
      <w:r w:rsidR="00694855">
        <w:rPr>
          <w:rFonts w:eastAsia="Arial Unicode MS"/>
        </w:rPr>
        <w:t>intake coming</w:t>
      </w:r>
      <w:r w:rsidR="00F9359E" w:rsidRPr="00F80B1F">
        <w:rPr>
          <w:rFonts w:eastAsia="Arial Unicode MS"/>
        </w:rPr>
        <w:t xml:space="preserve"> directly from food may be more than 200 times greater </w:t>
      </w:r>
      <w:r w:rsidR="00694855">
        <w:rPr>
          <w:rFonts w:eastAsia="Arial Unicode MS"/>
        </w:rPr>
        <w:t xml:space="preserve">than </w:t>
      </w:r>
      <w:r w:rsidR="003F2BB0">
        <w:rPr>
          <w:rFonts w:eastAsia="Arial Unicode MS"/>
        </w:rPr>
        <w:t xml:space="preserve">that </w:t>
      </w:r>
      <w:r w:rsidR="00F9359E" w:rsidRPr="00F80B1F">
        <w:rPr>
          <w:rFonts w:eastAsia="Arial Unicode MS"/>
        </w:rPr>
        <w:t>from drinking water</w:t>
      </w:r>
      <w:r w:rsidR="00716072">
        <w:rPr>
          <w:rFonts w:eastAsia="Arial Unicode MS"/>
        </w:rPr>
        <w:t xml:space="preserve">. </w:t>
      </w:r>
      <w:proofErr w:type="spellStart"/>
      <w:r w:rsidR="005333DE" w:rsidRPr="00F80B1F">
        <w:rPr>
          <w:rFonts w:eastAsia="Arial Unicode MS"/>
        </w:rPr>
        <w:t>Hrudey</w:t>
      </w:r>
      <w:proofErr w:type="spellEnd"/>
      <w:r w:rsidR="005333DE" w:rsidRPr="00F80B1F">
        <w:rPr>
          <w:rFonts w:eastAsia="Arial Unicode MS"/>
        </w:rPr>
        <w:t xml:space="preserve"> (2013) states that about one third of</w:t>
      </w:r>
      <w:r w:rsidR="0027321E">
        <w:rPr>
          <w:rFonts w:eastAsia="Arial Unicode MS"/>
        </w:rPr>
        <w:t xml:space="preserve"> the U.S. population</w:t>
      </w:r>
      <w:r w:rsidR="005333DE" w:rsidRPr="00F80B1F">
        <w:rPr>
          <w:rFonts w:eastAsia="Arial Unicode MS"/>
        </w:rPr>
        <w:t xml:space="preserve"> </w:t>
      </w:r>
      <w:r w:rsidR="0027321E">
        <w:rPr>
          <w:rFonts w:eastAsia="Arial Unicode MS"/>
        </w:rPr>
        <w:t xml:space="preserve">who receive water from </w:t>
      </w:r>
      <w:r w:rsidR="005333DE" w:rsidRPr="00F80B1F">
        <w:rPr>
          <w:rFonts w:eastAsia="Arial Unicode MS"/>
        </w:rPr>
        <w:t xml:space="preserve">public water supplies in the US </w:t>
      </w:r>
      <w:r w:rsidR="0027321E">
        <w:rPr>
          <w:rFonts w:eastAsia="Arial Unicode MS"/>
        </w:rPr>
        <w:t xml:space="preserve">are exposed to </w:t>
      </w:r>
      <w:r w:rsidR="00EE06AE">
        <w:rPr>
          <w:rFonts w:eastAsia="Arial Unicode MS"/>
        </w:rPr>
        <w:t>any</w:t>
      </w:r>
      <w:r w:rsidR="005333DE" w:rsidRPr="00F80B1F">
        <w:rPr>
          <w:rFonts w:eastAsia="Arial Unicode MS"/>
        </w:rPr>
        <w:t xml:space="preserve"> NDMA</w:t>
      </w:r>
      <w:r w:rsidR="00A65CE8">
        <w:rPr>
          <w:rFonts w:eastAsia="Arial Unicode MS"/>
        </w:rPr>
        <w:t xml:space="preserve">, </w:t>
      </w:r>
      <w:r w:rsidR="003F2BB0">
        <w:rPr>
          <w:rFonts w:eastAsia="Arial Unicode MS"/>
        </w:rPr>
        <w:t>but</w:t>
      </w:r>
      <w:r w:rsidR="00A65CE8">
        <w:rPr>
          <w:rFonts w:eastAsia="Arial Unicode MS"/>
        </w:rPr>
        <w:t xml:space="preserve"> c</w:t>
      </w:r>
      <w:r w:rsidR="003F2BB0">
        <w:rPr>
          <w:rFonts w:eastAsia="Arial Unicode MS"/>
        </w:rPr>
        <w:t xml:space="preserve">oncentrations are generally low. </w:t>
      </w:r>
      <w:r w:rsidR="0085476A">
        <w:rPr>
          <w:rFonts w:eastAsia="Arial Unicode MS"/>
        </w:rPr>
        <w:t xml:space="preserve">Based on the sample data that </w:t>
      </w:r>
      <w:proofErr w:type="spellStart"/>
      <w:r w:rsidR="00EE06AE">
        <w:rPr>
          <w:rFonts w:eastAsia="Arial Unicode MS"/>
        </w:rPr>
        <w:t>Hrudey</w:t>
      </w:r>
      <w:proofErr w:type="spellEnd"/>
      <w:r w:rsidR="00EE06AE">
        <w:rPr>
          <w:rFonts w:eastAsia="Arial Unicode MS"/>
        </w:rPr>
        <w:t xml:space="preserve"> (2013) </w:t>
      </w:r>
      <w:r w:rsidR="0027321E">
        <w:rPr>
          <w:rFonts w:eastAsia="Arial Unicode MS"/>
        </w:rPr>
        <w:t xml:space="preserve">compiled from major studies surveying </w:t>
      </w:r>
      <w:r w:rsidR="00EE06AE">
        <w:rPr>
          <w:rFonts w:eastAsia="Arial Unicode MS"/>
        </w:rPr>
        <w:t xml:space="preserve">the distribution systems of </w:t>
      </w:r>
      <w:r w:rsidR="0027321E">
        <w:rPr>
          <w:rFonts w:eastAsia="Arial Unicode MS"/>
        </w:rPr>
        <w:t>water treatment plants across the U.S.,</w:t>
      </w:r>
      <w:r w:rsidR="00EE06AE">
        <w:rPr>
          <w:rFonts w:eastAsia="Arial Unicode MS"/>
        </w:rPr>
        <w:t xml:space="preserve"> </w:t>
      </w:r>
      <w:r w:rsidR="0085476A">
        <w:rPr>
          <w:rFonts w:eastAsia="Arial Unicode MS"/>
        </w:rPr>
        <w:t>the mean and</w:t>
      </w:r>
      <w:r w:rsidR="00EE06AE">
        <w:rPr>
          <w:rFonts w:eastAsia="Arial Unicode MS"/>
        </w:rPr>
        <w:t xml:space="preserve"> maximum </w:t>
      </w:r>
      <w:r w:rsidR="0085476A">
        <w:rPr>
          <w:rFonts w:eastAsia="Arial Unicode MS"/>
        </w:rPr>
        <w:t>concentrations</w:t>
      </w:r>
      <w:r w:rsidR="00EE06AE">
        <w:rPr>
          <w:rFonts w:eastAsia="Arial Unicode MS"/>
        </w:rPr>
        <w:t xml:space="preserve"> </w:t>
      </w:r>
      <w:r w:rsidR="0085476A">
        <w:rPr>
          <w:rFonts w:eastAsia="Arial Unicode MS"/>
        </w:rPr>
        <w:t xml:space="preserve">ranged </w:t>
      </w:r>
      <w:r w:rsidR="00EE06AE">
        <w:rPr>
          <w:rFonts w:eastAsia="Arial Unicode MS"/>
        </w:rPr>
        <w:t xml:space="preserve">between </w:t>
      </w:r>
      <w:r w:rsidR="0085476A">
        <w:rPr>
          <w:rFonts w:eastAsia="Arial Unicode MS"/>
        </w:rPr>
        <w:t>&lt;1 – 1</w:t>
      </w:r>
      <w:r w:rsidR="00EE06AE">
        <w:rPr>
          <w:rFonts w:eastAsia="Arial Unicode MS"/>
        </w:rPr>
        <w:t>.8</w:t>
      </w:r>
      <w:r w:rsidR="00F50462">
        <w:rPr>
          <w:rFonts w:eastAsia="Arial Unicode MS"/>
        </w:rPr>
        <w:t xml:space="preserve"> </w:t>
      </w:r>
      <w:r w:rsidR="00EE06AE">
        <w:rPr>
          <w:rFonts w:eastAsia="Arial Unicode MS"/>
        </w:rPr>
        <w:t>ng/L</w:t>
      </w:r>
      <w:r w:rsidR="0085476A">
        <w:rPr>
          <w:rFonts w:eastAsia="Arial Unicode MS"/>
        </w:rPr>
        <w:t xml:space="preserve"> and 6.8 – 24</w:t>
      </w:r>
      <w:r w:rsidR="00F50462">
        <w:rPr>
          <w:rFonts w:eastAsia="Arial Unicode MS"/>
        </w:rPr>
        <w:t xml:space="preserve"> </w:t>
      </w:r>
      <w:r w:rsidR="0085476A">
        <w:rPr>
          <w:rFonts w:eastAsia="Arial Unicode MS"/>
        </w:rPr>
        <w:t>ng/L</w:t>
      </w:r>
      <w:r w:rsidR="00EE06AE">
        <w:rPr>
          <w:rFonts w:eastAsia="Arial Unicode MS"/>
        </w:rPr>
        <w:t>.</w:t>
      </w:r>
      <w:r w:rsidR="0027321E">
        <w:rPr>
          <w:rFonts w:eastAsia="Arial Unicode MS"/>
        </w:rPr>
        <w:t xml:space="preserve"> </w:t>
      </w:r>
      <w:r w:rsidR="00EE06AE">
        <w:rPr>
          <w:rFonts w:eastAsia="Arial Unicode MS"/>
        </w:rPr>
        <w:t xml:space="preserve">By comparison, </w:t>
      </w:r>
      <w:r w:rsidR="00EE06AE" w:rsidRPr="00DC2B86">
        <w:t xml:space="preserve">the </w:t>
      </w:r>
      <w:r w:rsidR="00F50462">
        <w:t>estimated</w:t>
      </w:r>
      <w:r w:rsidR="00EE06AE">
        <w:t xml:space="preserve"> </w:t>
      </w:r>
      <w:r w:rsidR="00EE06AE" w:rsidRPr="00DC2B86">
        <w:t xml:space="preserve">monthly mean and maximum concentrations </w:t>
      </w:r>
      <w:r w:rsidR="0085476A">
        <w:t>modeled</w:t>
      </w:r>
      <w:r w:rsidR="00EE06AE" w:rsidRPr="00DC2B86">
        <w:t xml:space="preserve"> across all pipes</w:t>
      </w:r>
      <w:r w:rsidR="00F50462">
        <w:t xml:space="preserve"> in Wilmington </w:t>
      </w:r>
      <w:r w:rsidR="00C17A11">
        <w:t>from 1981-2000</w:t>
      </w:r>
      <w:r w:rsidR="00F50462">
        <w:t xml:space="preserve"> </w:t>
      </w:r>
      <w:r w:rsidR="00C17A11">
        <w:t xml:space="preserve">for this study </w:t>
      </w:r>
      <w:r w:rsidR="00EE06AE" w:rsidRPr="00DC2B86">
        <w:t>rang</w:t>
      </w:r>
      <w:r w:rsidR="00EE06AE">
        <w:t>ed</w:t>
      </w:r>
      <w:r w:rsidR="00EE06AE" w:rsidRPr="00DC2B86">
        <w:t xml:space="preserve"> from 5 – 39 ng/L and 12 – 114 ng/L, respectively</w:t>
      </w:r>
      <w:r w:rsidR="00EE06AE">
        <w:t>.</w:t>
      </w:r>
      <w:r w:rsidR="00EE06AE">
        <w:rPr>
          <w:rFonts w:eastAsia="Arial Unicode MS"/>
        </w:rPr>
        <w:t xml:space="preserve"> </w:t>
      </w:r>
      <w:r w:rsidR="00C17A11" w:rsidRPr="00DC2B86">
        <w:t>In March 1998, 27% of all pipes had concentrations exceeding 100 ng/L.</w:t>
      </w:r>
    </w:p>
    <w:p w14:paraId="242B5EB1" w14:textId="243A2D5C" w:rsidR="00F651E2" w:rsidRPr="00F80B1F" w:rsidRDefault="009B1A48" w:rsidP="00D06A04">
      <w:pPr>
        <w:rPr>
          <w:rFonts w:eastAsia="Arial Unicode MS"/>
        </w:rPr>
      </w:pPr>
      <w:r>
        <w:rPr>
          <w:rFonts w:eastAsia="Arial Unicode MS"/>
        </w:rPr>
        <w:t xml:space="preserve">Overall, research has demonstrated that drinking water, including that contaminated through water treatment efforts, is typically not a significant source of NDMA. </w:t>
      </w:r>
      <w:proofErr w:type="spellStart"/>
      <w:r w:rsidR="00C17A11">
        <w:rPr>
          <w:rFonts w:eastAsia="Arial Unicode MS"/>
        </w:rPr>
        <w:t>Hrudey</w:t>
      </w:r>
      <w:proofErr w:type="spellEnd"/>
      <w:r w:rsidR="00C17A11">
        <w:rPr>
          <w:rFonts w:eastAsia="Arial Unicode MS"/>
        </w:rPr>
        <w:t xml:space="preserve"> (2013) estimated that drinking water accounted for up to 0.04% of NDMA exposure in adults and up to 0.3% in infants in the general population. </w:t>
      </w:r>
      <w:r w:rsidRPr="00F80B1F">
        <w:rPr>
          <w:rFonts w:eastAsia="Arial Unicode MS"/>
        </w:rPr>
        <w:t xml:space="preserve">The World Health Organization (2008) and others </w:t>
      </w:r>
      <w:r>
        <w:rPr>
          <w:rFonts w:eastAsia="Arial Unicode MS"/>
        </w:rPr>
        <w:t xml:space="preserve">(Chowdhury 2014) </w:t>
      </w:r>
      <w:r w:rsidRPr="00F80B1F">
        <w:rPr>
          <w:rFonts w:eastAsia="Arial Unicode MS"/>
        </w:rPr>
        <w:t>support the view that NDMA from drinking water likely accounts for less than 10% of all NDMA exposure</w:t>
      </w:r>
      <w:r>
        <w:rPr>
          <w:rFonts w:eastAsia="Arial Unicode MS"/>
        </w:rPr>
        <w:t xml:space="preserve">. We note, however, </w:t>
      </w:r>
      <w:r w:rsidR="00C17A11">
        <w:rPr>
          <w:rFonts w:eastAsia="Arial Unicode MS"/>
        </w:rPr>
        <w:t xml:space="preserve">that the contribution of NDMA from drinking water </w:t>
      </w:r>
      <w:r w:rsidRPr="00F80B1F">
        <w:rPr>
          <w:rFonts w:eastAsia="Arial Unicode MS"/>
        </w:rPr>
        <w:t xml:space="preserve">can </w:t>
      </w:r>
      <w:r w:rsidR="00C17A11">
        <w:rPr>
          <w:rFonts w:eastAsia="Arial Unicode MS"/>
        </w:rPr>
        <w:t>be much higher</w:t>
      </w:r>
      <w:r w:rsidRPr="00F80B1F">
        <w:rPr>
          <w:rFonts w:eastAsia="Arial Unicode MS"/>
        </w:rPr>
        <w:t xml:space="preserve"> if the exposure </w:t>
      </w:r>
      <w:r>
        <w:rPr>
          <w:rFonts w:eastAsia="Arial Unicode MS"/>
        </w:rPr>
        <w:t>i</w:t>
      </w:r>
      <w:r w:rsidRPr="00F80B1F">
        <w:rPr>
          <w:rFonts w:eastAsia="Arial Unicode MS"/>
        </w:rPr>
        <w:t>s from a specific contamination source</w:t>
      </w:r>
      <w:r>
        <w:rPr>
          <w:rFonts w:eastAsia="Arial Unicode MS"/>
        </w:rPr>
        <w:t xml:space="preserve"> with concentrations that are much higher than those commonly measured</w:t>
      </w:r>
      <w:r w:rsidR="00C17A11">
        <w:rPr>
          <w:rFonts w:eastAsia="Arial Unicode MS"/>
        </w:rPr>
        <w:t>.</w:t>
      </w:r>
    </w:p>
    <w:p w14:paraId="2EDC7415" w14:textId="77777777" w:rsidR="00577350" w:rsidRDefault="005475C6" w:rsidP="00D06A04">
      <w:r>
        <w:lastRenderedPageBreak/>
        <w:t>Absorption of</w:t>
      </w:r>
      <w:r w:rsidR="003F2BB0">
        <w:t xml:space="preserve"> NDMA </w:t>
      </w:r>
      <w:r w:rsidR="002A76E3" w:rsidRPr="00F80B1F">
        <w:t xml:space="preserve">through the skin and through inhalation is considered to contribute </w:t>
      </w:r>
      <w:r w:rsidR="00054BFE" w:rsidRPr="00F80B1F">
        <w:t>insignificant amounts</w:t>
      </w:r>
      <w:r w:rsidR="002A76E3" w:rsidRPr="00F80B1F">
        <w:t xml:space="preserve"> </w:t>
      </w:r>
      <w:r>
        <w:t>to</w:t>
      </w:r>
      <w:r w:rsidR="002A76E3" w:rsidRPr="00F80B1F">
        <w:t xml:space="preserve"> exposure</w:t>
      </w:r>
      <w:r w:rsidR="00A328B4" w:rsidRPr="00F80B1F">
        <w:t xml:space="preserve"> </w:t>
      </w:r>
      <w:r w:rsidR="00166AEA" w:rsidRPr="00F80B1F">
        <w:t>(</w:t>
      </w:r>
      <w:r w:rsidR="00A924C6">
        <w:t>Health Canada</w:t>
      </w:r>
      <w:r w:rsidR="00166AEA" w:rsidRPr="00FC78E5">
        <w:t xml:space="preserve"> 2011</w:t>
      </w:r>
      <w:r w:rsidR="00166AEA" w:rsidRPr="00F80B1F">
        <w:t>)</w:t>
      </w:r>
      <w:r w:rsidR="00716072">
        <w:t xml:space="preserve">. </w:t>
      </w:r>
      <w:r w:rsidR="00166AEA" w:rsidRPr="00F80B1F">
        <w:t xml:space="preserve">NDMA </w:t>
      </w:r>
      <w:r>
        <w:t xml:space="preserve">absorption </w:t>
      </w:r>
      <w:r w:rsidR="00166AEA" w:rsidRPr="00F80B1F">
        <w:t>through the stomach and intestines is much greater than through the ski</w:t>
      </w:r>
      <w:r w:rsidR="008E14B2" w:rsidRPr="00F80B1F">
        <w:t>n partly because of the high rate of volatilization of NDMA in the air before dermal absorption</w:t>
      </w:r>
      <w:r w:rsidR="00054BFE" w:rsidRPr="00F80B1F">
        <w:t xml:space="preserve"> and because </w:t>
      </w:r>
      <w:r w:rsidR="008E14B2" w:rsidRPr="00F80B1F">
        <w:t xml:space="preserve">NDMA rapidly degrades in </w:t>
      </w:r>
      <w:r w:rsidR="00A328B4" w:rsidRPr="00F80B1F">
        <w:t>sunlight</w:t>
      </w:r>
      <w:r w:rsidR="00A924C6">
        <w:t xml:space="preserve"> (ATSDR 1999</w:t>
      </w:r>
      <w:r w:rsidR="008E14B2" w:rsidRPr="00F80B1F">
        <w:t xml:space="preserve">; </w:t>
      </w:r>
      <w:r w:rsidR="00A924C6">
        <w:t>CalEPA</w:t>
      </w:r>
      <w:r w:rsidR="008E14B2" w:rsidRPr="00F80B1F">
        <w:t xml:space="preserve"> 2006</w:t>
      </w:r>
      <w:r w:rsidR="00190B7B" w:rsidRPr="00190B7B">
        <w:t>)</w:t>
      </w:r>
      <w:r w:rsidR="00716072">
        <w:t xml:space="preserve">. </w:t>
      </w:r>
      <w:r w:rsidR="00CF0D6B">
        <w:t>It has been observed that NDMA may not volatilize significantly</w:t>
      </w:r>
      <w:r w:rsidR="00577350">
        <w:t xml:space="preserve"> in shower air, regardless of the water temperature (Mitch 2003).</w:t>
      </w:r>
    </w:p>
    <w:p w14:paraId="5A5E23EB" w14:textId="77777777" w:rsidR="008C388F" w:rsidRDefault="00B475D2" w:rsidP="00D06A04">
      <w:pPr>
        <w:rPr>
          <w:rFonts w:eastAsia="Arial Unicode MS"/>
        </w:rPr>
      </w:pPr>
      <w:r>
        <w:rPr>
          <w:rFonts w:eastAsia="Arial Unicode MS"/>
        </w:rPr>
        <w:t xml:space="preserve">Importantly, studies in animals have found that NDMA can be transmitted through the placenta </w:t>
      </w:r>
      <w:r w:rsidR="005475C6">
        <w:rPr>
          <w:rFonts w:eastAsia="Arial Unicode MS"/>
        </w:rPr>
        <w:t xml:space="preserve">to </w:t>
      </w:r>
      <w:r w:rsidRPr="00140055">
        <w:rPr>
          <w:rFonts w:eastAsia="Arial Unicode MS"/>
        </w:rPr>
        <w:t>offspring who then develop cancer</w:t>
      </w:r>
      <w:r>
        <w:rPr>
          <w:rFonts w:eastAsia="Arial Unicode MS"/>
        </w:rPr>
        <w:t xml:space="preserve"> </w:t>
      </w:r>
      <w:r w:rsidRPr="00140055">
        <w:rPr>
          <w:rFonts w:eastAsia="Arial Unicode MS"/>
        </w:rPr>
        <w:t>(</w:t>
      </w:r>
      <w:r>
        <w:rPr>
          <w:rFonts w:eastAsia="Arial Unicode MS"/>
        </w:rPr>
        <w:t>CalEPA</w:t>
      </w:r>
      <w:r w:rsidRPr="00140055">
        <w:rPr>
          <w:rFonts w:eastAsia="Arial Unicode MS"/>
        </w:rPr>
        <w:t xml:space="preserve"> 2006)</w:t>
      </w:r>
      <w:r w:rsidR="005475C6">
        <w:rPr>
          <w:rFonts w:eastAsia="Arial Unicode MS"/>
        </w:rPr>
        <w:t>,</w:t>
      </w:r>
      <w:r>
        <w:rPr>
          <w:rFonts w:eastAsia="Arial Unicode MS"/>
        </w:rPr>
        <w:t xml:space="preserve"> and a </w:t>
      </w:r>
      <w:r w:rsidRPr="00140055">
        <w:rPr>
          <w:rFonts w:eastAsia="Arial Unicode MS"/>
        </w:rPr>
        <w:t>laboratory study of human placentas and NDMA</w:t>
      </w:r>
      <w:r>
        <w:rPr>
          <w:rFonts w:eastAsia="Arial Unicode MS"/>
        </w:rPr>
        <w:t xml:space="preserve"> also demonstrated </w:t>
      </w:r>
      <w:r w:rsidRPr="00140055">
        <w:rPr>
          <w:rFonts w:eastAsia="Arial Unicode MS"/>
        </w:rPr>
        <w:t>transplacental transmission</w:t>
      </w:r>
      <w:r w:rsidR="005475C6">
        <w:rPr>
          <w:rFonts w:eastAsia="Arial Unicode MS"/>
        </w:rPr>
        <w:t xml:space="preserve"> </w:t>
      </w:r>
      <w:r w:rsidRPr="00140055">
        <w:rPr>
          <w:rFonts w:eastAsia="Arial Unicode MS"/>
        </w:rPr>
        <w:t>(</w:t>
      </w:r>
      <w:proofErr w:type="spellStart"/>
      <w:r w:rsidRPr="00140055">
        <w:rPr>
          <w:rFonts w:eastAsia="Arial Unicode MS"/>
        </w:rPr>
        <w:t>Annola</w:t>
      </w:r>
      <w:proofErr w:type="spellEnd"/>
      <w:r w:rsidRPr="00140055">
        <w:rPr>
          <w:rFonts w:eastAsia="Arial Unicode MS"/>
        </w:rPr>
        <w:t xml:space="preserve"> et al</w:t>
      </w:r>
      <w:r w:rsidR="00716072">
        <w:rPr>
          <w:rFonts w:eastAsia="Arial Unicode MS"/>
        </w:rPr>
        <w:t xml:space="preserve">. </w:t>
      </w:r>
      <w:r>
        <w:rPr>
          <w:rFonts w:eastAsia="Arial Unicode MS"/>
        </w:rPr>
        <w:t>2009</w:t>
      </w:r>
      <w:r w:rsidRPr="00140055">
        <w:rPr>
          <w:rFonts w:eastAsia="Arial Unicode MS"/>
        </w:rPr>
        <w:t>)</w:t>
      </w:r>
      <w:r w:rsidR="00716072">
        <w:rPr>
          <w:rFonts w:eastAsia="Arial Unicode MS"/>
        </w:rPr>
        <w:t xml:space="preserve">. </w:t>
      </w:r>
      <w:r>
        <w:rPr>
          <w:rFonts w:eastAsia="Arial Unicode MS"/>
        </w:rPr>
        <w:t>These studies suggest a pathway of exposure exists between a mother exposed to NDMA and her fetus</w:t>
      </w:r>
      <w:r w:rsidR="005475C6">
        <w:rPr>
          <w:rFonts w:eastAsia="Arial Unicode MS"/>
        </w:rPr>
        <w:t>.</w:t>
      </w:r>
    </w:p>
    <w:p w14:paraId="5C326BDA" w14:textId="4E2FF409" w:rsidR="00581DB6" w:rsidRPr="00581DB6" w:rsidRDefault="003743D3" w:rsidP="00B26D34">
      <w:pPr>
        <w:pStyle w:val="Heading5"/>
      </w:pPr>
      <w:r w:rsidRPr="00F80B1F">
        <w:t>Existing Drinking Water Health Guidelines</w:t>
      </w:r>
    </w:p>
    <w:p w14:paraId="156B8E2A" w14:textId="7AB0B46E" w:rsidR="00985976" w:rsidRDefault="00985976" w:rsidP="00D06A04">
      <w:r w:rsidRPr="00F80B1F">
        <w:t>Although NDMA is listed as a priority pollutant in the Code of Federal Regulations (CFR) (40 CFR 136.36), no federal maximum contaminant level (MCL) has yet been established for drinking water (</w:t>
      </w:r>
      <w:r w:rsidR="005B56D6">
        <w:t xml:space="preserve">US </w:t>
      </w:r>
      <w:r w:rsidRPr="00F80B1F">
        <w:t>EPA 201</w:t>
      </w:r>
      <w:r w:rsidR="00B935FD">
        <w:t>7</w:t>
      </w:r>
      <w:r w:rsidRPr="00F80B1F">
        <w:t>)</w:t>
      </w:r>
      <w:r w:rsidR="00716072">
        <w:t xml:space="preserve">. </w:t>
      </w:r>
      <w:r w:rsidRPr="00F80B1F">
        <w:t>However, because of the health risks associated with NDMA exposure and in response to discoveries of NDMA in drinking water supplies, some health guide</w:t>
      </w:r>
      <w:r w:rsidR="00A8707E">
        <w:t>line</w:t>
      </w:r>
      <w:r w:rsidRPr="00F80B1F">
        <w:t>s have been adopted by different authorities</w:t>
      </w:r>
      <w:r w:rsidR="00E75300">
        <w:t xml:space="preserve"> (</w:t>
      </w:r>
      <w:r w:rsidR="00A13DBD">
        <w:fldChar w:fldCharType="begin"/>
      </w:r>
      <w:r w:rsidR="00A13DBD">
        <w:instrText xml:space="preserve"> REF  Table3 \h  \* MERGEFORMAT </w:instrText>
      </w:r>
      <w:r w:rsidR="00A13DBD">
        <w:fldChar w:fldCharType="separate"/>
      </w:r>
      <w:r w:rsidR="00977423" w:rsidRPr="00855660">
        <w:rPr>
          <w:noProof/>
        </w:rPr>
        <w:t>Table</w:t>
      </w:r>
      <w:r w:rsidR="00977423" w:rsidRPr="00855660">
        <w:t xml:space="preserve"> </w:t>
      </w:r>
      <w:r w:rsidR="00977423">
        <w:rPr>
          <w:noProof/>
        </w:rPr>
        <w:t>3</w:t>
      </w:r>
      <w:r w:rsidR="00A13DBD">
        <w:fldChar w:fldCharType="end"/>
      </w:r>
      <w:r w:rsidR="00E75300">
        <w:t>)</w:t>
      </w:r>
      <w:r w:rsidRPr="00F80B1F">
        <w:t>.</w:t>
      </w:r>
    </w:p>
    <w:p w14:paraId="5B805242" w14:textId="77777777" w:rsidR="00FB6843" w:rsidRDefault="00FB6843" w:rsidP="0040594E">
      <w:pPr>
        <w:pStyle w:val="Caption"/>
        <w:keepNext/>
        <w:rPr>
          <w:bCs w:val="0"/>
          <w:szCs w:val="24"/>
        </w:rPr>
      </w:pPr>
      <w:bookmarkStart w:id="63" w:name="_Ref12008152"/>
      <w:bookmarkStart w:id="64" w:name="Table3"/>
      <w:bookmarkStart w:id="65" w:name="_Toc12012867"/>
      <w:bookmarkStart w:id="66" w:name="_Toc12013061"/>
      <w:bookmarkStart w:id="67" w:name="_Toc45714882"/>
      <w:r>
        <w:rPr>
          <w:bCs w:val="0"/>
          <w:szCs w:val="24"/>
        </w:rPr>
        <w:br w:type="page"/>
      </w:r>
    </w:p>
    <w:p w14:paraId="5A3997E1" w14:textId="57A14C08" w:rsidR="00F358CC" w:rsidRPr="00855660" w:rsidRDefault="00F358CC" w:rsidP="0040594E">
      <w:pPr>
        <w:pStyle w:val="Caption"/>
        <w:keepNext/>
      </w:pPr>
      <w:r w:rsidRPr="00855660">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3</w:t>
      </w:r>
      <w:r w:rsidR="00D616DB">
        <w:rPr>
          <w:noProof/>
        </w:rPr>
        <w:fldChar w:fldCharType="end"/>
      </w:r>
      <w:bookmarkEnd w:id="63"/>
      <w:bookmarkEnd w:id="64"/>
      <w:r w:rsidR="00716072">
        <w:t xml:space="preserve">. </w:t>
      </w:r>
      <w:r w:rsidRPr="00855660">
        <w:t>Summary of NDMA Drinking Water Guidelines</w:t>
      </w:r>
      <w:bookmarkEnd w:id="65"/>
      <w:bookmarkEnd w:id="66"/>
      <w:bookmarkEnd w:id="67"/>
    </w:p>
    <w:tbl>
      <w:tblPr>
        <w:tblW w:w="5000" w:type="pct"/>
        <w:tblLook w:val="04A0" w:firstRow="1" w:lastRow="0" w:firstColumn="1" w:lastColumn="0" w:noHBand="0" w:noVBand="1"/>
      </w:tblPr>
      <w:tblGrid>
        <w:gridCol w:w="3052"/>
        <w:gridCol w:w="1807"/>
        <w:gridCol w:w="1210"/>
        <w:gridCol w:w="3507"/>
      </w:tblGrid>
      <w:tr w:rsidR="00CA5758" w:rsidRPr="00F80B1F" w14:paraId="201495A1" w14:textId="77777777" w:rsidTr="00B55630">
        <w:trPr>
          <w:trHeight w:val="322"/>
        </w:trPr>
        <w:tc>
          <w:tcPr>
            <w:tcW w:w="1593" w:type="pct"/>
            <w:shd w:val="clear" w:color="auto" w:fill="D9D9D9" w:themeFill="background1" w:themeFillShade="D9"/>
          </w:tcPr>
          <w:p w14:paraId="6E847C89" w14:textId="77777777" w:rsidR="00CA5758" w:rsidRPr="00C2233C" w:rsidRDefault="00CA5758" w:rsidP="006312FD">
            <w:pPr>
              <w:pStyle w:val="Tableheaders"/>
            </w:pPr>
            <w:r w:rsidRPr="00C2233C">
              <w:t>Authority</w:t>
            </w:r>
          </w:p>
        </w:tc>
        <w:tc>
          <w:tcPr>
            <w:tcW w:w="943" w:type="pct"/>
            <w:shd w:val="clear" w:color="auto" w:fill="D9D9D9" w:themeFill="background1" w:themeFillShade="D9"/>
          </w:tcPr>
          <w:p w14:paraId="6BAA7FE4" w14:textId="77777777" w:rsidR="00CA5758" w:rsidRPr="00C2233C" w:rsidRDefault="00CA5758" w:rsidP="006312FD">
            <w:pPr>
              <w:pStyle w:val="Tableheaders"/>
            </w:pPr>
            <w:r w:rsidRPr="00C2233C">
              <w:t>Guideline</w:t>
            </w:r>
          </w:p>
        </w:tc>
        <w:tc>
          <w:tcPr>
            <w:tcW w:w="632" w:type="pct"/>
            <w:shd w:val="clear" w:color="auto" w:fill="D9D9D9" w:themeFill="background1" w:themeFillShade="D9"/>
          </w:tcPr>
          <w:p w14:paraId="2370E593" w14:textId="5FEDC35E" w:rsidR="00CA5758" w:rsidRPr="00C2233C" w:rsidRDefault="000316D9" w:rsidP="006312FD">
            <w:pPr>
              <w:pStyle w:val="Tableheaders"/>
            </w:pPr>
            <w:r>
              <w:t xml:space="preserve">As </w:t>
            </w:r>
            <w:r w:rsidR="00CA5758">
              <w:t>ng/L</w:t>
            </w:r>
          </w:p>
        </w:tc>
        <w:tc>
          <w:tcPr>
            <w:tcW w:w="1831" w:type="pct"/>
            <w:shd w:val="clear" w:color="auto" w:fill="D9D9D9" w:themeFill="background1" w:themeFillShade="D9"/>
          </w:tcPr>
          <w:p w14:paraId="06F92BDE" w14:textId="6865C62F" w:rsidR="00CA5758" w:rsidRPr="00C2233C" w:rsidRDefault="00CA5758" w:rsidP="006312FD">
            <w:pPr>
              <w:pStyle w:val="Tableheaders"/>
            </w:pPr>
            <w:r w:rsidRPr="00C2233C">
              <w:t>Explanation</w:t>
            </w:r>
          </w:p>
        </w:tc>
      </w:tr>
      <w:tr w:rsidR="00CA5758" w:rsidRPr="009D5864" w14:paraId="0960BC72" w14:textId="77777777" w:rsidTr="00B55630">
        <w:trPr>
          <w:trHeight w:val="1151"/>
        </w:trPr>
        <w:tc>
          <w:tcPr>
            <w:tcW w:w="1593" w:type="pct"/>
            <w:shd w:val="clear" w:color="auto" w:fill="auto"/>
          </w:tcPr>
          <w:p w14:paraId="50BCFAE2" w14:textId="6A783BFC" w:rsidR="00CA5758" w:rsidRPr="009D5864" w:rsidRDefault="00CA5758" w:rsidP="0040594E">
            <w:pPr>
              <w:pStyle w:val="Tablebody"/>
              <w:rPr>
                <w:sz w:val="22"/>
                <w:szCs w:val="22"/>
                <w:vertAlign w:val="superscript"/>
              </w:rPr>
            </w:pPr>
            <w:r w:rsidRPr="009D5864">
              <w:rPr>
                <w:sz w:val="22"/>
                <w:szCs w:val="22"/>
              </w:rPr>
              <w:t>California Environmental Protection Agency</w:t>
            </w:r>
            <w:r w:rsidRPr="009D5864">
              <w:rPr>
                <w:sz w:val="22"/>
                <w:szCs w:val="22"/>
                <w:vertAlign w:val="superscript"/>
              </w:rPr>
              <w:t>1</w:t>
            </w:r>
          </w:p>
        </w:tc>
        <w:tc>
          <w:tcPr>
            <w:tcW w:w="943" w:type="pct"/>
            <w:shd w:val="clear" w:color="auto" w:fill="auto"/>
          </w:tcPr>
          <w:p w14:paraId="7CF18F2F" w14:textId="77777777" w:rsidR="00CA5758" w:rsidRPr="009D5864" w:rsidRDefault="00CA5758" w:rsidP="0040594E">
            <w:pPr>
              <w:pStyle w:val="Tablebody"/>
              <w:rPr>
                <w:sz w:val="22"/>
                <w:szCs w:val="22"/>
              </w:rPr>
            </w:pPr>
            <w:r w:rsidRPr="009D5864">
              <w:rPr>
                <w:sz w:val="22"/>
                <w:szCs w:val="22"/>
              </w:rPr>
              <w:t>0.003 µg/L</w:t>
            </w:r>
          </w:p>
        </w:tc>
        <w:tc>
          <w:tcPr>
            <w:tcW w:w="632" w:type="pct"/>
          </w:tcPr>
          <w:p w14:paraId="2633E761" w14:textId="7C8D9FDD" w:rsidR="00CA5758" w:rsidRPr="009D5864" w:rsidRDefault="00CA5758" w:rsidP="0040594E">
            <w:pPr>
              <w:pStyle w:val="Tablebody"/>
              <w:rPr>
                <w:sz w:val="22"/>
                <w:szCs w:val="22"/>
              </w:rPr>
            </w:pPr>
            <w:r w:rsidRPr="009D5864">
              <w:rPr>
                <w:sz w:val="22"/>
                <w:szCs w:val="22"/>
              </w:rPr>
              <w:t>3</w:t>
            </w:r>
          </w:p>
        </w:tc>
        <w:tc>
          <w:tcPr>
            <w:tcW w:w="1831" w:type="pct"/>
            <w:shd w:val="clear" w:color="auto" w:fill="auto"/>
          </w:tcPr>
          <w:p w14:paraId="5A0EEB2B" w14:textId="5A65127E" w:rsidR="00CA5758" w:rsidRPr="009D5864" w:rsidRDefault="00CA5758" w:rsidP="0040594E">
            <w:pPr>
              <w:pStyle w:val="Tablebody"/>
              <w:rPr>
                <w:sz w:val="22"/>
                <w:szCs w:val="22"/>
              </w:rPr>
            </w:pPr>
            <w:r w:rsidRPr="009D5864">
              <w:rPr>
                <w:sz w:val="22"/>
                <w:szCs w:val="22"/>
              </w:rPr>
              <w:t>Public Health Goal</w:t>
            </w:r>
            <w:r w:rsidR="00D879F9" w:rsidRPr="009D5864">
              <w:rPr>
                <w:sz w:val="22"/>
                <w:szCs w:val="22"/>
              </w:rPr>
              <w:t>,</w:t>
            </w:r>
            <w:r w:rsidRPr="009D5864">
              <w:rPr>
                <w:sz w:val="22"/>
                <w:szCs w:val="22"/>
              </w:rPr>
              <w:t xml:space="preserve"> </w:t>
            </w:r>
            <w:r w:rsidR="00D879F9" w:rsidRPr="009D5864">
              <w:rPr>
                <w:sz w:val="22"/>
                <w:szCs w:val="22"/>
              </w:rPr>
              <w:t>the level at which adverse health effects are not expected to occur from a lifetime of exposure</w:t>
            </w:r>
          </w:p>
        </w:tc>
      </w:tr>
      <w:tr w:rsidR="00D879F9" w:rsidRPr="009D5864" w14:paraId="20663B68" w14:textId="77777777" w:rsidTr="00B55630">
        <w:trPr>
          <w:trHeight w:val="859"/>
        </w:trPr>
        <w:tc>
          <w:tcPr>
            <w:tcW w:w="1593" w:type="pct"/>
            <w:shd w:val="clear" w:color="auto" w:fill="D9D9D9" w:themeFill="background1" w:themeFillShade="D9"/>
          </w:tcPr>
          <w:p w14:paraId="0FC65FBB" w14:textId="77777777" w:rsidR="00D879F9" w:rsidRPr="009D5864" w:rsidRDefault="00D879F9" w:rsidP="0040594E">
            <w:pPr>
              <w:pStyle w:val="Tablebody"/>
              <w:rPr>
                <w:sz w:val="22"/>
                <w:szCs w:val="22"/>
                <w:vertAlign w:val="superscript"/>
              </w:rPr>
            </w:pPr>
            <w:r w:rsidRPr="009D5864">
              <w:rPr>
                <w:sz w:val="22"/>
                <w:szCs w:val="22"/>
              </w:rPr>
              <w:t>California Department of Public Health</w:t>
            </w:r>
            <w:r w:rsidRPr="009D5864">
              <w:rPr>
                <w:sz w:val="22"/>
                <w:szCs w:val="22"/>
                <w:vertAlign w:val="superscript"/>
              </w:rPr>
              <w:t>2</w:t>
            </w:r>
          </w:p>
        </w:tc>
        <w:tc>
          <w:tcPr>
            <w:tcW w:w="943" w:type="pct"/>
            <w:shd w:val="clear" w:color="auto" w:fill="D9D9D9" w:themeFill="background1" w:themeFillShade="D9"/>
          </w:tcPr>
          <w:p w14:paraId="485345ED" w14:textId="77777777" w:rsidR="00D879F9" w:rsidRPr="009D5864" w:rsidRDefault="00D879F9" w:rsidP="0040594E">
            <w:pPr>
              <w:pStyle w:val="Tablebody"/>
              <w:rPr>
                <w:sz w:val="22"/>
                <w:szCs w:val="22"/>
              </w:rPr>
            </w:pPr>
            <w:r w:rsidRPr="009D5864">
              <w:rPr>
                <w:sz w:val="22"/>
                <w:szCs w:val="22"/>
              </w:rPr>
              <w:t>0.01 µg/L</w:t>
            </w:r>
          </w:p>
        </w:tc>
        <w:tc>
          <w:tcPr>
            <w:tcW w:w="632" w:type="pct"/>
            <w:shd w:val="clear" w:color="auto" w:fill="D9D9D9" w:themeFill="background1" w:themeFillShade="D9"/>
          </w:tcPr>
          <w:p w14:paraId="3DAE6964" w14:textId="77777777" w:rsidR="00D879F9" w:rsidRPr="009D5864" w:rsidRDefault="00D879F9" w:rsidP="0040594E">
            <w:pPr>
              <w:pStyle w:val="Tablebody"/>
              <w:rPr>
                <w:sz w:val="22"/>
                <w:szCs w:val="22"/>
              </w:rPr>
            </w:pPr>
            <w:r w:rsidRPr="009D5864">
              <w:rPr>
                <w:sz w:val="22"/>
                <w:szCs w:val="22"/>
              </w:rPr>
              <w:t>10</w:t>
            </w:r>
          </w:p>
        </w:tc>
        <w:tc>
          <w:tcPr>
            <w:tcW w:w="1831" w:type="pct"/>
            <w:shd w:val="clear" w:color="auto" w:fill="D9D9D9" w:themeFill="background1" w:themeFillShade="D9"/>
          </w:tcPr>
          <w:p w14:paraId="670E086D" w14:textId="77777777" w:rsidR="00D879F9" w:rsidRPr="009D5864" w:rsidRDefault="00D879F9" w:rsidP="0040594E">
            <w:pPr>
              <w:pStyle w:val="Tablebody"/>
              <w:rPr>
                <w:sz w:val="22"/>
                <w:szCs w:val="22"/>
              </w:rPr>
            </w:pPr>
            <w:r w:rsidRPr="009D5864">
              <w:rPr>
                <w:sz w:val="22"/>
                <w:szCs w:val="22"/>
              </w:rPr>
              <w:t>Notification Level at which drinking water systems are to notify local authorities</w:t>
            </w:r>
          </w:p>
        </w:tc>
      </w:tr>
      <w:tr w:rsidR="00CA5758" w:rsidRPr="009D5864" w14:paraId="7D5EDB97" w14:textId="77777777" w:rsidTr="00B55630">
        <w:trPr>
          <w:trHeight w:val="1692"/>
        </w:trPr>
        <w:tc>
          <w:tcPr>
            <w:tcW w:w="1593" w:type="pct"/>
            <w:shd w:val="clear" w:color="auto" w:fill="auto"/>
          </w:tcPr>
          <w:p w14:paraId="5F2A2380" w14:textId="74E48D3B" w:rsidR="00CA5758" w:rsidRPr="009D5864" w:rsidRDefault="00CA5758" w:rsidP="0040594E">
            <w:pPr>
              <w:pStyle w:val="Tablebody"/>
              <w:rPr>
                <w:sz w:val="22"/>
                <w:szCs w:val="22"/>
              </w:rPr>
            </w:pPr>
            <w:r w:rsidRPr="009D5864">
              <w:rPr>
                <w:sz w:val="22"/>
                <w:szCs w:val="22"/>
              </w:rPr>
              <w:t>California Environmental Protection Agency</w:t>
            </w:r>
            <w:r w:rsidR="001750A5" w:rsidRPr="009D5864">
              <w:rPr>
                <w:sz w:val="22"/>
                <w:szCs w:val="22"/>
                <w:vertAlign w:val="superscript"/>
              </w:rPr>
              <w:t>2</w:t>
            </w:r>
          </w:p>
        </w:tc>
        <w:tc>
          <w:tcPr>
            <w:tcW w:w="943" w:type="pct"/>
            <w:shd w:val="clear" w:color="auto" w:fill="auto"/>
          </w:tcPr>
          <w:p w14:paraId="6EA0C747" w14:textId="7F0AF92E" w:rsidR="00CA5758" w:rsidRPr="009D5864" w:rsidRDefault="00CA5758" w:rsidP="0040594E">
            <w:pPr>
              <w:pStyle w:val="Tablebody"/>
              <w:rPr>
                <w:sz w:val="22"/>
                <w:szCs w:val="22"/>
              </w:rPr>
            </w:pPr>
            <w:r w:rsidRPr="009D5864">
              <w:rPr>
                <w:sz w:val="22"/>
                <w:szCs w:val="22"/>
              </w:rPr>
              <w:t>0.3 µg/L</w:t>
            </w:r>
          </w:p>
        </w:tc>
        <w:tc>
          <w:tcPr>
            <w:tcW w:w="632" w:type="pct"/>
            <w:shd w:val="clear" w:color="auto" w:fill="auto"/>
          </w:tcPr>
          <w:p w14:paraId="28FE209E" w14:textId="22F2AC32" w:rsidR="00CA5758" w:rsidRPr="009D5864" w:rsidRDefault="00CA5758" w:rsidP="0040594E">
            <w:pPr>
              <w:pStyle w:val="Tablebody"/>
              <w:rPr>
                <w:sz w:val="22"/>
                <w:szCs w:val="22"/>
              </w:rPr>
            </w:pPr>
            <w:r w:rsidRPr="009D5864">
              <w:rPr>
                <w:sz w:val="22"/>
                <w:szCs w:val="22"/>
              </w:rPr>
              <w:t>300</w:t>
            </w:r>
          </w:p>
        </w:tc>
        <w:tc>
          <w:tcPr>
            <w:tcW w:w="1831" w:type="pct"/>
            <w:shd w:val="clear" w:color="auto" w:fill="auto"/>
          </w:tcPr>
          <w:p w14:paraId="2909F092" w14:textId="6306575D" w:rsidR="00CA5758" w:rsidRPr="009D5864" w:rsidRDefault="00CA5758" w:rsidP="0040594E">
            <w:pPr>
              <w:pStyle w:val="Tablebody"/>
              <w:rPr>
                <w:sz w:val="22"/>
                <w:szCs w:val="22"/>
              </w:rPr>
            </w:pPr>
            <w:r w:rsidRPr="009D5864">
              <w:rPr>
                <w:sz w:val="22"/>
                <w:szCs w:val="22"/>
              </w:rPr>
              <w:t xml:space="preserve">Response Level that corresponds to the lifetime theoretical excess cancer risk in an adult of 1 in 10,000 and is considered the concentration at which a water supply should be taken out of service </w:t>
            </w:r>
          </w:p>
        </w:tc>
      </w:tr>
      <w:tr w:rsidR="00CA5758" w:rsidRPr="009D5864" w14:paraId="539205AF" w14:textId="77777777" w:rsidTr="00B55630">
        <w:trPr>
          <w:trHeight w:val="1443"/>
        </w:trPr>
        <w:tc>
          <w:tcPr>
            <w:tcW w:w="1593" w:type="pct"/>
            <w:shd w:val="clear" w:color="auto" w:fill="D9D9D9" w:themeFill="background1" w:themeFillShade="D9"/>
          </w:tcPr>
          <w:p w14:paraId="3DC1F2DF" w14:textId="77777777" w:rsidR="00CA5758" w:rsidRPr="009D5864" w:rsidRDefault="00CA5758" w:rsidP="0040594E">
            <w:pPr>
              <w:pStyle w:val="Tablebody"/>
              <w:rPr>
                <w:sz w:val="22"/>
                <w:szCs w:val="22"/>
                <w:vertAlign w:val="superscript"/>
              </w:rPr>
            </w:pPr>
            <w:r w:rsidRPr="009D5864">
              <w:rPr>
                <w:sz w:val="22"/>
                <w:szCs w:val="22"/>
              </w:rPr>
              <w:t>Health Canada</w:t>
            </w:r>
            <w:r w:rsidRPr="009D5864">
              <w:rPr>
                <w:sz w:val="22"/>
                <w:szCs w:val="22"/>
                <w:vertAlign w:val="superscript"/>
              </w:rPr>
              <w:t>3</w:t>
            </w:r>
          </w:p>
        </w:tc>
        <w:tc>
          <w:tcPr>
            <w:tcW w:w="943" w:type="pct"/>
            <w:shd w:val="clear" w:color="auto" w:fill="D9D9D9" w:themeFill="background1" w:themeFillShade="D9"/>
          </w:tcPr>
          <w:p w14:paraId="548F3751" w14:textId="77777777" w:rsidR="00CA5758" w:rsidRPr="009D5864" w:rsidRDefault="00CA5758" w:rsidP="0040594E">
            <w:pPr>
              <w:pStyle w:val="Tablebody"/>
              <w:rPr>
                <w:sz w:val="22"/>
                <w:szCs w:val="22"/>
              </w:rPr>
            </w:pPr>
            <w:r w:rsidRPr="009D5864">
              <w:rPr>
                <w:sz w:val="22"/>
                <w:szCs w:val="22"/>
              </w:rPr>
              <w:t>0.04 µg/L</w:t>
            </w:r>
          </w:p>
        </w:tc>
        <w:tc>
          <w:tcPr>
            <w:tcW w:w="632" w:type="pct"/>
            <w:shd w:val="clear" w:color="auto" w:fill="D9D9D9" w:themeFill="background1" w:themeFillShade="D9"/>
          </w:tcPr>
          <w:p w14:paraId="45AA5D3F" w14:textId="35A8957F" w:rsidR="00CA5758" w:rsidRPr="009D5864" w:rsidRDefault="00CA5758" w:rsidP="0040594E">
            <w:pPr>
              <w:pStyle w:val="Tablebody"/>
              <w:rPr>
                <w:sz w:val="22"/>
                <w:szCs w:val="22"/>
              </w:rPr>
            </w:pPr>
            <w:r w:rsidRPr="009D5864">
              <w:rPr>
                <w:sz w:val="22"/>
                <w:szCs w:val="22"/>
              </w:rPr>
              <w:t>40</w:t>
            </w:r>
          </w:p>
        </w:tc>
        <w:tc>
          <w:tcPr>
            <w:tcW w:w="1831" w:type="pct"/>
            <w:shd w:val="clear" w:color="auto" w:fill="D9D9D9" w:themeFill="background1" w:themeFillShade="D9"/>
          </w:tcPr>
          <w:p w14:paraId="154A0442" w14:textId="0486E275" w:rsidR="00CA5758" w:rsidRPr="009D5864" w:rsidRDefault="00CA5758" w:rsidP="0040594E">
            <w:pPr>
              <w:pStyle w:val="Tablebody"/>
              <w:rPr>
                <w:sz w:val="22"/>
                <w:szCs w:val="22"/>
              </w:rPr>
            </w:pPr>
            <w:r w:rsidRPr="009D5864">
              <w:rPr>
                <w:sz w:val="22"/>
                <w:szCs w:val="22"/>
              </w:rPr>
              <w:t>Based on cancer end-points in adults and is considered protective of all health effects and is the maximally acceptable concentration in drinking water</w:t>
            </w:r>
          </w:p>
        </w:tc>
      </w:tr>
      <w:tr w:rsidR="00CA5758" w:rsidRPr="009D5864" w14:paraId="274A8CFD" w14:textId="77777777" w:rsidTr="00B55630">
        <w:trPr>
          <w:trHeight w:val="875"/>
        </w:trPr>
        <w:tc>
          <w:tcPr>
            <w:tcW w:w="1593" w:type="pct"/>
            <w:shd w:val="clear" w:color="auto" w:fill="auto"/>
          </w:tcPr>
          <w:p w14:paraId="23F0DCC6" w14:textId="77777777" w:rsidR="00CA5758" w:rsidRPr="009D5864" w:rsidRDefault="00CA5758" w:rsidP="0040594E">
            <w:pPr>
              <w:pStyle w:val="Tablebody"/>
              <w:rPr>
                <w:sz w:val="22"/>
                <w:szCs w:val="22"/>
                <w:vertAlign w:val="superscript"/>
              </w:rPr>
            </w:pPr>
            <w:r w:rsidRPr="009D5864">
              <w:rPr>
                <w:sz w:val="22"/>
                <w:szCs w:val="22"/>
              </w:rPr>
              <w:t>World Health Organization</w:t>
            </w:r>
            <w:r w:rsidRPr="009D5864">
              <w:rPr>
                <w:sz w:val="22"/>
                <w:szCs w:val="22"/>
                <w:vertAlign w:val="superscript"/>
              </w:rPr>
              <w:t>4</w:t>
            </w:r>
          </w:p>
        </w:tc>
        <w:tc>
          <w:tcPr>
            <w:tcW w:w="943" w:type="pct"/>
            <w:shd w:val="clear" w:color="auto" w:fill="auto"/>
          </w:tcPr>
          <w:p w14:paraId="6A52555E" w14:textId="77777777" w:rsidR="00CA5758" w:rsidRPr="009D5864" w:rsidRDefault="00CA5758" w:rsidP="0040594E">
            <w:pPr>
              <w:pStyle w:val="Tablebody"/>
              <w:rPr>
                <w:sz w:val="22"/>
                <w:szCs w:val="22"/>
              </w:rPr>
            </w:pPr>
            <w:r w:rsidRPr="009D5864">
              <w:rPr>
                <w:sz w:val="22"/>
                <w:szCs w:val="22"/>
              </w:rPr>
              <w:t>0.1 µg/L</w:t>
            </w:r>
          </w:p>
        </w:tc>
        <w:tc>
          <w:tcPr>
            <w:tcW w:w="632" w:type="pct"/>
          </w:tcPr>
          <w:p w14:paraId="1FFF7D58" w14:textId="7E536951" w:rsidR="00CA5758" w:rsidRPr="009D5864" w:rsidRDefault="00CA5758" w:rsidP="0040594E">
            <w:pPr>
              <w:pStyle w:val="Tablebody"/>
              <w:rPr>
                <w:sz w:val="22"/>
                <w:szCs w:val="22"/>
              </w:rPr>
            </w:pPr>
            <w:r w:rsidRPr="009D5864">
              <w:rPr>
                <w:sz w:val="22"/>
                <w:szCs w:val="22"/>
              </w:rPr>
              <w:t>100</w:t>
            </w:r>
          </w:p>
        </w:tc>
        <w:tc>
          <w:tcPr>
            <w:tcW w:w="1831" w:type="pct"/>
            <w:shd w:val="clear" w:color="auto" w:fill="auto"/>
          </w:tcPr>
          <w:p w14:paraId="73A1F540" w14:textId="33C82350" w:rsidR="00CA5758" w:rsidRPr="009D5864" w:rsidRDefault="00CA5758" w:rsidP="0040594E">
            <w:pPr>
              <w:pStyle w:val="Tablebody"/>
              <w:rPr>
                <w:sz w:val="22"/>
                <w:szCs w:val="22"/>
              </w:rPr>
            </w:pPr>
            <w:r w:rsidRPr="009D5864">
              <w:rPr>
                <w:sz w:val="22"/>
                <w:szCs w:val="22"/>
              </w:rPr>
              <w:t>Corresponds to lifetime carcinogenicity risk in adults of 1 in 100,000</w:t>
            </w:r>
          </w:p>
        </w:tc>
      </w:tr>
      <w:tr w:rsidR="00CA5758" w:rsidRPr="009D5864" w14:paraId="708F1A17" w14:textId="77777777" w:rsidTr="00B55630">
        <w:trPr>
          <w:trHeight w:val="657"/>
        </w:trPr>
        <w:tc>
          <w:tcPr>
            <w:tcW w:w="1593" w:type="pct"/>
            <w:shd w:val="clear" w:color="auto" w:fill="D9D9D9" w:themeFill="background1" w:themeFillShade="D9"/>
          </w:tcPr>
          <w:p w14:paraId="720F9FBF" w14:textId="77777777" w:rsidR="00CA5758" w:rsidRPr="009D5864" w:rsidRDefault="00CA5758" w:rsidP="0040594E">
            <w:pPr>
              <w:pStyle w:val="Tablebody"/>
              <w:rPr>
                <w:sz w:val="22"/>
                <w:szCs w:val="22"/>
                <w:vertAlign w:val="superscript"/>
              </w:rPr>
            </w:pPr>
            <w:r w:rsidRPr="009D5864">
              <w:rPr>
                <w:sz w:val="22"/>
                <w:szCs w:val="22"/>
              </w:rPr>
              <w:t>Massachusetts Department of Environmental Protection</w:t>
            </w:r>
            <w:r w:rsidRPr="009D5864">
              <w:rPr>
                <w:sz w:val="22"/>
                <w:szCs w:val="22"/>
                <w:vertAlign w:val="superscript"/>
              </w:rPr>
              <w:t>5</w:t>
            </w:r>
          </w:p>
        </w:tc>
        <w:tc>
          <w:tcPr>
            <w:tcW w:w="943" w:type="pct"/>
            <w:shd w:val="clear" w:color="auto" w:fill="D9D9D9" w:themeFill="background1" w:themeFillShade="D9"/>
          </w:tcPr>
          <w:p w14:paraId="5C705A6C" w14:textId="77777777" w:rsidR="00CA5758" w:rsidRPr="009D5864" w:rsidRDefault="00CA5758" w:rsidP="0040594E">
            <w:pPr>
              <w:pStyle w:val="Tablebody"/>
              <w:rPr>
                <w:sz w:val="22"/>
                <w:szCs w:val="22"/>
              </w:rPr>
            </w:pPr>
            <w:r w:rsidRPr="009D5864">
              <w:rPr>
                <w:sz w:val="22"/>
                <w:szCs w:val="22"/>
              </w:rPr>
              <w:t>0.01 µg/L</w:t>
            </w:r>
          </w:p>
        </w:tc>
        <w:tc>
          <w:tcPr>
            <w:tcW w:w="632" w:type="pct"/>
            <w:shd w:val="clear" w:color="auto" w:fill="D9D9D9" w:themeFill="background1" w:themeFillShade="D9"/>
          </w:tcPr>
          <w:p w14:paraId="50CE1868" w14:textId="1C7DD387" w:rsidR="00CA5758" w:rsidRPr="009D5864" w:rsidRDefault="00CA5758" w:rsidP="0040594E">
            <w:pPr>
              <w:pStyle w:val="Tablebody"/>
              <w:rPr>
                <w:sz w:val="22"/>
                <w:szCs w:val="22"/>
              </w:rPr>
            </w:pPr>
            <w:r w:rsidRPr="009D5864">
              <w:rPr>
                <w:sz w:val="22"/>
                <w:szCs w:val="22"/>
              </w:rPr>
              <w:t>10</w:t>
            </w:r>
          </w:p>
        </w:tc>
        <w:tc>
          <w:tcPr>
            <w:tcW w:w="1831" w:type="pct"/>
            <w:shd w:val="clear" w:color="auto" w:fill="D9D9D9" w:themeFill="background1" w:themeFillShade="D9"/>
          </w:tcPr>
          <w:p w14:paraId="5D49BAC6" w14:textId="2778652C" w:rsidR="00CA5758" w:rsidRPr="009D5864" w:rsidRDefault="00CA5758" w:rsidP="0040594E">
            <w:pPr>
              <w:pStyle w:val="Tablebody"/>
              <w:rPr>
                <w:sz w:val="22"/>
                <w:szCs w:val="22"/>
              </w:rPr>
            </w:pPr>
            <w:r w:rsidRPr="009D5864">
              <w:rPr>
                <w:sz w:val="22"/>
                <w:szCs w:val="22"/>
              </w:rPr>
              <w:t>Guideline to help evaluate NDMA in drinking water</w:t>
            </w:r>
          </w:p>
        </w:tc>
      </w:tr>
    </w:tbl>
    <w:p w14:paraId="2D19704B" w14:textId="77777777" w:rsidR="00301CC8" w:rsidRPr="000C4868" w:rsidRDefault="00301CC8" w:rsidP="0040594E">
      <w:pPr>
        <w:pStyle w:val="NoSpacing"/>
        <w:rPr>
          <w:sz w:val="6"/>
          <w:szCs w:val="6"/>
          <w:vertAlign w:val="superscript"/>
        </w:rPr>
      </w:pPr>
    </w:p>
    <w:p w14:paraId="3CE8CE3B" w14:textId="6C3E4CE9" w:rsidR="00855660" w:rsidRPr="00FA486B" w:rsidRDefault="00855660" w:rsidP="0040594E">
      <w:pPr>
        <w:pStyle w:val="NoSpacing"/>
        <w:rPr>
          <w:sz w:val="22"/>
          <w:szCs w:val="22"/>
        </w:rPr>
      </w:pPr>
      <w:r w:rsidRPr="00FA486B">
        <w:rPr>
          <w:sz w:val="22"/>
          <w:szCs w:val="22"/>
          <w:vertAlign w:val="superscript"/>
        </w:rPr>
        <w:t>1</w:t>
      </w:r>
      <w:r w:rsidRPr="00FA486B">
        <w:rPr>
          <w:sz w:val="22"/>
          <w:szCs w:val="22"/>
        </w:rPr>
        <w:t>CalEPA 2006</w:t>
      </w:r>
    </w:p>
    <w:p w14:paraId="4A3C7A3C" w14:textId="423BB6F9" w:rsidR="00855660" w:rsidRPr="00FA486B" w:rsidRDefault="00855660" w:rsidP="0040594E">
      <w:pPr>
        <w:pStyle w:val="NoSpacing"/>
        <w:rPr>
          <w:sz w:val="22"/>
          <w:szCs w:val="22"/>
        </w:rPr>
      </w:pPr>
      <w:r w:rsidRPr="00FA486B">
        <w:rPr>
          <w:sz w:val="22"/>
          <w:szCs w:val="22"/>
          <w:vertAlign w:val="superscript"/>
        </w:rPr>
        <w:t>2</w:t>
      </w:r>
      <w:r w:rsidR="001750A5" w:rsidRPr="00FA486B">
        <w:rPr>
          <w:sz w:val="22"/>
          <w:szCs w:val="22"/>
        </w:rPr>
        <w:t>California SWRCB 2019</w:t>
      </w:r>
    </w:p>
    <w:p w14:paraId="0D2A309C" w14:textId="77777777" w:rsidR="00855660" w:rsidRPr="00FA486B" w:rsidRDefault="00855660" w:rsidP="0040594E">
      <w:pPr>
        <w:pStyle w:val="NoSpacing"/>
        <w:rPr>
          <w:sz w:val="22"/>
          <w:szCs w:val="22"/>
        </w:rPr>
      </w:pPr>
      <w:r w:rsidRPr="00FA486B">
        <w:rPr>
          <w:sz w:val="22"/>
          <w:szCs w:val="22"/>
          <w:vertAlign w:val="superscript"/>
        </w:rPr>
        <w:t>3</w:t>
      </w:r>
      <w:r w:rsidRPr="00FA486B">
        <w:rPr>
          <w:sz w:val="22"/>
          <w:szCs w:val="22"/>
        </w:rPr>
        <w:t>Health Canada 2011</w:t>
      </w:r>
    </w:p>
    <w:p w14:paraId="269777DC" w14:textId="77777777" w:rsidR="00855660" w:rsidRPr="00FA486B" w:rsidRDefault="00855660" w:rsidP="0040594E">
      <w:pPr>
        <w:pStyle w:val="NoSpacing"/>
        <w:rPr>
          <w:sz w:val="22"/>
          <w:szCs w:val="22"/>
        </w:rPr>
      </w:pPr>
      <w:r w:rsidRPr="00FA486B">
        <w:rPr>
          <w:bCs/>
          <w:sz w:val="22"/>
          <w:szCs w:val="22"/>
          <w:vertAlign w:val="superscript"/>
        </w:rPr>
        <w:t>4</w:t>
      </w:r>
      <w:r w:rsidRPr="00FA486B">
        <w:rPr>
          <w:sz w:val="22"/>
          <w:szCs w:val="22"/>
        </w:rPr>
        <w:t>WHO 2008</w:t>
      </w:r>
    </w:p>
    <w:p w14:paraId="1BDE0CB0" w14:textId="77777777" w:rsidR="00855660" w:rsidRPr="00FA486B" w:rsidRDefault="00855660" w:rsidP="000C4868">
      <w:pPr>
        <w:pStyle w:val="NoSpacing"/>
        <w:spacing w:after="120"/>
        <w:rPr>
          <w:sz w:val="22"/>
          <w:szCs w:val="22"/>
        </w:rPr>
      </w:pPr>
      <w:r w:rsidRPr="00FA486B">
        <w:rPr>
          <w:sz w:val="22"/>
          <w:szCs w:val="22"/>
          <w:vertAlign w:val="superscript"/>
        </w:rPr>
        <w:t>5</w:t>
      </w:r>
      <w:r w:rsidRPr="00FA486B">
        <w:rPr>
          <w:sz w:val="22"/>
          <w:szCs w:val="22"/>
        </w:rPr>
        <w:t>MA DEP 2019</w:t>
      </w:r>
    </w:p>
    <w:p w14:paraId="309986A4" w14:textId="77777777" w:rsidR="00AE245B" w:rsidRPr="00F80B1F" w:rsidRDefault="00AE245B" w:rsidP="0040594E">
      <w:pPr>
        <w:pStyle w:val="NoSpacing"/>
      </w:pPr>
    </w:p>
    <w:p w14:paraId="298205D7" w14:textId="7BD6A62B" w:rsidR="00B26D34" w:rsidRDefault="003743D3" w:rsidP="00FA486B">
      <w:pPr>
        <w:spacing w:after="320" w:line="240" w:lineRule="auto"/>
      </w:pPr>
      <w:r w:rsidRPr="00F80B1F">
        <w:t xml:space="preserve">Similar guidelines have been established in </w:t>
      </w:r>
      <w:r w:rsidRPr="003A1597">
        <w:t>Arizona (</w:t>
      </w:r>
      <w:proofErr w:type="spellStart"/>
      <w:r w:rsidRPr="003A1597">
        <w:t>Sedlak</w:t>
      </w:r>
      <w:proofErr w:type="spellEnd"/>
      <w:r w:rsidRPr="003A1597">
        <w:t xml:space="preserve"> and</w:t>
      </w:r>
      <w:r w:rsidR="009A045E" w:rsidRPr="003A1597">
        <w:t xml:space="preserve"> </w:t>
      </w:r>
      <w:r w:rsidRPr="003A1597">
        <w:t>Kavanaugh 2006), Australia (</w:t>
      </w:r>
      <w:r w:rsidR="002C0E52">
        <w:t>NHMRC, NRMMC 2018</w:t>
      </w:r>
      <w:r w:rsidRPr="003A1597">
        <w:t>), and the UK (UK DWI 2000)</w:t>
      </w:r>
      <w:r w:rsidR="00716072">
        <w:t xml:space="preserve">. </w:t>
      </w:r>
      <w:r w:rsidR="009866E6" w:rsidRPr="00F80B1F">
        <w:t xml:space="preserve">The differences between the various guidelines can be due to different approaches in deriving the guideline value (e.g., different scaling factors) and/or the </w:t>
      </w:r>
      <w:r w:rsidR="00CA5758">
        <w:t xml:space="preserve">impact of </w:t>
      </w:r>
      <w:r w:rsidR="009866E6" w:rsidRPr="00F80B1F">
        <w:t xml:space="preserve">taking into consideration </w:t>
      </w:r>
      <w:r w:rsidR="00CA5758">
        <w:t>the</w:t>
      </w:r>
      <w:r w:rsidR="009866E6" w:rsidRPr="00F80B1F">
        <w:t xml:space="preserve"> concentrations that analytical laboratories were capable of detecting.</w:t>
      </w:r>
    </w:p>
    <w:p w14:paraId="00E88336" w14:textId="73F8C3F2" w:rsidR="008F7209" w:rsidRPr="004E74A4" w:rsidRDefault="008F7209" w:rsidP="0010161F">
      <w:pPr>
        <w:pStyle w:val="Heading3"/>
      </w:pPr>
      <w:r w:rsidRPr="004E74A4">
        <w:t>Trichloroethylene (TCE)</w:t>
      </w:r>
    </w:p>
    <w:p w14:paraId="72FE5786" w14:textId="77777777" w:rsidR="00A27128" w:rsidRDefault="00EA72F7" w:rsidP="0063071E">
      <w:pPr>
        <w:pStyle w:val="StyleHeading4Linespacingsingle"/>
      </w:pPr>
      <w:r>
        <w:t>Chemistry</w:t>
      </w:r>
    </w:p>
    <w:p w14:paraId="2270B6A1" w14:textId="77777777" w:rsidR="009914EC" w:rsidRDefault="009914EC" w:rsidP="00FA486B">
      <w:r>
        <w:t xml:space="preserve">TCE is a nonflammable and colorless liquid that </w:t>
      </w:r>
      <w:r w:rsidRPr="00A27128">
        <w:t>evaporates quickly into the air</w:t>
      </w:r>
      <w:r>
        <w:t xml:space="preserve">. Its most important use worldwide has been as a degreasing agent in the automotive and metals industries. In the US, use as a degreasing agent has declined due to increased </w:t>
      </w:r>
      <w:r>
        <w:lastRenderedPageBreak/>
        <w:t xml:space="preserve">environmental regulations, while its use in the manufacturing of refrigerants has increased. TCE is also widely used as a solvent for extraction and waterless drying and finishing. In addition, TCE is found in adhesives, paint removers, varnishes, lubricants, and spot removers. The compound’s use as an </w:t>
      </w:r>
      <w:r w:rsidR="00705AD1">
        <w:t xml:space="preserve">inhaled </w:t>
      </w:r>
      <w:r>
        <w:t>anesthetic, fumigant, and extract</w:t>
      </w:r>
      <w:r w:rsidR="00705AD1">
        <w:t>ion aid</w:t>
      </w:r>
      <w:r>
        <w:t xml:space="preserve"> for decaffeinating coffee was discontinued in the US (ATSDR </w:t>
      </w:r>
      <w:r w:rsidR="003217BA">
        <w:t>2019</w:t>
      </w:r>
      <w:r>
        <w:t>).</w:t>
      </w:r>
    </w:p>
    <w:p w14:paraId="591B02BF" w14:textId="39CE83D2" w:rsidR="00A27128" w:rsidRDefault="009914EC" w:rsidP="00FA486B">
      <w:r>
        <w:t xml:space="preserve">While widely detected in ambient air, the short half-life of TCE (7 days) indicates that it is not a persistent atmospheric compound. TCE can also be found in surface water through industrial discharges of wastewater streams or wet deposition (i.e., rainwater) and </w:t>
      </w:r>
      <w:r w:rsidR="000316D9">
        <w:t xml:space="preserve">in </w:t>
      </w:r>
      <w:r>
        <w:t xml:space="preserve">groundwater through landfill leachate. In contaminated groundwater, TCE may off-gas and migrate into indoor air spaces overlying the contaminated area through a process called vapor intrusion. TCE can also be released into the soil, where it is highly mobile and can percolate to subsurface regions including groundwater. In the subsurface regions, TCE degrades slowly and remains persistent, increasing the potential for vapor intrusion (ATSDR </w:t>
      </w:r>
      <w:r w:rsidR="003217BA">
        <w:t>2019</w:t>
      </w:r>
      <w:r>
        <w:t>).</w:t>
      </w:r>
    </w:p>
    <w:p w14:paraId="7C45456E" w14:textId="77777777" w:rsidR="00A27128" w:rsidRDefault="00A27128" w:rsidP="0063071E">
      <w:pPr>
        <w:pStyle w:val="StyleHeading4Linespacingsingle"/>
      </w:pPr>
      <w:r w:rsidRPr="00A27128">
        <w:t>Sources of Exposure to TCE</w:t>
      </w:r>
    </w:p>
    <w:p w14:paraId="08858A52" w14:textId="77777777" w:rsidR="00CE00CA" w:rsidRDefault="00CE00CA" w:rsidP="00FA486B">
      <w:r>
        <w:t xml:space="preserve">The primary route of exposure to TCE for the general population is through inhalation of ambient air and ingestion of drinking water. TCE that is inhaled or ingested can subsequently enter the bloodstream through the lungs or stomach, respectively. To a lesser extent, TCE exposure can also occur by consumption of contaminated foods or contact with consumer products containing TCE. These consumer products include wood stains, varnishes, and finishes; lubricants; adhesives; typewriter correction fluids; paint removers; and cleaners (ATSDR </w:t>
      </w:r>
      <w:r w:rsidR="003217BA">
        <w:t>2019</w:t>
      </w:r>
      <w:r>
        <w:t xml:space="preserve">). </w:t>
      </w:r>
    </w:p>
    <w:p w14:paraId="06181AEC" w14:textId="0AB4324C" w:rsidR="00CE00CA" w:rsidRDefault="00CE00CA" w:rsidP="00FA486B">
      <w:r>
        <w:t xml:space="preserve">Atmospheric levels of TCE are generally higher in urban or concentrated industrial areas and lower in rural regions. However, indoor air presents a more significant source of exposure to TCE than outdoor air. This is because </w:t>
      </w:r>
      <w:r w:rsidRPr="00A27128">
        <w:t xml:space="preserve">TCE </w:t>
      </w:r>
      <w:r>
        <w:t>from</w:t>
      </w:r>
      <w:r w:rsidRPr="00A27128">
        <w:t xml:space="preserve"> groundwater </w:t>
      </w:r>
      <w:r>
        <w:t xml:space="preserve">sources </w:t>
      </w:r>
      <w:r w:rsidRPr="00A27128">
        <w:t>can evaporate and migrate into air spaces beneath buildings</w:t>
      </w:r>
      <w:r>
        <w:t>, eventually</w:t>
      </w:r>
      <w:r w:rsidRPr="00A27128">
        <w:t xml:space="preserve"> enter</w:t>
      </w:r>
      <w:r>
        <w:t>ing</w:t>
      </w:r>
      <w:r w:rsidRPr="00A27128">
        <w:t xml:space="preserve"> </w:t>
      </w:r>
      <w:r>
        <w:t>t</w:t>
      </w:r>
      <w:r w:rsidRPr="00A27128">
        <w:t xml:space="preserve">he indoor </w:t>
      </w:r>
      <w:proofErr w:type="gramStart"/>
      <w:r w:rsidRPr="00A27128">
        <w:t xml:space="preserve">air </w:t>
      </w:r>
      <w:r w:rsidR="000316D9">
        <w:t xml:space="preserve"> by</w:t>
      </w:r>
      <w:proofErr w:type="gramEnd"/>
      <w:r w:rsidRPr="00A27128">
        <w:t xml:space="preserve"> vapor intrusion</w:t>
      </w:r>
      <w:r>
        <w:t xml:space="preserve">. Vapor intrusion, along with off-gassing of TCE-containing building construction and consumer products, can contribute to elevated TCE levels in indoor air. Furthermore, volatilization of TCE during baths or showers can also increase indoor air levels among households that use contaminated water supplies (ATSDR </w:t>
      </w:r>
      <w:r w:rsidR="003217BA">
        <w:t>2019</w:t>
      </w:r>
      <w:r>
        <w:t>).</w:t>
      </w:r>
    </w:p>
    <w:p w14:paraId="65CD8CE0" w14:textId="77777777" w:rsidR="00CE00CA" w:rsidRDefault="00CE00CA" w:rsidP="00FA486B">
      <w:r>
        <w:t xml:space="preserve">Dermal </w:t>
      </w:r>
      <w:r w:rsidR="00AF211D">
        <w:t>contact</w:t>
      </w:r>
      <w:r>
        <w:t xml:space="preserve"> is not an important exposure pathway for most people based on available data</w:t>
      </w:r>
      <w:r w:rsidR="00AF211D">
        <w:t>, but it</w:t>
      </w:r>
      <w:r>
        <w:t xml:space="preserve"> </w:t>
      </w:r>
      <w:r w:rsidR="00AF211D">
        <w:t>can</w:t>
      </w:r>
      <w:r>
        <w:t xml:space="preserve"> occur </w:t>
      </w:r>
      <w:r w:rsidR="00AF211D">
        <w:t xml:space="preserve">from contact </w:t>
      </w:r>
      <w:r>
        <w:t>with soil or water containing TCE</w:t>
      </w:r>
      <w:r w:rsidR="00AF211D">
        <w:t>. V</w:t>
      </w:r>
      <w:r>
        <w:t xml:space="preserve">ery </w:t>
      </w:r>
      <w:r w:rsidRPr="00C15FB2">
        <w:t>small amount</w:t>
      </w:r>
      <w:r w:rsidR="00AF211D">
        <w:t>s</w:t>
      </w:r>
      <w:r w:rsidRPr="00C15FB2">
        <w:t xml:space="preserve"> </w:t>
      </w:r>
      <w:r w:rsidR="00AF211D">
        <w:t xml:space="preserve">can also move </w:t>
      </w:r>
      <w:r>
        <w:t>from the air</w:t>
      </w:r>
      <w:r w:rsidRPr="00C15FB2">
        <w:t xml:space="preserve"> through </w:t>
      </w:r>
      <w:r>
        <w:t>the skin and into the</w:t>
      </w:r>
      <w:r w:rsidRPr="00C15FB2">
        <w:t xml:space="preserve"> bloodstream</w:t>
      </w:r>
      <w:r>
        <w:t xml:space="preserve"> (ATSDR 201</w:t>
      </w:r>
      <w:r w:rsidR="003217BA">
        <w:t>9</w:t>
      </w:r>
      <w:r>
        <w:t>)</w:t>
      </w:r>
      <w:r w:rsidRPr="00C15FB2">
        <w:t>.</w:t>
      </w:r>
    </w:p>
    <w:p w14:paraId="19A24F9C" w14:textId="77777777" w:rsidR="00CE00CA" w:rsidRDefault="00CE00CA" w:rsidP="00FA486B">
      <w:r>
        <w:lastRenderedPageBreak/>
        <w:t xml:space="preserve">Children can be similarly exposed to TCE through inhalation of ambient air and ingestion of drinking water. Intake from these two sources is expected to be greater among children than adults because of their increased ventilation rate and water consumption per kilogram of body weight. Their potential exposure through ingestion of dust or soil is likely to be limited because of TCE’s low soil adsorption and volatility, but still higher than adults. For infants, breast milk is a potential source of exposure. A developing fetus may also be exposed to TCE because the compound can cross the placenta (ATSDR </w:t>
      </w:r>
      <w:r w:rsidR="003217BA">
        <w:t>2019</w:t>
      </w:r>
      <w:r>
        <w:t>).</w:t>
      </w:r>
    </w:p>
    <w:p w14:paraId="02D4CC2C" w14:textId="77777777" w:rsidR="00A27128" w:rsidRDefault="00A27128" w:rsidP="0063071E">
      <w:pPr>
        <w:pStyle w:val="StyleHeading4Linespacingsingle"/>
      </w:pPr>
      <w:r w:rsidRPr="00A27128">
        <w:t xml:space="preserve">Health Risks </w:t>
      </w:r>
    </w:p>
    <w:p w14:paraId="38A965D0" w14:textId="77777777" w:rsidR="00AF211D" w:rsidRDefault="00AF211D" w:rsidP="00FA486B">
      <w:r>
        <w:t xml:space="preserve">Available human and animal data indicate that TCE potentially targets the kidney, liver, developing fetus, as well as several body systems. Acute inhalation exposure to TCE can cause irritation of the upper respiratory tract, as well as central nervous system depression, dizziness, confusion, nausea, and even death. Chronic exposure can lead to both cancerous and non-cancerous health outcomes. Studies suggest that the immune system and developing fetus may be particularly sensitive to TCE toxicity. Limited epidemiological data that evaluated exposures to TCE in the workplace or residence and from drinking water reported possible associations between TCE and certain heart defects in the developing fetus. Other studies </w:t>
      </w:r>
      <w:r w:rsidR="00CC5469">
        <w:t xml:space="preserve">have </w:t>
      </w:r>
      <w:r>
        <w:t xml:space="preserve">also </w:t>
      </w:r>
      <w:r w:rsidRPr="00292D0C">
        <w:t>shown that exposure to TCE over the long term can lead to an increased risk of developing some autoimmune conditions</w:t>
      </w:r>
      <w:r>
        <w:t xml:space="preserve">, including immunosuppression (ATSDR </w:t>
      </w:r>
      <w:r w:rsidR="003217BA">
        <w:t>2019</w:t>
      </w:r>
      <w:r>
        <w:t xml:space="preserve">). </w:t>
      </w:r>
    </w:p>
    <w:p w14:paraId="55B3AE63" w14:textId="0CD4A449" w:rsidR="00AF211D" w:rsidRDefault="000A4474" w:rsidP="00FA486B">
      <w:r w:rsidRPr="000A4474">
        <w:t>Following its Guidelines for Carcinogen Risk Assessment (US</w:t>
      </w:r>
      <w:r w:rsidR="00EC7EE3">
        <w:t xml:space="preserve"> </w:t>
      </w:r>
      <w:r w:rsidRPr="000A4474">
        <w:t>EPA 2005), the US</w:t>
      </w:r>
      <w:r w:rsidR="00EC7EE3">
        <w:t xml:space="preserve"> </w:t>
      </w:r>
      <w:r w:rsidRPr="000A4474">
        <w:t>EPA characterized TCE as carcinogenic in humans by all routes of exposure (US</w:t>
      </w:r>
      <w:r w:rsidR="00EC7EE3">
        <w:t xml:space="preserve"> </w:t>
      </w:r>
      <w:r w:rsidRPr="000A4474">
        <w:t>EPA 2011). The National Toxicology Program (NTP) lists TCE as reasonably anticipated to be a human carcinogen (NTP 2011) and IARC classifies TCE as “carcinogenic to humans” (</w:t>
      </w:r>
      <w:r w:rsidR="00E5561F" w:rsidRPr="000A4474">
        <w:t>Guha et al. 2012</w:t>
      </w:r>
      <w:r w:rsidR="00E5561F">
        <w:t xml:space="preserve">; </w:t>
      </w:r>
      <w:r w:rsidR="006207EE">
        <w:t>IARC 2014</w:t>
      </w:r>
      <w:r w:rsidRPr="000A4474">
        <w:t>).</w:t>
      </w:r>
      <w:r w:rsidR="00AF211D">
        <w:t xml:space="preserve"> Epidemiological data provide convincing evidence for a causal association between TCE exposure and kidney cancer in humans based on occupational cohort and case-control studies. </w:t>
      </w:r>
      <w:r w:rsidR="00AF211D" w:rsidRPr="008C5476">
        <w:t xml:space="preserve">There is </w:t>
      </w:r>
      <w:r w:rsidR="00AF211D">
        <w:t xml:space="preserve">also </w:t>
      </w:r>
      <w:r w:rsidR="00AF211D" w:rsidRPr="008C5476">
        <w:t>some evidence for increased risks for non-Hodgkin lymphoma and liver cancer</w:t>
      </w:r>
      <w:r w:rsidR="00AF211D">
        <w:t>. However, the human data for these two cancer types are less convincing because reliable information is limited to a few occupational cohort studies.</w:t>
      </w:r>
      <w:r w:rsidR="00AF211D" w:rsidRPr="008C5476">
        <w:t xml:space="preserve"> Short-term (e.g., several months or several years) exposure to low levels poses lower risks</w:t>
      </w:r>
      <w:r w:rsidR="00AF211D">
        <w:t xml:space="preserve"> of developing cancer</w:t>
      </w:r>
      <w:r w:rsidR="00AF211D" w:rsidRPr="008C5476">
        <w:t xml:space="preserve"> than a lifetime of daily exposure</w:t>
      </w:r>
      <w:r w:rsidR="00AF211D">
        <w:t xml:space="preserve"> (ATSDR 201</w:t>
      </w:r>
      <w:r w:rsidR="003217BA">
        <w:t>9</w:t>
      </w:r>
      <w:r w:rsidR="00AF211D">
        <w:t>)</w:t>
      </w:r>
      <w:r w:rsidR="00AF211D" w:rsidRPr="008C5476">
        <w:t>.</w:t>
      </w:r>
    </w:p>
    <w:p w14:paraId="6935E3EE" w14:textId="2B51693A" w:rsidR="00AF211D" w:rsidRDefault="00AF211D" w:rsidP="00FA486B">
      <w:r w:rsidRPr="00BE34F5">
        <w:t>A population that ingested well water</w:t>
      </w:r>
      <w:r>
        <w:t xml:space="preserve"> contaminated with TCE</w:t>
      </w:r>
      <w:r w:rsidRPr="00BE34F5">
        <w:t xml:space="preserve"> in Woburn, Massachusetts was reported to have an increase in childhood leukemia</w:t>
      </w:r>
      <w:r w:rsidR="00BA326E">
        <w:t xml:space="preserve"> (Costas et al. 2002)</w:t>
      </w:r>
      <w:r w:rsidRPr="00BE34F5">
        <w:t xml:space="preserve">. This was supported by a second study of New Jersey communities, where a significant elevation of total leukemia, childhood leukemia, </w:t>
      </w:r>
      <w:r w:rsidR="00CC5469">
        <w:t>ALL</w:t>
      </w:r>
      <w:r w:rsidRPr="00BE34F5">
        <w:t xml:space="preserve">, and non-Hodgkin lymphoma in females </w:t>
      </w:r>
      <w:r w:rsidR="00CC5469" w:rsidRPr="00BE34F5">
        <w:t xml:space="preserve">was found </w:t>
      </w:r>
      <w:r w:rsidR="00CC5469">
        <w:t xml:space="preserve">after </w:t>
      </w:r>
      <w:r w:rsidRPr="00BE34F5">
        <w:t>expos</w:t>
      </w:r>
      <w:r w:rsidR="00CC5469">
        <w:t>ures</w:t>
      </w:r>
      <w:r w:rsidRPr="00BE34F5">
        <w:t xml:space="preserve"> to &gt;5.0 ppb </w:t>
      </w:r>
      <w:r w:rsidR="00CC5469">
        <w:t xml:space="preserve">of </w:t>
      </w:r>
      <w:r>
        <w:t>TCE</w:t>
      </w:r>
      <w:r w:rsidR="00163BC3">
        <w:t xml:space="preserve"> (</w:t>
      </w:r>
      <w:proofErr w:type="spellStart"/>
      <w:r w:rsidR="00163BC3" w:rsidRPr="00527EEE">
        <w:t>Fagliano</w:t>
      </w:r>
      <w:proofErr w:type="spellEnd"/>
      <w:r w:rsidR="00163BC3">
        <w:t xml:space="preserve"> et al. </w:t>
      </w:r>
      <w:r w:rsidR="00163BC3">
        <w:lastRenderedPageBreak/>
        <w:t>2003)</w:t>
      </w:r>
      <w:r w:rsidRPr="00BE34F5">
        <w:t xml:space="preserve">. However, the associations drawn from these studies between the incidence of leukemia and other cancers and oral exposure to </w:t>
      </w:r>
      <w:r>
        <w:t>TCE</w:t>
      </w:r>
      <w:r w:rsidRPr="00BE34F5">
        <w:t xml:space="preserve"> are suggestive</w:t>
      </w:r>
      <w:r w:rsidR="00163BC3">
        <w:t xml:space="preserve"> and</w:t>
      </w:r>
      <w:r w:rsidRPr="00BE34F5">
        <w:t xml:space="preserve"> not definitive because exposure was known to be of a mixture of contaminants</w:t>
      </w:r>
      <w:r>
        <w:t xml:space="preserve"> (ATSDR 201</w:t>
      </w:r>
      <w:r w:rsidR="003217BA">
        <w:t>9</w:t>
      </w:r>
      <w:r>
        <w:t>)</w:t>
      </w:r>
      <w:r w:rsidRPr="00BE34F5">
        <w:t>.</w:t>
      </w:r>
    </w:p>
    <w:p w14:paraId="537604BD" w14:textId="77777777" w:rsidR="00A27128" w:rsidRDefault="00A27128" w:rsidP="0063071E">
      <w:pPr>
        <w:pStyle w:val="StyleHeading4Linespacingsingle"/>
      </w:pPr>
      <w:r w:rsidRPr="00A27128">
        <w:t>Existing Drinking Water Guidelines</w:t>
      </w:r>
    </w:p>
    <w:p w14:paraId="3C17DA08" w14:textId="76486459" w:rsidR="00F21BC2" w:rsidRDefault="00163BC3" w:rsidP="00FA486B">
      <w:pPr>
        <w:rPr>
          <w:rFonts w:ascii="Times New Roman" w:hAnsi="Times New Roman"/>
          <w:sz w:val="23"/>
          <w:szCs w:val="23"/>
        </w:rPr>
        <w:sectPr w:rsidR="00F21BC2" w:rsidSect="00273FCA">
          <w:footerReference w:type="default" r:id="rId25"/>
          <w:pgSz w:w="12240" w:h="15840"/>
          <w:pgMar w:top="1440" w:right="1440" w:bottom="1440" w:left="1440" w:header="720" w:footer="720" w:gutter="0"/>
          <w:pgNumType w:chapStyle="1"/>
          <w:cols w:space="720"/>
          <w:docGrid w:linePitch="360"/>
        </w:sectPr>
      </w:pPr>
      <w:r w:rsidRPr="009714E4">
        <w:t xml:space="preserve">The </w:t>
      </w:r>
      <w:r w:rsidR="00AB7F26" w:rsidRPr="009714E4">
        <w:t xml:space="preserve">Massachusetts </w:t>
      </w:r>
      <w:r w:rsidR="00223FB7">
        <w:t xml:space="preserve">Office of Research and Standards (ORS) has adopted the </w:t>
      </w:r>
      <w:r w:rsidRPr="009714E4">
        <w:t xml:space="preserve">maximum contaminant level </w:t>
      </w:r>
      <w:r w:rsidR="00223FB7">
        <w:t xml:space="preserve">published by the EPA, of 5 ppb </w:t>
      </w:r>
      <w:r w:rsidR="00AB7F26" w:rsidRPr="009714E4">
        <w:t>for TCE in public drinking</w:t>
      </w:r>
      <w:r w:rsidRPr="009714E4">
        <w:t xml:space="preserve"> wate</w:t>
      </w:r>
      <w:r w:rsidR="00675A7E">
        <w:t>r</w:t>
      </w:r>
      <w:r w:rsidR="00223FB7">
        <w:t xml:space="preserve"> </w:t>
      </w:r>
      <w:r w:rsidRPr="009714E4">
        <w:t>(MA DEP 2019).</w:t>
      </w:r>
      <w:r w:rsidR="00AB7F26">
        <w:t xml:space="preserve"> This standard was adopted by EPA </w:t>
      </w:r>
      <w:r w:rsidR="00675A7E">
        <w:t xml:space="preserve">on January 9, </w:t>
      </w:r>
      <w:r w:rsidR="00AB7F26">
        <w:t>198</w:t>
      </w:r>
      <w:r w:rsidR="00675A7E">
        <w:t>9</w:t>
      </w:r>
      <w:r w:rsidR="00AB7F26">
        <w:t xml:space="preserve"> and has</w:t>
      </w:r>
      <w:r w:rsidR="00D87286">
        <w:t xml:space="preserve"> thereafter</w:t>
      </w:r>
      <w:r w:rsidR="00AB7F26">
        <w:t xml:space="preserve"> been applic</w:t>
      </w:r>
      <w:r w:rsidR="00D87286">
        <w:t>able in Massachusetts</w:t>
      </w:r>
      <w:r w:rsidR="00EC7EE3">
        <w:t xml:space="preserve"> </w:t>
      </w:r>
      <w:r w:rsidR="00675A7E" w:rsidRPr="009D5864">
        <w:t>(40 CFR, Section 141.60, Effective Dates, July 1, 2002, edition</w:t>
      </w:r>
      <w:r w:rsidR="00675A7E">
        <w:rPr>
          <w:rFonts w:ascii="Times New Roman" w:hAnsi="Times New Roman"/>
          <w:sz w:val="23"/>
          <w:szCs w:val="23"/>
        </w:rPr>
        <w:t>)</w:t>
      </w:r>
      <w:bookmarkStart w:id="68" w:name="_Toc365640911"/>
      <w:bookmarkStart w:id="69" w:name="_Toc365640918"/>
      <w:r w:rsidR="00B26D34">
        <w:rPr>
          <w:rFonts w:ascii="Times New Roman" w:hAnsi="Times New Roman"/>
          <w:sz w:val="23"/>
          <w:szCs w:val="23"/>
        </w:rPr>
        <w:t>.</w:t>
      </w:r>
    </w:p>
    <w:p w14:paraId="3E19D38E" w14:textId="6494C663" w:rsidR="0057723B" w:rsidRPr="009C7171" w:rsidRDefault="0057723B" w:rsidP="003477EB">
      <w:pPr>
        <w:pStyle w:val="Heading1"/>
      </w:pPr>
      <w:bookmarkStart w:id="70" w:name="_Toc67488272"/>
      <w:r w:rsidRPr="00301CC8">
        <w:lastRenderedPageBreak/>
        <w:t>METHODS</w:t>
      </w:r>
      <w:bookmarkEnd w:id="68"/>
      <w:bookmarkEnd w:id="70"/>
    </w:p>
    <w:p w14:paraId="7FD5C5B9" w14:textId="77777777" w:rsidR="0057723B" w:rsidRDefault="0057723B" w:rsidP="009B5DA2">
      <w:pPr>
        <w:pStyle w:val="Heading2"/>
      </w:pPr>
      <w:bookmarkStart w:id="71" w:name="_Toc67488273"/>
      <w:r>
        <w:t>COMMUNITY ENGAGEMENT</w:t>
      </w:r>
      <w:bookmarkEnd w:id="71"/>
    </w:p>
    <w:p w14:paraId="470F53ED" w14:textId="413FC717" w:rsidR="0057723B" w:rsidRDefault="0057723B" w:rsidP="00FA486B">
      <w:r>
        <w:t xml:space="preserve">From the </w:t>
      </w:r>
      <w:r w:rsidR="003B3D7F">
        <w:t>beginning</w:t>
      </w:r>
      <w:r>
        <w:t xml:space="preserve"> of the Massachusetts Department of Public Health’s (MDPH’s) investigation into childhood cancer rates in Wilmington, residents, community groups, and the Wilmington Board of Health (BOH) have provided input and impetus to the development and completion of this study. A</w:t>
      </w:r>
      <w:r w:rsidRPr="00F80B1F">
        <w:t xml:space="preserve"> community group called the Kelly Hill Group </w:t>
      </w:r>
      <w:r>
        <w:t xml:space="preserve">was initially responsible for helping </w:t>
      </w:r>
      <w:r w:rsidRPr="00F80B1F">
        <w:t xml:space="preserve">to raise </w:t>
      </w:r>
      <w:r>
        <w:t>awareness</w:t>
      </w:r>
      <w:r w:rsidRPr="00F80B1F">
        <w:t xml:space="preserve"> about childhood cancer in the Kelly Hill neighborhood of Wilmington</w:t>
      </w:r>
      <w:r>
        <w:t xml:space="preserve">, bringing the issue to MDPH’s attention with the help of </w:t>
      </w:r>
      <w:r w:rsidRPr="00B443D4">
        <w:t>State Representative James Miceli</w:t>
      </w:r>
      <w:r>
        <w:t>. Later expanding their concerns to other parts of Wilmington, the group was re-named the Wilmington Childhood Cancer Study Subgroup and served as the study’s first official community advisory committee, working with MDPH to</w:t>
      </w:r>
      <w:r w:rsidRPr="00F80B1F">
        <w:t xml:space="preserve"> plan for </w:t>
      </w:r>
      <w:r>
        <w:t>the</w:t>
      </w:r>
      <w:r w:rsidRPr="00F80B1F">
        <w:t xml:space="preserve"> case-control study</w:t>
      </w:r>
      <w:r>
        <w:t>. The advisory committee provided</w:t>
      </w:r>
      <w:r w:rsidRPr="00E035A2">
        <w:t xml:space="preserve"> feedback </w:t>
      </w:r>
      <w:r>
        <w:t>on the study’s scope, data collection process, and focus. MDPH and the advisory committee met regularly with the goal of ensuring that</w:t>
      </w:r>
      <w:r w:rsidRPr="00E035A2">
        <w:t xml:space="preserve"> the study </w:t>
      </w:r>
      <w:r>
        <w:t xml:space="preserve">would </w:t>
      </w:r>
      <w:r w:rsidRPr="00E035A2">
        <w:t>address</w:t>
      </w:r>
      <w:r>
        <w:t xml:space="preserve"> </w:t>
      </w:r>
      <w:r w:rsidRPr="00E035A2">
        <w:t>the questions and interests of the community</w:t>
      </w:r>
      <w:r>
        <w:t xml:space="preserve"> and that expectations were achievable. Project staff also occasionally met to discuss the study’s progress with a community</w:t>
      </w:r>
      <w:r w:rsidRPr="004D5C9C">
        <w:t xml:space="preserve"> group </w:t>
      </w:r>
      <w:r>
        <w:rPr>
          <w:rStyle w:val="html-render"/>
        </w:rPr>
        <w:t xml:space="preserve">made up of affected families that </w:t>
      </w:r>
      <w:r>
        <w:t>continues to be active as of the writing of this report.</w:t>
      </w:r>
    </w:p>
    <w:p w14:paraId="32137F8B" w14:textId="4E9287D4" w:rsidR="0057723B" w:rsidRDefault="0057723B" w:rsidP="00FA486B">
      <w:r>
        <w:t>D</w:t>
      </w:r>
      <w:r w:rsidRPr="00F80B1F">
        <w:t>uring the</w:t>
      </w:r>
      <w:r>
        <w:t xml:space="preserve"> </w:t>
      </w:r>
      <w:r w:rsidRPr="00F80B1F">
        <w:t>course of the study</w:t>
      </w:r>
      <w:r>
        <w:t>, the advisory committee expanded to include representatives of the Wilmington BOH, the US EPA, the MA DEP, and state legislators representing Wilmington residents. This final iteration of the advisory committee was named the Wilmington Childhood Cancer Study Advisory Committee and remain</w:t>
      </w:r>
      <w:r w:rsidR="000316D9">
        <w:t>s</w:t>
      </w:r>
      <w:r>
        <w:t xml:space="preserve"> active through the study’s completion. After the exposure assessment of </w:t>
      </w:r>
      <w:r w:rsidRPr="00A26E6D">
        <w:rPr>
          <w:i/>
        </w:rPr>
        <w:t>n</w:t>
      </w:r>
      <w:r w:rsidRPr="006073BD">
        <w:t>-</w:t>
      </w:r>
      <w:proofErr w:type="spellStart"/>
      <w:r w:rsidRPr="006073BD">
        <w:rPr>
          <w:lang w:val="en"/>
        </w:rPr>
        <w:t>nitrosodimethylamine</w:t>
      </w:r>
      <w:proofErr w:type="spellEnd"/>
      <w:r w:rsidRPr="006073BD">
        <w:rPr>
          <w:lang w:val="en"/>
        </w:rPr>
        <w:t xml:space="preserve"> </w:t>
      </w:r>
      <w:r>
        <w:rPr>
          <w:lang w:val="en"/>
        </w:rPr>
        <w:t>(</w:t>
      </w:r>
      <w:r>
        <w:t>NDMA) was complete and the study entered its data analysis phase, MPDH provided regular written progress updates to the advisory committee. MDPH acknowledges the tremendous patience of all concerned residents in awaiting this report and appreciates the commitment of the members of the community advisory committee to</w:t>
      </w:r>
      <w:r w:rsidR="0071083D">
        <w:t xml:space="preserve"> this</w:t>
      </w:r>
      <w:r>
        <w:t xml:space="preserve"> project.</w:t>
      </w:r>
    </w:p>
    <w:p w14:paraId="3110C62C" w14:textId="77777777" w:rsidR="0057723B" w:rsidRPr="00F80B1F" w:rsidRDefault="0057723B" w:rsidP="009B5DA2">
      <w:pPr>
        <w:pStyle w:val="Heading2"/>
      </w:pPr>
      <w:bookmarkStart w:id="72" w:name="_Toc67488274"/>
      <w:r w:rsidRPr="00F80B1F">
        <w:t>STUDY DESIGN</w:t>
      </w:r>
      <w:bookmarkEnd w:id="72"/>
    </w:p>
    <w:p w14:paraId="6B8F552E" w14:textId="77777777" w:rsidR="0057723B" w:rsidRDefault="0057723B" w:rsidP="00FA486B">
      <w:r w:rsidRPr="00F80B1F">
        <w:t>The Wilmington Childhood Cancer Study is a population-based matched case-control study. This research design is best suited when a small number of cases have been identified and a representative control population is needed</w:t>
      </w:r>
      <w:r>
        <w:t xml:space="preserve">. </w:t>
      </w:r>
      <w:r w:rsidRPr="00F80B1F">
        <w:t>Matching allows for</w:t>
      </w:r>
      <w:r>
        <w:t xml:space="preserve"> the</w:t>
      </w:r>
      <w:r w:rsidRPr="00F80B1F">
        <w:t xml:space="preserve"> pairing of cases and controls with respect to similarities other than the disease outcome</w:t>
      </w:r>
      <w:r>
        <w:t xml:space="preserve">. </w:t>
      </w:r>
      <w:r w:rsidRPr="00F80B1F">
        <w:t xml:space="preserve">When cases and controls are matched on criteria such as age or sex, </w:t>
      </w:r>
      <w:r>
        <w:t xml:space="preserve">then these factors are no longer able to influence the results such that </w:t>
      </w:r>
      <w:r w:rsidRPr="00F80B1F">
        <w:t xml:space="preserve">any observed </w:t>
      </w:r>
      <w:r>
        <w:t>association</w:t>
      </w:r>
      <w:r w:rsidRPr="00F80B1F">
        <w:t xml:space="preserve">s </w:t>
      </w:r>
      <w:r>
        <w:t xml:space="preserve">can be </w:t>
      </w:r>
      <w:r>
        <w:lastRenderedPageBreak/>
        <w:t xml:space="preserve">more easily </w:t>
      </w:r>
      <w:r w:rsidRPr="00F80B1F">
        <w:t>attribut</w:t>
      </w:r>
      <w:r>
        <w:t>ed</w:t>
      </w:r>
      <w:r w:rsidRPr="00F80B1F">
        <w:t xml:space="preserve"> to </w:t>
      </w:r>
      <w:r>
        <w:t>the risk factor or exposures under investigation. Such a design also enables a more streamlined approach in which these potentially confounding variables do not need to be accounted for during data analysis and, thus, more statistical power is reserved for evaluating the primary association(s) under investigation—a critical concern when a study’s sample size is small.</w:t>
      </w:r>
    </w:p>
    <w:p w14:paraId="74C3C5B0" w14:textId="77777777" w:rsidR="0057723B" w:rsidRPr="00F80B1F" w:rsidRDefault="0057723B" w:rsidP="009B5DA2">
      <w:pPr>
        <w:pStyle w:val="Heading2"/>
      </w:pPr>
      <w:bookmarkStart w:id="73" w:name="_Toc67488275"/>
      <w:r w:rsidRPr="00F80B1F">
        <w:t xml:space="preserve">CASE </w:t>
      </w:r>
      <w:r>
        <w:t xml:space="preserve">DEFINITION AND </w:t>
      </w:r>
      <w:r w:rsidRPr="00F80B1F">
        <w:t>RECRUITMENT</w:t>
      </w:r>
      <w:bookmarkEnd w:id="73"/>
    </w:p>
    <w:p w14:paraId="1583D412" w14:textId="32FE2EF8" w:rsidR="0057723B" w:rsidRPr="00F80B1F" w:rsidRDefault="0057723B" w:rsidP="00FA486B">
      <w:r w:rsidRPr="00F80B1F">
        <w:t>A case was defined as a child who 1) was diagnosed with</w:t>
      </w:r>
      <w:r>
        <w:t xml:space="preserve"> a</w:t>
      </w:r>
      <w:r w:rsidRPr="00F80B1F">
        <w:t xml:space="preserve"> first primary cancer prior to their 20</w:t>
      </w:r>
      <w:r w:rsidRPr="00F80B1F">
        <w:rPr>
          <w:vertAlign w:val="superscript"/>
        </w:rPr>
        <w:t>th</w:t>
      </w:r>
      <w:r w:rsidRPr="00F80B1F">
        <w:t xml:space="preserve"> birthday, 2) was diagnosed between January 1, 19</w:t>
      </w:r>
      <w:r>
        <w:t>90</w:t>
      </w:r>
      <w:r w:rsidRPr="00F80B1F">
        <w:t xml:space="preserve"> and December 31, 2000, and 3) was a resident of Wilmington at the time of diagnosis</w:t>
      </w:r>
      <w:r>
        <w:t>. As described in the Background section, one child with a diagnosis of melanoma was excluded because exposure to sunlight is the major risk factor for that cancer type</w:t>
      </w:r>
      <w:r w:rsidR="000316D9">
        <w:t>.</w:t>
      </w:r>
      <w:r>
        <w:t xml:space="preserve"> </w:t>
      </w:r>
      <w:r w:rsidR="000316D9">
        <w:t>A</w:t>
      </w:r>
      <w:r>
        <w:t>nother child, while included in the study, had a second cancer that was not part of the study because it was likely a treatment-related cancer resulting from the effects of chemotherapy and/or radiation received for the initial cancer. These two diagnoses were unlikely to be relevant to this environmental investigation.</w:t>
      </w:r>
    </w:p>
    <w:p w14:paraId="7D6B7600" w14:textId="77777777" w:rsidR="0057723B" w:rsidRDefault="0057723B" w:rsidP="00FA486B">
      <w:r w:rsidRPr="004E74A4">
        <w:t xml:space="preserve">Cases were identified through the </w:t>
      </w:r>
      <w:r w:rsidR="00677986">
        <w:t xml:space="preserve">MDPH </w:t>
      </w:r>
      <w:r w:rsidRPr="004E74A4">
        <w:t>Massachusetts Cancer Registry (MCR) and</w:t>
      </w:r>
      <w:r>
        <w:t>,</w:t>
      </w:r>
      <w:r w:rsidRPr="004E74A4">
        <w:t xml:space="preserve"> for more recently diagnosed cases (1998-2000), through Massachusetts hospital discharge records</w:t>
      </w:r>
      <w:r>
        <w:t xml:space="preserve">. </w:t>
      </w:r>
      <w:r w:rsidRPr="004E74A4">
        <w:t>Hospital discharge records were used because hospitals are given up to two years to report cancer diagnoses</w:t>
      </w:r>
      <w:r>
        <w:t>,</w:t>
      </w:r>
      <w:r w:rsidRPr="004E74A4">
        <w:t xml:space="preserve"> and MDPH was interested in beginning data collection in 2002 before all cases may have been reported</w:t>
      </w:r>
      <w:r>
        <w:t xml:space="preserve">. </w:t>
      </w:r>
      <w:r w:rsidRPr="004E74A4">
        <w:t>All hospitals re</w:t>
      </w:r>
      <w:r>
        <w:t>p</w:t>
      </w:r>
      <w:r w:rsidRPr="004E74A4">
        <w:t>orting childhood cancers to the MCR were contacted and asked to identify Wilmington cases diagnosed after 1997</w:t>
      </w:r>
      <w:r>
        <w:t xml:space="preserve">. </w:t>
      </w:r>
      <w:r w:rsidRPr="004E74A4">
        <w:t xml:space="preserve">The medical records of each </w:t>
      </w:r>
      <w:r>
        <w:t xml:space="preserve">reported </w:t>
      </w:r>
      <w:r w:rsidRPr="004E74A4">
        <w:t>case w</w:t>
      </w:r>
      <w:r>
        <w:t xml:space="preserve">ere reviewed to confirm that study inclusion criteria, as defined above, were met. </w:t>
      </w:r>
      <w:r w:rsidRPr="004E74A4">
        <w:t xml:space="preserve">MCR records in subsequent years confirmed that no cases </w:t>
      </w:r>
      <w:r>
        <w:t xml:space="preserve">were </w:t>
      </w:r>
      <w:r w:rsidRPr="004E74A4">
        <w:t>missed</w:t>
      </w:r>
      <w:r>
        <w:t xml:space="preserve"> during the case recruitment process.</w:t>
      </w:r>
    </w:p>
    <w:p w14:paraId="3682EE42" w14:textId="02D99624" w:rsidR="00B26D34" w:rsidRDefault="0057723B" w:rsidP="00FA486B">
      <w:r>
        <w:t>In accordance with standard MDPH study procedures, p</w:t>
      </w:r>
      <w:r w:rsidRPr="00F80B1F">
        <w:t xml:space="preserve">ermission to contact and interview parents of cases was obtained from the diagnosing physician </w:t>
      </w:r>
      <w:r>
        <w:t>listed</w:t>
      </w:r>
      <w:r w:rsidRPr="00F80B1F">
        <w:t xml:space="preserve"> in the MCR record</w:t>
      </w:r>
      <w:r>
        <w:t xml:space="preserve">. A copy of the physician consent letter can be found in Appendix A. </w:t>
      </w:r>
      <w:r w:rsidRPr="00725ED5">
        <w:t xml:space="preserve">Once </w:t>
      </w:r>
      <w:r>
        <w:t>physician</w:t>
      </w:r>
      <w:r w:rsidRPr="00725ED5">
        <w:t xml:space="preserve"> consent </w:t>
      </w:r>
      <w:r>
        <w:t>was</w:t>
      </w:r>
      <w:r w:rsidRPr="00725ED5">
        <w:t xml:space="preserve"> obtaine</w:t>
      </w:r>
      <w:r>
        <w:t xml:space="preserve">d, study notification and </w:t>
      </w:r>
      <w:r w:rsidRPr="00725ED5">
        <w:t>recruitment letter</w:t>
      </w:r>
      <w:r>
        <w:t>s</w:t>
      </w:r>
      <w:r w:rsidRPr="00725ED5">
        <w:t xml:space="preserve"> </w:t>
      </w:r>
      <w:r>
        <w:t xml:space="preserve">were mailed to each case’s </w:t>
      </w:r>
      <w:r w:rsidRPr="00725ED5">
        <w:t>parents</w:t>
      </w:r>
      <w:r>
        <w:t>. The letter introduced</w:t>
      </w:r>
      <w:r w:rsidRPr="00725ED5">
        <w:t xml:space="preserve"> and outline</w:t>
      </w:r>
      <w:r>
        <w:t>d</w:t>
      </w:r>
      <w:r w:rsidRPr="00725ED5">
        <w:t xml:space="preserve"> the scope of the investigation and assure</w:t>
      </w:r>
      <w:r>
        <w:t>d</w:t>
      </w:r>
      <w:r w:rsidRPr="00725ED5">
        <w:t xml:space="preserve"> complete protection of confidentiality</w:t>
      </w:r>
      <w:r>
        <w:t xml:space="preserve"> </w:t>
      </w:r>
      <w:r w:rsidRPr="00725ED5">
        <w:t>(</w:t>
      </w:r>
      <w:r>
        <w:t xml:space="preserve">see Appendix A). </w:t>
      </w:r>
      <w:r w:rsidRPr="008C7BCD">
        <w:t xml:space="preserve">The </w:t>
      </w:r>
      <w:r>
        <w:t>case recruitment</w:t>
      </w:r>
      <w:r w:rsidRPr="008C7BCD">
        <w:t xml:space="preserve"> letter was followed by a telephone call to obtain verbal consent to participate and to schedule </w:t>
      </w:r>
      <w:r>
        <w:t>an</w:t>
      </w:r>
      <w:r w:rsidRPr="008C7BCD">
        <w:t xml:space="preserve"> interview</w:t>
      </w:r>
      <w:r>
        <w:t xml:space="preserve">. </w:t>
      </w:r>
      <w:r w:rsidRPr="00456167">
        <w:t xml:space="preserve">The follow-up telephone call provided an opportunity to improve participation by attempting to address </w:t>
      </w:r>
      <w:r>
        <w:t>any</w:t>
      </w:r>
      <w:r w:rsidRPr="00456167">
        <w:t xml:space="preserve"> questions </w:t>
      </w:r>
      <w:r>
        <w:t xml:space="preserve">or </w:t>
      </w:r>
      <w:r w:rsidRPr="00456167">
        <w:t xml:space="preserve">concerns </w:t>
      </w:r>
      <w:r>
        <w:t xml:space="preserve">the </w:t>
      </w:r>
      <w:r w:rsidRPr="00456167">
        <w:t>parents had about participation in the investigation</w:t>
      </w:r>
      <w:r>
        <w:t xml:space="preserve">. </w:t>
      </w:r>
      <w:r w:rsidRPr="008C7BCD">
        <w:t xml:space="preserve">Up to 12 telephone </w:t>
      </w:r>
      <w:r>
        <w:t>calls were made</w:t>
      </w:r>
      <w:r w:rsidRPr="008C7BCD">
        <w:t xml:space="preserve"> at different times of the day and on different days </w:t>
      </w:r>
      <w:r>
        <w:t xml:space="preserve">of the week in an </w:t>
      </w:r>
      <w:r>
        <w:lastRenderedPageBreak/>
        <w:t>attempt</w:t>
      </w:r>
      <w:r w:rsidRPr="008C7BCD">
        <w:t xml:space="preserve"> to </w:t>
      </w:r>
      <w:r>
        <w:t>reach parents</w:t>
      </w:r>
      <w:r w:rsidRPr="008C7BCD">
        <w:t xml:space="preserve"> before sending up to 2 additional follow-up letters</w:t>
      </w:r>
      <w:r>
        <w:t>. An additional</w:t>
      </w:r>
      <w:r w:rsidRPr="008C7BCD">
        <w:t xml:space="preserve"> 12 telephone attempts</w:t>
      </w:r>
      <w:r>
        <w:t xml:space="preserve"> were made after each follow-up letter was mailed. Permission to participate was first sought from the case’s mother or, if the mother was not </w:t>
      </w:r>
      <w:r w:rsidRPr="00725ED5">
        <w:t xml:space="preserve">the primary provider for the child, </w:t>
      </w:r>
      <w:r>
        <w:t xml:space="preserve">then permission was sought from the </w:t>
      </w:r>
      <w:r w:rsidRPr="00725ED5">
        <w:t>father or the most appropriate guardian</w:t>
      </w:r>
      <w:r>
        <w:t xml:space="preserve">. If a </w:t>
      </w:r>
      <w:r w:rsidRPr="00725ED5">
        <w:t xml:space="preserve">mother chose not to participate, </w:t>
      </w:r>
      <w:r>
        <w:t>she was asked for</w:t>
      </w:r>
      <w:r w:rsidRPr="00725ED5">
        <w:t xml:space="preserve"> permission to speak with the father about participation</w:t>
      </w:r>
      <w:r>
        <w:t xml:space="preserve">. </w:t>
      </w:r>
      <w:r w:rsidRPr="00725ED5">
        <w:t xml:space="preserve">For refusals, </w:t>
      </w:r>
      <w:r>
        <w:t>MDPH</w:t>
      </w:r>
      <w:r w:rsidRPr="00725ED5">
        <w:t xml:space="preserve"> evaluate</w:t>
      </w:r>
      <w:r>
        <w:t>d</w:t>
      </w:r>
      <w:r w:rsidRPr="00725ED5">
        <w:t xml:space="preserve"> the reason </w:t>
      </w:r>
      <w:r>
        <w:t>provided</w:t>
      </w:r>
      <w:r w:rsidRPr="00725ED5">
        <w:t xml:space="preserve"> </w:t>
      </w:r>
      <w:r>
        <w:t>and</w:t>
      </w:r>
      <w:r w:rsidRPr="00725ED5">
        <w:t xml:space="preserve"> determine</w:t>
      </w:r>
      <w:r>
        <w:t>d</w:t>
      </w:r>
      <w:r w:rsidRPr="00725ED5">
        <w:t xml:space="preserve"> whether or not follow-up </w:t>
      </w:r>
      <w:r>
        <w:t>wa</w:t>
      </w:r>
      <w:r w:rsidRPr="00725ED5">
        <w:t xml:space="preserve">s appropriate to </w:t>
      </w:r>
      <w:r>
        <w:t xml:space="preserve">further </w:t>
      </w:r>
      <w:r w:rsidRPr="00725ED5">
        <w:t>encourage participation</w:t>
      </w:r>
      <w:r>
        <w:t>. C</w:t>
      </w:r>
      <w:r w:rsidRPr="008C7BCD">
        <w:t>ase</w:t>
      </w:r>
      <w:r>
        <w:t>s</w:t>
      </w:r>
      <w:r w:rsidRPr="008C7BCD">
        <w:t xml:space="preserve"> </w:t>
      </w:r>
      <w:r>
        <w:t>were</w:t>
      </w:r>
      <w:r w:rsidRPr="008C7BCD">
        <w:t xml:space="preserve"> not enrolled if </w:t>
      </w:r>
      <w:r>
        <w:t xml:space="preserve">telephone contact was unsuccessful or if </w:t>
      </w:r>
      <w:r w:rsidRPr="008C7BCD">
        <w:t xml:space="preserve">refusal </w:t>
      </w:r>
      <w:r>
        <w:t>to participate wa</w:t>
      </w:r>
      <w:r w:rsidRPr="008C7BCD">
        <w:t>s obtained</w:t>
      </w:r>
      <w:r>
        <w:t>.</w:t>
      </w:r>
    </w:p>
    <w:p w14:paraId="356DECAC" w14:textId="4459724E" w:rsidR="0057723B" w:rsidRPr="00F80B1F" w:rsidRDefault="0057723B" w:rsidP="009B5DA2">
      <w:pPr>
        <w:pStyle w:val="Heading2"/>
      </w:pPr>
      <w:bookmarkStart w:id="74" w:name="_Toc67488276"/>
      <w:r w:rsidRPr="00F80B1F">
        <w:t xml:space="preserve">CONTROL DEFINITION </w:t>
      </w:r>
      <w:r>
        <w:t>AND</w:t>
      </w:r>
      <w:r w:rsidRPr="00F80B1F">
        <w:t xml:space="preserve"> ASCERTAINMENT</w:t>
      </w:r>
      <w:bookmarkEnd w:id="74"/>
    </w:p>
    <w:p w14:paraId="551D4DDC" w14:textId="77777777" w:rsidR="0057723B" w:rsidRDefault="0057723B" w:rsidP="00FA486B">
      <w:r w:rsidRPr="00F80B1F">
        <w:t>Controls were selected from among Wilmington children of the same age and sex as the cases</w:t>
      </w:r>
      <w:r>
        <w:t xml:space="preserve">. </w:t>
      </w:r>
      <w:r w:rsidRPr="00F80B1F">
        <w:t xml:space="preserve">With the cooperation of Wilmington Public Schools, controls were </w:t>
      </w:r>
      <w:r>
        <w:t>identified</w:t>
      </w:r>
      <w:r w:rsidRPr="00F80B1F">
        <w:t xml:space="preserve"> from school rosters corresponding to the grade</w:t>
      </w:r>
      <w:r>
        <w:t>s</w:t>
      </w:r>
      <w:r w:rsidRPr="00F80B1F">
        <w:t xml:space="preserve"> that case</w:t>
      </w:r>
      <w:r>
        <w:t>s</w:t>
      </w:r>
      <w:r w:rsidRPr="00F80B1F">
        <w:t xml:space="preserve"> w</w:t>
      </w:r>
      <w:r>
        <w:t>ere or w</w:t>
      </w:r>
      <w:r w:rsidRPr="00F80B1F">
        <w:t xml:space="preserve">ould </w:t>
      </w:r>
      <w:r>
        <w:t xml:space="preserve">have </w:t>
      </w:r>
      <w:r w:rsidRPr="00F80B1F">
        <w:t>be</w:t>
      </w:r>
      <w:r>
        <w:t>en</w:t>
      </w:r>
      <w:r w:rsidRPr="00F80B1F">
        <w:t xml:space="preserve"> in </w:t>
      </w:r>
      <w:r>
        <w:t>during</w:t>
      </w:r>
      <w:r w:rsidRPr="00F80B1F">
        <w:t xml:space="preserve"> the 2001-2002 school year</w:t>
      </w:r>
      <w:r>
        <w:t xml:space="preserve">. </w:t>
      </w:r>
      <w:r w:rsidRPr="00F80B1F">
        <w:t xml:space="preserve">For cases </w:t>
      </w:r>
      <w:r>
        <w:t xml:space="preserve">who were beyond </w:t>
      </w:r>
      <w:r w:rsidRPr="00F80B1F">
        <w:t>high school</w:t>
      </w:r>
      <w:r>
        <w:t xml:space="preserve"> age</w:t>
      </w:r>
      <w:r w:rsidRPr="00F80B1F">
        <w:t>, controls were selected from Wilmington yearbook listings for the corresponding</w:t>
      </w:r>
      <w:r>
        <w:t xml:space="preserve"> case</w:t>
      </w:r>
      <w:r w:rsidRPr="00F80B1F">
        <w:t xml:space="preserve"> graduation year</w:t>
      </w:r>
      <w:r>
        <w:t xml:space="preserve">. </w:t>
      </w:r>
      <w:r w:rsidRPr="00F80B1F">
        <w:t>For cases that were not yet school</w:t>
      </w:r>
      <w:r>
        <w:t>-</w:t>
      </w:r>
      <w:r w:rsidRPr="00F80B1F">
        <w:t>aged, controls were selected from Wilmington birth records for</w:t>
      </w:r>
      <w:r>
        <w:t xml:space="preserve"> the year of the case’s birth. Controls</w:t>
      </w:r>
      <w:r w:rsidRPr="00F80B1F">
        <w:t xml:space="preserve"> were randomly selected in order to minimize selection bias and</w:t>
      </w:r>
      <w:r>
        <w:t xml:space="preserve"> to</w:t>
      </w:r>
      <w:r w:rsidRPr="00F80B1F">
        <w:t xml:space="preserve"> ensure that the</w:t>
      </w:r>
      <w:r>
        <w:t>y</w:t>
      </w:r>
      <w:r w:rsidRPr="00F80B1F">
        <w:t xml:space="preserve"> were representative of the general population of Wilmington children</w:t>
      </w:r>
      <w:r>
        <w:t xml:space="preserve">. This was achieved by numbering each child in the corresponding grade or birth year using a random number generator to identify a pool of potential controls for each case. All school-aged controls, as well as all participating school-aged cases, attended public schools in Wilmington. </w:t>
      </w:r>
    </w:p>
    <w:p w14:paraId="6040E6C8" w14:textId="77777777" w:rsidR="0057723B" w:rsidRDefault="0057723B" w:rsidP="00FA486B">
      <w:r>
        <w:t>MDPH</w:t>
      </w:r>
      <w:r w:rsidRPr="00F80B1F">
        <w:t xml:space="preserve"> aim</w:t>
      </w:r>
      <w:r>
        <w:t>ed</w:t>
      </w:r>
      <w:r w:rsidRPr="00F80B1F">
        <w:t xml:space="preserve"> to select four controls per case</w:t>
      </w:r>
      <w:r>
        <w:t xml:space="preserve">. </w:t>
      </w:r>
      <w:r w:rsidRPr="00F80B1F">
        <w:t xml:space="preserve">Potential controls were recruited in the same manner as cases, including </w:t>
      </w:r>
      <w:r>
        <w:t xml:space="preserve">a series of </w:t>
      </w:r>
      <w:r w:rsidRPr="00F80B1F">
        <w:t>recruitment letters and follow-up telephone calls (</w:t>
      </w:r>
      <w:r w:rsidRPr="00A063FD">
        <w:t xml:space="preserve">see Appendix </w:t>
      </w:r>
      <w:r>
        <w:t>A</w:t>
      </w:r>
      <w:r w:rsidRPr="00F80B1F">
        <w:t>)</w:t>
      </w:r>
      <w:r>
        <w:t>. To be eligible, a potential</w:t>
      </w:r>
      <w:r w:rsidRPr="00F80B1F">
        <w:t xml:space="preserve"> control </w:t>
      </w:r>
      <w:r>
        <w:t xml:space="preserve">was required to be a match on age </w:t>
      </w:r>
      <w:r w:rsidR="00C910D9">
        <w:t xml:space="preserve">(within one year) </w:t>
      </w:r>
      <w:r>
        <w:t xml:space="preserve">and sex for a participating case and to </w:t>
      </w:r>
      <w:r w:rsidRPr="00F80B1F">
        <w:t>hav</w:t>
      </w:r>
      <w:r>
        <w:t>e</w:t>
      </w:r>
      <w:r w:rsidRPr="00F80B1F">
        <w:t xml:space="preserve"> lived in Wilmington </w:t>
      </w:r>
      <w:r>
        <w:t>during</w:t>
      </w:r>
      <w:r w:rsidRPr="00F80B1F">
        <w:t xml:space="preserve"> the same month and year </w:t>
      </w:r>
      <w:r>
        <w:t xml:space="preserve">of </w:t>
      </w:r>
      <w:r w:rsidRPr="00F80B1F">
        <w:t>the case</w:t>
      </w:r>
      <w:r>
        <w:t xml:space="preserve">’s cancer </w:t>
      </w:r>
      <w:r w:rsidRPr="00F80B1F">
        <w:t>diagnos</w:t>
      </w:r>
      <w:r>
        <w:t>is. The residence requirement was determined</w:t>
      </w:r>
      <w:r w:rsidRPr="00F80B1F">
        <w:t xml:space="preserve"> </w:t>
      </w:r>
      <w:r>
        <w:t xml:space="preserve">by telephone contact </w:t>
      </w:r>
      <w:r w:rsidRPr="00F80B1F">
        <w:t xml:space="preserve">after </w:t>
      </w:r>
      <w:r>
        <w:t xml:space="preserve">the </w:t>
      </w:r>
      <w:r w:rsidRPr="00F80B1F">
        <w:t>initial study notification and recruitment letter was sent.</w:t>
      </w:r>
    </w:p>
    <w:p w14:paraId="34E27C25" w14:textId="70618B16" w:rsidR="0057723B" w:rsidRDefault="0057723B" w:rsidP="00FA486B">
      <w:r>
        <w:t>Controls who provided no response after three mailings and/or for whom telephone contact was unsuccessful were considered to have refused participation. However, if a mailing was returned by the post office due to an incorrect address then the control was considered ineligible.</w:t>
      </w:r>
    </w:p>
    <w:p w14:paraId="6921CB0B" w14:textId="77777777" w:rsidR="00FA486B" w:rsidRPr="00F80B1F" w:rsidRDefault="00FA486B" w:rsidP="00FA486B"/>
    <w:p w14:paraId="6FC16A16" w14:textId="77777777" w:rsidR="0057723B" w:rsidRPr="00F80B1F" w:rsidRDefault="0057723B" w:rsidP="009B5DA2">
      <w:pPr>
        <w:pStyle w:val="Heading2"/>
      </w:pPr>
      <w:bookmarkStart w:id="75" w:name="_Toc67488277"/>
      <w:r w:rsidRPr="00F80B1F">
        <w:lastRenderedPageBreak/>
        <w:t>ETIOLOGIC PERIOD</w:t>
      </w:r>
      <w:bookmarkEnd w:id="75"/>
    </w:p>
    <w:p w14:paraId="6A0FB53E" w14:textId="28C07629" w:rsidR="0057723B" w:rsidRPr="00F80B1F" w:rsidRDefault="0057723B" w:rsidP="00FA486B">
      <w:pPr>
        <w:rPr>
          <w:highlight w:val="yellow"/>
        </w:rPr>
      </w:pPr>
      <w:r>
        <w:t>Two</w:t>
      </w:r>
      <w:r w:rsidRPr="00F80B1F">
        <w:t xml:space="preserve"> etiologic periods were evaluat</w:t>
      </w:r>
      <w:r>
        <w:t>ed</w:t>
      </w:r>
      <w:r w:rsidRPr="00F80B1F">
        <w:t xml:space="preserve"> in this study</w:t>
      </w:r>
      <w:r>
        <w:t>. First</w:t>
      </w:r>
      <w:r w:rsidRPr="00F80B1F">
        <w:t xml:space="preserve"> </w:t>
      </w:r>
      <w:r w:rsidR="000316D9">
        <w:t>was</w:t>
      </w:r>
      <w:r>
        <w:t xml:space="preserve"> the maternal exposure period, which</w:t>
      </w:r>
      <w:r w:rsidRPr="00F80B1F">
        <w:t xml:space="preserve"> represen</w:t>
      </w:r>
      <w:r>
        <w:t>ts</w:t>
      </w:r>
      <w:r w:rsidRPr="00F80B1F">
        <w:t xml:space="preserve"> </w:t>
      </w:r>
      <w:r w:rsidRPr="00F80B1F">
        <w:rPr>
          <w:i/>
        </w:rPr>
        <w:t>in-utero</w:t>
      </w:r>
      <w:r w:rsidRPr="00F80B1F">
        <w:t xml:space="preserve"> exposure</w:t>
      </w:r>
      <w:r>
        <w:t>,</w:t>
      </w:r>
      <w:r w:rsidRPr="00F80B1F">
        <w:t xml:space="preserve"> and was defined as the period from one year prior to birth until the </w:t>
      </w:r>
      <w:r>
        <w:t>child’s birth</w:t>
      </w:r>
      <w:r w:rsidRPr="00F80B1F">
        <w:t>date</w:t>
      </w:r>
      <w:r>
        <w:t xml:space="preserve">. Second </w:t>
      </w:r>
      <w:r w:rsidR="000316D9">
        <w:t>was</w:t>
      </w:r>
      <w:r>
        <w:t xml:space="preserve"> the childhood exposure period encompassing </w:t>
      </w:r>
      <w:r w:rsidRPr="00F80B1F">
        <w:t xml:space="preserve">all of childhood from </w:t>
      </w:r>
      <w:r>
        <w:t xml:space="preserve">the month of </w:t>
      </w:r>
      <w:r w:rsidRPr="00F80B1F">
        <w:t xml:space="preserve">birth to the date of diagnosis </w:t>
      </w:r>
      <w:r>
        <w:t>for each</w:t>
      </w:r>
      <w:r w:rsidRPr="00F80B1F">
        <w:t xml:space="preserve"> case </w:t>
      </w:r>
      <w:r>
        <w:t xml:space="preserve">or the reference date for each control (defined as their </w:t>
      </w:r>
      <w:r w:rsidRPr="00F80B1F">
        <w:t>matched c</w:t>
      </w:r>
      <w:r>
        <w:t>ase’s date of diagnosis).</w:t>
      </w:r>
    </w:p>
    <w:p w14:paraId="77A8F10C" w14:textId="77777777" w:rsidR="0057723B" w:rsidRPr="00F80B1F" w:rsidRDefault="0057723B" w:rsidP="009B5DA2">
      <w:pPr>
        <w:pStyle w:val="Heading2"/>
      </w:pPr>
      <w:bookmarkStart w:id="76" w:name="_Toc67488278"/>
      <w:r w:rsidRPr="00F80B1F">
        <w:t>DATA COLLECTION</w:t>
      </w:r>
      <w:bookmarkEnd w:id="76"/>
    </w:p>
    <w:p w14:paraId="27345E49" w14:textId="77777777" w:rsidR="0057723B" w:rsidRPr="00F80B1F" w:rsidRDefault="0057723B" w:rsidP="00FA486B">
      <w:r w:rsidRPr="00F80B1F">
        <w:t xml:space="preserve">A comprehensive structured interview was conducted with each participant from 2002-2004 </w:t>
      </w:r>
      <w:r w:rsidRPr="008965C3">
        <w:t>(see Appendix B)</w:t>
      </w:r>
      <w:r>
        <w:t xml:space="preserve">. </w:t>
      </w:r>
      <w:r w:rsidRPr="00F80B1F">
        <w:t xml:space="preserve">Interviewers were trained and provided </w:t>
      </w:r>
      <w:r>
        <w:t xml:space="preserve">with </w:t>
      </w:r>
      <w:r w:rsidRPr="00F80B1F">
        <w:t>an interviewer's manual</w:t>
      </w:r>
      <w:r w:rsidR="0020008B">
        <w:t xml:space="preserve"> to ensure consistency</w:t>
      </w:r>
      <w:r>
        <w:t>. C</w:t>
      </w:r>
      <w:r w:rsidRPr="00F80B1F">
        <w:t>ase recruitment ended in 2003</w:t>
      </w:r>
      <w:r>
        <w:t xml:space="preserve">, and control recruitment was completed in </w:t>
      </w:r>
      <w:r w:rsidRPr="00F80B1F">
        <w:t>2004. The majority of intervie</w:t>
      </w:r>
      <w:r>
        <w:t xml:space="preserve">ws (89%) were conducted in </w:t>
      </w:r>
      <w:r w:rsidRPr="00F80B1F">
        <w:t>person at Tewksbury Hospital</w:t>
      </w:r>
      <w:r>
        <w:t xml:space="preserve">. </w:t>
      </w:r>
      <w:r w:rsidRPr="00F80B1F">
        <w:t>One interview was conducted by telephone and the remaining interviews were conducted at the participant’s home</w:t>
      </w:r>
      <w:r>
        <w:t xml:space="preserve">. </w:t>
      </w:r>
      <w:r w:rsidRPr="00F80B1F">
        <w:t>An interview guide</w:t>
      </w:r>
      <w:r w:rsidR="0020008B">
        <w:t xml:space="preserve"> </w:t>
      </w:r>
      <w:r w:rsidRPr="00F80B1F">
        <w:t>was mailed to the participant to be completed prior to the in-person interview with the purpose of facilitating recall and to be used as a reference during the interview</w:t>
      </w:r>
      <w:r>
        <w:t xml:space="preserve">. </w:t>
      </w:r>
      <w:r w:rsidRPr="00F80B1F">
        <w:t>The interview guide listed types of birth defects and congenital malformations, sources of environmental exposures and chemicals, as well as participants</w:t>
      </w:r>
      <w:r>
        <w:t>’</w:t>
      </w:r>
      <w:r w:rsidRPr="00F80B1F">
        <w:t xml:space="preserve"> reference dates, residential history, medical history, and occupational histories (</w:t>
      </w:r>
      <w:r w:rsidRPr="008965C3">
        <w:t>see Appendix B</w:t>
      </w:r>
      <w:r w:rsidRPr="00F80B1F">
        <w:t>)</w:t>
      </w:r>
      <w:r>
        <w:t>. T</w:t>
      </w:r>
      <w:r w:rsidRPr="00F80B1F">
        <w:t xml:space="preserve">hough some children were </w:t>
      </w:r>
      <w:r>
        <w:t>no longer considered</w:t>
      </w:r>
      <w:r w:rsidRPr="00F80B1F">
        <w:t xml:space="preserve"> minors at the time of the interview, all interviews were </w:t>
      </w:r>
      <w:r>
        <w:t>conducted with</w:t>
      </w:r>
      <w:r w:rsidRPr="00F80B1F">
        <w:t xml:space="preserve"> the mother</w:t>
      </w:r>
      <w:r>
        <w:t xml:space="preserve"> or father</w:t>
      </w:r>
      <w:r w:rsidRPr="00F80B1F">
        <w:t xml:space="preserve"> of </w:t>
      </w:r>
      <w:r>
        <w:t>the child</w:t>
      </w:r>
      <w:r w:rsidRPr="00F80B1F">
        <w:t xml:space="preserve"> for consistency.</w:t>
      </w:r>
    </w:p>
    <w:p w14:paraId="1F11D2FD" w14:textId="77777777" w:rsidR="0057723B" w:rsidRPr="00F80B1F" w:rsidRDefault="0057723B" w:rsidP="00FA486B">
      <w:r>
        <w:t>I</w:t>
      </w:r>
      <w:r w:rsidRPr="00F80B1F">
        <w:t>nterviews collected information on residential history; maternal characteristics such as alcohol use, smoking status, medical history, and reproductive history; child’s medical history; child’s daycare, school, and camp attendance history; recreational activity history for specific locations in Wilmington; occupational history for both the child (if applicable) and parents; and other possibly relevant household exposures.</w:t>
      </w:r>
    </w:p>
    <w:p w14:paraId="09D7FDCB" w14:textId="77777777" w:rsidR="0057723B" w:rsidRPr="00F80B1F" w:rsidRDefault="0057723B" w:rsidP="009B5DA2">
      <w:pPr>
        <w:pStyle w:val="Heading2"/>
      </w:pPr>
      <w:bookmarkStart w:id="77" w:name="_Toc67488279"/>
      <w:r w:rsidRPr="00F80B1F">
        <w:t>CONFIDENTIALITY</w:t>
      </w:r>
      <w:bookmarkEnd w:id="77"/>
    </w:p>
    <w:p w14:paraId="3E300BF8" w14:textId="77777777" w:rsidR="0057723B" w:rsidRPr="00F80B1F" w:rsidRDefault="0057723B" w:rsidP="00FA486B">
      <w:r>
        <w:t>All study participants</w:t>
      </w:r>
      <w:r w:rsidRPr="00F80B1F">
        <w:t xml:space="preserve"> </w:t>
      </w:r>
      <w:r>
        <w:t>provided</w:t>
      </w:r>
      <w:r w:rsidRPr="00F80B1F">
        <w:t xml:space="preserve"> informed consent to participat</w:t>
      </w:r>
      <w:r>
        <w:t>e</w:t>
      </w:r>
      <w:r w:rsidRPr="00F80B1F">
        <w:t xml:space="preserve"> in this study</w:t>
      </w:r>
      <w:r>
        <w:t xml:space="preserve">. </w:t>
      </w:r>
      <w:r w:rsidRPr="00F80B1F">
        <w:t>Consent was obtained by the parents</w:t>
      </w:r>
      <w:r>
        <w:t xml:space="preserve">. </w:t>
      </w:r>
      <w:r w:rsidRPr="00F80B1F">
        <w:t>Medical record release was sought for all participants</w:t>
      </w:r>
      <w:r>
        <w:t xml:space="preserve">. </w:t>
      </w:r>
      <w:r w:rsidRPr="00F80B1F">
        <w:t>All paper records were stored in a locked cabinet to which only study personnel had access</w:t>
      </w:r>
      <w:r>
        <w:t xml:space="preserve">. </w:t>
      </w:r>
      <w:r w:rsidRPr="00F80B1F">
        <w:t>Electronic records were encrypted and password protected</w:t>
      </w:r>
      <w:r>
        <w:t xml:space="preserve">. </w:t>
      </w:r>
      <w:r w:rsidRPr="00F80B1F">
        <w:t>Only study personnel had access to the electronic interview data and analytic files</w:t>
      </w:r>
      <w:r w:rsidRPr="00F80B1F">
        <w:rPr>
          <w:color w:val="0000FF"/>
        </w:rPr>
        <w:t>.</w:t>
      </w:r>
    </w:p>
    <w:p w14:paraId="5447FDE9" w14:textId="77777777" w:rsidR="0057723B" w:rsidRPr="00F80B1F" w:rsidRDefault="0057723B" w:rsidP="009B5DA2">
      <w:pPr>
        <w:pStyle w:val="Heading2"/>
      </w:pPr>
      <w:bookmarkStart w:id="78" w:name="_Toc67488280"/>
      <w:r w:rsidRPr="00F80B1F">
        <w:lastRenderedPageBreak/>
        <w:t>EXPOSURE ASSESSMENT</w:t>
      </w:r>
      <w:bookmarkEnd w:id="78"/>
      <w:r w:rsidRPr="00F80B1F">
        <w:t xml:space="preserve"> </w:t>
      </w:r>
    </w:p>
    <w:p w14:paraId="68E4C529" w14:textId="63FD154C" w:rsidR="0057723B" w:rsidRDefault="0057723B" w:rsidP="00FA486B">
      <w:r>
        <w:t>T</w:t>
      </w:r>
      <w:r w:rsidRPr="00F80B1F">
        <w:t xml:space="preserve">his study was designed to be exploratory in nature with the purpose of </w:t>
      </w:r>
      <w:r>
        <w:t xml:space="preserve">identifying possible differences </w:t>
      </w:r>
      <w:r w:rsidRPr="00F80B1F">
        <w:t>between cases and controls</w:t>
      </w:r>
      <w:r>
        <w:t xml:space="preserve"> with respect to a variety of</w:t>
      </w:r>
      <w:r w:rsidRPr="00F80B1F">
        <w:t xml:space="preserve"> </w:t>
      </w:r>
      <w:r>
        <w:t xml:space="preserve">potential environmental </w:t>
      </w:r>
      <w:r w:rsidRPr="00F80B1F">
        <w:t>exposure</w:t>
      </w:r>
      <w:r>
        <w:t xml:space="preserve">s. </w:t>
      </w:r>
      <w:r w:rsidRPr="00F80B1F">
        <w:t xml:space="preserve">The exploratory design was implemented because of no clear </w:t>
      </w:r>
      <w:r w:rsidRPr="00F80B1F">
        <w:rPr>
          <w:i/>
        </w:rPr>
        <w:t>a priori</w:t>
      </w:r>
      <w:r w:rsidRPr="00F80B1F">
        <w:t xml:space="preserve"> knowledge of common factors or environmental exposures that </w:t>
      </w:r>
      <w:r w:rsidR="00BD64D3">
        <w:t>were thought to be</w:t>
      </w:r>
      <w:r w:rsidRPr="00F80B1F">
        <w:t xml:space="preserve"> relevant to childhood cancer in Wilmington</w:t>
      </w:r>
      <w:r>
        <w:t xml:space="preserve">. However, when </w:t>
      </w:r>
      <w:r w:rsidRPr="00F80B1F">
        <w:t>NDMA was detected in water supply wells</w:t>
      </w:r>
      <w:r>
        <w:t xml:space="preserve"> in 2003, </w:t>
      </w:r>
      <w:r w:rsidRPr="00F80B1F">
        <w:t xml:space="preserve">the primary </w:t>
      </w:r>
      <w:r>
        <w:t xml:space="preserve">focus of the </w:t>
      </w:r>
      <w:r w:rsidRPr="00F80B1F">
        <w:t xml:space="preserve">investigation </w:t>
      </w:r>
      <w:r>
        <w:t>was re-centered around</w:t>
      </w:r>
      <w:r w:rsidRPr="00F80B1F">
        <w:t xml:space="preserve"> </w:t>
      </w:r>
      <w:r>
        <w:t xml:space="preserve">potential exposure to </w:t>
      </w:r>
      <w:r w:rsidRPr="00F80B1F">
        <w:t xml:space="preserve">NDMA-contaminated drinking water </w:t>
      </w:r>
      <w:r>
        <w:t>and, therefore, a comprehensive retrospective exposure assessment was conducted. It was later determined, in part through the peer review process, that assessment of trichloroethylene (TCE) exposure was also necessary to sufficiently evaluate the association between childhood cancer in Wilmington and potential environmental factors.</w:t>
      </w:r>
    </w:p>
    <w:p w14:paraId="2B6C96DA" w14:textId="77777777" w:rsidR="0057723B" w:rsidRPr="00F80B1F" w:rsidRDefault="0057723B" w:rsidP="0010161F">
      <w:pPr>
        <w:pStyle w:val="Heading3"/>
      </w:pPr>
      <w:r w:rsidRPr="001D5169">
        <w:t>N</w:t>
      </w:r>
      <w:r w:rsidRPr="006073BD">
        <w:t>-</w:t>
      </w:r>
      <w:r>
        <w:t>N</w:t>
      </w:r>
      <w:proofErr w:type="spellStart"/>
      <w:r w:rsidRPr="006073BD">
        <w:rPr>
          <w:lang w:val="en"/>
        </w:rPr>
        <w:t>itrosodimethylamine</w:t>
      </w:r>
      <w:proofErr w:type="spellEnd"/>
      <w:r w:rsidRPr="006073BD">
        <w:rPr>
          <w:lang w:val="en"/>
        </w:rPr>
        <w:t xml:space="preserve"> </w:t>
      </w:r>
      <w:r>
        <w:rPr>
          <w:lang w:val="en"/>
        </w:rPr>
        <w:t>(</w:t>
      </w:r>
      <w:r>
        <w:t>NDMA)</w:t>
      </w:r>
    </w:p>
    <w:p w14:paraId="7FE404AE" w14:textId="2EE5B531" w:rsidR="0057723B" w:rsidRDefault="0057723B" w:rsidP="00FA486B">
      <w:r w:rsidRPr="00253786">
        <w:t>There were no NDMA data available for any wells during the time period of interest for this study (197</w:t>
      </w:r>
      <w:r>
        <w:t>4</w:t>
      </w:r>
      <w:r w:rsidRPr="00253786">
        <w:t>-2000)</w:t>
      </w:r>
      <w:r>
        <w:t xml:space="preserve">. </w:t>
      </w:r>
      <w:r w:rsidRPr="00253786">
        <w:t xml:space="preserve">Thus, groundwater and </w:t>
      </w:r>
      <w:r>
        <w:t xml:space="preserve">water </w:t>
      </w:r>
      <w:r w:rsidRPr="00253786">
        <w:t xml:space="preserve">distribution system modeling was necessary to estimate possible concentrations of NDMA </w:t>
      </w:r>
      <w:r w:rsidR="00D61D41">
        <w:t xml:space="preserve">in residential drinking water </w:t>
      </w:r>
      <w:r w:rsidRPr="00253786">
        <w:t>during the time period of interest</w:t>
      </w:r>
      <w:r>
        <w:t>.</w:t>
      </w:r>
    </w:p>
    <w:p w14:paraId="69947F18" w14:textId="77777777" w:rsidR="0057723B" w:rsidRDefault="0057723B" w:rsidP="00FA486B">
      <w:r w:rsidRPr="00F80B1F">
        <w:t xml:space="preserve">The goal of the </w:t>
      </w:r>
      <w:r>
        <w:t xml:space="preserve">NDMA </w:t>
      </w:r>
      <w:r w:rsidRPr="00F80B1F">
        <w:t xml:space="preserve">exposure assessment was to reconstruct the concentration history of NDMA in the Wilmington </w:t>
      </w:r>
      <w:r>
        <w:t xml:space="preserve">public drinking </w:t>
      </w:r>
      <w:r w:rsidRPr="00F80B1F">
        <w:t>water distribution system between 1974 and 2000</w:t>
      </w:r>
      <w:r>
        <w:t xml:space="preserve">. To meet this goal, the following </w:t>
      </w:r>
      <w:r w:rsidRPr="00F80B1F">
        <w:t xml:space="preserve">steps </w:t>
      </w:r>
      <w:r>
        <w:t>were carried out</w:t>
      </w:r>
      <w:r w:rsidRPr="00F80B1F">
        <w:t xml:space="preserve">:  </w:t>
      </w:r>
    </w:p>
    <w:p w14:paraId="00DCAD8A" w14:textId="77777777" w:rsidR="0057723B" w:rsidRPr="00027591" w:rsidRDefault="0057723B" w:rsidP="00FA486B">
      <w:r>
        <w:t>Record review: D</w:t>
      </w:r>
      <w:r w:rsidRPr="00F80B1F">
        <w:t xml:space="preserve">ocuments </w:t>
      </w:r>
      <w:r>
        <w:t xml:space="preserve">were obtained </w:t>
      </w:r>
      <w:r w:rsidRPr="00F80B1F">
        <w:t xml:space="preserve">on </w:t>
      </w:r>
      <w:r w:rsidR="0071083D">
        <w:t xml:space="preserve">the </w:t>
      </w:r>
      <w:r>
        <w:t xml:space="preserve">history of </w:t>
      </w:r>
      <w:r w:rsidRPr="00F80B1F">
        <w:t xml:space="preserve">manufacturing and waste disposal activities </w:t>
      </w:r>
      <w:r>
        <w:t>at the Olin Chemical site; on t</w:t>
      </w:r>
      <w:r w:rsidRPr="00F80B1F">
        <w:t>he underlying bedrock and hydrology of the site</w:t>
      </w:r>
      <w:r>
        <w:t>; and on h</w:t>
      </w:r>
      <w:r w:rsidRPr="00F80B1F">
        <w:t>istorical water quality data</w:t>
      </w:r>
      <w:r>
        <w:t>.</w:t>
      </w:r>
      <w:r w:rsidRPr="00F80B1F">
        <w:t xml:space="preserve"> </w:t>
      </w:r>
      <w:r>
        <w:t xml:space="preserve">The Wilmington Water and Sewer Division, the US EPA, and MA DEP provided this information to understand </w:t>
      </w:r>
      <w:r w:rsidRPr="00F80B1F">
        <w:t>pollutant sources</w:t>
      </w:r>
      <w:r>
        <w:t xml:space="preserve"> and their</w:t>
      </w:r>
      <w:r w:rsidRPr="00F80B1F">
        <w:t xml:space="preserve"> fate and </w:t>
      </w:r>
      <w:r w:rsidRPr="00027591">
        <w:t>transport from the Olin Chemical hazardous waste site and within the Maple Meadow Brook (MMB) aquifer;</w:t>
      </w:r>
    </w:p>
    <w:p w14:paraId="78C5D921" w14:textId="77777777" w:rsidR="00027591" w:rsidRDefault="0057723B" w:rsidP="00FA486B">
      <w:r w:rsidRPr="00027591">
        <w:t xml:space="preserve">Groundwater modeling: A groundwater </w:t>
      </w:r>
      <w:r w:rsidR="00027591">
        <w:t xml:space="preserve">flow and contaminant fate and transport </w:t>
      </w:r>
      <w:r w:rsidRPr="00027591">
        <w:t>model was developed to estimate pollutant concentrations in the aquifer along with travel times from source locations to drinking water wellheads</w:t>
      </w:r>
      <w:r w:rsidR="00027591">
        <w:t>;</w:t>
      </w:r>
    </w:p>
    <w:p w14:paraId="1625EA2B" w14:textId="7F26F705" w:rsidR="0057723B" w:rsidRDefault="0057723B" w:rsidP="00FA486B">
      <w:r w:rsidRPr="00027591">
        <w:t xml:space="preserve">Drinking water distribution </w:t>
      </w:r>
      <w:r w:rsidR="00BD64D3">
        <w:t xml:space="preserve">system </w:t>
      </w:r>
      <w:r w:rsidRPr="00027591">
        <w:t>model: A public drinking water distribution system model was developed to</w:t>
      </w:r>
      <w:r w:rsidRPr="00F80B1F">
        <w:t xml:space="preserve"> estimate pollutant concentrations in individual water supply </w:t>
      </w:r>
      <w:r>
        <w:t>main</w:t>
      </w:r>
      <w:r w:rsidRPr="00F80B1F">
        <w:t>s</w:t>
      </w:r>
      <w:r>
        <w:t xml:space="preserve"> throughout Wilmington for each month from 1974-2000</w:t>
      </w:r>
      <w:r w:rsidRPr="00F80B1F">
        <w:t xml:space="preserve">; and </w:t>
      </w:r>
    </w:p>
    <w:p w14:paraId="47952BC8" w14:textId="622ED190" w:rsidR="0057723B" w:rsidRDefault="0057723B" w:rsidP="00FA486B">
      <w:r>
        <w:lastRenderedPageBreak/>
        <w:t>Study participant exposure estimation: A</w:t>
      </w:r>
      <w:r w:rsidRPr="00F80B1F">
        <w:t>verage monthly concentration</w:t>
      </w:r>
      <w:r>
        <w:t>s</w:t>
      </w:r>
      <w:r w:rsidRPr="00F80B1F">
        <w:t xml:space="preserve"> of NDMA </w:t>
      </w:r>
      <w:r>
        <w:t xml:space="preserve">were estimated </w:t>
      </w:r>
      <w:r w:rsidRPr="00F80B1F">
        <w:t xml:space="preserve">at each </w:t>
      </w:r>
      <w:r>
        <w:t xml:space="preserve">residential </w:t>
      </w:r>
      <w:r w:rsidRPr="00F80B1F">
        <w:t>address</w:t>
      </w:r>
      <w:r w:rsidR="00027591">
        <w:t xml:space="preserve"> for each study participant.</w:t>
      </w:r>
    </w:p>
    <w:p w14:paraId="6EA585F8" w14:textId="3A390C0C" w:rsidR="00A667E0" w:rsidRPr="00F80B1F" w:rsidRDefault="00A667E0" w:rsidP="00FA486B">
      <w:r w:rsidRPr="00F80B1F">
        <w:t>D</w:t>
      </w:r>
      <w:r>
        <w:t>etails on the ground</w:t>
      </w:r>
      <w:r w:rsidRPr="00F80B1F">
        <w:t xml:space="preserve">water </w:t>
      </w:r>
      <w:r w:rsidR="00BD64D3">
        <w:t>and</w:t>
      </w:r>
      <w:r>
        <w:t xml:space="preserve"> </w:t>
      </w:r>
      <w:r w:rsidRPr="00F80B1F">
        <w:t xml:space="preserve">water distribution </w:t>
      </w:r>
      <w:r>
        <w:t xml:space="preserve">system </w:t>
      </w:r>
      <w:r w:rsidRPr="00F80B1F">
        <w:t>model</w:t>
      </w:r>
      <w:r w:rsidR="00BD64D3">
        <w:t>s</w:t>
      </w:r>
      <w:r w:rsidRPr="00F80B1F">
        <w:t xml:space="preserve"> can be found in </w:t>
      </w:r>
      <w:r w:rsidRPr="008965C3">
        <w:t>Appendix C</w:t>
      </w:r>
      <w:r w:rsidRPr="00F80B1F">
        <w:t>.</w:t>
      </w:r>
    </w:p>
    <w:p w14:paraId="40BD63AC" w14:textId="77777777" w:rsidR="0057723B" w:rsidRPr="00F80B1F" w:rsidRDefault="0057723B" w:rsidP="0063071E">
      <w:pPr>
        <w:pStyle w:val="StyleHeading4Linespacingsingle"/>
      </w:pPr>
      <w:r w:rsidRPr="00F80B1F">
        <w:t>Record Review</w:t>
      </w:r>
    </w:p>
    <w:p w14:paraId="3CA58EB5" w14:textId="3DCAD76D" w:rsidR="0057723B" w:rsidRPr="00F80B1F" w:rsidRDefault="00BD64D3" w:rsidP="00FA486B">
      <w:r>
        <w:t>Review of h</w:t>
      </w:r>
      <w:r w:rsidR="0057723B" w:rsidRPr="00F80B1F">
        <w:t xml:space="preserve">istorical documents on the manufacturing and waste disposal activities </w:t>
      </w:r>
      <w:r w:rsidR="0057723B">
        <w:t>at the Olin Chemical site</w:t>
      </w:r>
      <w:r w:rsidR="0057723B" w:rsidRPr="00F80B1F">
        <w:t xml:space="preserve"> includ</w:t>
      </w:r>
      <w:r w:rsidR="0057723B">
        <w:t>ed</w:t>
      </w:r>
      <w:r w:rsidR="0057723B" w:rsidRPr="00F80B1F">
        <w:t xml:space="preserve"> the Comprehensive Site Investigation report (CRA 1993)</w:t>
      </w:r>
      <w:r w:rsidR="0057723B">
        <w:t>,</w:t>
      </w:r>
      <w:r w:rsidR="0057723B" w:rsidRPr="00F80B1F">
        <w:t xml:space="preserve"> the Supplemental Phase II Report (Smith 1997), and the Phase II Comprehensive </w:t>
      </w:r>
      <w:r w:rsidR="0057723B" w:rsidRPr="00596D05">
        <w:t xml:space="preserve">Response Action </w:t>
      </w:r>
      <w:r w:rsidR="0057723B" w:rsidRPr="00F80B1F">
        <w:t>Status Report (MACTEC 2003</w:t>
      </w:r>
      <w:r w:rsidR="0057723B">
        <w:t>a</w:t>
      </w:r>
      <w:r w:rsidR="0057723B" w:rsidRPr="00F80B1F">
        <w:t>)</w:t>
      </w:r>
      <w:r w:rsidR="0057723B">
        <w:t xml:space="preserve">. </w:t>
      </w:r>
      <w:r w:rsidR="0057723B" w:rsidRPr="00F80B1F">
        <w:t xml:space="preserve">Products used and produced at the site were identified, along with a timeline of their use and other site activities. While NDMA was not found to be manufactured or used at the Olin </w:t>
      </w:r>
      <w:r w:rsidR="0057723B">
        <w:t xml:space="preserve">Chemical </w:t>
      </w:r>
      <w:r w:rsidR="0057723B" w:rsidRPr="00F80B1F">
        <w:t>site, NDMA</w:t>
      </w:r>
      <w:r w:rsidR="0057723B">
        <w:t xml:space="preserve"> </w:t>
      </w:r>
      <w:r w:rsidR="0057723B" w:rsidRPr="00F80B1F">
        <w:t xml:space="preserve">precursor compounds (such as various nitrogenous products like nitrite </w:t>
      </w:r>
      <w:r w:rsidR="0057723B">
        <w:t xml:space="preserve">and </w:t>
      </w:r>
      <w:r w:rsidR="0057723B" w:rsidRPr="00F80B1F">
        <w:t>ammonia</w:t>
      </w:r>
      <w:r w:rsidR="0057723B">
        <w:t>)</w:t>
      </w:r>
      <w:r w:rsidR="0057723B" w:rsidRPr="00F80B1F">
        <w:t xml:space="preserve"> </w:t>
      </w:r>
      <w:r w:rsidR="0057723B">
        <w:t xml:space="preserve">as well as other </w:t>
      </w:r>
      <w:r w:rsidR="0057723B">
        <w:rPr>
          <w:i/>
        </w:rPr>
        <w:t>n</w:t>
      </w:r>
      <w:r w:rsidR="0057723B" w:rsidRPr="00F80B1F">
        <w:t>-nitrosamines were produced from 1953-1986 and disposed of on site</w:t>
      </w:r>
      <w:r w:rsidR="0057723B">
        <w:t xml:space="preserve">. </w:t>
      </w:r>
      <w:r w:rsidR="0057723B" w:rsidRPr="00F80B1F">
        <w:t>The exact process or processes by which NDMA was formed at the site is not known</w:t>
      </w:r>
      <w:r w:rsidR="0057723B">
        <w:t xml:space="preserve">. </w:t>
      </w:r>
      <w:r w:rsidR="0057723B" w:rsidRPr="00F80B1F">
        <w:t>However, based on</w:t>
      </w:r>
      <w:r w:rsidR="0057723B">
        <w:t xml:space="preserve"> the</w:t>
      </w:r>
      <w:r w:rsidR="0057723B" w:rsidRPr="00F80B1F">
        <w:t xml:space="preserve"> kinetics of NDMA formation by </w:t>
      </w:r>
      <w:proofErr w:type="spellStart"/>
      <w:r w:rsidR="0057723B" w:rsidRPr="00F80B1F">
        <w:t>nitrosation</w:t>
      </w:r>
      <w:proofErr w:type="spellEnd"/>
      <w:r w:rsidR="0057723B" w:rsidRPr="00F80B1F">
        <w:t>, the NDMA was likely formed on</w:t>
      </w:r>
      <w:r>
        <w:t xml:space="preserve"> </w:t>
      </w:r>
      <w:r w:rsidR="0057723B" w:rsidRPr="00F80B1F">
        <w:t>site soon after precursor compounds were dumped (likely within hours or days of disposal)</w:t>
      </w:r>
      <w:r w:rsidR="0057723B">
        <w:t xml:space="preserve">. </w:t>
      </w:r>
      <w:r w:rsidR="0057723B" w:rsidRPr="00F80B1F">
        <w:t>The historical records of chemical manufacturing and disposal suggest that disposal of NDMA precursor wastes into unlined pits began by 1956</w:t>
      </w:r>
      <w:r w:rsidR="0057723B">
        <w:t xml:space="preserve"> or earlier and</w:t>
      </w:r>
      <w:r w:rsidR="0057723B" w:rsidRPr="00F80B1F">
        <w:t xml:space="preserve"> increased until 1970</w:t>
      </w:r>
      <w:r w:rsidR="0057723B">
        <w:t>, when disposal</w:t>
      </w:r>
      <w:r w:rsidR="0057723B" w:rsidRPr="00F80B1F">
        <w:t xml:space="preserve"> </w:t>
      </w:r>
      <w:r w:rsidR="0057723B">
        <w:t>was then directed</w:t>
      </w:r>
      <w:r w:rsidR="0057723B" w:rsidRPr="00F80B1F">
        <w:t xml:space="preserve"> into the sewer system</w:t>
      </w:r>
      <w:r w:rsidR="0057723B">
        <w:t xml:space="preserve"> (CRA 1993). </w:t>
      </w:r>
      <w:r w:rsidR="0057723B" w:rsidRPr="00F80B1F">
        <w:t>Wastes were also disposed into onsite septic tan</w:t>
      </w:r>
      <w:r w:rsidR="0057723B">
        <w:t xml:space="preserve">ks with onsite leaching fields </w:t>
      </w:r>
      <w:r w:rsidR="0057723B" w:rsidRPr="00F80B1F">
        <w:t>(MACTEC 2003</w:t>
      </w:r>
      <w:r w:rsidR="0057723B">
        <w:t>a</w:t>
      </w:r>
      <w:r w:rsidR="0057723B" w:rsidRPr="00F80B1F">
        <w:t>)</w:t>
      </w:r>
      <w:r w:rsidR="0057723B">
        <w:t>.</w:t>
      </w:r>
    </w:p>
    <w:p w14:paraId="30DC129E" w14:textId="31E97BC6" w:rsidR="0057723B" w:rsidRPr="00F80B1F" w:rsidRDefault="0057723B" w:rsidP="00FA486B">
      <w:r>
        <w:t>U</w:t>
      </w:r>
      <w:r w:rsidRPr="00F80B1F">
        <w:t>ntil 2003</w:t>
      </w:r>
      <w:r>
        <w:t xml:space="preserve">, no </w:t>
      </w:r>
      <w:r w:rsidRPr="00F80B1F">
        <w:t>NDMA test</w:t>
      </w:r>
      <w:r>
        <w:t>ing of</w:t>
      </w:r>
      <w:r w:rsidRPr="00F80B1F">
        <w:t xml:space="preserve"> the water system</w:t>
      </w:r>
      <w:r>
        <w:t xml:space="preserve"> had been conducted—neither the wells, the raw water entering the treatment plant, nor the finished water leaving the treatment plant. </w:t>
      </w:r>
      <w:r w:rsidRPr="00F80B1F">
        <w:t xml:space="preserve">The measurement of major DAPL ions </w:t>
      </w:r>
      <w:r>
        <w:t>such as</w:t>
      </w:r>
      <w:r w:rsidRPr="00F80B1F">
        <w:t xml:space="preserve"> sodium were used to test, and ultimately support, the hypothesis that NDMA found in the water system originated from the DAPL</w:t>
      </w:r>
      <w:r>
        <w:t>. For example, t</w:t>
      </w:r>
      <w:r w:rsidRPr="00F80B1F">
        <w:t xml:space="preserve">he coefficient of </w:t>
      </w:r>
      <w:r>
        <w:t xml:space="preserve">correlation </w:t>
      </w:r>
      <w:r w:rsidR="00141592">
        <w:t xml:space="preserve">(r) </w:t>
      </w:r>
      <w:r>
        <w:t xml:space="preserve">for sodium </w:t>
      </w:r>
      <w:r w:rsidR="00AD00C6">
        <w:t xml:space="preserve">and NDMA </w:t>
      </w:r>
      <w:r>
        <w:t xml:space="preserve">in </w:t>
      </w:r>
      <w:r w:rsidR="00AD00C6">
        <w:t>groundwater samples</w:t>
      </w:r>
      <w:r>
        <w:t xml:space="preserve"> was 90%. L</w:t>
      </w:r>
      <w:r w:rsidRPr="00F80B1F">
        <w:t xml:space="preserve">evels </w:t>
      </w:r>
      <w:r>
        <w:t xml:space="preserve">of NDMA detected in contaminated wells in 2003 were </w:t>
      </w:r>
      <w:r w:rsidRPr="00F80B1F">
        <w:t>between 30 and 170 ng/L</w:t>
      </w:r>
      <w:r>
        <w:t xml:space="preserve">. </w:t>
      </w:r>
      <w:r w:rsidRPr="00F80B1F">
        <w:t>No NDMA was detected in the finished drinking water at the time of well sampling</w:t>
      </w:r>
      <w:r>
        <w:t>, most likely because</w:t>
      </w:r>
      <w:r w:rsidRPr="00F80B1F">
        <w:t xml:space="preserve"> the contaminated wells </w:t>
      </w:r>
      <w:r>
        <w:t>were closed in 2003 prior to</w:t>
      </w:r>
      <w:r w:rsidRPr="00F80B1F">
        <w:t xml:space="preserve"> the time of sampling</w:t>
      </w:r>
      <w:r>
        <w:t xml:space="preserve"> the finished drinking water</w:t>
      </w:r>
      <w:r w:rsidRPr="00F80B1F">
        <w:t>.</w:t>
      </w:r>
    </w:p>
    <w:p w14:paraId="05C300E8" w14:textId="580E1950" w:rsidR="0057723B" w:rsidRPr="00F80B1F" w:rsidRDefault="0057723B" w:rsidP="0063071E">
      <w:pPr>
        <w:pStyle w:val="StyleHeading4Linespacingsingle"/>
      </w:pPr>
      <w:r w:rsidRPr="00F80B1F">
        <w:t>Ground</w:t>
      </w:r>
      <w:r>
        <w:t>w</w:t>
      </w:r>
      <w:r w:rsidRPr="00F80B1F">
        <w:t>ater</w:t>
      </w:r>
      <w:r w:rsidR="00D61D41">
        <w:t xml:space="preserve"> </w:t>
      </w:r>
      <w:r w:rsidRPr="00F80B1F">
        <w:t>Model</w:t>
      </w:r>
      <w:r w:rsidR="00BD64D3">
        <w:t>s</w:t>
      </w:r>
    </w:p>
    <w:p w14:paraId="25067F07" w14:textId="05F547F0" w:rsidR="0057723B" w:rsidRPr="00F80B1F" w:rsidRDefault="0057723B" w:rsidP="00FA486B">
      <w:r>
        <w:t>Since</w:t>
      </w:r>
      <w:r w:rsidRPr="00F80B1F">
        <w:t xml:space="preserve"> no NDMA measurement data </w:t>
      </w:r>
      <w:r>
        <w:t xml:space="preserve">exists </w:t>
      </w:r>
      <w:r w:rsidRPr="00F80B1F">
        <w:t>prior to 2003</w:t>
      </w:r>
      <w:r>
        <w:t xml:space="preserve"> for the Butters Row municipal water supply wells</w:t>
      </w:r>
      <w:r w:rsidRPr="00F80B1F">
        <w:t>, groundwater</w:t>
      </w:r>
      <w:r w:rsidR="00D61D41">
        <w:t xml:space="preserve"> flow and contaminant fate and </w:t>
      </w:r>
      <w:r w:rsidRPr="00F80B1F">
        <w:t>transport model</w:t>
      </w:r>
      <w:r w:rsidR="00D61D41">
        <w:t>s w</w:t>
      </w:r>
      <w:r w:rsidR="000316D9">
        <w:t>ere</w:t>
      </w:r>
      <w:r w:rsidR="00D61D41">
        <w:t xml:space="preserve"> necessary to estimate NDMA </w:t>
      </w:r>
      <w:r w:rsidRPr="00F80B1F">
        <w:t>concentrations reaching the wells</w:t>
      </w:r>
      <w:r>
        <w:t xml:space="preserve">. </w:t>
      </w:r>
      <w:r w:rsidRPr="00F80B1F">
        <w:t xml:space="preserve">A groundwater plume model </w:t>
      </w:r>
      <w:r>
        <w:t>had been previously</w:t>
      </w:r>
      <w:r w:rsidRPr="00F80B1F">
        <w:t xml:space="preserve"> developed by Olin</w:t>
      </w:r>
      <w:r>
        <w:t>’s</w:t>
      </w:r>
      <w:r w:rsidRPr="00F80B1F">
        <w:t xml:space="preserve"> contractors (i.e., </w:t>
      </w:r>
      <w:proofErr w:type="spellStart"/>
      <w:r w:rsidRPr="00F80B1F">
        <w:t>Geomega</w:t>
      </w:r>
      <w:proofErr w:type="spellEnd"/>
      <w:r w:rsidRPr="00F80B1F">
        <w:t xml:space="preserve">, MACTEC, GEI Consultants, etc.) for areas adjacent to the Olin </w:t>
      </w:r>
      <w:r>
        <w:t xml:space="preserve">Chemical </w:t>
      </w:r>
      <w:r w:rsidRPr="00F80B1F">
        <w:t>site</w:t>
      </w:r>
      <w:r>
        <w:t>; t</w:t>
      </w:r>
      <w:r w:rsidRPr="00F80B1F">
        <w:t xml:space="preserve">he model integrated </w:t>
      </w:r>
      <w:r w:rsidRPr="00F80B1F">
        <w:lastRenderedPageBreak/>
        <w:t>sampling data, historical records, and fate/transport models</w:t>
      </w:r>
      <w:r>
        <w:t>.</w:t>
      </w:r>
      <w:r w:rsidR="00EF696E">
        <w:t xml:space="preserve"> </w:t>
      </w:r>
      <w:r w:rsidR="00EF696E" w:rsidRPr="00EF696E">
        <w:t xml:space="preserve">The model developed for this study was based in large part on the ground water flow model originally described in </w:t>
      </w:r>
      <w:proofErr w:type="spellStart"/>
      <w:r w:rsidR="00EF696E" w:rsidRPr="00EF696E">
        <w:t>Geomega</w:t>
      </w:r>
      <w:proofErr w:type="spellEnd"/>
      <w:r w:rsidR="00EF696E" w:rsidRPr="00EF696E">
        <w:t xml:space="preserve"> (2001a), and later revised in </w:t>
      </w:r>
      <w:proofErr w:type="spellStart"/>
      <w:r w:rsidR="00EF696E" w:rsidRPr="00EF696E">
        <w:t>Geomega</w:t>
      </w:r>
      <w:proofErr w:type="spellEnd"/>
      <w:r w:rsidR="00EF696E" w:rsidRPr="00EF696E">
        <w:t xml:space="preserve"> (2006).</w:t>
      </w:r>
      <w:r>
        <w:t xml:space="preserve"> Utilizing </w:t>
      </w:r>
      <w:r w:rsidRPr="00F80B1F">
        <w:t>the previous model</w:t>
      </w:r>
      <w:r>
        <w:t>ing</w:t>
      </w:r>
      <w:r w:rsidRPr="00F80B1F">
        <w:t xml:space="preserve">, </w:t>
      </w:r>
      <w:r>
        <w:t xml:space="preserve">along with </w:t>
      </w:r>
      <w:r w:rsidRPr="00F80B1F">
        <w:t xml:space="preserve">historical records of chemical manufacturing at the Olin </w:t>
      </w:r>
      <w:r>
        <w:t xml:space="preserve">Chemical </w:t>
      </w:r>
      <w:r w:rsidRPr="00F80B1F">
        <w:t>site and records of the Wilmington water supply well characteristics (e.g.</w:t>
      </w:r>
      <w:r>
        <w:t>,</w:t>
      </w:r>
      <w:r w:rsidRPr="00F80B1F">
        <w:t xml:space="preserve"> pumping and discharge rates) for the 1956-200</w:t>
      </w:r>
      <w:r>
        <w:t>3</w:t>
      </w:r>
      <w:r w:rsidRPr="00F80B1F">
        <w:t xml:space="preserve"> period</w:t>
      </w:r>
      <w:r>
        <w:t xml:space="preserve">, </w:t>
      </w:r>
      <w:r w:rsidR="008C7921">
        <w:t>M</w:t>
      </w:r>
      <w:r w:rsidR="000C2AF5">
        <w:t xml:space="preserve">DPH </w:t>
      </w:r>
      <w:r w:rsidRPr="00F80B1F">
        <w:t>contractor</w:t>
      </w:r>
      <w:r>
        <w:t>s modeled the transport of the plume o</w:t>
      </w:r>
      <w:r w:rsidRPr="00F80B1F">
        <w:t xml:space="preserve">f NDMA </w:t>
      </w:r>
      <w:r>
        <w:t>in the g</w:t>
      </w:r>
      <w:r w:rsidRPr="00F80B1F">
        <w:t>roundwater</w:t>
      </w:r>
      <w:r>
        <w:t xml:space="preserve"> </w:t>
      </w:r>
      <w:r w:rsidRPr="00F80B1F">
        <w:t>between 1956 and 200</w:t>
      </w:r>
      <w:r>
        <w:t xml:space="preserve">3. </w:t>
      </w:r>
      <w:r w:rsidR="00076554">
        <w:t>By</w:t>
      </w:r>
      <w:r w:rsidRPr="00F80B1F">
        <w:t xml:space="preserve"> reconstruct</w:t>
      </w:r>
      <w:r w:rsidR="00076554">
        <w:t>ing</w:t>
      </w:r>
      <w:r w:rsidRPr="00F80B1F">
        <w:t xml:space="preserve"> </w:t>
      </w:r>
      <w:r w:rsidR="00076554">
        <w:t>the concentration history</w:t>
      </w:r>
      <w:r w:rsidRPr="00F80B1F">
        <w:t xml:space="preserve"> of NDMA </w:t>
      </w:r>
      <w:r w:rsidR="00076554">
        <w:t>throughout</w:t>
      </w:r>
      <w:r w:rsidRPr="00F80B1F">
        <w:t xml:space="preserve"> the </w:t>
      </w:r>
      <w:r w:rsidR="00076554">
        <w:t xml:space="preserve">MMB </w:t>
      </w:r>
      <w:r w:rsidRPr="00F80B1F">
        <w:t xml:space="preserve">aquifer, </w:t>
      </w:r>
      <w:r w:rsidR="00076554">
        <w:t>the groundwater models enabled</w:t>
      </w:r>
      <w:r w:rsidRPr="00F80B1F">
        <w:t xml:space="preserve"> </w:t>
      </w:r>
      <w:r w:rsidR="00076554">
        <w:t>estimation of</w:t>
      </w:r>
      <w:r w:rsidRPr="00F80B1F">
        <w:t xml:space="preserve"> when NDMA first arrived at the water supply wells and how NDMA concentrations </w:t>
      </w:r>
      <w:r w:rsidR="00076554" w:rsidRPr="00F80B1F">
        <w:t xml:space="preserve">changed over time </w:t>
      </w:r>
      <w:r w:rsidRPr="00F80B1F">
        <w:t>in individual wells</w:t>
      </w:r>
      <w:r>
        <w:t xml:space="preserve">. </w:t>
      </w:r>
      <w:r w:rsidR="00076554">
        <w:t>T</w:t>
      </w:r>
      <w:r w:rsidRPr="00F80B1F">
        <w:t xml:space="preserve">he </w:t>
      </w:r>
      <w:r>
        <w:t>US</w:t>
      </w:r>
      <w:r w:rsidRPr="00F80B1F">
        <w:t xml:space="preserve"> Geological Survey’s (USGS) numerical finite-difference code, MODFLOW (McDonald and Harbaugh 1988), was used to simulate </w:t>
      </w:r>
      <w:r>
        <w:t>groundwater</w:t>
      </w:r>
      <w:r w:rsidRPr="00F80B1F">
        <w:t xml:space="preserve"> flow conditions</w:t>
      </w:r>
      <w:r>
        <w:t>,</w:t>
      </w:r>
      <w:r w:rsidRPr="00F80B1F">
        <w:t xml:space="preserve"> and MT3D (Zheng 1990) w</w:t>
      </w:r>
      <w:r>
        <w:t>as</w:t>
      </w:r>
      <w:r w:rsidRPr="00F80B1F">
        <w:t xml:space="preserve"> used for</w:t>
      </w:r>
      <w:r w:rsidR="00076554">
        <w:t xml:space="preserve"> simulation of NDMA transport.</w:t>
      </w:r>
    </w:p>
    <w:p w14:paraId="56F4A917" w14:textId="416432C8" w:rsidR="00EF696E" w:rsidRDefault="00076554" w:rsidP="00FA486B">
      <w:r>
        <w:t>The</w:t>
      </w:r>
      <w:r w:rsidR="00EF696E" w:rsidRPr="00EF696E">
        <w:t xml:space="preserve"> groundwater model simulations estimate that NDMA reached the Chestnut St. #1 well in 1974 and the Butters Row #1 well in 1981. These two wells contained the highest NDMA concentrations ranging from approximately 50 to 250 ng/L. Both Butters Row #2 and Chestnut St. #1A/2 wells contained lower levels of NDMA and were contaminated for shorter periods of time relative to the Butters Row #1 and Chestnut St. #1 wells. Measurements indicate that NDMA did not reach the Town Park well, which was located farther to the north in the MMB aquifer relative to the other wells.</w:t>
      </w:r>
    </w:p>
    <w:p w14:paraId="7B084D18" w14:textId="0E3C1333" w:rsidR="008203DC" w:rsidRPr="00F80B1F" w:rsidRDefault="008203DC" w:rsidP="00FA486B">
      <w:r>
        <w:t>Additional d</w:t>
      </w:r>
      <w:r w:rsidRPr="00F80B1F">
        <w:t xml:space="preserve">etails </w:t>
      </w:r>
      <w:r>
        <w:t>of</w:t>
      </w:r>
      <w:r w:rsidRPr="00F80B1F">
        <w:t xml:space="preserve"> the groundwater </w:t>
      </w:r>
      <w:r>
        <w:t xml:space="preserve">flow and contaminant fate and transport </w:t>
      </w:r>
      <w:r w:rsidRPr="00F80B1F">
        <w:t>model</w:t>
      </w:r>
      <w:r>
        <w:t>s</w:t>
      </w:r>
      <w:r w:rsidR="004A4130">
        <w:t xml:space="preserve"> (including model calibration and validation)</w:t>
      </w:r>
      <w:r w:rsidRPr="00F80B1F">
        <w:t xml:space="preserve"> can be found in </w:t>
      </w:r>
      <w:r w:rsidRPr="008965C3">
        <w:t xml:space="preserve">Appendix </w:t>
      </w:r>
      <w:r>
        <w:t>C.</w:t>
      </w:r>
    </w:p>
    <w:p w14:paraId="29AD860F" w14:textId="36381837" w:rsidR="0057723B" w:rsidRPr="00F80B1F" w:rsidRDefault="0057723B" w:rsidP="0063071E">
      <w:pPr>
        <w:pStyle w:val="StyleHeading4Linespacingsingle"/>
      </w:pPr>
      <w:r w:rsidRPr="00F80B1F">
        <w:t xml:space="preserve">Water Distribution </w:t>
      </w:r>
      <w:r>
        <w:t xml:space="preserve">System </w:t>
      </w:r>
      <w:r w:rsidRPr="00F80B1F">
        <w:t>Model</w:t>
      </w:r>
    </w:p>
    <w:p w14:paraId="00FCBCE1" w14:textId="004B0A5E" w:rsidR="0057723B" w:rsidRPr="00F80B1F" w:rsidRDefault="0057723B" w:rsidP="00FA486B">
      <w:r w:rsidRPr="00F80B1F">
        <w:t>In addition to the groundwater transport model, DPH contractor</w:t>
      </w:r>
      <w:r>
        <w:t>s</w:t>
      </w:r>
      <w:r w:rsidRPr="00F80B1F">
        <w:t xml:space="preserve"> developed a water distribution system model to estimate pollutant concentrations in individual water supply </w:t>
      </w:r>
      <w:r>
        <w:t>main</w:t>
      </w:r>
      <w:r w:rsidRPr="00F80B1F">
        <w:t>s</w:t>
      </w:r>
      <w:r>
        <w:t xml:space="preserve"> throughout the town’s public drinking water system. </w:t>
      </w:r>
      <w:r w:rsidR="002C04D3">
        <w:t xml:space="preserve">First, results of the groundwater models were used to specify monthly </w:t>
      </w:r>
      <w:r w:rsidR="002C04D3" w:rsidRPr="00F80B1F">
        <w:t>concentration</w:t>
      </w:r>
      <w:r w:rsidR="002C04D3">
        <w:t>s of</w:t>
      </w:r>
      <w:r w:rsidR="002C04D3" w:rsidRPr="00F80B1F">
        <w:t xml:space="preserve"> </w:t>
      </w:r>
      <w:r w:rsidR="002C04D3" w:rsidRPr="002C04D3">
        <w:t xml:space="preserve">NDMA </w:t>
      </w:r>
      <w:r w:rsidR="002C04D3">
        <w:t>at</w:t>
      </w:r>
      <w:r w:rsidR="002C04D3" w:rsidRPr="002C04D3">
        <w:t xml:space="preserve"> the supply wells and the Butters Row </w:t>
      </w:r>
      <w:r w:rsidR="002C04D3">
        <w:t>Water Treatment Plant</w:t>
      </w:r>
      <w:r w:rsidR="002C04D3" w:rsidRPr="00F80B1F">
        <w:t xml:space="preserve"> </w:t>
      </w:r>
      <w:r w:rsidR="002C04D3">
        <w:t>(</w:t>
      </w:r>
      <w:r w:rsidRPr="00F80B1F">
        <w:t>WTP</w:t>
      </w:r>
      <w:r>
        <w:t>)</w:t>
      </w:r>
      <w:r w:rsidR="002C04D3">
        <w:t>. T</w:t>
      </w:r>
      <w:r w:rsidRPr="00F80B1F">
        <w:t>hen</w:t>
      </w:r>
      <w:r w:rsidR="002C04D3">
        <w:t>,</w:t>
      </w:r>
      <w:r w:rsidRPr="00F80B1F">
        <w:t xml:space="preserve"> </w:t>
      </w:r>
      <w:r w:rsidR="002C04D3">
        <w:t xml:space="preserve">the </w:t>
      </w:r>
      <w:r w:rsidR="002C04D3" w:rsidRPr="00F80B1F">
        <w:t xml:space="preserve">water distribution system model </w:t>
      </w:r>
      <w:r w:rsidR="002C04D3">
        <w:t xml:space="preserve">was used to </w:t>
      </w:r>
      <w:r w:rsidRPr="00F80B1F">
        <w:t>estimat</w:t>
      </w:r>
      <w:r w:rsidR="002C04D3">
        <w:t>e</w:t>
      </w:r>
      <w:r w:rsidRPr="00F80B1F">
        <w:t xml:space="preserve"> how concentration</w:t>
      </w:r>
      <w:r w:rsidR="00C0484D">
        <w:t>s</w:t>
      </w:r>
      <w:r w:rsidRPr="00F80B1F">
        <w:t xml:space="preserve"> would vary across</w:t>
      </w:r>
      <w:r w:rsidR="008305F9">
        <w:t xml:space="preserve"> the</w:t>
      </w:r>
      <w:r w:rsidRPr="00F80B1F">
        <w:t xml:space="preserve"> </w:t>
      </w:r>
      <w:r w:rsidR="008305F9">
        <w:t>town’s water mains</w:t>
      </w:r>
      <w:r w:rsidRPr="00F80B1F">
        <w:t xml:space="preserve"> as water</w:t>
      </w:r>
      <w:r w:rsidR="002C04D3">
        <w:t xml:space="preserve"> </w:t>
      </w:r>
      <w:r w:rsidR="008305F9">
        <w:t xml:space="preserve">entered the system directly from supply wells and from </w:t>
      </w:r>
      <w:r w:rsidR="003B73E1">
        <w:t xml:space="preserve">both </w:t>
      </w:r>
      <w:r w:rsidRPr="00F80B1F">
        <w:t>the Sargent WTP</w:t>
      </w:r>
      <w:r w:rsidR="003B73E1">
        <w:t xml:space="preserve"> in the north</w:t>
      </w:r>
      <w:r w:rsidRPr="00F80B1F">
        <w:t xml:space="preserve"> </w:t>
      </w:r>
      <w:r w:rsidR="003B73E1">
        <w:t xml:space="preserve">and </w:t>
      </w:r>
      <w:r>
        <w:t>the Butte</w:t>
      </w:r>
      <w:r w:rsidR="003B73E1">
        <w:t>r</w:t>
      </w:r>
      <w:r>
        <w:t xml:space="preserve">s Row WTP </w:t>
      </w:r>
      <w:r w:rsidR="003B73E1">
        <w:t>in the south</w:t>
      </w:r>
      <w:r w:rsidR="008305F9">
        <w:t>. Over the course of the study period, different supply wells and WTPs were active, inactive, not yet online, or temporarily offline. The model inputs accounted for these changes over time and simulated how the water</w:t>
      </w:r>
      <w:r w:rsidR="003B73E1">
        <w:t xml:space="preserve"> mixed together wi</w:t>
      </w:r>
      <w:r w:rsidRPr="00F80B1F">
        <w:t xml:space="preserve">thin the </w:t>
      </w:r>
      <w:r>
        <w:t>network of water supply mains of the distribution system</w:t>
      </w:r>
      <w:r w:rsidR="008305F9">
        <w:t xml:space="preserve"> fo</w:t>
      </w:r>
      <w:r w:rsidRPr="00F80B1F">
        <w:t xml:space="preserve">r every month </w:t>
      </w:r>
      <w:r>
        <w:t>from January 1974 to</w:t>
      </w:r>
      <w:r w:rsidRPr="00F80B1F">
        <w:t xml:space="preserve"> December 2000</w:t>
      </w:r>
      <w:r w:rsidR="008305F9">
        <w:t xml:space="preserve">. Finally, </w:t>
      </w:r>
      <w:r w:rsidRPr="00F80B1F">
        <w:t xml:space="preserve">these estimates were used to assign monthly concentrations at each participant’s residential </w:t>
      </w:r>
      <w:r>
        <w:t xml:space="preserve">water </w:t>
      </w:r>
      <w:r w:rsidRPr="00F80B1F">
        <w:t xml:space="preserve">supply </w:t>
      </w:r>
      <w:r>
        <w:t>main</w:t>
      </w:r>
      <w:r w:rsidRPr="00F80B1F">
        <w:t>.</w:t>
      </w:r>
    </w:p>
    <w:p w14:paraId="7AE6A587" w14:textId="5D03AC83" w:rsidR="0057723B" w:rsidRPr="00F80B1F" w:rsidRDefault="0057723B" w:rsidP="00FA486B">
      <w:r>
        <w:lastRenderedPageBreak/>
        <w:t>It is estimated that very little NDMA would have been removed by treatment at the</w:t>
      </w:r>
      <w:r w:rsidRPr="00874927">
        <w:t xml:space="preserve"> Butters Row WTP</w:t>
      </w:r>
      <w:r>
        <w:t xml:space="preserve"> due to the physical/chemical properties of NDMA (US EPA 2012) and the nature of the treatment systems in use. In short, </w:t>
      </w:r>
      <w:r w:rsidRPr="0031375D">
        <w:t xml:space="preserve">the main processes </w:t>
      </w:r>
      <w:r>
        <w:t>in operation and potentially capable of</w:t>
      </w:r>
      <w:r w:rsidRPr="0031375D">
        <w:t xml:space="preserve"> impact</w:t>
      </w:r>
      <w:r>
        <w:t>ing</w:t>
      </w:r>
      <w:r w:rsidRPr="0031375D">
        <w:t xml:space="preserve"> NDMA levels </w:t>
      </w:r>
      <w:r>
        <w:t>we</w:t>
      </w:r>
      <w:r w:rsidRPr="0031375D">
        <w:t>re aeration, photolysis</w:t>
      </w:r>
      <w:r>
        <w:t>,</w:t>
      </w:r>
      <w:r w:rsidRPr="0031375D">
        <w:t xml:space="preserve"> and sorption onto activated carbon</w:t>
      </w:r>
      <w:r>
        <w:t xml:space="preserve">. However, </w:t>
      </w:r>
      <w:r w:rsidRPr="0031375D">
        <w:t xml:space="preserve">NDMA is </w:t>
      </w:r>
      <w:r>
        <w:t>relatively</w:t>
      </w:r>
      <w:r w:rsidRPr="0031375D">
        <w:t xml:space="preserve"> no</w:t>
      </w:r>
      <w:r>
        <w:t>n-</w:t>
      </w:r>
      <w:proofErr w:type="spellStart"/>
      <w:r>
        <w:t>sorptive</w:t>
      </w:r>
      <w:proofErr w:type="spellEnd"/>
      <w:r>
        <w:t xml:space="preserve"> for activated carbon and not readily </w:t>
      </w:r>
      <w:r w:rsidRPr="0031375D">
        <w:t>volatil</w:t>
      </w:r>
      <w:r>
        <w:t>ized from water</w:t>
      </w:r>
      <w:r w:rsidR="003B73E1">
        <w:t>,</w:t>
      </w:r>
      <w:r>
        <w:t xml:space="preserve"> making aeration ineffective</w:t>
      </w:r>
      <w:r w:rsidR="00076554">
        <w:t>,</w:t>
      </w:r>
      <w:r>
        <w:t xml:space="preserve"> as well. In addition, </w:t>
      </w:r>
      <w:r w:rsidRPr="00D35409">
        <w:t>the sedimentation tanks at the Butters Row</w:t>
      </w:r>
      <w:r>
        <w:t xml:space="preserve"> WTP were</w:t>
      </w:r>
      <w:r w:rsidRPr="00D35409">
        <w:t xml:space="preserve"> 13 feet deep, the hydraulic residence time only 100 minutes, and sunlight </w:t>
      </w:r>
      <w:r>
        <w:t>wa</w:t>
      </w:r>
      <w:r w:rsidRPr="00D35409">
        <w:t xml:space="preserve">s filtered through glass ceiling panels, </w:t>
      </w:r>
      <w:r>
        <w:t xml:space="preserve">making </w:t>
      </w:r>
      <w:r w:rsidRPr="00D35409">
        <w:t xml:space="preserve">it </w:t>
      </w:r>
      <w:r>
        <w:t>u</w:t>
      </w:r>
      <w:r w:rsidRPr="00D35409">
        <w:t xml:space="preserve">nlikely </w:t>
      </w:r>
      <w:r>
        <w:t>that</w:t>
      </w:r>
      <w:r w:rsidRPr="00D35409">
        <w:t xml:space="preserve"> direct photodegradation of NDMA</w:t>
      </w:r>
      <w:r>
        <w:t xml:space="preserve"> would have occurred. Thus, for purposes of the water distribution system model estimates, it was assumed that concentrations in the wells would be the same as</w:t>
      </w:r>
      <w:r w:rsidR="00076554">
        <w:t xml:space="preserve"> concentrations in</w:t>
      </w:r>
      <w:r>
        <w:t xml:space="preserve"> the water leaving the Butters Row WTP. For additional details regarding the estimation of NDMA removal during water treatment, please see Appendix C.</w:t>
      </w:r>
    </w:p>
    <w:p w14:paraId="0AAD117E" w14:textId="7EB41954" w:rsidR="00DC2B86" w:rsidRDefault="0057723B" w:rsidP="00FA486B">
      <w:r>
        <w:t>Using the</w:t>
      </w:r>
      <w:r w:rsidRPr="00F80B1F">
        <w:t xml:space="preserve"> commercially available software application, </w:t>
      </w:r>
      <w:proofErr w:type="spellStart"/>
      <w:r w:rsidRPr="00F80B1F">
        <w:t>WaterCAD</w:t>
      </w:r>
      <w:proofErr w:type="spellEnd"/>
      <w:r>
        <w:t>,</w:t>
      </w:r>
      <w:r w:rsidRPr="00F80B1F">
        <w:t xml:space="preserve"> </w:t>
      </w:r>
      <w:r>
        <w:t>a</w:t>
      </w:r>
      <w:r w:rsidRPr="00F80B1F">
        <w:t xml:space="preserve"> hydraulic model of the Wilmington water distribution system was developed to simulate the spatial distribution of NDMA within the town’s water network</w:t>
      </w:r>
      <w:r>
        <w:t xml:space="preserve">. </w:t>
      </w:r>
      <w:r w:rsidRPr="00F80B1F">
        <w:t xml:space="preserve">Annual models of the system were created for </w:t>
      </w:r>
      <w:r w:rsidR="00B76180">
        <w:t>each year from</w:t>
      </w:r>
      <w:r w:rsidRPr="00F80B1F">
        <w:t xml:space="preserve"> 1974 </w:t>
      </w:r>
      <w:r w:rsidR="00B76180">
        <w:t>to 1989 and for every other year from 1990 to</w:t>
      </w:r>
      <w:r w:rsidRPr="00F80B1F">
        <w:t xml:space="preserve"> 2000, so that differences in the water distribution </w:t>
      </w:r>
      <w:r>
        <w:t xml:space="preserve">system </w:t>
      </w:r>
      <w:r w:rsidRPr="00F80B1F">
        <w:t>and pumping patterns could be accounted for</w:t>
      </w:r>
      <w:r w:rsidR="00B76180">
        <w:t xml:space="preserve"> over time</w:t>
      </w:r>
      <w:r>
        <w:t xml:space="preserve">. </w:t>
      </w:r>
      <w:r w:rsidR="00B76180" w:rsidRPr="00B76180">
        <w:t xml:space="preserve">Information on the construction of new pipes over this period were obtained from various reports </w:t>
      </w:r>
      <w:r w:rsidR="00DC2B86">
        <w:t>carried out for the</w:t>
      </w:r>
      <w:r w:rsidR="00B76180" w:rsidRPr="00B76180">
        <w:t xml:space="preserve"> </w:t>
      </w:r>
      <w:r w:rsidR="00DC2B86">
        <w:t>Wilmington Water and Sewer Division</w:t>
      </w:r>
      <w:r w:rsidR="00DC2B86" w:rsidRPr="00DC2B86">
        <w:t>, historical logs of system improvements reported in the town’s annual reports, assessor’s maps, and road maps</w:t>
      </w:r>
      <w:r w:rsidR="00B76180" w:rsidRPr="00B76180">
        <w:t>.</w:t>
      </w:r>
    </w:p>
    <w:p w14:paraId="764F66D3" w14:textId="5318CBD7" w:rsidR="00DC2B86" w:rsidRDefault="00DC2B86" w:rsidP="00FA486B">
      <w:r>
        <w:t xml:space="preserve">The spatial penetration of </w:t>
      </w:r>
      <w:r w:rsidR="00873E92">
        <w:t>NDMA into the town drinking water system</w:t>
      </w:r>
      <w:r>
        <w:t xml:space="preserve"> was found to primarily depend on the proportion of water </w:t>
      </w:r>
      <w:r w:rsidR="00873E92">
        <w:t xml:space="preserve">entering the distribution system </w:t>
      </w:r>
      <w:r>
        <w:t xml:space="preserve">from the contaminated MMB aquifer </w:t>
      </w:r>
      <w:r w:rsidR="00873E92">
        <w:t xml:space="preserve">supply wells </w:t>
      </w:r>
      <w:r>
        <w:t xml:space="preserve">and </w:t>
      </w:r>
      <w:r w:rsidR="00873E92">
        <w:t>t</w:t>
      </w:r>
      <w:r>
        <w:t xml:space="preserve">he Butters Row WTP </w:t>
      </w:r>
      <w:r w:rsidR="00873E92">
        <w:t xml:space="preserve">compared to the proportion coming from </w:t>
      </w:r>
      <w:r w:rsidR="00873E92" w:rsidRPr="00DC2B86">
        <w:t xml:space="preserve">the </w:t>
      </w:r>
      <w:r w:rsidR="00873E92">
        <w:t xml:space="preserve">uncontaminated </w:t>
      </w:r>
      <w:r w:rsidR="00873E92" w:rsidRPr="00DC2B86">
        <w:t>northern water supply wells and Sargent WTP</w:t>
      </w:r>
      <w:r w:rsidR="005F4547">
        <w:t>. The relative proportions of water entering the system from each location dep</w:t>
      </w:r>
      <w:r w:rsidR="00873E92">
        <w:t>ended on the overall town water demand and pumping rates</w:t>
      </w:r>
      <w:r w:rsidR="005F4547">
        <w:t>, which frequently</w:t>
      </w:r>
      <w:r w:rsidR="008305F9" w:rsidRPr="008305F9">
        <w:t xml:space="preserve"> </w:t>
      </w:r>
      <w:r w:rsidR="008305F9">
        <w:t>changed</w:t>
      </w:r>
      <w:r>
        <w:t>. The magnitude of</w:t>
      </w:r>
      <w:r w:rsidR="005F4547">
        <w:t xml:space="preserve"> NDMA</w:t>
      </w:r>
      <w:r>
        <w:t xml:space="preserve"> concentrations in the distribution system strongly depended on the concentrations of </w:t>
      </w:r>
      <w:r w:rsidR="00873E92">
        <w:t xml:space="preserve">NDMA in </w:t>
      </w:r>
      <w:r>
        <w:t>the MMB aquifer source wells and the Butters Row WTP. The contaminant distribution also depended to a lesser extent on the water demands of industrial and commercial users relative to domestic users, and on the pipe network configuration, which varied over the simulation period.</w:t>
      </w:r>
    </w:p>
    <w:p w14:paraId="2C84C7B8" w14:textId="468C5C10" w:rsidR="00DC2B86" w:rsidRDefault="00DC2B86" w:rsidP="00FA486B">
      <w:r>
        <w:t xml:space="preserve">Based on the water distribution system model results, simulated NDMA concentrations steadily increased from 1974 </w:t>
      </w:r>
      <w:r w:rsidR="005F4547">
        <w:t xml:space="preserve">(when initial contamination of the Chestnut St. #1 well is estimated to have occurred) </w:t>
      </w:r>
      <w:r>
        <w:t xml:space="preserve">to June 1979. The extent of NDMA within the system, however, was </w:t>
      </w:r>
      <w:r w:rsidR="00CC287A">
        <w:t>less extensive than in later years</w:t>
      </w:r>
      <w:r>
        <w:t xml:space="preserve"> with 31% of all pipes exceeding 1 ng/L </w:t>
      </w:r>
      <w:r>
        <w:lastRenderedPageBreak/>
        <w:t xml:space="preserve">and </w:t>
      </w:r>
      <w:r w:rsidR="00CC287A">
        <w:t xml:space="preserve">just </w:t>
      </w:r>
      <w:r>
        <w:t>12%</w:t>
      </w:r>
      <w:r w:rsidRPr="00DC2B86">
        <w:t xml:space="preserve"> exceeding 50 ng/L. From July 1979 to May 1981, all wells in the MMB aquifer had been deactivated except </w:t>
      </w:r>
      <w:r w:rsidR="005F4547">
        <w:t xml:space="preserve">for </w:t>
      </w:r>
      <w:r w:rsidRPr="00DC2B86">
        <w:t>Town Park, which was not contaminated with NDMA. However, when the Butters Row WTP was brought online in June 1981, NDMA concentrations rapidly increased. From 1981 through 2000, the spatial extent and magnitude of NDMA in the system varied widely from month to month, with the monthly mean and maximum concentrations computed across all pipes ranging from 5 – 39 ng/L and 12 – 114 ng/L, respectively. The percent of all pipes in the system with concentrations exceeding 50 ng/L reached a peak of 63% in November 1991. In March 1998, 27% of all pipes had concentrations exceeding 100 ng/L. NDMA exposure was primarily limited to the southern, central and western areas of town; exposure in the northern and eastern areas was relatively low because th</w:t>
      </w:r>
      <w:r>
        <w:t>o</w:t>
      </w:r>
      <w:r w:rsidRPr="00DC2B86">
        <w:t>se areas primarily received water from uncontaminated sources (i.e., the northern water supply wells and Sargent WTP).</w:t>
      </w:r>
    </w:p>
    <w:p w14:paraId="69CDB278" w14:textId="7A00FEB9" w:rsidR="00FB6843" w:rsidRDefault="0057723B" w:rsidP="00FA486B">
      <w:r>
        <w:t>S</w:t>
      </w:r>
      <w:r w:rsidRPr="00F80B1F">
        <w:t>imulated water distribution system concentrations</w:t>
      </w:r>
      <w:r w:rsidR="00DC2B86">
        <w:t xml:space="preserve"> of NDMA</w:t>
      </w:r>
      <w:r>
        <w:t xml:space="preserve"> for a selection of years</w:t>
      </w:r>
      <w:r w:rsidRPr="00F80B1F">
        <w:t xml:space="preserve"> are presented in </w:t>
      </w:r>
      <w:r w:rsidRPr="00750E46">
        <w:fldChar w:fldCharType="begin"/>
      </w:r>
      <w:r w:rsidRPr="00750E46">
        <w:instrText xml:space="preserve"> REF _Ref13218069 \h </w:instrText>
      </w:r>
      <w:r w:rsidR="0040594E" w:rsidRPr="00750E46">
        <w:instrText xml:space="preserve"> \* MERGEFORMAT </w:instrText>
      </w:r>
      <w:r w:rsidRPr="00750E46">
        <w:fldChar w:fldCharType="separate"/>
      </w:r>
      <w:r w:rsidR="00977423">
        <w:rPr>
          <w:b/>
          <w:bCs/>
        </w:rPr>
        <w:t>Error! Reference source not found.</w:t>
      </w:r>
      <w:r w:rsidRPr="00750E46">
        <w:fldChar w:fldCharType="end"/>
      </w:r>
      <w:r w:rsidRPr="00750E46">
        <w:t xml:space="preserve"> </w:t>
      </w:r>
      <w:r w:rsidRPr="00F80B1F">
        <w:t>These illustrate</w:t>
      </w:r>
      <w:r w:rsidR="008151D3">
        <w:t xml:space="preserve"> </w:t>
      </w:r>
      <w:r w:rsidRPr="00F80B1F">
        <w:t xml:space="preserve">the variability </w:t>
      </w:r>
      <w:r w:rsidR="00DC2B86">
        <w:t>of</w:t>
      </w:r>
      <w:r w:rsidRPr="00F80B1F">
        <w:t xml:space="preserve"> NDMA concentration</w:t>
      </w:r>
      <w:r w:rsidR="00873E92">
        <w:t>s across the water distribution</w:t>
      </w:r>
      <w:r w:rsidRPr="00F80B1F">
        <w:t xml:space="preserve"> syste</w:t>
      </w:r>
      <w:r w:rsidR="00DC2B86">
        <w:t xml:space="preserve">m </w:t>
      </w:r>
      <w:r w:rsidR="00873E92">
        <w:t xml:space="preserve">and over </w:t>
      </w:r>
      <w:r w:rsidR="00DC2B86">
        <w:t>time.</w:t>
      </w:r>
      <w:r>
        <w:t xml:space="preserve"> </w:t>
      </w:r>
      <w:bookmarkStart w:id="79" w:name="Figure5"/>
      <w:bookmarkStart w:id="80" w:name="_Toc45717780"/>
      <w:r w:rsidR="00FB6843">
        <w:br w:type="page"/>
      </w:r>
    </w:p>
    <w:p w14:paraId="59C02467" w14:textId="5C4E20E2" w:rsidR="007D2F5C" w:rsidRDefault="00C37F21" w:rsidP="00B26D34">
      <w:pPr>
        <w:spacing w:line="240" w:lineRule="auto"/>
      </w:pPr>
      <w:r>
        <w:rPr>
          <w:noProof/>
        </w:rPr>
        <w:lastRenderedPageBreak/>
        <w:drawing>
          <wp:anchor distT="0" distB="0" distL="114300" distR="114300" simplePos="0" relativeHeight="251668480" behindDoc="0" locked="0" layoutInCell="1" allowOverlap="1" wp14:anchorId="36B8BF9E" wp14:editId="5161B4FD">
            <wp:simplePos x="0" y="0"/>
            <wp:positionH relativeFrom="margin">
              <wp:posOffset>82550</wp:posOffset>
            </wp:positionH>
            <wp:positionV relativeFrom="paragraph">
              <wp:posOffset>584835</wp:posOffset>
            </wp:positionV>
            <wp:extent cx="5766435" cy="6210300"/>
            <wp:effectExtent l="0" t="0" r="571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66435" cy="621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1D3">
        <w:t xml:space="preserve">Figure </w:t>
      </w:r>
      <w:fldSimple w:instr=" SEQ Figure \* ARABIC ">
        <w:r w:rsidR="00977423">
          <w:rPr>
            <w:noProof/>
          </w:rPr>
          <w:t>5</w:t>
        </w:r>
      </w:fldSimple>
      <w:bookmarkEnd w:id="79"/>
      <w:r w:rsidR="008151D3">
        <w:t xml:space="preserve">. </w:t>
      </w:r>
      <w:r w:rsidR="008151D3" w:rsidRPr="001F4066">
        <w:rPr>
          <w:spacing w:val="-8"/>
        </w:rPr>
        <w:t>Average annual simulated NDMA concentrations in water mains of the Wilmington public drinking water distribution system for select years from 1975 to 2000</w:t>
      </w:r>
      <w:r w:rsidR="002821EC" w:rsidRPr="001F4066">
        <w:rPr>
          <w:spacing w:val="-8"/>
        </w:rPr>
        <w:t>.</w:t>
      </w:r>
      <w:bookmarkEnd w:id="80"/>
      <w:r w:rsidR="00C44D37">
        <w:t xml:space="preserve"> </w:t>
      </w:r>
    </w:p>
    <w:p w14:paraId="043F65A3" w14:textId="20BBB652" w:rsidR="00026642" w:rsidRPr="00E35A60" w:rsidRDefault="00026642" w:rsidP="000C4868">
      <w:pPr>
        <w:pStyle w:val="Caption"/>
        <w:spacing w:after="360"/>
        <w:rPr>
          <w:rFonts w:asciiTheme="majorHAnsi" w:hAnsiTheme="majorHAnsi"/>
          <w:sz w:val="22"/>
          <w:szCs w:val="22"/>
        </w:rPr>
      </w:pPr>
      <w:r w:rsidRPr="00E35A60">
        <w:rPr>
          <w:rFonts w:asciiTheme="majorHAnsi" w:hAnsiTheme="majorHAnsi"/>
          <w:sz w:val="22"/>
          <w:szCs w:val="22"/>
        </w:rPr>
        <w:t xml:space="preserve">Source: Durant et al., 2018. Modeling </w:t>
      </w:r>
      <w:r w:rsidRPr="00E35A60">
        <w:rPr>
          <w:rFonts w:asciiTheme="majorHAnsi" w:hAnsiTheme="majorHAnsi"/>
          <w:i/>
          <w:sz w:val="22"/>
          <w:szCs w:val="22"/>
        </w:rPr>
        <w:t>N</w:t>
      </w:r>
      <w:r w:rsidRPr="00E35A60">
        <w:rPr>
          <w:rFonts w:asciiTheme="majorHAnsi" w:hAnsiTheme="majorHAnsi"/>
          <w:sz w:val="22"/>
          <w:szCs w:val="22"/>
        </w:rPr>
        <w:t>-</w:t>
      </w:r>
      <w:proofErr w:type="spellStart"/>
      <w:r w:rsidRPr="00E35A60">
        <w:rPr>
          <w:rFonts w:asciiTheme="majorHAnsi" w:hAnsiTheme="majorHAnsi"/>
          <w:sz w:val="22"/>
          <w:szCs w:val="22"/>
        </w:rPr>
        <w:t>Nitrosodimethylamine</w:t>
      </w:r>
      <w:proofErr w:type="spellEnd"/>
      <w:r w:rsidRPr="00E35A60">
        <w:rPr>
          <w:rFonts w:asciiTheme="majorHAnsi" w:hAnsiTheme="majorHAnsi"/>
          <w:sz w:val="22"/>
          <w:szCs w:val="22"/>
        </w:rPr>
        <w:t xml:space="preserve"> and Trichloroethylene Concentrations </w:t>
      </w:r>
      <w:proofErr w:type="gramStart"/>
      <w:r w:rsidRPr="00E35A60">
        <w:rPr>
          <w:rFonts w:asciiTheme="majorHAnsi" w:hAnsiTheme="majorHAnsi"/>
          <w:sz w:val="22"/>
          <w:szCs w:val="22"/>
        </w:rPr>
        <w:t>In</w:t>
      </w:r>
      <w:proofErr w:type="gramEnd"/>
      <w:r w:rsidRPr="00E35A60">
        <w:rPr>
          <w:rFonts w:asciiTheme="majorHAnsi" w:hAnsiTheme="majorHAnsi"/>
          <w:sz w:val="22"/>
          <w:szCs w:val="22"/>
        </w:rPr>
        <w:t xml:space="preserve"> The Wilmington, Massachusetts, Water Supply System: 1974 To 2000. Available as: Appendix C, Figure 5.33.</w:t>
      </w:r>
    </w:p>
    <w:p w14:paraId="5B4B0AA4" w14:textId="77777777" w:rsidR="000C4868" w:rsidRDefault="000C4868" w:rsidP="00FA486B"/>
    <w:p w14:paraId="2DB75732" w14:textId="7E248D3B" w:rsidR="0057723B" w:rsidRPr="00F80B1F" w:rsidRDefault="0057723B" w:rsidP="00FA486B">
      <w:r w:rsidRPr="00F80B1F">
        <w:lastRenderedPageBreak/>
        <w:t xml:space="preserve">The modeling </w:t>
      </w:r>
      <w:r>
        <w:t>of</w:t>
      </w:r>
      <w:r w:rsidRPr="00F80B1F">
        <w:t xml:space="preserve"> NDMA </w:t>
      </w:r>
      <w:r w:rsidR="00A971CD">
        <w:t xml:space="preserve">concentrations for this study </w:t>
      </w:r>
      <w:r>
        <w:t>does</w:t>
      </w:r>
      <w:r w:rsidRPr="00F80B1F">
        <w:t xml:space="preserve"> not address the possible formation of NDMA within the </w:t>
      </w:r>
      <w:r w:rsidR="00A971CD">
        <w:t xml:space="preserve">water distribution </w:t>
      </w:r>
      <w:r w:rsidRPr="00F80B1F">
        <w:t>system</w:t>
      </w:r>
      <w:r>
        <w:t xml:space="preserve"> itself. However, based on records of the water chemistry and water disinfection practices at the Butters Row WTP, it is unlikely that</w:t>
      </w:r>
      <w:r w:rsidRPr="00F80B1F">
        <w:t xml:space="preserve"> </w:t>
      </w:r>
      <w:r>
        <w:t xml:space="preserve">formation of significant concentrations of </w:t>
      </w:r>
      <w:r w:rsidRPr="00F80B1F">
        <w:t>NDMA</w:t>
      </w:r>
      <w:r>
        <w:t>—as a disinfection byproduct—occurred w</w:t>
      </w:r>
      <w:r w:rsidRPr="00F80B1F">
        <w:t xml:space="preserve">ithin the </w:t>
      </w:r>
      <w:r w:rsidR="00AD00C6">
        <w:t xml:space="preserve">drinking </w:t>
      </w:r>
      <w:r w:rsidRPr="00F80B1F">
        <w:t xml:space="preserve">water </w:t>
      </w:r>
      <w:r w:rsidR="00AD00C6">
        <w:t xml:space="preserve">distribution </w:t>
      </w:r>
      <w:r w:rsidRPr="00F80B1F">
        <w:t>system</w:t>
      </w:r>
      <w:r>
        <w:t xml:space="preserve">. </w:t>
      </w:r>
      <w:r w:rsidRPr="00F80B1F">
        <w:t>The Butters Row</w:t>
      </w:r>
      <w:r>
        <w:t xml:space="preserve"> WTP</w:t>
      </w:r>
      <w:r w:rsidRPr="00F80B1F">
        <w:t xml:space="preserve"> used chlorination (chlorine gas) as the primary type of drinking water disinfectant, as opposed to </w:t>
      </w:r>
      <w:proofErr w:type="spellStart"/>
      <w:r w:rsidRPr="00F80B1F">
        <w:t>chloramination</w:t>
      </w:r>
      <w:proofErr w:type="spellEnd"/>
      <w:r>
        <w:t xml:space="preserve">. </w:t>
      </w:r>
      <w:r w:rsidRPr="00F80B1F">
        <w:t xml:space="preserve">NDMA can be a byproduct from chlorination in the presence of other necessary precursors; however, based on </w:t>
      </w:r>
      <w:r>
        <w:t xml:space="preserve">available </w:t>
      </w:r>
      <w:r w:rsidRPr="00F80B1F">
        <w:t>information</w:t>
      </w:r>
      <w:r>
        <w:t>,</w:t>
      </w:r>
      <w:r w:rsidRPr="00F80B1F">
        <w:t xml:space="preserve"> there was no evidence of NDMA formation </w:t>
      </w:r>
      <w:r>
        <w:t>with</w:t>
      </w:r>
      <w:r w:rsidRPr="00F80B1F">
        <w:t xml:space="preserve">in the water distribution system in Wilmington </w:t>
      </w:r>
      <w:r>
        <w:t xml:space="preserve">(see Appendix C for more detail). </w:t>
      </w:r>
      <w:r w:rsidRPr="00F80B1F">
        <w:t xml:space="preserve">As noted previously, NDMA has never been detected in the Wilmington water </w:t>
      </w:r>
      <w:r>
        <w:t xml:space="preserve">distribution </w:t>
      </w:r>
      <w:r w:rsidRPr="00F80B1F">
        <w:t>system</w:t>
      </w:r>
      <w:r>
        <w:t xml:space="preserve">. Testing for NDMA took place only after the water supply wells previously found to have been contaminated with NDMA had been shut off for several months. </w:t>
      </w:r>
      <w:r w:rsidRPr="00F80B1F">
        <w:t xml:space="preserve">Likewise, there was no evidence of </w:t>
      </w:r>
      <w:r>
        <w:t>NDMA precursor chemicals—m</w:t>
      </w:r>
      <w:r w:rsidRPr="00F80B1F">
        <w:t>ost importantly dimethylamine</w:t>
      </w:r>
      <w:r>
        <w:t>—</w:t>
      </w:r>
      <w:r w:rsidRPr="00F80B1F">
        <w:t xml:space="preserve">in the water distribution system. </w:t>
      </w:r>
    </w:p>
    <w:p w14:paraId="4CE888B0" w14:textId="1F21CB1A" w:rsidR="002579B1" w:rsidRDefault="002579B1" w:rsidP="0063071E">
      <w:pPr>
        <w:pStyle w:val="StyleHeading4Linespacingsingle"/>
      </w:pPr>
      <w:r>
        <w:t xml:space="preserve">Model </w:t>
      </w:r>
      <w:r w:rsidR="00B9147C">
        <w:t xml:space="preserve">Sensitivity and </w:t>
      </w:r>
      <w:r>
        <w:t>Uncertainty</w:t>
      </w:r>
    </w:p>
    <w:p w14:paraId="160BC2CB" w14:textId="41487DBC" w:rsidR="00B9147C" w:rsidRDefault="00B9147C" w:rsidP="00FA486B">
      <w:r>
        <w:t>Sensitivity analyses were performed to evaluate the impact of alternative model configurations, parameters, and input datasets on model results. For the groundwater flow model, the sensitivities to alternative spatial discretization, simulation time step durations, and various hydraulic parameters were evaluated by comparing changes in the simulated potentiometric head at monitoring well locations near the MMB aquifer wells. The sensitivity of the water distribution model to diurnal variability in water demands was also evaluated. See Appendix C for more details.</w:t>
      </w:r>
    </w:p>
    <w:p w14:paraId="65447F53" w14:textId="77777777" w:rsidR="006D6503" w:rsidRDefault="00EC1FD8" w:rsidP="00FA486B">
      <w:r>
        <w:t>To evaluate the impact of uncertainty</w:t>
      </w:r>
      <w:r w:rsidRPr="00EC1FD8">
        <w:t xml:space="preserve"> </w:t>
      </w:r>
      <w:r w:rsidRPr="004A4130">
        <w:t xml:space="preserve">on the final </w:t>
      </w:r>
      <w:r>
        <w:t xml:space="preserve">output of the NDMA exposure assessment modeling, a </w:t>
      </w:r>
      <w:r w:rsidR="004A4130" w:rsidRPr="004A4130">
        <w:t>review</w:t>
      </w:r>
      <w:r>
        <w:t xml:space="preserve"> was conducted of</w:t>
      </w:r>
      <w:r w:rsidR="004A4130" w:rsidRPr="004A4130">
        <w:t xml:space="preserve"> the relative uncertainty and sensitivity of all model assumptions, parameters and input datasets. Those parameters and inputs for which the model sensitivity was known to be low (i.e., large changes in the parameter or input value did not cause large changes in the output) were removed from consideration as were any parameters that were adjusted during model calibration. Input datasets that were based on relatively complete historical records or believed to be reasonably accurate were also excluded.</w:t>
      </w:r>
      <w:r w:rsidR="001E6B59">
        <w:t xml:space="preserve"> </w:t>
      </w:r>
      <w:r w:rsidR="004A4130" w:rsidRPr="004A4130">
        <w:t xml:space="preserve">Ultimately, two model inputs </w:t>
      </w:r>
      <w:r>
        <w:t>were identified for which relatively h</w:t>
      </w:r>
      <w:r w:rsidR="004A4130" w:rsidRPr="004A4130">
        <w:t xml:space="preserve">igh uncertainty </w:t>
      </w:r>
      <w:r>
        <w:t xml:space="preserve">exists </w:t>
      </w:r>
      <w:r w:rsidR="004A4130" w:rsidRPr="004A4130">
        <w:t xml:space="preserve">and </w:t>
      </w:r>
      <w:r>
        <w:t>which were found to</w:t>
      </w:r>
      <w:r w:rsidR="004A4130" w:rsidRPr="004A4130">
        <w:t xml:space="preserve"> cause significant impact on the model results</w:t>
      </w:r>
      <w:r w:rsidR="001E6B59">
        <w:t>: the arrival time of DAPL to the Western Bedrock Valley in the MMB aquifer and the pumping rates for supply wells during the period when pumping data were most limited</w:t>
      </w:r>
      <w:r w:rsidR="004A4130" w:rsidRPr="004A4130">
        <w:t xml:space="preserve">. </w:t>
      </w:r>
    </w:p>
    <w:p w14:paraId="0FD0B0EA" w14:textId="1F246AA4" w:rsidR="002579B1" w:rsidRPr="002579B1" w:rsidRDefault="004A4130" w:rsidP="00FA486B">
      <w:r w:rsidRPr="004A4130">
        <w:t xml:space="preserve">For each of these inputs, the highest and lowest most likely values </w:t>
      </w:r>
      <w:r w:rsidR="00EC1FD8">
        <w:t xml:space="preserve">were estimated </w:t>
      </w:r>
      <w:r w:rsidRPr="004A4130">
        <w:t>based on available information</w:t>
      </w:r>
      <w:r w:rsidR="006D6503">
        <w:t xml:space="preserve"> (DAPL arrival +/- 5 years and pumping rates +/- </w:t>
      </w:r>
      <w:r w:rsidR="0055215F">
        <w:t>20</w:t>
      </w:r>
      <w:r w:rsidR="006D6503">
        <w:t xml:space="preserve">%). Then </w:t>
      </w:r>
      <w:r w:rsidR="006D6503">
        <w:lastRenderedPageBreak/>
        <w:t>t</w:t>
      </w:r>
      <w:r w:rsidR="00B9147C">
        <w:t>he entire dataset of monthly NDMA concentrations</w:t>
      </w:r>
      <w:r w:rsidR="005C3F74">
        <w:t xml:space="preserve"> for locations throughout the distribution system </w:t>
      </w:r>
      <w:r w:rsidR="00B9147C">
        <w:t xml:space="preserve">were </w:t>
      </w:r>
      <w:r w:rsidR="005C3F74">
        <w:t xml:space="preserve">reproduced for each variation of the two parameters, </w:t>
      </w:r>
      <w:r w:rsidR="00B9147C">
        <w:t>provid</w:t>
      </w:r>
      <w:r w:rsidR="005C3F74">
        <w:t>ing</w:t>
      </w:r>
      <w:r w:rsidR="00B9147C">
        <w:t xml:space="preserve"> uncertainty ranges of monthly NDMA concentrations for each pipe in the distribution system</w:t>
      </w:r>
      <w:r w:rsidR="005C3F74">
        <w:t xml:space="preserve">. These datasets </w:t>
      </w:r>
      <w:r w:rsidR="006D6503">
        <w:t xml:space="preserve">(eight in all) </w:t>
      </w:r>
      <w:r w:rsidR="005C3F74">
        <w:t>were later</w:t>
      </w:r>
      <w:r w:rsidR="00B9147C">
        <w:t xml:space="preserve"> incorporated in</w:t>
      </w:r>
      <w:r w:rsidR="005C3F74">
        <w:t>to exposure-outcome analyses to evaluate the impact of these uncertainties on final epidemiologic results.</w:t>
      </w:r>
    </w:p>
    <w:p w14:paraId="6D98DB06" w14:textId="77777777" w:rsidR="0057723B" w:rsidRDefault="0057723B" w:rsidP="0010161F">
      <w:pPr>
        <w:pStyle w:val="Heading3"/>
      </w:pPr>
      <w:r>
        <w:t>Trichloroethylene (TCE)</w:t>
      </w:r>
    </w:p>
    <w:p w14:paraId="1C17686C" w14:textId="759484C7" w:rsidR="0057723B" w:rsidRPr="006C3E16" w:rsidRDefault="0057723B" w:rsidP="00FA486B">
      <w:r w:rsidRPr="006C3E16">
        <w:t xml:space="preserve">As with NDMA, the goal of the exposure assessment was to reconstruct the concentration history of TCE in the Wilmington water distribution system. Unlike NDMA, the period of potential exposure to TCE was believed to be much narrower. Another important difference is that historical TCE measurements in finished drinking water were available directly from the Wilmington Water and Sewer Division, which began measuring chlorinated volatile organic compounds, including TCE, in 1979 following the discovery of contamination of municipal wells in nearby Woburn, MA. Therefore, TCE concentrations in the water </w:t>
      </w:r>
      <w:r w:rsidR="002579B1" w:rsidRPr="006C3E16">
        <w:t xml:space="preserve">distribution </w:t>
      </w:r>
      <w:r w:rsidRPr="006C3E16">
        <w:t xml:space="preserve">system were based on historical water </w:t>
      </w:r>
      <w:r w:rsidR="002579B1" w:rsidRPr="006C3E16">
        <w:t>testing</w:t>
      </w:r>
      <w:r w:rsidRPr="006C3E16">
        <w:t xml:space="preserve"> data as opposed to groundwater modeling results. Unlike NDMA, </w:t>
      </w:r>
      <w:r w:rsidR="000316D9" w:rsidRPr="006C3E16">
        <w:t xml:space="preserve">water distribution </w:t>
      </w:r>
      <w:r w:rsidRPr="006C3E16">
        <w:t>system sampling data w</w:t>
      </w:r>
      <w:r w:rsidR="000316D9" w:rsidRPr="006C3E16">
        <w:t>ere</w:t>
      </w:r>
      <w:r w:rsidRPr="006C3E16">
        <w:t xml:space="preserve"> available, although limited. Also,</w:t>
      </w:r>
      <w:r w:rsidR="008E0C69" w:rsidRPr="006C3E16">
        <w:t xml:space="preserve"> </w:t>
      </w:r>
      <w:r w:rsidRPr="006C3E16">
        <w:t>the sources of TCE contamination were insufficiently characterized to enable groundwater transport modeling. For these reasons, estimation of TCE concentrations in the water distribution system were limited to years in which sampling data were available (1981-2000), even though it is known that contamination was present before that time.</w:t>
      </w:r>
    </w:p>
    <w:p w14:paraId="490DB8CC" w14:textId="77777777" w:rsidR="0057723B" w:rsidRPr="00A478A4" w:rsidRDefault="0057723B" w:rsidP="0063071E">
      <w:pPr>
        <w:pStyle w:val="StyleHeading4Linespacingsingle"/>
      </w:pPr>
      <w:r w:rsidRPr="00A478A4">
        <w:t>Water Distribution System Model</w:t>
      </w:r>
    </w:p>
    <w:p w14:paraId="2E77417A" w14:textId="77777777" w:rsidR="0057723B" w:rsidRPr="00A478A4" w:rsidRDefault="0057723B" w:rsidP="00FA486B">
      <w:r w:rsidRPr="00A478A4">
        <w:t xml:space="preserve">A re-constructed time history of monthly TCE concentrations in the Butters Row WTP finished water was generated for 1981 through </w:t>
      </w:r>
      <w:r>
        <w:t xml:space="preserve">2000. </w:t>
      </w:r>
      <w:r w:rsidRPr="00A478A4">
        <w:t>Data from individual wells were either not available or very limited prior to 1981, and therefore the TCE simulation corresponded to the period when the Butters Row WTP was online (June 1981 through December 2000)</w:t>
      </w:r>
      <w:r>
        <w:t xml:space="preserve">. </w:t>
      </w:r>
      <w:r w:rsidRPr="00A478A4">
        <w:t>Concentrations at the supply wells outside the M</w:t>
      </w:r>
      <w:r>
        <w:t>MB</w:t>
      </w:r>
      <w:r w:rsidRPr="00A478A4">
        <w:t xml:space="preserve"> aquifer and at the Sargent </w:t>
      </w:r>
      <w:r>
        <w:t>WTP</w:t>
      </w:r>
      <w:r w:rsidRPr="00A478A4">
        <w:t xml:space="preserve"> were assumed to be zero</w:t>
      </w:r>
      <w:r>
        <w:t>,</w:t>
      </w:r>
      <w:r w:rsidRPr="00A478A4">
        <w:t xml:space="preserve"> making Butters Row </w:t>
      </w:r>
      <w:r>
        <w:t>WTP</w:t>
      </w:r>
      <w:r w:rsidRPr="00A478A4">
        <w:t xml:space="preserve"> the sole source of TCE to the system.</w:t>
      </w:r>
    </w:p>
    <w:p w14:paraId="3017B738" w14:textId="77777777" w:rsidR="0057723B" w:rsidRPr="00A478A4" w:rsidRDefault="0057723B" w:rsidP="00FA486B">
      <w:r w:rsidRPr="00A478A4">
        <w:t>To re-construct a monthly time history of TCE, the mean concentration was first computed for each month in which two or more samples were collected</w:t>
      </w:r>
      <w:r>
        <w:t xml:space="preserve">. </w:t>
      </w:r>
      <w:r w:rsidRPr="00A478A4">
        <w:t>Non-detects were set to the reported detection limit (i.e., 0-1 µg/L)</w:t>
      </w:r>
      <w:r>
        <w:t xml:space="preserve">. </w:t>
      </w:r>
      <w:r w:rsidRPr="00A478A4">
        <w:t xml:space="preserve">For months in which no samples were collected, the concentration was estimated by linearly interpolating between the mean concentrations of </w:t>
      </w:r>
      <w:r>
        <w:t xml:space="preserve">the </w:t>
      </w:r>
      <w:r w:rsidRPr="00A478A4">
        <w:t>closest two months for which measurements were available</w:t>
      </w:r>
      <w:r>
        <w:t xml:space="preserve">. </w:t>
      </w:r>
      <w:r w:rsidRPr="00A478A4">
        <w:t>The result was a time series of monthly</w:t>
      </w:r>
      <w:r>
        <w:t xml:space="preserve"> </w:t>
      </w:r>
      <w:r w:rsidRPr="00A478A4">
        <w:t>mean TCE concentrations.</w:t>
      </w:r>
    </w:p>
    <w:p w14:paraId="7E1ECC4E" w14:textId="5C01327E" w:rsidR="00FB6843" w:rsidRDefault="0057723B" w:rsidP="00FB6843">
      <w:r w:rsidRPr="00A478A4">
        <w:t>The water distribution system model previously described was applied</w:t>
      </w:r>
      <w:r>
        <w:t xml:space="preserve">. </w:t>
      </w:r>
      <w:r w:rsidRPr="00A478A4">
        <w:t xml:space="preserve">The </w:t>
      </w:r>
      <w:r>
        <w:t>results</w:t>
      </w:r>
      <w:r w:rsidRPr="00A478A4">
        <w:t xml:space="preserve"> showed that TCE concentrations were highest from 1983 th</w:t>
      </w:r>
      <w:r>
        <w:t>rough 1987, reaching</w:t>
      </w:r>
      <w:r w:rsidRPr="00A478A4">
        <w:t xml:space="preserve"> a </w:t>
      </w:r>
      <w:r w:rsidRPr="00A478A4">
        <w:lastRenderedPageBreak/>
        <w:t xml:space="preserve">maximum monthly average of 26 </w:t>
      </w:r>
      <w:r>
        <w:t>µ</w:t>
      </w:r>
      <w:r w:rsidRPr="00A478A4">
        <w:t>g/L in August 1985</w:t>
      </w:r>
      <w:r>
        <w:t xml:space="preserve">. </w:t>
      </w:r>
      <w:r w:rsidRPr="00A478A4">
        <w:t>In 1987, the concentrations fell rapidly and were consistently below the detection limit starting in 199</w:t>
      </w:r>
      <w:r>
        <w:t xml:space="preserve">1. </w:t>
      </w:r>
      <w:r w:rsidRPr="00A478A4">
        <w:t>The highest levels corresponded to high levels observed at the Butters Row WTP</w:t>
      </w:r>
      <w:r>
        <w:t xml:space="preserve">. </w:t>
      </w:r>
      <w:proofErr w:type="gramStart"/>
      <w:r w:rsidRPr="00A478A4">
        <w:t>Similarly</w:t>
      </w:r>
      <w:proofErr w:type="gramEnd"/>
      <w:r w:rsidRPr="00A478A4">
        <w:t xml:space="preserve"> to what was o</w:t>
      </w:r>
      <w:r>
        <w:t xml:space="preserve">bserved with NDMA, higher concentrations </w:t>
      </w:r>
      <w:r w:rsidRPr="00A478A4">
        <w:t>occurred in locations near the Butters Row WTP within the southern, central</w:t>
      </w:r>
      <w:r>
        <w:t>,</w:t>
      </w:r>
      <w:r w:rsidRPr="00A478A4">
        <w:t xml:space="preserve"> and western areas of town (</w:t>
      </w:r>
      <w:r w:rsidR="00A13DBD">
        <w:fldChar w:fldCharType="begin"/>
      </w:r>
      <w:r w:rsidR="00A13DBD">
        <w:instrText xml:space="preserve"> REF  Figure6 \h </w:instrText>
      </w:r>
      <w:r w:rsidR="0040594E">
        <w:instrText xml:space="preserve"> \* MERGEFORMAT </w:instrText>
      </w:r>
      <w:r w:rsidR="00A13DBD">
        <w:fldChar w:fldCharType="separate"/>
      </w:r>
      <w:r w:rsidR="00977423">
        <w:rPr>
          <w:rFonts w:eastAsiaTheme="minorEastAsia"/>
          <w:noProof/>
        </w:rPr>
        <w:t xml:space="preserve">Figure </w:t>
      </w:r>
      <w:r w:rsidR="00977423">
        <w:rPr>
          <w:noProof/>
        </w:rPr>
        <w:t>6</w:t>
      </w:r>
      <w:r w:rsidR="00A13DBD">
        <w:fldChar w:fldCharType="end"/>
      </w:r>
      <w:r w:rsidRPr="00A478A4">
        <w:t>)</w:t>
      </w:r>
      <w:r>
        <w:t xml:space="preserve">. </w:t>
      </w:r>
      <w:r w:rsidRPr="00A478A4">
        <w:t>When TCE levels</w:t>
      </w:r>
      <w:r>
        <w:t xml:space="preserve"> at </w:t>
      </w:r>
      <w:r w:rsidRPr="00A478A4">
        <w:t xml:space="preserve">Butters Row WTP were the highest, </w:t>
      </w:r>
      <w:r>
        <w:t xml:space="preserve">it is estimated that </w:t>
      </w:r>
      <w:r w:rsidRPr="00A478A4">
        <w:t xml:space="preserve">60% of all </w:t>
      </w:r>
      <w:r>
        <w:t>water mains in the town</w:t>
      </w:r>
      <w:r w:rsidRPr="00A478A4">
        <w:t xml:space="preserve"> had concentrations exceeding 20 </w:t>
      </w:r>
      <w:proofErr w:type="spellStart"/>
      <w:r w:rsidRPr="00A478A4">
        <w:t>μg</w:t>
      </w:r>
      <w:proofErr w:type="spellEnd"/>
      <w:r w:rsidRPr="00A478A4">
        <w:t>/L</w:t>
      </w:r>
      <w:r>
        <w:t xml:space="preserve">. </w:t>
      </w:r>
      <w:r w:rsidRPr="00A478A4">
        <w:t>From 1990 through 2000, TCE levels were below detection limits at the WTP and across the system.</w:t>
      </w:r>
      <w:r w:rsidR="00A13DBD">
        <w:t xml:space="preserve"> </w:t>
      </w:r>
      <w:r w:rsidR="00A13DBD">
        <w:rPr>
          <w:rFonts w:eastAsiaTheme="minorEastAsia"/>
          <w:noProof/>
        </w:rPr>
        <w:fldChar w:fldCharType="begin"/>
      </w:r>
      <w:r w:rsidR="00A13DBD">
        <w:rPr>
          <w:rFonts w:eastAsiaTheme="minorEastAsia"/>
          <w:noProof/>
        </w:rPr>
        <w:instrText xml:space="preserve"> REF  Figure6 \h </w:instrText>
      </w:r>
      <w:r w:rsidR="0040594E">
        <w:rPr>
          <w:rFonts w:eastAsiaTheme="minorEastAsia"/>
          <w:noProof/>
        </w:rPr>
        <w:instrText xml:space="preserve"> \* MERGEFORMAT </w:instrText>
      </w:r>
      <w:r w:rsidR="00A13DBD">
        <w:rPr>
          <w:rFonts w:eastAsiaTheme="minorEastAsia"/>
          <w:noProof/>
        </w:rPr>
      </w:r>
      <w:r w:rsidR="00A13DBD">
        <w:rPr>
          <w:rFonts w:eastAsiaTheme="minorEastAsia"/>
          <w:noProof/>
        </w:rPr>
        <w:fldChar w:fldCharType="separate"/>
      </w:r>
      <w:r w:rsidR="00977423">
        <w:rPr>
          <w:rFonts w:eastAsiaTheme="minorEastAsia"/>
          <w:noProof/>
        </w:rPr>
        <w:t xml:space="preserve">Figure </w:t>
      </w:r>
      <w:r w:rsidR="00977423">
        <w:rPr>
          <w:noProof/>
        </w:rPr>
        <w:t>6</w:t>
      </w:r>
      <w:r w:rsidR="00A13DBD">
        <w:rPr>
          <w:rFonts w:eastAsiaTheme="minorEastAsia"/>
          <w:noProof/>
        </w:rPr>
        <w:fldChar w:fldCharType="end"/>
      </w:r>
      <w:r w:rsidRPr="006C3E16">
        <w:t xml:space="preserve"> shows examples of how TCE concentrations varied geographically and over time. As with NDMA, the variability is a reflection of the changing concentration of TCE in the system over time and the variability in municipal well pumping over time.</w:t>
      </w:r>
      <w:bookmarkStart w:id="81" w:name="_Hlk45616022"/>
      <w:r w:rsidR="00FB6843">
        <w:br w:type="page"/>
      </w:r>
    </w:p>
    <w:p w14:paraId="4F4A63EC" w14:textId="127991AA" w:rsidR="000511BC" w:rsidRPr="00BC6405" w:rsidRDefault="005330DE" w:rsidP="0040594E">
      <w:pPr>
        <w:pStyle w:val="Caption"/>
      </w:pPr>
      <w:bookmarkStart w:id="82" w:name="Figure6"/>
      <w:bookmarkStart w:id="83" w:name="_Toc45717781"/>
      <w:r w:rsidRPr="00416971">
        <w:rPr>
          <w:noProof/>
        </w:rPr>
        <w:lastRenderedPageBreak/>
        <w:drawing>
          <wp:anchor distT="0" distB="0" distL="114300" distR="114300" simplePos="0" relativeHeight="251667456" behindDoc="0" locked="0" layoutInCell="1" allowOverlap="1" wp14:anchorId="181ACA91" wp14:editId="73C0AFBD">
            <wp:simplePos x="0" y="0"/>
            <wp:positionH relativeFrom="margin">
              <wp:align>left</wp:align>
            </wp:positionH>
            <wp:positionV relativeFrom="paragraph">
              <wp:posOffset>526591</wp:posOffset>
            </wp:positionV>
            <wp:extent cx="6035675" cy="6608445"/>
            <wp:effectExtent l="0" t="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0035" cy="6624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405">
        <w:rPr>
          <w:rFonts w:eastAsiaTheme="minorEastAsia"/>
          <w:noProof/>
        </w:rPr>
        <w:t xml:space="preserve">Figure </w:t>
      </w:r>
      <w:fldSimple w:instr=" SEQ Figure \* ARABIC ">
        <w:r w:rsidR="00977423">
          <w:rPr>
            <w:noProof/>
          </w:rPr>
          <w:t>6</w:t>
        </w:r>
      </w:fldSimple>
      <w:bookmarkEnd w:id="82"/>
      <w:r w:rsidR="00BC6405">
        <w:t>.</w:t>
      </w:r>
      <w:r w:rsidR="00EF7484" w:rsidRPr="00EF7484">
        <w:rPr>
          <w:rFonts w:eastAsiaTheme="minorEastAsia"/>
          <w:noProof/>
        </w:rPr>
        <w:t xml:space="preserve"> Average annual simulated TCE concentrations in water mains of the Wilmington public drinking water distribution system for select years from 1981 to 1989</w:t>
      </w:r>
      <w:bookmarkEnd w:id="83"/>
    </w:p>
    <w:bookmarkEnd w:id="81"/>
    <w:p w14:paraId="60A68F87" w14:textId="00BE4AF4" w:rsidR="00A817B1" w:rsidRPr="00E35A60" w:rsidRDefault="00A817B1" w:rsidP="0040594E">
      <w:pPr>
        <w:pStyle w:val="Caption"/>
        <w:rPr>
          <w:rFonts w:asciiTheme="majorHAnsi" w:hAnsiTheme="majorHAnsi"/>
          <w:sz w:val="22"/>
        </w:rPr>
      </w:pPr>
      <w:r w:rsidRPr="00E35A60">
        <w:rPr>
          <w:rFonts w:asciiTheme="majorHAnsi" w:hAnsiTheme="majorHAnsi"/>
          <w:sz w:val="22"/>
        </w:rPr>
        <w:t>Note: The MCL for TCE is 5 ug/L.</w:t>
      </w:r>
    </w:p>
    <w:p w14:paraId="0F5ABED8" w14:textId="77777777" w:rsidR="0057723B" w:rsidRPr="00E35A60" w:rsidRDefault="0057723B" w:rsidP="0040594E">
      <w:pPr>
        <w:pStyle w:val="Caption"/>
        <w:rPr>
          <w:rFonts w:asciiTheme="majorHAnsi" w:hAnsiTheme="majorHAnsi"/>
          <w:sz w:val="22"/>
          <w:szCs w:val="22"/>
        </w:rPr>
      </w:pPr>
      <w:r w:rsidRPr="00E35A60">
        <w:rPr>
          <w:rFonts w:asciiTheme="majorHAnsi" w:hAnsiTheme="majorHAnsi"/>
          <w:sz w:val="22"/>
          <w:szCs w:val="22"/>
        </w:rPr>
        <w:t>Source: Durant et al., 201</w:t>
      </w:r>
      <w:r w:rsidR="00A65CE8" w:rsidRPr="00E35A60">
        <w:rPr>
          <w:rFonts w:asciiTheme="majorHAnsi" w:hAnsiTheme="majorHAnsi"/>
          <w:sz w:val="22"/>
          <w:szCs w:val="22"/>
        </w:rPr>
        <w:t>8</w:t>
      </w:r>
      <w:r w:rsidRPr="00E35A60">
        <w:rPr>
          <w:rFonts w:asciiTheme="majorHAnsi" w:hAnsiTheme="majorHAnsi"/>
          <w:sz w:val="22"/>
          <w:szCs w:val="22"/>
        </w:rPr>
        <w:t xml:space="preserve">. Modeling </w:t>
      </w:r>
      <w:r w:rsidRPr="00E35A60">
        <w:rPr>
          <w:rFonts w:asciiTheme="majorHAnsi" w:hAnsiTheme="majorHAnsi"/>
          <w:i/>
          <w:sz w:val="22"/>
          <w:szCs w:val="22"/>
        </w:rPr>
        <w:t>N</w:t>
      </w:r>
      <w:r w:rsidRPr="00E35A60">
        <w:rPr>
          <w:rFonts w:asciiTheme="majorHAnsi" w:hAnsiTheme="majorHAnsi"/>
          <w:sz w:val="22"/>
          <w:szCs w:val="22"/>
        </w:rPr>
        <w:t>-</w:t>
      </w:r>
      <w:proofErr w:type="spellStart"/>
      <w:r w:rsidRPr="00E35A60">
        <w:rPr>
          <w:rFonts w:asciiTheme="majorHAnsi" w:hAnsiTheme="majorHAnsi"/>
          <w:sz w:val="22"/>
          <w:szCs w:val="22"/>
        </w:rPr>
        <w:t>Nitrosodimethylamine</w:t>
      </w:r>
      <w:proofErr w:type="spellEnd"/>
      <w:r w:rsidRPr="00E35A60">
        <w:rPr>
          <w:rFonts w:asciiTheme="majorHAnsi" w:hAnsiTheme="majorHAnsi"/>
          <w:sz w:val="22"/>
          <w:szCs w:val="22"/>
        </w:rPr>
        <w:t xml:space="preserve"> And Trichloroethylene Concentrations </w:t>
      </w:r>
      <w:proofErr w:type="gramStart"/>
      <w:r w:rsidRPr="00E35A60">
        <w:rPr>
          <w:rFonts w:asciiTheme="majorHAnsi" w:hAnsiTheme="majorHAnsi"/>
          <w:sz w:val="22"/>
          <w:szCs w:val="22"/>
        </w:rPr>
        <w:t>In</w:t>
      </w:r>
      <w:proofErr w:type="gramEnd"/>
      <w:r w:rsidRPr="00E35A60">
        <w:rPr>
          <w:rFonts w:asciiTheme="majorHAnsi" w:hAnsiTheme="majorHAnsi"/>
          <w:sz w:val="22"/>
          <w:szCs w:val="22"/>
        </w:rPr>
        <w:t xml:space="preserve"> The Wilmington, Massachusetts, Water Supply System: 1974 To 2000. Available as: Appendix C, Figure 5.37.</w:t>
      </w:r>
    </w:p>
    <w:p w14:paraId="275830AC" w14:textId="52665C01" w:rsidR="0057723B" w:rsidRPr="00F80B1F" w:rsidRDefault="0057723B" w:rsidP="0010161F">
      <w:pPr>
        <w:pStyle w:val="Heading3"/>
      </w:pPr>
      <w:r>
        <w:lastRenderedPageBreak/>
        <w:t>Geocoding and</w:t>
      </w:r>
      <w:r w:rsidR="00AE6F90">
        <w:t xml:space="preserve"> Monthly Mean</w:t>
      </w:r>
      <w:r>
        <w:t xml:space="preserve"> Residential Concentration Assignments</w:t>
      </w:r>
    </w:p>
    <w:p w14:paraId="7D5005E8" w14:textId="77777777" w:rsidR="0057723B" w:rsidRDefault="0057723B" w:rsidP="00FA486B">
      <w:r>
        <w:t>Using</w:t>
      </w:r>
      <w:r w:rsidRPr="00F80B1F">
        <w:t xml:space="preserve"> the water distribution </w:t>
      </w:r>
      <w:r>
        <w:t xml:space="preserve">system </w:t>
      </w:r>
      <w:r w:rsidRPr="00F80B1F">
        <w:t>model</w:t>
      </w:r>
      <w:r>
        <w:t>, a</w:t>
      </w:r>
      <w:r w:rsidRPr="00F80B1F">
        <w:t>verage monthly estimates of NDMA concentration (ng/L) were generated from January 1974 through December 2000</w:t>
      </w:r>
      <w:r>
        <w:t xml:space="preserve"> and a</w:t>
      </w:r>
      <w:r w:rsidRPr="00F80B1F">
        <w:t xml:space="preserve">verage monthly estimates of </w:t>
      </w:r>
      <w:r>
        <w:t>TCE</w:t>
      </w:r>
      <w:r w:rsidRPr="00F80B1F">
        <w:t xml:space="preserve"> concentration (</w:t>
      </w:r>
      <w:r>
        <w:t>µ</w:t>
      </w:r>
      <w:r w:rsidRPr="00F80B1F">
        <w:t>g/L) were generated from J</w:t>
      </w:r>
      <w:r>
        <w:t>une</w:t>
      </w:r>
      <w:r w:rsidRPr="00F80B1F">
        <w:t xml:space="preserve"> 19</w:t>
      </w:r>
      <w:r>
        <w:t>81</w:t>
      </w:r>
      <w:r w:rsidRPr="00F80B1F">
        <w:t xml:space="preserve"> through December 2000 for all water mains i</w:t>
      </w:r>
      <w:r>
        <w:t xml:space="preserve">n the water distribution system. </w:t>
      </w:r>
      <w:r w:rsidRPr="00F80B1F">
        <w:t xml:space="preserve">To estimate the average NDMA </w:t>
      </w:r>
      <w:r>
        <w:t xml:space="preserve">or TCE </w:t>
      </w:r>
      <w:r w:rsidRPr="00F80B1F">
        <w:t xml:space="preserve">concentration at a specific address for a specific month, the closest water supply </w:t>
      </w:r>
      <w:r>
        <w:t>main</w:t>
      </w:r>
      <w:r w:rsidRPr="00F80B1F">
        <w:t xml:space="preserve"> to that address was determined using ArcGIS software.</w:t>
      </w:r>
    </w:p>
    <w:p w14:paraId="01FF83CE" w14:textId="77777777" w:rsidR="0057723B" w:rsidRPr="00F80B1F" w:rsidRDefault="0057723B" w:rsidP="00FA486B">
      <w:r w:rsidRPr="00F80B1F">
        <w:t>All street addresses from the residential histories of cases and controls were geocoded using ESRI’s ArcMap software</w:t>
      </w:r>
      <w:r>
        <w:t xml:space="preserve"> (ESRI </w:t>
      </w:r>
      <w:r w:rsidRPr="00F80B1F">
        <w:t>v. 9.3.1</w:t>
      </w:r>
      <w:r>
        <w:t xml:space="preserve">). </w:t>
      </w:r>
      <w:r w:rsidRPr="00F80B1F">
        <w:t xml:space="preserve">The address locator </w:t>
      </w:r>
      <w:r>
        <w:t xml:space="preserve">used </w:t>
      </w:r>
      <w:r w:rsidRPr="00F80B1F">
        <w:t>was type ‘US Streets with Zone’, with the zone being an internal Massachusetts town code</w:t>
      </w:r>
      <w:r>
        <w:t xml:space="preserve"> and </w:t>
      </w:r>
      <w:r w:rsidRPr="00F80B1F">
        <w:t xml:space="preserve">Tele Atlas’ </w:t>
      </w:r>
      <w:proofErr w:type="spellStart"/>
      <w:r w:rsidRPr="00F80B1F">
        <w:t>Dynamap</w:t>
      </w:r>
      <w:proofErr w:type="spellEnd"/>
      <w:r w:rsidRPr="00F80B1F">
        <w:t xml:space="preserve"> product, January 2010 version</w:t>
      </w:r>
      <w:r>
        <w:t xml:space="preserve">, as the </w:t>
      </w:r>
      <w:r w:rsidRPr="00F80B1F">
        <w:t>reference data</w:t>
      </w:r>
      <w:r>
        <w:t xml:space="preserve">set. </w:t>
      </w:r>
      <w:r w:rsidRPr="00F80B1F">
        <w:t>The locator was set to accept only match scores of 100, tied candidates were not mapped, and a side offset of 10 meters was used</w:t>
      </w:r>
      <w:r>
        <w:t>. A</w:t>
      </w:r>
      <w:r w:rsidRPr="00F80B1F">
        <w:t xml:space="preserve">ddresses that did not map automatically (~5%) were manually mapped using publicly available resources </w:t>
      </w:r>
      <w:r>
        <w:t>including</w:t>
      </w:r>
      <w:r w:rsidRPr="00F80B1F">
        <w:t xml:space="preserve"> </w:t>
      </w:r>
      <w:r>
        <w:t xml:space="preserve">the </w:t>
      </w:r>
      <w:r w:rsidRPr="00F80B1F">
        <w:t>U</w:t>
      </w:r>
      <w:r>
        <w:t xml:space="preserve">nited </w:t>
      </w:r>
      <w:r w:rsidRPr="00F80B1F">
        <w:t>S</w:t>
      </w:r>
      <w:r>
        <w:t xml:space="preserve">tates </w:t>
      </w:r>
      <w:r w:rsidRPr="00F80B1F">
        <w:t>P</w:t>
      </w:r>
      <w:r>
        <w:t xml:space="preserve">ostal </w:t>
      </w:r>
      <w:r w:rsidRPr="00F80B1F">
        <w:t>S</w:t>
      </w:r>
      <w:r>
        <w:t xml:space="preserve">ervice website and </w:t>
      </w:r>
      <w:r w:rsidRPr="00F80B1F">
        <w:t>Google Maps</w:t>
      </w:r>
      <w:r>
        <w:t>. T</w:t>
      </w:r>
      <w:r w:rsidRPr="00F80B1F">
        <w:t>o ensure accuracy</w:t>
      </w:r>
      <w:r>
        <w:t xml:space="preserve">, manually mapped locations </w:t>
      </w:r>
      <w:r w:rsidRPr="00F80B1F">
        <w:t>were later adjusted as needed using assessor’s parcel data</w:t>
      </w:r>
      <w:r>
        <w:t xml:space="preserve"> </w:t>
      </w:r>
      <w:r w:rsidRPr="00F80B1F">
        <w:t xml:space="preserve">for Wilmington </w:t>
      </w:r>
      <w:r>
        <w:t>from</w:t>
      </w:r>
      <w:r w:rsidRPr="00F80B1F">
        <w:t xml:space="preserve"> </w:t>
      </w:r>
      <w:proofErr w:type="spellStart"/>
      <w:r w:rsidRPr="00F80B1F">
        <w:t>MassGIS</w:t>
      </w:r>
      <w:proofErr w:type="spellEnd"/>
      <w:r w:rsidRPr="00F80B1F">
        <w:t>.</w:t>
      </w:r>
    </w:p>
    <w:p w14:paraId="42702651" w14:textId="7CB9E0B8" w:rsidR="0057723B" w:rsidRPr="00F80B1F" w:rsidRDefault="0057723B" w:rsidP="00FA486B">
      <w:r w:rsidRPr="00F80B1F">
        <w:t xml:space="preserve">The Wilmington water main system was </w:t>
      </w:r>
      <w:r>
        <w:t xml:space="preserve">initially developed as a </w:t>
      </w:r>
      <w:r w:rsidRPr="00F80B1F">
        <w:t xml:space="preserve">digitized </w:t>
      </w:r>
      <w:r>
        <w:t xml:space="preserve">version of </w:t>
      </w:r>
      <w:r w:rsidRPr="00F80B1F">
        <w:t xml:space="preserve">the town’s </w:t>
      </w:r>
      <w:r w:rsidRPr="001028F9">
        <w:t>Water Works Facilities Master Plan</w:t>
      </w:r>
      <w:r w:rsidRPr="00F80B1F">
        <w:t xml:space="preserve"> (FST</w:t>
      </w:r>
      <w:r>
        <w:t xml:space="preserve"> </w:t>
      </w:r>
      <w:r w:rsidRPr="00F80B1F">
        <w:t>1988)</w:t>
      </w:r>
      <w:r>
        <w:t xml:space="preserve"> and was then updated with</w:t>
      </w:r>
      <w:r w:rsidRPr="00F80B1F">
        <w:t xml:space="preserve"> supplemental water main information provided by the Wilmington Water</w:t>
      </w:r>
      <w:r>
        <w:t xml:space="preserve"> and Sewer</w:t>
      </w:r>
      <w:r w:rsidRPr="00F80B1F">
        <w:t xml:space="preserve"> Department for subsequent years not covered by the </w:t>
      </w:r>
      <w:r>
        <w:t>1988 m</w:t>
      </w:r>
      <w:r w:rsidRPr="00F80B1F">
        <w:t>aster</w:t>
      </w:r>
      <w:r>
        <w:t xml:space="preserve"> p</w:t>
      </w:r>
      <w:r w:rsidRPr="00F80B1F">
        <w:t>lan</w:t>
      </w:r>
      <w:r>
        <w:t xml:space="preserve"> (see Appendix C for additional detail). Created as an ESRI shapefile, the water main system was linked to the g</w:t>
      </w:r>
      <w:r w:rsidRPr="00F80B1F">
        <w:t xml:space="preserve">eocoded street addresses </w:t>
      </w:r>
      <w:r>
        <w:t>u</w:t>
      </w:r>
      <w:r w:rsidRPr="00F80B1F">
        <w:t>sing the ‘Near’ tool</w:t>
      </w:r>
      <w:r>
        <w:t xml:space="preserve"> in </w:t>
      </w:r>
      <w:proofErr w:type="spellStart"/>
      <w:r>
        <w:t>ArcInfo</w:t>
      </w:r>
      <w:proofErr w:type="spellEnd"/>
      <w:r>
        <w:t xml:space="preserve">, which </w:t>
      </w:r>
      <w:r w:rsidRPr="00F80B1F">
        <w:t>generate</w:t>
      </w:r>
      <w:r>
        <w:t>d</w:t>
      </w:r>
      <w:r w:rsidRPr="00F80B1F">
        <w:t xml:space="preserve"> distances to nearby </w:t>
      </w:r>
      <w:r>
        <w:t>water supply main</w:t>
      </w:r>
      <w:r w:rsidRPr="00F80B1F">
        <w:t>s f</w:t>
      </w:r>
      <w:r>
        <w:t>or each residential address. E</w:t>
      </w:r>
      <w:r w:rsidRPr="00F80B1F">
        <w:t>ach residence</w:t>
      </w:r>
      <w:r>
        <w:t xml:space="preserve"> was then assigned the water supply main that was the shortest distance away. Lastly, a</w:t>
      </w:r>
      <w:r w:rsidRPr="00F80B1F">
        <w:t xml:space="preserve"> visual inspection was performed to verify that </w:t>
      </w:r>
      <w:r>
        <w:t>each</w:t>
      </w:r>
      <w:r w:rsidRPr="00F80B1F">
        <w:t xml:space="preserve"> residence </w:t>
      </w:r>
      <w:r>
        <w:t>was</w:t>
      </w:r>
      <w:r w:rsidRPr="00F80B1F">
        <w:t xml:space="preserve"> assigned the proper </w:t>
      </w:r>
      <w:r>
        <w:t>water main</w:t>
      </w:r>
      <w:r w:rsidRPr="00F80B1F">
        <w:t xml:space="preserve">, </w:t>
      </w:r>
      <w:r>
        <w:t>and corrections were made as needed.</w:t>
      </w:r>
      <w:r w:rsidR="00EC7EE3">
        <w:t xml:space="preserve"> All geocoding and water main assignments, including manual adjustments, were conducted by staff who were blinded </w:t>
      </w:r>
      <w:r w:rsidR="004F079D">
        <w:t xml:space="preserve">as </w:t>
      </w:r>
      <w:r w:rsidR="00EC7EE3">
        <w:t xml:space="preserve">to the case/control </w:t>
      </w:r>
      <w:r w:rsidR="004F079D">
        <w:t>affiliation</w:t>
      </w:r>
      <w:r w:rsidR="00EC7EE3">
        <w:t xml:space="preserve"> of the addresses.</w:t>
      </w:r>
    </w:p>
    <w:p w14:paraId="637AB8E8" w14:textId="77777777" w:rsidR="0057723B" w:rsidRPr="00F80B1F" w:rsidRDefault="0057723B" w:rsidP="0010161F">
      <w:pPr>
        <w:pStyle w:val="Heading3"/>
      </w:pPr>
      <w:r>
        <w:t>Missing Exposure Data</w:t>
      </w:r>
    </w:p>
    <w:p w14:paraId="7614980F" w14:textId="77777777" w:rsidR="0057723B" w:rsidRPr="00F80B1F" w:rsidRDefault="0057723B" w:rsidP="00FA486B">
      <w:r>
        <w:t>Many study mothers moved to Wilmington only after their child was born,</w:t>
      </w:r>
      <w:r w:rsidRPr="00F80B1F">
        <w:t xml:space="preserve"> </w:t>
      </w:r>
      <w:r>
        <w:t>and a</w:t>
      </w:r>
      <w:r w:rsidRPr="00F80B1F">
        <w:t xml:space="preserve"> number of participants moved in and out of the town of Wilmington during childhood</w:t>
      </w:r>
      <w:r>
        <w:t xml:space="preserve">. </w:t>
      </w:r>
      <w:r w:rsidRPr="00F80B1F">
        <w:t xml:space="preserve">It was assumed that no exposure to NDMA </w:t>
      </w:r>
      <w:r>
        <w:t xml:space="preserve">or TCE </w:t>
      </w:r>
      <w:r w:rsidRPr="00F80B1F">
        <w:t>was experienced during mont</w:t>
      </w:r>
      <w:r>
        <w:t xml:space="preserve">hs lived outside of Wilmington. </w:t>
      </w:r>
    </w:p>
    <w:p w14:paraId="0F1A7A5A" w14:textId="098D44A9" w:rsidR="0057723B" w:rsidRDefault="0057723B" w:rsidP="00FA486B">
      <w:r w:rsidRPr="00F80B1F">
        <w:lastRenderedPageBreak/>
        <w:t xml:space="preserve">Some </w:t>
      </w:r>
      <w:r>
        <w:t>study residences</w:t>
      </w:r>
      <w:r w:rsidRPr="00F80B1F">
        <w:t xml:space="preserve"> were not connected to the Wilmington public </w:t>
      </w:r>
      <w:r>
        <w:t>drinking water system and used a private well for drinking water. I</w:t>
      </w:r>
      <w:r w:rsidRPr="00F80B1F">
        <w:t xml:space="preserve">nterview </w:t>
      </w:r>
      <w:r>
        <w:t>responses regarding</w:t>
      </w:r>
      <w:r w:rsidRPr="00F80B1F">
        <w:t xml:space="preserve"> home drinking water source</w:t>
      </w:r>
      <w:r>
        <w:t xml:space="preserve"> were used to identify private well use, and</w:t>
      </w:r>
      <w:r w:rsidRPr="00F80B1F">
        <w:t xml:space="preserve"> the Wilmington Water</w:t>
      </w:r>
      <w:r>
        <w:t xml:space="preserve"> and Sewer</w:t>
      </w:r>
      <w:r w:rsidRPr="00F80B1F">
        <w:t xml:space="preserve"> </w:t>
      </w:r>
      <w:r>
        <w:t>Division c</w:t>
      </w:r>
      <w:r w:rsidRPr="00F80B1F">
        <w:t>onfirm</w:t>
      </w:r>
      <w:r>
        <w:t xml:space="preserve">ed the lack of connection to town water for each location during the period reported. There were 10 study participants whose home drinking water came from </w:t>
      </w:r>
      <w:r w:rsidRPr="00F80B1F">
        <w:t xml:space="preserve">a private well for </w:t>
      </w:r>
      <w:r>
        <w:t xml:space="preserve">at least one month during either the maternal or childhood exposure periods. To assess the </w:t>
      </w:r>
      <w:r w:rsidRPr="00F80B1F">
        <w:t>potential for direct contaminat</w:t>
      </w:r>
      <w:r>
        <w:t xml:space="preserve">ion of the private wells by NDMA, MDPH used results of </w:t>
      </w:r>
      <w:r w:rsidRPr="0053162D">
        <w:t xml:space="preserve">historical well monitoring done by Olin </w:t>
      </w:r>
      <w:r>
        <w:t xml:space="preserve">Corporation </w:t>
      </w:r>
      <w:r w:rsidRPr="0053162D">
        <w:t xml:space="preserve">from 1990 to 2005 </w:t>
      </w:r>
      <w:r>
        <w:t>and those of private well sampling offered by EPA starting in 2008 along with a map of the approximate limit of groundwater impacts outline</w:t>
      </w:r>
      <w:r w:rsidR="00772334">
        <w:t xml:space="preserve">d by US EPA using data from MACTEC’s </w:t>
      </w:r>
      <w:r>
        <w:t>Draft Focused Remedial Investigation Repor</w:t>
      </w:r>
      <w:r w:rsidR="00772334">
        <w:t>t (MACTEC 2007)</w:t>
      </w:r>
      <w:r>
        <w:t>. None of the addresses were within the NDMA impact area and sampling results indicated that the NDMA plume had not reached as far south and west as even the closest addresses to the vicinity of groundwater impacts. Therefore, n</w:t>
      </w:r>
      <w:r w:rsidRPr="00F80B1F">
        <w:t>o study participants were determined to have the opportunity for exposure to ND</w:t>
      </w:r>
      <w:r>
        <w:t>MA through their private well.</w:t>
      </w:r>
      <w:r w:rsidR="001767E8">
        <w:t xml:space="preserve"> </w:t>
      </w:r>
    </w:p>
    <w:p w14:paraId="05D48EC3" w14:textId="3A8985A2" w:rsidR="0057723B" w:rsidRDefault="00612BF3" w:rsidP="00FA486B">
      <w:r>
        <w:t>N</w:t>
      </w:r>
      <w:r w:rsidR="0057723B">
        <w:t>o assumption</w:t>
      </w:r>
      <w:r>
        <w:t>s</w:t>
      </w:r>
      <w:r w:rsidR="0057723B">
        <w:t xml:space="preserve"> could be made for potential exposure to TCE through private well water because the source of TCE contamination was unknown and, therefore, no groundwater modeling was possible. Similarly, a number of participants lived in Wilmington during the period when TCE was known to be present in the town’s water distribution system, but prior to the time when TCE measurement data was available. For these reasons, a number of study participants were excluded from the TCE portion of analysis. Fifteen (15) children had missing maternal period exposure data and 24 had missing childhood period exposure data. Due to the matched study design, the exclusion of these participants forced the exclusion of additional matched controls and, sometimes, matched cases. In total, 19 children were excluded from the TCE analysis for the maternal exposure period and 34 children were excluded from the TCE analysis for the childhood exposure period. Two children with only one month of missing data were not excluded. One child was missing only 1 month of childhood period TCE data for the time before TCE estimates were available, and this was followed by many months of estimated TCE concentrations of 0 µg/L. This child’s missing month of data was set to a concentration of 0. Another child was missing only 1 month of maternal period TCE data due to the use of a private well in 1997 during the month before the child’s birth. This child’s missing month of data was also set to a concentration of </w:t>
      </w:r>
      <w:r w:rsidR="00FA486B">
        <w:t>0</w:t>
      </w:r>
      <w:r w:rsidR="0057723B">
        <w:t>.</w:t>
      </w:r>
    </w:p>
    <w:p w14:paraId="46758DEE" w14:textId="77777777" w:rsidR="0057723B" w:rsidRPr="00F80B1F" w:rsidRDefault="0057723B" w:rsidP="009B5DA2">
      <w:pPr>
        <w:pStyle w:val="Heading2"/>
      </w:pPr>
      <w:bookmarkStart w:id="84" w:name="_Toc67488281"/>
      <w:r w:rsidRPr="00F80B1F">
        <w:t>STATISTICAL ANALYSES</w:t>
      </w:r>
      <w:bookmarkEnd w:id="84"/>
    </w:p>
    <w:p w14:paraId="26D2BB0E" w14:textId="33149174" w:rsidR="0057723B" w:rsidRDefault="0057723B" w:rsidP="00FA486B">
      <w:r w:rsidRPr="00F80B1F">
        <w:t xml:space="preserve">All data were collected as dichotomous (e.g., yes/no) or categories of responses (e.g., 0 years/1-5 years/ 6-10 years), except for the </w:t>
      </w:r>
      <w:r w:rsidR="004F079D">
        <w:t xml:space="preserve">monthly </w:t>
      </w:r>
      <w:r w:rsidRPr="00F80B1F">
        <w:t xml:space="preserve">modeled water </w:t>
      </w:r>
      <w:r>
        <w:t xml:space="preserve">contaminant </w:t>
      </w:r>
      <w:r>
        <w:lastRenderedPageBreak/>
        <w:t>concentration data,</w:t>
      </w:r>
      <w:r w:rsidRPr="00F80B1F">
        <w:t xml:space="preserve"> which w</w:t>
      </w:r>
      <w:r w:rsidR="000316D9">
        <w:t>ere</w:t>
      </w:r>
      <w:r w:rsidRPr="00F80B1F">
        <w:t xml:space="preserve"> provided on a continuous scale</w:t>
      </w:r>
      <w:r>
        <w:t xml:space="preserve">. </w:t>
      </w:r>
      <w:r w:rsidRPr="00F80B1F">
        <w:t>Analyses included simple descriptive (i.e., numbers used to describe or summarize a variable) and inferential statistics (numbers used to test a hypothesis) using univariate (one variable described, like the number of females</w:t>
      </w:r>
      <w:r>
        <w:t xml:space="preserve"> and males</w:t>
      </w:r>
      <w:r w:rsidRPr="00F80B1F">
        <w:t xml:space="preserve">), bivariate (two variables compared, like </w:t>
      </w:r>
      <w:r>
        <w:t>low birth weight and case/control status</w:t>
      </w:r>
      <w:r w:rsidRPr="00F80B1F">
        <w:t>), and multivariate methods to evaluate the association between childhood cancer</w:t>
      </w:r>
      <w:r>
        <w:t xml:space="preserve"> and various risk factors, including potential exposure to</w:t>
      </w:r>
      <w:r w:rsidRPr="00F80B1F">
        <w:t xml:space="preserve"> NDMA </w:t>
      </w:r>
      <w:r>
        <w:t>or TCE in drinking water</w:t>
      </w:r>
      <w:r w:rsidRPr="00F80B1F">
        <w:t xml:space="preserve">. </w:t>
      </w:r>
      <w:r>
        <w:t xml:space="preserve">All analyses were conducted and presented for the total study population, called the All Cancers group, and for the Leukemia/Lymphoma subgroup, comprised of all the leukemia and lymphoma cases and their matched controls. </w:t>
      </w:r>
      <w:r w:rsidR="00EF322A">
        <w:t>The leukemia and lymphoma</w:t>
      </w:r>
      <w:r w:rsidR="00EF322A" w:rsidRPr="00F80B1F">
        <w:t xml:space="preserve"> </w:t>
      </w:r>
      <w:r w:rsidR="00EF322A">
        <w:t>cases</w:t>
      </w:r>
      <w:r w:rsidR="00EF322A" w:rsidRPr="00F80B1F">
        <w:t xml:space="preserve"> </w:t>
      </w:r>
      <w:r w:rsidR="00EF322A">
        <w:t xml:space="preserve">were analyzed together because there is some evidence that </w:t>
      </w:r>
      <w:r w:rsidR="00EF322A" w:rsidRPr="00F80B1F">
        <w:t>these ca</w:t>
      </w:r>
      <w:r w:rsidR="00EF322A">
        <w:t>ncer types</w:t>
      </w:r>
      <w:r w:rsidR="00EF322A" w:rsidRPr="00F80B1F">
        <w:t xml:space="preserve"> may </w:t>
      </w:r>
      <w:r w:rsidR="00EF322A">
        <w:t>share a more similar</w:t>
      </w:r>
      <w:r w:rsidR="00EF322A" w:rsidRPr="00F80B1F">
        <w:t xml:space="preserve"> etiology compared to all types of cancer combined.</w:t>
      </w:r>
    </w:p>
    <w:p w14:paraId="7D5EC885" w14:textId="4C6ECC3C" w:rsidR="0057723B" w:rsidRPr="00F80B1F" w:rsidRDefault="0057723B" w:rsidP="00FA486B">
      <w:r w:rsidRPr="00F80B1F">
        <w:t xml:space="preserve">Statistical analyses were performed using SAS statistical software </w:t>
      </w:r>
      <w:r w:rsidR="00583BCF">
        <w:t xml:space="preserve">version 9.3 </w:t>
      </w:r>
      <w:r w:rsidRPr="00F80B1F">
        <w:t xml:space="preserve">(SAS </w:t>
      </w:r>
      <w:r w:rsidR="00583BCF">
        <w:t>2010</w:t>
      </w:r>
      <w:r w:rsidRPr="00F80B1F">
        <w:t>)</w:t>
      </w:r>
      <w:r>
        <w:t xml:space="preserve">. </w:t>
      </w:r>
      <w:r w:rsidRPr="00F80B1F">
        <w:t>A matched case-control design was selected in order to increase statistical efficiency (i.e., stability of the odds ratios) due to the relatively small number of cases</w:t>
      </w:r>
      <w:r>
        <w:t xml:space="preserve">. </w:t>
      </w:r>
      <w:r w:rsidRPr="00F80B1F">
        <w:t>Multiple controls were selected for each case to further increase efficiency (</w:t>
      </w:r>
      <w:proofErr w:type="spellStart"/>
      <w:r w:rsidRPr="00F80B1F">
        <w:t>Schlesselman</w:t>
      </w:r>
      <w:proofErr w:type="spellEnd"/>
      <w:r w:rsidRPr="00F80B1F">
        <w:t xml:space="preserve"> 1982; Miettinen 1969)</w:t>
      </w:r>
      <w:r>
        <w:t xml:space="preserve">. </w:t>
      </w:r>
    </w:p>
    <w:p w14:paraId="5DD4785C" w14:textId="77777777" w:rsidR="006F782D" w:rsidRDefault="006F782D" w:rsidP="0010161F">
      <w:pPr>
        <w:pStyle w:val="Heading3"/>
      </w:pPr>
      <w:r w:rsidRPr="00F80B1F">
        <w:t>N</w:t>
      </w:r>
      <w:r>
        <w:t>DMA</w:t>
      </w:r>
      <w:r w:rsidRPr="00F80B1F">
        <w:t xml:space="preserve"> </w:t>
      </w:r>
      <w:r>
        <w:t>and TCE Exp</w:t>
      </w:r>
      <w:r w:rsidRPr="00F80B1F">
        <w:t>o</w:t>
      </w:r>
      <w:r>
        <w:t>s</w:t>
      </w:r>
      <w:r w:rsidRPr="00F80B1F">
        <w:t xml:space="preserve">ure </w:t>
      </w:r>
      <w:r w:rsidR="0036157A">
        <w:t>Metrics</w:t>
      </w:r>
    </w:p>
    <w:p w14:paraId="55E044A0" w14:textId="72A5BF6E" w:rsidR="00154732" w:rsidRDefault="006F782D" w:rsidP="00FA486B">
      <w:r>
        <w:t>Modeled concentrations of NDMA and TCE in drinking water mains at residential addresses were used as a surrogate for potential exposure. T</w:t>
      </w:r>
      <w:r w:rsidRPr="000E6044">
        <w:t xml:space="preserve">he estimated </w:t>
      </w:r>
      <w:r>
        <w:t xml:space="preserve">average of all non-zero </w:t>
      </w:r>
      <w:r w:rsidRPr="000E6044">
        <w:t>monthly concentration</w:t>
      </w:r>
      <w:r>
        <w:t>s</w:t>
      </w:r>
      <w:r w:rsidRPr="000E6044">
        <w:t xml:space="preserve"> of NDMA was used as the measure of exposure to NDMA</w:t>
      </w:r>
      <w:r>
        <w:t>. T</w:t>
      </w:r>
      <w:r w:rsidRPr="000E6044">
        <w:t xml:space="preserve">he estimated </w:t>
      </w:r>
      <w:r>
        <w:t xml:space="preserve">average of all non-zero </w:t>
      </w:r>
      <w:r w:rsidRPr="000E6044">
        <w:t>monthly concentration</w:t>
      </w:r>
      <w:r>
        <w:t>s</w:t>
      </w:r>
      <w:r w:rsidRPr="000E6044">
        <w:t xml:space="preserve"> of</w:t>
      </w:r>
      <w:r>
        <w:t xml:space="preserve"> TCE</w:t>
      </w:r>
      <w:r w:rsidRPr="000E6044">
        <w:t xml:space="preserve"> was used as</w:t>
      </w:r>
      <w:r>
        <w:t xml:space="preserve"> the measure of exposure to TCE. </w:t>
      </w:r>
      <w:r w:rsidR="00301CC8">
        <w:fldChar w:fldCharType="begin"/>
      </w:r>
      <w:r w:rsidR="00301CC8">
        <w:instrText xml:space="preserve"> REF  Table4 \h </w:instrText>
      </w:r>
      <w:r w:rsidR="00FA486B">
        <w:instrText xml:space="preserve"> \* MERGEFORMAT </w:instrText>
      </w:r>
      <w:r w:rsidR="00301CC8">
        <w:fldChar w:fldCharType="separate"/>
      </w:r>
      <w:r w:rsidR="00977423" w:rsidRPr="00E96633">
        <w:t xml:space="preserve">Table </w:t>
      </w:r>
      <w:r w:rsidR="00977423">
        <w:rPr>
          <w:noProof/>
        </w:rPr>
        <w:t>4</w:t>
      </w:r>
      <w:r w:rsidR="00301CC8">
        <w:fldChar w:fldCharType="end"/>
      </w:r>
      <w:r>
        <w:t xml:space="preserve"> provides details of these exposure metrics.</w:t>
      </w:r>
    </w:p>
    <w:p w14:paraId="2EABDC56" w14:textId="714FA98F" w:rsidR="00E35A60" w:rsidRDefault="009D5F79" w:rsidP="00FA486B">
      <w:r>
        <w:t xml:space="preserve"> </w:t>
      </w:r>
      <w:r w:rsidR="00154732">
        <w:t>An alternative exposure metric was explored in which a</w:t>
      </w:r>
      <w:r>
        <w:t>ll months of NDMA or TCE concentration estimates</w:t>
      </w:r>
      <w:r w:rsidR="00154732">
        <w:t xml:space="preserve"> were averaged, </w:t>
      </w:r>
      <w:r>
        <w:t>including months estimated as zero</w:t>
      </w:r>
      <w:r w:rsidR="00154732">
        <w:t xml:space="preserve">. The zero-inclusive </w:t>
      </w:r>
      <w:r>
        <w:t xml:space="preserve">metrics </w:t>
      </w:r>
      <w:r w:rsidR="00154732">
        <w:t>w</w:t>
      </w:r>
      <w:r>
        <w:t xml:space="preserve">ere highly correlated with those used and described in </w:t>
      </w:r>
      <w:r w:rsidR="00A13DBD">
        <w:fldChar w:fldCharType="begin"/>
      </w:r>
      <w:r w:rsidR="00A13DBD">
        <w:instrText xml:space="preserve"> REF  Table4 \h </w:instrText>
      </w:r>
      <w:r w:rsidR="0040594E">
        <w:instrText xml:space="preserve"> \* MERGEFORMAT </w:instrText>
      </w:r>
      <w:r w:rsidR="00A13DBD">
        <w:fldChar w:fldCharType="separate"/>
      </w:r>
      <w:r w:rsidR="00977423" w:rsidRPr="00E96633">
        <w:t xml:space="preserve">Table </w:t>
      </w:r>
      <w:r w:rsidR="00977423">
        <w:rPr>
          <w:noProof/>
        </w:rPr>
        <w:t>4</w:t>
      </w:r>
      <w:r w:rsidR="00A13DBD">
        <w:fldChar w:fldCharType="end"/>
      </w:r>
      <w:r w:rsidR="007438E5">
        <w:t>(Pearson correlation coefficient (r) = 0.99 and 0.88 for maternal and childhood exposures, respectively)</w:t>
      </w:r>
      <w:r>
        <w:t xml:space="preserve">. </w:t>
      </w:r>
      <w:r w:rsidR="00154732">
        <w:t>The</w:t>
      </w:r>
      <w:r w:rsidR="007438E5">
        <w:t xml:space="preserve"> </w:t>
      </w:r>
      <w:r w:rsidR="00154732">
        <w:t>metric</w:t>
      </w:r>
      <w:r>
        <w:t xml:space="preserve"> selected </w:t>
      </w:r>
      <w:r w:rsidR="00154732">
        <w:t xml:space="preserve">was chosen </w:t>
      </w:r>
      <w:r>
        <w:t>as it best describes the actual concentrations to which study participants were likely exposed</w:t>
      </w:r>
      <w:r w:rsidR="00154732">
        <w:t xml:space="preserve">. While it does not account for duration of exposure within the metric itself, </w:t>
      </w:r>
      <w:r>
        <w:t xml:space="preserve">duration </w:t>
      </w:r>
      <w:r w:rsidR="00036165">
        <w:t>was</w:t>
      </w:r>
      <w:r w:rsidR="00154732">
        <w:t xml:space="preserve"> also evaluated and included in</w:t>
      </w:r>
      <w:r>
        <w:t xml:space="preserve"> exposure-outcome models.</w:t>
      </w:r>
    </w:p>
    <w:p w14:paraId="491775B4" w14:textId="29BEC076" w:rsidR="00FA486B" w:rsidRDefault="00FA486B" w:rsidP="00FA486B"/>
    <w:p w14:paraId="15EA2FE8" w14:textId="77777777" w:rsidR="00FA486B" w:rsidRPr="00C374C1" w:rsidRDefault="00FA486B" w:rsidP="00FA486B"/>
    <w:p w14:paraId="7C1AA012" w14:textId="287D027D" w:rsidR="006F782D" w:rsidRPr="00E96633" w:rsidRDefault="006F782D" w:rsidP="0040594E">
      <w:pPr>
        <w:pStyle w:val="Caption"/>
        <w:keepNext/>
      </w:pPr>
      <w:bookmarkStart w:id="85" w:name="_Ref12008895"/>
      <w:bookmarkStart w:id="86" w:name="Table4"/>
      <w:bookmarkStart w:id="87" w:name="_Toc12012869"/>
      <w:bookmarkStart w:id="88" w:name="_Toc12013063"/>
      <w:bookmarkStart w:id="89" w:name="_Toc45714883"/>
      <w:r w:rsidRPr="00E96633">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4</w:t>
      </w:r>
      <w:r w:rsidR="00D616DB">
        <w:rPr>
          <w:noProof/>
        </w:rPr>
        <w:fldChar w:fldCharType="end"/>
      </w:r>
      <w:bookmarkEnd w:id="85"/>
      <w:bookmarkEnd w:id="86"/>
      <w:r>
        <w:t xml:space="preserve">. </w:t>
      </w:r>
      <w:r w:rsidRPr="00E96633">
        <w:t xml:space="preserve">NDMA </w:t>
      </w:r>
      <w:r>
        <w:t xml:space="preserve">and TCE </w:t>
      </w:r>
      <w:r w:rsidRPr="00E96633">
        <w:t xml:space="preserve">Exposure </w:t>
      </w:r>
      <w:r w:rsidR="0036157A">
        <w:t>Metrics</w:t>
      </w:r>
      <w:r w:rsidRPr="00E96633">
        <w:t xml:space="preserve"> </w:t>
      </w:r>
      <w:bookmarkEnd w:id="87"/>
      <w:bookmarkEnd w:id="88"/>
      <w:r>
        <w:t>Used for Data Analysis</w:t>
      </w:r>
      <w:bookmarkEnd w:id="89"/>
    </w:p>
    <w:tbl>
      <w:tblPr>
        <w:tblW w:w="9198" w:type="dxa"/>
        <w:tblLook w:val="04A0" w:firstRow="1" w:lastRow="0" w:firstColumn="1" w:lastColumn="0" w:noHBand="0" w:noVBand="1"/>
      </w:tblPr>
      <w:tblGrid>
        <w:gridCol w:w="2538"/>
        <w:gridCol w:w="3870"/>
        <w:gridCol w:w="2790"/>
      </w:tblGrid>
      <w:tr w:rsidR="006F782D" w:rsidRPr="00C11E9E" w14:paraId="759934DC" w14:textId="77777777" w:rsidTr="00705398">
        <w:tc>
          <w:tcPr>
            <w:tcW w:w="2538" w:type="dxa"/>
            <w:tcBorders>
              <w:bottom w:val="single" w:sz="4" w:space="0" w:color="auto"/>
            </w:tcBorders>
            <w:shd w:val="clear" w:color="auto" w:fill="D9D9D9" w:themeFill="background1" w:themeFillShade="D9"/>
          </w:tcPr>
          <w:p w14:paraId="247BDF2E" w14:textId="77777777" w:rsidR="006F782D" w:rsidRPr="00AC4DB0" w:rsidRDefault="006F782D" w:rsidP="006312FD">
            <w:pPr>
              <w:pStyle w:val="Tableheaders"/>
            </w:pPr>
            <w:r w:rsidRPr="00AC4DB0">
              <w:t xml:space="preserve">Exposure </w:t>
            </w:r>
            <w:r w:rsidR="0036157A">
              <w:t>Metric</w:t>
            </w:r>
          </w:p>
        </w:tc>
        <w:tc>
          <w:tcPr>
            <w:tcW w:w="3870" w:type="dxa"/>
            <w:tcBorders>
              <w:bottom w:val="single" w:sz="4" w:space="0" w:color="auto"/>
            </w:tcBorders>
            <w:shd w:val="clear" w:color="auto" w:fill="auto"/>
          </w:tcPr>
          <w:p w14:paraId="3F2DBF4D" w14:textId="77777777" w:rsidR="006F782D" w:rsidRPr="00AC4DB0" w:rsidRDefault="006F782D" w:rsidP="006312FD">
            <w:pPr>
              <w:pStyle w:val="Tableheaders"/>
            </w:pPr>
            <w:r w:rsidRPr="00AC4DB0">
              <w:t>Description</w:t>
            </w:r>
          </w:p>
        </w:tc>
        <w:tc>
          <w:tcPr>
            <w:tcW w:w="2790" w:type="dxa"/>
            <w:tcBorders>
              <w:bottom w:val="single" w:sz="4" w:space="0" w:color="auto"/>
            </w:tcBorders>
            <w:shd w:val="clear" w:color="auto" w:fill="D9D9D9" w:themeFill="background1" w:themeFillShade="D9"/>
          </w:tcPr>
          <w:p w14:paraId="5910D3C6" w14:textId="77777777" w:rsidR="006F782D" w:rsidRPr="00AC4DB0" w:rsidRDefault="006F782D" w:rsidP="006312FD">
            <w:pPr>
              <w:pStyle w:val="Tableheaders"/>
            </w:pPr>
            <w:r w:rsidRPr="00AC4DB0">
              <w:t>Time Period Definition</w:t>
            </w:r>
          </w:p>
        </w:tc>
      </w:tr>
      <w:tr w:rsidR="006F782D" w:rsidRPr="00C11E9E" w14:paraId="5EECCE29" w14:textId="77777777" w:rsidTr="00705398">
        <w:tc>
          <w:tcPr>
            <w:tcW w:w="2538" w:type="dxa"/>
            <w:tcBorders>
              <w:top w:val="single" w:sz="4" w:space="0" w:color="auto"/>
              <w:bottom w:val="single" w:sz="4" w:space="0" w:color="auto"/>
            </w:tcBorders>
            <w:shd w:val="clear" w:color="auto" w:fill="D9D9D9" w:themeFill="background1" w:themeFillShade="D9"/>
          </w:tcPr>
          <w:p w14:paraId="118DC546" w14:textId="6443ADAF" w:rsidR="006F782D" w:rsidRPr="009D5864" w:rsidRDefault="000316D9" w:rsidP="0040594E">
            <w:pPr>
              <w:pStyle w:val="Tablebody"/>
              <w:rPr>
                <w:sz w:val="24"/>
                <w:szCs w:val="24"/>
              </w:rPr>
            </w:pPr>
            <w:r w:rsidRPr="009D5864">
              <w:rPr>
                <w:sz w:val="24"/>
                <w:szCs w:val="24"/>
              </w:rPr>
              <w:t xml:space="preserve">Maternal </w:t>
            </w:r>
            <w:r w:rsidR="006F782D" w:rsidRPr="009D5864">
              <w:rPr>
                <w:sz w:val="24"/>
                <w:szCs w:val="24"/>
              </w:rPr>
              <w:t>average concentration</w:t>
            </w:r>
          </w:p>
        </w:tc>
        <w:tc>
          <w:tcPr>
            <w:tcW w:w="3870" w:type="dxa"/>
            <w:tcBorders>
              <w:top w:val="single" w:sz="4" w:space="0" w:color="auto"/>
              <w:bottom w:val="single" w:sz="4" w:space="0" w:color="auto"/>
            </w:tcBorders>
            <w:shd w:val="clear" w:color="auto" w:fill="auto"/>
          </w:tcPr>
          <w:p w14:paraId="06D5D0E5" w14:textId="77777777" w:rsidR="006F782D" w:rsidRPr="009D5864" w:rsidRDefault="006F782D" w:rsidP="0040594E">
            <w:pPr>
              <w:pStyle w:val="Tablebody"/>
              <w:rPr>
                <w:sz w:val="24"/>
                <w:szCs w:val="24"/>
              </w:rPr>
            </w:pPr>
            <w:r w:rsidRPr="009D5864">
              <w:rPr>
                <w:sz w:val="24"/>
                <w:szCs w:val="24"/>
              </w:rPr>
              <w:t>Average of all non-zero monthly concentration values estimated in residential drinking water</w:t>
            </w:r>
          </w:p>
        </w:tc>
        <w:tc>
          <w:tcPr>
            <w:tcW w:w="2790" w:type="dxa"/>
            <w:tcBorders>
              <w:top w:val="single" w:sz="4" w:space="0" w:color="auto"/>
              <w:bottom w:val="single" w:sz="4" w:space="0" w:color="auto"/>
            </w:tcBorders>
            <w:shd w:val="clear" w:color="auto" w:fill="D9D9D9" w:themeFill="background1" w:themeFillShade="D9"/>
          </w:tcPr>
          <w:p w14:paraId="53BB9916" w14:textId="77777777" w:rsidR="006F782D" w:rsidRPr="009D5864" w:rsidRDefault="006F782D" w:rsidP="0040594E">
            <w:pPr>
              <w:pStyle w:val="Tablebody"/>
              <w:rPr>
                <w:sz w:val="24"/>
                <w:szCs w:val="24"/>
              </w:rPr>
            </w:pPr>
            <w:r w:rsidRPr="009D5864">
              <w:rPr>
                <w:sz w:val="24"/>
                <w:szCs w:val="24"/>
              </w:rPr>
              <w:t>12 months prior to the child’s birth month</w:t>
            </w:r>
          </w:p>
        </w:tc>
      </w:tr>
      <w:tr w:rsidR="006F782D" w:rsidRPr="00C11E9E" w14:paraId="208EC623" w14:textId="77777777" w:rsidTr="00705398">
        <w:tc>
          <w:tcPr>
            <w:tcW w:w="2538" w:type="dxa"/>
            <w:tcBorders>
              <w:top w:val="single" w:sz="4" w:space="0" w:color="auto"/>
              <w:bottom w:val="single" w:sz="4" w:space="0" w:color="auto"/>
            </w:tcBorders>
            <w:shd w:val="clear" w:color="auto" w:fill="D9D9D9" w:themeFill="background1" w:themeFillShade="D9"/>
          </w:tcPr>
          <w:p w14:paraId="3DADEDAF" w14:textId="136AF69B" w:rsidR="006F782D" w:rsidRPr="009D5864" w:rsidRDefault="000316D9" w:rsidP="0040594E">
            <w:pPr>
              <w:pStyle w:val="Tablebody"/>
              <w:rPr>
                <w:sz w:val="24"/>
                <w:szCs w:val="24"/>
              </w:rPr>
            </w:pPr>
            <w:r w:rsidRPr="009D5864">
              <w:rPr>
                <w:sz w:val="24"/>
                <w:szCs w:val="24"/>
              </w:rPr>
              <w:t>C</w:t>
            </w:r>
            <w:r w:rsidR="006F782D" w:rsidRPr="009D5864">
              <w:rPr>
                <w:sz w:val="24"/>
                <w:szCs w:val="24"/>
              </w:rPr>
              <w:t>hildhood average concentration</w:t>
            </w:r>
          </w:p>
          <w:p w14:paraId="548436E7" w14:textId="77777777" w:rsidR="006F782D" w:rsidRPr="009D5864" w:rsidRDefault="006F782D" w:rsidP="0040594E">
            <w:pPr>
              <w:pStyle w:val="Tablebody"/>
              <w:rPr>
                <w:sz w:val="24"/>
                <w:szCs w:val="24"/>
              </w:rPr>
            </w:pPr>
          </w:p>
        </w:tc>
        <w:tc>
          <w:tcPr>
            <w:tcW w:w="3870" w:type="dxa"/>
            <w:tcBorders>
              <w:top w:val="single" w:sz="4" w:space="0" w:color="auto"/>
              <w:bottom w:val="single" w:sz="4" w:space="0" w:color="auto"/>
            </w:tcBorders>
            <w:shd w:val="clear" w:color="auto" w:fill="auto"/>
          </w:tcPr>
          <w:p w14:paraId="6F3B1E12" w14:textId="77777777" w:rsidR="006F782D" w:rsidRPr="009D5864" w:rsidRDefault="006F782D" w:rsidP="0040594E">
            <w:pPr>
              <w:pStyle w:val="Tablebody"/>
              <w:rPr>
                <w:sz w:val="24"/>
                <w:szCs w:val="24"/>
              </w:rPr>
            </w:pPr>
            <w:r w:rsidRPr="009D5864">
              <w:rPr>
                <w:sz w:val="24"/>
                <w:szCs w:val="24"/>
              </w:rPr>
              <w:t>Average of all non-zero monthly concentration values estimated in residential drinking water</w:t>
            </w:r>
          </w:p>
        </w:tc>
        <w:tc>
          <w:tcPr>
            <w:tcW w:w="2790" w:type="dxa"/>
            <w:tcBorders>
              <w:top w:val="single" w:sz="4" w:space="0" w:color="auto"/>
              <w:bottom w:val="single" w:sz="4" w:space="0" w:color="auto"/>
            </w:tcBorders>
            <w:shd w:val="clear" w:color="auto" w:fill="D9D9D9" w:themeFill="background1" w:themeFillShade="D9"/>
          </w:tcPr>
          <w:p w14:paraId="49FD96CB" w14:textId="77777777" w:rsidR="006F782D" w:rsidRPr="009D5864" w:rsidRDefault="006F782D" w:rsidP="0040594E">
            <w:pPr>
              <w:pStyle w:val="Tablebody"/>
              <w:rPr>
                <w:sz w:val="24"/>
                <w:szCs w:val="24"/>
              </w:rPr>
            </w:pPr>
            <w:r w:rsidRPr="009D5864">
              <w:rPr>
                <w:sz w:val="24"/>
                <w:szCs w:val="24"/>
              </w:rPr>
              <w:t>child’s month of birth to the month of diagnosis (cases) or reference date (controls)</w:t>
            </w:r>
          </w:p>
        </w:tc>
      </w:tr>
    </w:tbl>
    <w:p w14:paraId="2053DEC5" w14:textId="77777777" w:rsidR="006F782D" w:rsidRDefault="006F782D" w:rsidP="0040594E">
      <w:pPr>
        <w:pStyle w:val="NoSpacing"/>
      </w:pPr>
    </w:p>
    <w:p w14:paraId="1641BB9E" w14:textId="72115C04" w:rsidR="005330DE" w:rsidRPr="005330DE" w:rsidRDefault="006F782D" w:rsidP="005330DE">
      <w:r w:rsidRPr="00F80B1F">
        <w:t xml:space="preserve">Analyses of NDMA </w:t>
      </w:r>
      <w:r>
        <w:t xml:space="preserve">and TCE </w:t>
      </w:r>
      <w:r w:rsidRPr="00F80B1F">
        <w:t xml:space="preserve">exposure were conducted as </w:t>
      </w:r>
      <w:r>
        <w:t>dichotomous (</w:t>
      </w:r>
      <w:r w:rsidRPr="00F80B1F">
        <w:t>ever/</w:t>
      </w:r>
      <w:r>
        <w:t>n</w:t>
      </w:r>
      <w:r w:rsidRPr="00F80B1F">
        <w:t>ever</w:t>
      </w:r>
      <w:r>
        <w:t>)</w:t>
      </w:r>
      <w:r w:rsidRPr="00F80B1F">
        <w:t xml:space="preserve"> and as </w:t>
      </w:r>
      <w:r>
        <w:t>categorical (</w:t>
      </w:r>
      <w:r w:rsidRPr="00F80B1F">
        <w:t>zero/low/high</w:t>
      </w:r>
      <w:r>
        <w:t xml:space="preserve">). </w:t>
      </w:r>
      <w:r w:rsidRPr="00F80B1F">
        <w:t>The latter allows for an assessment of a dose-response relationship. C</w:t>
      </w:r>
      <w:r>
        <w:t>ategorization</w:t>
      </w:r>
      <w:r w:rsidRPr="00F80B1F">
        <w:t xml:space="preserve"> of exposure as ‘never’ </w:t>
      </w:r>
      <w:r>
        <w:t>means that</w:t>
      </w:r>
      <w:r w:rsidRPr="00F80B1F">
        <w:t xml:space="preserve"> </w:t>
      </w:r>
      <w:r>
        <w:t>modeled concentrations of NDMA or TCE were zero for all</w:t>
      </w:r>
      <w:r w:rsidRPr="00F80B1F">
        <w:t xml:space="preserve"> months </w:t>
      </w:r>
      <w:r>
        <w:t xml:space="preserve">of residence for the etiologic period of interest (i.e. maternal or childhood). For the </w:t>
      </w:r>
      <w:r w:rsidRPr="00F80B1F">
        <w:t xml:space="preserve">‘zero/low/high’ </w:t>
      </w:r>
      <w:r w:rsidR="0036157A">
        <w:t>categorization</w:t>
      </w:r>
      <w:r>
        <w:t xml:space="preserve">, </w:t>
      </w:r>
      <w:r w:rsidR="0036157A">
        <w:t xml:space="preserve">the </w:t>
      </w:r>
      <w:r>
        <w:t xml:space="preserve">‘zero’ </w:t>
      </w:r>
      <w:r w:rsidRPr="00F80B1F">
        <w:t xml:space="preserve">exposure </w:t>
      </w:r>
      <w:r w:rsidR="0036157A">
        <w:t xml:space="preserve">group </w:t>
      </w:r>
      <w:r>
        <w:t>is identical to the</w:t>
      </w:r>
      <w:r w:rsidRPr="00F80B1F">
        <w:t xml:space="preserve"> </w:t>
      </w:r>
      <w:r>
        <w:t>‘</w:t>
      </w:r>
      <w:r w:rsidRPr="00F80B1F">
        <w:t>never</w:t>
      </w:r>
      <w:r>
        <w:t>’ category</w:t>
      </w:r>
      <w:r w:rsidRPr="00F80B1F">
        <w:t xml:space="preserve">, </w:t>
      </w:r>
      <w:r>
        <w:t>while the remaining participants</w:t>
      </w:r>
      <w:r w:rsidRPr="00F80B1F">
        <w:t xml:space="preserve"> </w:t>
      </w:r>
      <w:r>
        <w:t xml:space="preserve">are divided </w:t>
      </w:r>
      <w:r w:rsidRPr="00F80B1F">
        <w:t xml:space="preserve">into </w:t>
      </w:r>
      <w:r>
        <w:t>‘</w:t>
      </w:r>
      <w:r w:rsidRPr="00F80B1F">
        <w:t>low</w:t>
      </w:r>
      <w:r>
        <w:t>’</w:t>
      </w:r>
      <w:r w:rsidRPr="00F80B1F">
        <w:t xml:space="preserve"> and </w:t>
      </w:r>
      <w:r>
        <w:t>‘</w:t>
      </w:r>
      <w:r w:rsidRPr="00F80B1F">
        <w:t>high</w:t>
      </w:r>
      <w:r>
        <w:t>’</w:t>
      </w:r>
      <w:r w:rsidRPr="00F80B1F">
        <w:t xml:space="preserve"> categories b</w:t>
      </w:r>
      <w:r>
        <w:t>ased on</w:t>
      </w:r>
      <w:r w:rsidRPr="00F80B1F">
        <w:t xml:space="preserve"> the median</w:t>
      </w:r>
      <w:r>
        <w:t xml:space="preserve"> </w:t>
      </w:r>
      <w:r w:rsidR="0036157A">
        <w:t>of the remaining participants</w:t>
      </w:r>
      <w:r w:rsidR="00154732">
        <w:t>’</w:t>
      </w:r>
      <w:r w:rsidR="0036157A">
        <w:t xml:space="preserve"> (the ‘ever’ group’s) </w:t>
      </w:r>
      <w:r>
        <w:t>average</w:t>
      </w:r>
      <w:r w:rsidRPr="00F80B1F">
        <w:t xml:space="preserve"> </w:t>
      </w:r>
      <w:r w:rsidR="0036157A">
        <w:t xml:space="preserve">monthly </w:t>
      </w:r>
      <w:r w:rsidRPr="00F80B1F">
        <w:t>concentration</w:t>
      </w:r>
      <w:r w:rsidR="0036157A">
        <w:t>s</w:t>
      </w:r>
      <w:r>
        <w:t>.</w:t>
      </w:r>
      <w:r w:rsidR="003B4506">
        <w:t xml:space="preserve"> The low/</w:t>
      </w:r>
      <w:r w:rsidR="00154732">
        <w:t xml:space="preserve">high cut point was based on the entire ‘ever’ exposed study population and was re-calculated for all sub-analyses to reflect the median average monthly concentration of the participants in the sub-analysis being conducted (e.g. the </w:t>
      </w:r>
      <w:r w:rsidR="007F74B7">
        <w:t>Leukemia/Lymphoma</w:t>
      </w:r>
      <w:r w:rsidR="00154732">
        <w:t xml:space="preserve"> subgroup analysis).</w:t>
      </w:r>
    </w:p>
    <w:p w14:paraId="29631832" w14:textId="7D14F466" w:rsidR="00B81E09" w:rsidRDefault="00B81E09" w:rsidP="0010161F">
      <w:pPr>
        <w:pStyle w:val="Heading3"/>
      </w:pPr>
      <w:r>
        <w:t>Adjustment of Water Intake</w:t>
      </w:r>
    </w:p>
    <w:p w14:paraId="7776AC9C" w14:textId="77777777" w:rsidR="00B81E09" w:rsidRPr="00D87286" w:rsidRDefault="00B81E09" w:rsidP="00FA486B">
      <w:pPr>
        <w:rPr>
          <w:b/>
          <w:bCs/>
        </w:rPr>
      </w:pPr>
      <w:r>
        <w:t>Due to limitations in the questionnaire design, detailed exposure calculations incorporating each</w:t>
      </w:r>
      <w:r w:rsidRPr="00F80B1F">
        <w:t xml:space="preserve"> person’s </w:t>
      </w:r>
      <w:r>
        <w:t xml:space="preserve">daily water intake were not conducted. However, participants were asked whether their primary drinking water source for a particular residence was tap water, filtered tap </w:t>
      </w:r>
      <w:proofErr w:type="gramStart"/>
      <w:r>
        <w:t>water,  or</w:t>
      </w:r>
      <w:proofErr w:type="gramEnd"/>
      <w:r>
        <w:t xml:space="preserve"> bottled water and additional analyses were conducted to evaluate potential exposure while accounting for bottled water usage during the maternal exposure period. Water filtration is not thought to have been a relevant factor since, according to the WHO, NDMA is not removable by methods available for home filtration including</w:t>
      </w:r>
      <w:r w:rsidRPr="00D87286">
        <w:rPr>
          <w:bCs/>
        </w:rPr>
        <w:t xml:space="preserve"> activated carbon adsorption, air stripping, reverse osmosis, or low-powered UV light (high-powered UV treatment is thought to be potentially effective) (WHO 2017).</w:t>
      </w:r>
      <w:r>
        <w:rPr>
          <w:bCs/>
        </w:rPr>
        <w:t xml:space="preserve"> </w:t>
      </w:r>
    </w:p>
    <w:p w14:paraId="70461513" w14:textId="1B91E6A5" w:rsidR="003E1C2E" w:rsidRDefault="00036165" w:rsidP="00FA486B">
      <w:r>
        <w:t>Maternal b</w:t>
      </w:r>
      <w:r w:rsidR="003E1C2E">
        <w:t>ottled water usage was accounted for in potential exposure estimations using two different methods. In one analysis (Method A), mothers who responded that they primarily drank bottled water while living at a particular residence were assigned an NDMA or TCE concentration of zero while living in that location. In the other analysis (Method B), NDMA or TCE concentrations were reduced to 49% of modeled values for the months in which a mother reported that they primarily drank bottled water.</w:t>
      </w:r>
    </w:p>
    <w:p w14:paraId="5AD4FFAE" w14:textId="72AF7DFE" w:rsidR="00B81E09" w:rsidRPr="00B81E09" w:rsidRDefault="00B81E09" w:rsidP="00FA486B">
      <w:r>
        <w:lastRenderedPageBreak/>
        <w:t xml:space="preserve">Children’s water intake was complicated by several factors that prevented adequate incorporation of intake information into exposure estimates. Parents were asked to report whether their child was breastfed, for how long they were breastfed, and whether they were given formula during the first year. Unfortunately, they were not asked whether the child was exclusively breastfed or how much formula was given and 84% of breastfed children were also given formula during the first year, with half reporting the formula was at least sometimes made with tap water. Furthermore, </w:t>
      </w:r>
      <w:r w:rsidR="003E1C2E">
        <w:t>questions regarding daily intake of tap water</w:t>
      </w:r>
      <w:r>
        <w:t xml:space="preserve"> </w:t>
      </w:r>
      <w:r w:rsidR="003E1C2E">
        <w:t xml:space="preserve">were only asked once per address during the </w:t>
      </w:r>
      <w:r>
        <w:t xml:space="preserve">residential history </w:t>
      </w:r>
      <w:r w:rsidR="003E1C2E">
        <w:t>interview and</w:t>
      </w:r>
      <w:r>
        <w:t xml:space="preserve">, </w:t>
      </w:r>
      <w:r w:rsidR="003E1C2E">
        <w:t xml:space="preserve">thus, </w:t>
      </w:r>
      <w:r>
        <w:t>changes in water intake over time were not adequately captured</w:t>
      </w:r>
      <w:r w:rsidR="003E1C2E">
        <w:t xml:space="preserve"> for children</w:t>
      </w:r>
      <w:r>
        <w:t xml:space="preserve">, particularly </w:t>
      </w:r>
      <w:r w:rsidR="003E1C2E">
        <w:t>those</w:t>
      </w:r>
      <w:r>
        <w:t xml:space="preserve"> who lived in one home for many years</w:t>
      </w:r>
      <w:r w:rsidR="003E1C2E">
        <w:t xml:space="preserve"> spanning infancy, childhood, and adolescence</w:t>
      </w:r>
      <w:r>
        <w:t>. For these reasons, water intake information was not incorporated into any childhood exposure analyses.</w:t>
      </w:r>
    </w:p>
    <w:p w14:paraId="7CB211B0" w14:textId="77777777" w:rsidR="0057723B" w:rsidRPr="00F80B1F" w:rsidRDefault="0057723B" w:rsidP="0010161F">
      <w:pPr>
        <w:pStyle w:val="Heading3"/>
      </w:pPr>
      <w:r w:rsidRPr="00F80B1F">
        <w:t xml:space="preserve">Analytic </w:t>
      </w:r>
      <w:r>
        <w:t>T</w:t>
      </w:r>
      <w:r w:rsidRPr="00F80B1F">
        <w:t>ools</w:t>
      </w:r>
    </w:p>
    <w:p w14:paraId="565D8725" w14:textId="77777777" w:rsidR="00A147E1" w:rsidRDefault="0057723B" w:rsidP="00FA486B">
      <w:r w:rsidRPr="00F80B1F">
        <w:t xml:space="preserve">The principal statistic used to interpret the analytic results was an odds ratio </w:t>
      </w:r>
      <w:r w:rsidR="000755AA">
        <w:t xml:space="preserve">(OR) </w:t>
      </w:r>
      <w:r w:rsidRPr="00F80B1F">
        <w:t>for matched cases and controls</w:t>
      </w:r>
      <w:r w:rsidR="00A147E1">
        <w:t xml:space="preserve"> produced using </w:t>
      </w:r>
      <w:r w:rsidR="00A147E1" w:rsidRPr="00F80B1F">
        <w:t>conditional logistic regression</w:t>
      </w:r>
      <w:r w:rsidR="00A147E1">
        <w:t xml:space="preserve">. </w:t>
      </w:r>
      <w:r w:rsidR="00A147E1" w:rsidRPr="00F80B1F">
        <w:t xml:space="preserve">This method </w:t>
      </w:r>
      <w:r w:rsidR="00A147E1" w:rsidRPr="00F80B1F">
        <w:rPr>
          <w:lang w:val="en"/>
        </w:rPr>
        <w:t>predicts the outcome (e.g., risk of childhood cancer) based on one or more predictor variables (e.g., NDMA exposure)</w:t>
      </w:r>
      <w:r w:rsidR="00A147E1">
        <w:rPr>
          <w:lang w:val="en"/>
        </w:rPr>
        <w:t xml:space="preserve">. </w:t>
      </w:r>
      <w:r w:rsidR="00A147E1" w:rsidRPr="00F80B1F">
        <w:t>To appropriately account for matching criteria</w:t>
      </w:r>
      <w:r w:rsidR="00A147E1">
        <w:t>,</w:t>
      </w:r>
      <w:r w:rsidR="00A147E1" w:rsidRPr="00F80B1F">
        <w:t xml:space="preserve"> the SAS procedure PROC LOGISTIC and </w:t>
      </w:r>
      <w:r w:rsidR="00A147E1">
        <w:t xml:space="preserve">the </w:t>
      </w:r>
      <w:r w:rsidR="00A147E1" w:rsidRPr="00F80B1F">
        <w:t xml:space="preserve">STRATA </w:t>
      </w:r>
      <w:r w:rsidR="00A147E1">
        <w:t xml:space="preserve">option </w:t>
      </w:r>
      <w:r w:rsidR="00A147E1" w:rsidRPr="00F80B1F">
        <w:t>were applied</w:t>
      </w:r>
      <w:r w:rsidR="00A147E1">
        <w:t>.</w:t>
      </w:r>
    </w:p>
    <w:p w14:paraId="5D167A2B" w14:textId="10852933" w:rsidR="0057723B" w:rsidRDefault="0057723B" w:rsidP="00FA486B">
      <w:r w:rsidRPr="00F80B1F">
        <w:t xml:space="preserve">An odds ratio is a measure of association between a health outcome and </w:t>
      </w:r>
      <w:r>
        <w:t xml:space="preserve">an </w:t>
      </w:r>
      <w:r w:rsidRPr="00F80B1F">
        <w:t>exposure or risk factor</w:t>
      </w:r>
      <w:r>
        <w:t xml:space="preserve">. In general, an odds ratio is calculated as the odds of an exposed population developing a particular health outcome compared to the odds of an equivalent but </w:t>
      </w:r>
      <w:r w:rsidRPr="005B45B9">
        <w:rPr>
          <w:i/>
        </w:rPr>
        <w:t>un</w:t>
      </w:r>
      <w:r>
        <w:t xml:space="preserve">exposed population developing the health outcome. As presented in </w:t>
      </w:r>
      <w:r w:rsidR="00301CC8">
        <w:fldChar w:fldCharType="begin"/>
      </w:r>
      <w:r w:rsidR="00301CC8">
        <w:instrText xml:space="preserve"> REF  Table5 \h </w:instrText>
      </w:r>
      <w:r w:rsidR="00FA486B">
        <w:instrText xml:space="preserve"> \* MERGEFORMAT </w:instrText>
      </w:r>
      <w:r w:rsidR="00301CC8">
        <w:fldChar w:fldCharType="separate"/>
      </w:r>
      <w:r w:rsidR="00977423" w:rsidRPr="00855660">
        <w:t xml:space="preserve">Table </w:t>
      </w:r>
      <w:r w:rsidR="00977423">
        <w:rPr>
          <w:noProof/>
        </w:rPr>
        <w:t>5</w:t>
      </w:r>
      <w:r w:rsidR="00301CC8">
        <w:fldChar w:fldCharType="end"/>
      </w:r>
      <w:r>
        <w:t>, t</w:t>
      </w:r>
      <w:r w:rsidRPr="00F80B1F">
        <w:t>he calculation</w:t>
      </w:r>
      <w:r>
        <w:t xml:space="preserve"> would be a/c divided by b/d, where the letters represent the number of study participants in each category. In a matched study design, however, the calculation is simplified because only matched pairs with a different exposure status (called “discordant pairs”) provide useful information. The calculation for a matched odds ratio, such as in this study, is the number of “</w:t>
      </w:r>
      <w:proofErr w:type="spellStart"/>
      <w:proofErr w:type="gramStart"/>
      <w:r>
        <w:t>a,d</w:t>
      </w:r>
      <w:proofErr w:type="spellEnd"/>
      <w:proofErr w:type="gramEnd"/>
      <w:r>
        <w:t>” pairs divided by the number of “</w:t>
      </w:r>
      <w:proofErr w:type="spellStart"/>
      <w:r>
        <w:t>b,c</w:t>
      </w:r>
      <w:proofErr w:type="spellEnd"/>
      <w:r>
        <w:t xml:space="preserve">” pairs (see </w:t>
      </w:r>
      <w:r w:rsidR="00301CC8">
        <w:fldChar w:fldCharType="begin"/>
      </w:r>
      <w:r w:rsidR="00301CC8">
        <w:instrText xml:space="preserve"> REF  Table5 \h </w:instrText>
      </w:r>
      <w:r w:rsidR="00FA486B">
        <w:instrText xml:space="preserve"> \* MERGEFORMAT </w:instrText>
      </w:r>
      <w:r w:rsidR="00301CC8">
        <w:fldChar w:fldCharType="separate"/>
      </w:r>
      <w:r w:rsidR="00977423" w:rsidRPr="00855660">
        <w:t xml:space="preserve">Table </w:t>
      </w:r>
      <w:r w:rsidR="00977423">
        <w:rPr>
          <w:noProof/>
        </w:rPr>
        <w:t>5</w:t>
      </w:r>
      <w:r w:rsidR="00301CC8">
        <w:fldChar w:fldCharType="end"/>
      </w:r>
      <w:r>
        <w:t>).</w:t>
      </w:r>
    </w:p>
    <w:p w14:paraId="4259BAC2" w14:textId="52CA266D" w:rsidR="0057723B" w:rsidRPr="00855660" w:rsidRDefault="0057723B" w:rsidP="0040594E">
      <w:pPr>
        <w:pStyle w:val="Caption"/>
        <w:keepNext/>
      </w:pPr>
      <w:bookmarkStart w:id="90" w:name="_Ref12008612"/>
      <w:bookmarkStart w:id="91" w:name="Table5"/>
      <w:bookmarkStart w:id="92" w:name="_Toc12012868"/>
      <w:bookmarkStart w:id="93" w:name="_Toc12013062"/>
      <w:bookmarkStart w:id="94" w:name="_Toc45714884"/>
      <w:r w:rsidRPr="00855660">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5</w:t>
      </w:r>
      <w:r w:rsidR="00D616DB">
        <w:rPr>
          <w:noProof/>
        </w:rPr>
        <w:fldChar w:fldCharType="end"/>
      </w:r>
      <w:bookmarkEnd w:id="90"/>
      <w:bookmarkEnd w:id="91"/>
      <w:r>
        <w:t xml:space="preserve">. </w:t>
      </w:r>
      <w:r w:rsidRPr="00855660">
        <w:t>Case-control contingency table with matched pair possibilities</w:t>
      </w:r>
      <w:bookmarkEnd w:id="92"/>
      <w:bookmarkEnd w:id="93"/>
      <w:bookmarkEnd w:id="94"/>
    </w:p>
    <w:tbl>
      <w:tblPr>
        <w:tblW w:w="0" w:type="auto"/>
        <w:tblLook w:val="04A0" w:firstRow="1" w:lastRow="0" w:firstColumn="1" w:lastColumn="0" w:noHBand="0" w:noVBand="1"/>
      </w:tblPr>
      <w:tblGrid>
        <w:gridCol w:w="1278"/>
        <w:gridCol w:w="1620"/>
        <w:gridCol w:w="1620"/>
        <w:gridCol w:w="1944"/>
        <w:gridCol w:w="1836"/>
      </w:tblGrid>
      <w:tr w:rsidR="0057723B" w:rsidRPr="00F80B1F" w14:paraId="498884FA" w14:textId="77777777" w:rsidTr="0071083D">
        <w:trPr>
          <w:trHeight w:val="458"/>
        </w:trPr>
        <w:tc>
          <w:tcPr>
            <w:tcW w:w="1278" w:type="dxa"/>
            <w:tcBorders>
              <w:bottom w:val="single" w:sz="4" w:space="0" w:color="auto"/>
            </w:tcBorders>
            <w:shd w:val="clear" w:color="auto" w:fill="auto"/>
          </w:tcPr>
          <w:p w14:paraId="075E76FA" w14:textId="77777777" w:rsidR="0057723B" w:rsidRPr="009D5864" w:rsidRDefault="0057723B" w:rsidP="006312FD">
            <w:pPr>
              <w:pStyle w:val="Tableheaders"/>
            </w:pPr>
          </w:p>
        </w:tc>
        <w:tc>
          <w:tcPr>
            <w:tcW w:w="1620" w:type="dxa"/>
            <w:tcBorders>
              <w:bottom w:val="single" w:sz="4" w:space="0" w:color="auto"/>
            </w:tcBorders>
            <w:shd w:val="clear" w:color="auto" w:fill="auto"/>
            <w:vAlign w:val="center"/>
          </w:tcPr>
          <w:p w14:paraId="4E0707C5" w14:textId="77777777" w:rsidR="0057723B" w:rsidRPr="009D5864" w:rsidRDefault="0057723B" w:rsidP="006312FD">
            <w:pPr>
              <w:pStyle w:val="Tableheaders"/>
            </w:pPr>
            <w:r w:rsidRPr="009D5864">
              <w:t>Exposed</w:t>
            </w:r>
          </w:p>
        </w:tc>
        <w:tc>
          <w:tcPr>
            <w:tcW w:w="1620" w:type="dxa"/>
            <w:tcBorders>
              <w:bottom w:val="single" w:sz="4" w:space="0" w:color="auto"/>
            </w:tcBorders>
            <w:shd w:val="clear" w:color="auto" w:fill="auto"/>
            <w:vAlign w:val="center"/>
          </w:tcPr>
          <w:p w14:paraId="7EC1FE2F" w14:textId="77777777" w:rsidR="0057723B" w:rsidRPr="009D5864" w:rsidRDefault="0057723B" w:rsidP="006312FD">
            <w:pPr>
              <w:pStyle w:val="Tableheaders"/>
            </w:pPr>
            <w:r w:rsidRPr="009D5864">
              <w:t>Not Exposed</w:t>
            </w:r>
          </w:p>
        </w:tc>
        <w:tc>
          <w:tcPr>
            <w:tcW w:w="1944" w:type="dxa"/>
            <w:tcBorders>
              <w:bottom w:val="single" w:sz="4" w:space="0" w:color="auto"/>
            </w:tcBorders>
            <w:shd w:val="clear" w:color="auto" w:fill="D9D9D9" w:themeFill="background1" w:themeFillShade="D9"/>
            <w:vAlign w:val="center"/>
          </w:tcPr>
          <w:p w14:paraId="7341474F" w14:textId="77777777" w:rsidR="0057723B" w:rsidRPr="009D5864" w:rsidRDefault="0057723B" w:rsidP="006312FD">
            <w:pPr>
              <w:pStyle w:val="Tableheaders"/>
            </w:pPr>
            <w:r w:rsidRPr="009D5864">
              <w:t>Concordant Pairs</w:t>
            </w:r>
          </w:p>
        </w:tc>
        <w:tc>
          <w:tcPr>
            <w:tcW w:w="1836" w:type="dxa"/>
            <w:tcBorders>
              <w:bottom w:val="single" w:sz="4" w:space="0" w:color="auto"/>
            </w:tcBorders>
            <w:shd w:val="clear" w:color="auto" w:fill="D9D9D9" w:themeFill="background1" w:themeFillShade="D9"/>
            <w:vAlign w:val="center"/>
          </w:tcPr>
          <w:p w14:paraId="2A5993D1" w14:textId="77777777" w:rsidR="0057723B" w:rsidRPr="009D5864" w:rsidDel="00E67383" w:rsidRDefault="0057723B" w:rsidP="006312FD">
            <w:pPr>
              <w:pStyle w:val="Tableheaders"/>
            </w:pPr>
            <w:r w:rsidRPr="009D5864">
              <w:t>Discordant Pairs</w:t>
            </w:r>
          </w:p>
        </w:tc>
      </w:tr>
      <w:tr w:rsidR="0057723B" w:rsidRPr="00F80B1F" w14:paraId="4A52811E" w14:textId="77777777" w:rsidTr="0071083D">
        <w:trPr>
          <w:trHeight w:val="432"/>
        </w:trPr>
        <w:tc>
          <w:tcPr>
            <w:tcW w:w="1278" w:type="dxa"/>
            <w:tcBorders>
              <w:top w:val="single" w:sz="4" w:space="0" w:color="auto"/>
              <w:bottom w:val="single" w:sz="4" w:space="0" w:color="auto"/>
            </w:tcBorders>
            <w:shd w:val="clear" w:color="auto" w:fill="auto"/>
            <w:vAlign w:val="center"/>
          </w:tcPr>
          <w:p w14:paraId="156252AD" w14:textId="77777777" w:rsidR="0057723B" w:rsidRPr="009D5864" w:rsidRDefault="0057723B" w:rsidP="0040594E">
            <w:pPr>
              <w:pStyle w:val="Tablebody"/>
              <w:rPr>
                <w:sz w:val="24"/>
                <w:szCs w:val="24"/>
              </w:rPr>
            </w:pPr>
            <w:r w:rsidRPr="009D5864">
              <w:rPr>
                <w:sz w:val="24"/>
                <w:szCs w:val="24"/>
              </w:rPr>
              <w:t>Cases</w:t>
            </w:r>
          </w:p>
        </w:tc>
        <w:tc>
          <w:tcPr>
            <w:tcW w:w="1620" w:type="dxa"/>
            <w:tcBorders>
              <w:top w:val="single" w:sz="4" w:space="0" w:color="auto"/>
              <w:bottom w:val="single" w:sz="4" w:space="0" w:color="auto"/>
            </w:tcBorders>
            <w:shd w:val="clear" w:color="auto" w:fill="auto"/>
            <w:vAlign w:val="center"/>
          </w:tcPr>
          <w:p w14:paraId="780A60E1" w14:textId="77777777" w:rsidR="0057723B" w:rsidRPr="009D5864" w:rsidRDefault="0057723B" w:rsidP="0040594E">
            <w:pPr>
              <w:pStyle w:val="Tablebody"/>
              <w:rPr>
                <w:sz w:val="24"/>
                <w:szCs w:val="24"/>
              </w:rPr>
            </w:pPr>
            <w:r w:rsidRPr="009D5864">
              <w:rPr>
                <w:sz w:val="24"/>
                <w:szCs w:val="24"/>
              </w:rPr>
              <w:t>a</w:t>
            </w:r>
          </w:p>
        </w:tc>
        <w:tc>
          <w:tcPr>
            <w:tcW w:w="1620" w:type="dxa"/>
            <w:tcBorders>
              <w:top w:val="single" w:sz="4" w:space="0" w:color="auto"/>
              <w:bottom w:val="single" w:sz="4" w:space="0" w:color="auto"/>
            </w:tcBorders>
            <w:shd w:val="clear" w:color="auto" w:fill="auto"/>
            <w:vAlign w:val="center"/>
          </w:tcPr>
          <w:p w14:paraId="4133941F" w14:textId="77777777" w:rsidR="0057723B" w:rsidRPr="009D5864" w:rsidRDefault="0057723B" w:rsidP="0040594E">
            <w:pPr>
              <w:pStyle w:val="Tablebody"/>
              <w:rPr>
                <w:sz w:val="24"/>
                <w:szCs w:val="24"/>
              </w:rPr>
            </w:pPr>
            <w:r w:rsidRPr="009D5864">
              <w:rPr>
                <w:sz w:val="24"/>
                <w:szCs w:val="24"/>
              </w:rPr>
              <w:t>b</w:t>
            </w:r>
          </w:p>
        </w:tc>
        <w:tc>
          <w:tcPr>
            <w:tcW w:w="1944" w:type="dxa"/>
            <w:tcBorders>
              <w:top w:val="single" w:sz="4" w:space="0" w:color="auto"/>
              <w:bottom w:val="single" w:sz="4" w:space="0" w:color="auto"/>
            </w:tcBorders>
            <w:shd w:val="clear" w:color="auto" w:fill="D9D9D9" w:themeFill="background1" w:themeFillShade="D9"/>
            <w:vAlign w:val="center"/>
          </w:tcPr>
          <w:p w14:paraId="72C630D1" w14:textId="77777777" w:rsidR="0057723B" w:rsidRPr="009D5864" w:rsidRDefault="0057723B" w:rsidP="0040594E">
            <w:pPr>
              <w:pStyle w:val="Tablebody"/>
              <w:rPr>
                <w:sz w:val="24"/>
                <w:szCs w:val="24"/>
              </w:rPr>
            </w:pPr>
            <w:proofErr w:type="spellStart"/>
            <w:r w:rsidRPr="009D5864">
              <w:rPr>
                <w:sz w:val="24"/>
                <w:szCs w:val="24"/>
              </w:rPr>
              <w:t>a,c</w:t>
            </w:r>
            <w:proofErr w:type="spellEnd"/>
          </w:p>
        </w:tc>
        <w:tc>
          <w:tcPr>
            <w:tcW w:w="1836" w:type="dxa"/>
            <w:tcBorders>
              <w:top w:val="single" w:sz="4" w:space="0" w:color="auto"/>
              <w:bottom w:val="single" w:sz="4" w:space="0" w:color="auto"/>
            </w:tcBorders>
            <w:shd w:val="clear" w:color="auto" w:fill="D9D9D9" w:themeFill="background1" w:themeFillShade="D9"/>
          </w:tcPr>
          <w:p w14:paraId="384BADAC" w14:textId="77777777" w:rsidR="0057723B" w:rsidRPr="009D5864" w:rsidRDefault="0057723B" w:rsidP="0040594E">
            <w:pPr>
              <w:pStyle w:val="Tablebody"/>
              <w:rPr>
                <w:sz w:val="24"/>
                <w:szCs w:val="24"/>
              </w:rPr>
            </w:pPr>
            <w:proofErr w:type="spellStart"/>
            <w:r w:rsidRPr="009D5864">
              <w:rPr>
                <w:sz w:val="24"/>
                <w:szCs w:val="24"/>
              </w:rPr>
              <w:t>a,d</w:t>
            </w:r>
            <w:proofErr w:type="spellEnd"/>
          </w:p>
        </w:tc>
      </w:tr>
      <w:tr w:rsidR="0057723B" w:rsidRPr="00F80B1F" w14:paraId="1D04414A" w14:textId="77777777" w:rsidTr="0071083D">
        <w:trPr>
          <w:trHeight w:val="432"/>
        </w:trPr>
        <w:tc>
          <w:tcPr>
            <w:tcW w:w="1278" w:type="dxa"/>
            <w:tcBorders>
              <w:top w:val="single" w:sz="4" w:space="0" w:color="auto"/>
              <w:bottom w:val="single" w:sz="4" w:space="0" w:color="auto"/>
            </w:tcBorders>
            <w:shd w:val="clear" w:color="auto" w:fill="auto"/>
            <w:vAlign w:val="center"/>
          </w:tcPr>
          <w:p w14:paraId="5A30295F" w14:textId="77777777" w:rsidR="0057723B" w:rsidRPr="009D5864" w:rsidRDefault="0057723B" w:rsidP="0040594E">
            <w:pPr>
              <w:pStyle w:val="Tablebody"/>
              <w:rPr>
                <w:sz w:val="24"/>
                <w:szCs w:val="24"/>
              </w:rPr>
            </w:pPr>
            <w:r w:rsidRPr="009D5864">
              <w:rPr>
                <w:sz w:val="24"/>
                <w:szCs w:val="24"/>
              </w:rPr>
              <w:t>Controls</w:t>
            </w:r>
          </w:p>
        </w:tc>
        <w:tc>
          <w:tcPr>
            <w:tcW w:w="1620" w:type="dxa"/>
            <w:tcBorders>
              <w:top w:val="single" w:sz="4" w:space="0" w:color="auto"/>
              <w:bottom w:val="single" w:sz="4" w:space="0" w:color="auto"/>
            </w:tcBorders>
            <w:shd w:val="clear" w:color="auto" w:fill="auto"/>
            <w:vAlign w:val="center"/>
          </w:tcPr>
          <w:p w14:paraId="04B01AAD" w14:textId="77777777" w:rsidR="0057723B" w:rsidRPr="009D5864" w:rsidRDefault="0057723B" w:rsidP="0040594E">
            <w:pPr>
              <w:pStyle w:val="Tablebody"/>
              <w:rPr>
                <w:sz w:val="24"/>
                <w:szCs w:val="24"/>
              </w:rPr>
            </w:pPr>
            <w:r w:rsidRPr="009D5864">
              <w:rPr>
                <w:sz w:val="24"/>
                <w:szCs w:val="24"/>
              </w:rPr>
              <w:t>c</w:t>
            </w:r>
          </w:p>
        </w:tc>
        <w:tc>
          <w:tcPr>
            <w:tcW w:w="1620" w:type="dxa"/>
            <w:tcBorders>
              <w:top w:val="single" w:sz="4" w:space="0" w:color="auto"/>
              <w:bottom w:val="single" w:sz="4" w:space="0" w:color="auto"/>
            </w:tcBorders>
            <w:shd w:val="clear" w:color="auto" w:fill="auto"/>
            <w:vAlign w:val="center"/>
          </w:tcPr>
          <w:p w14:paraId="72FC074E" w14:textId="77777777" w:rsidR="0057723B" w:rsidRPr="009D5864" w:rsidRDefault="0057723B" w:rsidP="0040594E">
            <w:pPr>
              <w:pStyle w:val="Tablebody"/>
              <w:rPr>
                <w:sz w:val="24"/>
                <w:szCs w:val="24"/>
              </w:rPr>
            </w:pPr>
            <w:r w:rsidRPr="009D5864">
              <w:rPr>
                <w:sz w:val="24"/>
                <w:szCs w:val="24"/>
              </w:rPr>
              <w:t>d</w:t>
            </w:r>
          </w:p>
        </w:tc>
        <w:tc>
          <w:tcPr>
            <w:tcW w:w="1944" w:type="dxa"/>
            <w:tcBorders>
              <w:top w:val="single" w:sz="4" w:space="0" w:color="auto"/>
              <w:bottom w:val="single" w:sz="4" w:space="0" w:color="auto"/>
            </w:tcBorders>
            <w:shd w:val="clear" w:color="auto" w:fill="D9D9D9" w:themeFill="background1" w:themeFillShade="D9"/>
            <w:vAlign w:val="center"/>
          </w:tcPr>
          <w:p w14:paraId="49B13ED6" w14:textId="77777777" w:rsidR="0057723B" w:rsidRPr="009D5864" w:rsidRDefault="0057723B" w:rsidP="0040594E">
            <w:pPr>
              <w:pStyle w:val="Tablebody"/>
              <w:rPr>
                <w:sz w:val="24"/>
                <w:szCs w:val="24"/>
              </w:rPr>
            </w:pPr>
            <w:proofErr w:type="spellStart"/>
            <w:r w:rsidRPr="009D5864">
              <w:rPr>
                <w:sz w:val="24"/>
                <w:szCs w:val="24"/>
              </w:rPr>
              <w:t>b,d</w:t>
            </w:r>
            <w:proofErr w:type="spellEnd"/>
          </w:p>
        </w:tc>
        <w:tc>
          <w:tcPr>
            <w:tcW w:w="1836" w:type="dxa"/>
            <w:tcBorders>
              <w:top w:val="single" w:sz="4" w:space="0" w:color="auto"/>
              <w:bottom w:val="single" w:sz="4" w:space="0" w:color="auto"/>
            </w:tcBorders>
            <w:shd w:val="clear" w:color="auto" w:fill="D9D9D9" w:themeFill="background1" w:themeFillShade="D9"/>
          </w:tcPr>
          <w:p w14:paraId="2FC46931" w14:textId="77777777" w:rsidR="0057723B" w:rsidRPr="009D5864" w:rsidRDefault="0057723B" w:rsidP="0040594E">
            <w:pPr>
              <w:pStyle w:val="Tablebody"/>
              <w:rPr>
                <w:sz w:val="24"/>
                <w:szCs w:val="24"/>
              </w:rPr>
            </w:pPr>
            <w:proofErr w:type="spellStart"/>
            <w:r w:rsidRPr="009D5864">
              <w:rPr>
                <w:sz w:val="24"/>
                <w:szCs w:val="24"/>
              </w:rPr>
              <w:t>b,c</w:t>
            </w:r>
            <w:proofErr w:type="spellEnd"/>
          </w:p>
        </w:tc>
      </w:tr>
    </w:tbl>
    <w:p w14:paraId="4749681C" w14:textId="77777777" w:rsidR="0057723B" w:rsidRPr="00F80B1F" w:rsidRDefault="0057723B" w:rsidP="0040594E">
      <w:pPr>
        <w:pStyle w:val="NoSpacing"/>
      </w:pPr>
    </w:p>
    <w:p w14:paraId="662BC4CC" w14:textId="77777777" w:rsidR="0057723B" w:rsidRPr="00F80B1F" w:rsidRDefault="0057723B" w:rsidP="00FA486B">
      <w:r w:rsidRPr="00F80B1F">
        <w:t>An odds ratio of 1</w:t>
      </w:r>
      <w:r w:rsidR="000755AA">
        <w:t>.0</w:t>
      </w:r>
      <w:r w:rsidRPr="00F80B1F">
        <w:t xml:space="preserve"> means that exposure is not related to the outcome</w:t>
      </w:r>
      <w:r>
        <w:t xml:space="preserve">. </w:t>
      </w:r>
      <w:r w:rsidRPr="00F80B1F">
        <w:t>A value greater than 1</w:t>
      </w:r>
      <w:r w:rsidR="000755AA">
        <w:t>.0</w:t>
      </w:r>
      <w:r w:rsidRPr="00F80B1F">
        <w:t xml:space="preserve"> means that exposure has a positive association with the outcome</w:t>
      </w:r>
      <w:r>
        <w:t xml:space="preserve">. </w:t>
      </w:r>
      <w:r w:rsidRPr="00F80B1F">
        <w:t xml:space="preserve">A value less </w:t>
      </w:r>
      <w:r w:rsidRPr="00F80B1F">
        <w:lastRenderedPageBreak/>
        <w:t>than 1</w:t>
      </w:r>
      <w:r w:rsidR="000755AA">
        <w:t>.0</w:t>
      </w:r>
      <w:r w:rsidRPr="00F80B1F">
        <w:t xml:space="preserve"> means exposure has a negative association with outcome</w:t>
      </w:r>
      <w:r>
        <w:t xml:space="preserve">. </w:t>
      </w:r>
      <w:r w:rsidRPr="00F80B1F">
        <w:t xml:space="preserve">Therefore, </w:t>
      </w:r>
      <w:r>
        <w:t>as an example,</w:t>
      </w:r>
      <w:r w:rsidRPr="00F80B1F">
        <w:t xml:space="preserve"> an odds ratio of 2.5 means that the odds of an outcome occurring is 2.5 times higher than if there </w:t>
      </w:r>
      <w:r>
        <w:t>were</w:t>
      </w:r>
      <w:r w:rsidRPr="00F80B1F">
        <w:t xml:space="preserve"> no exposure</w:t>
      </w:r>
      <w:r w:rsidR="000755AA">
        <w:t>.</w:t>
      </w:r>
    </w:p>
    <w:p w14:paraId="3829C304" w14:textId="77777777" w:rsidR="0057723B" w:rsidRDefault="0057723B" w:rsidP="00FA486B">
      <w:r w:rsidRPr="00F80B1F">
        <w:t>For all odds ratios, 95% confidence intervals were calculated</w:t>
      </w:r>
      <w:r>
        <w:t xml:space="preserve">. </w:t>
      </w:r>
      <w:r w:rsidRPr="00F80B1F">
        <w:t xml:space="preserve">A confidence interval (CI) measures how </w:t>
      </w:r>
      <w:r w:rsidR="0031172E">
        <w:t xml:space="preserve">reliable the odds ratio </w:t>
      </w:r>
      <w:r w:rsidRPr="00F80B1F">
        <w:t>is</w:t>
      </w:r>
      <w:r w:rsidR="0031172E">
        <w:t xml:space="preserve"> and provides a range of values within which the point estimate will fall 95% of the time given an unbiased sample and analysis. </w:t>
      </w:r>
      <w:r w:rsidRPr="00F80B1F">
        <w:t>A CI that includes 1.0 means that the association is not statistically significant and may be due to chance, even if the OR estimate is much higher than 1.0</w:t>
      </w:r>
      <w:r>
        <w:t xml:space="preserve">. </w:t>
      </w:r>
      <w:r w:rsidRPr="00F80B1F">
        <w:t>If the CI excludes 1.0, then the association can be considered statistically significant</w:t>
      </w:r>
      <w:r>
        <w:t xml:space="preserve">. </w:t>
      </w:r>
      <w:r w:rsidR="000755AA">
        <w:t>A</w:t>
      </w:r>
      <w:r w:rsidRPr="00F80B1F">
        <w:t xml:space="preserve"> wide confidence interval that excludes 1.0 </w:t>
      </w:r>
      <w:r w:rsidR="00A147E1">
        <w:t>indicates</w:t>
      </w:r>
      <w:r w:rsidRPr="00F80B1F">
        <w:t xml:space="preserve"> that the association is statistically significant</w:t>
      </w:r>
      <w:r w:rsidR="00A147E1">
        <w:t>,</w:t>
      </w:r>
      <w:r w:rsidRPr="00F80B1F">
        <w:t xml:space="preserve"> but that </w:t>
      </w:r>
      <w:r w:rsidR="00A147E1">
        <w:t>the</w:t>
      </w:r>
      <w:r w:rsidRPr="00F80B1F">
        <w:t xml:space="preserve"> precise </w:t>
      </w:r>
      <w:r w:rsidR="00A147E1">
        <w:t>strength of</w:t>
      </w:r>
      <w:r>
        <w:t xml:space="preserve"> the association </w:t>
      </w:r>
      <w:r w:rsidR="00A147E1">
        <w:t>is not clear</w:t>
      </w:r>
      <w:r>
        <w:t>.</w:t>
      </w:r>
    </w:p>
    <w:p w14:paraId="352B426D" w14:textId="4753F90C" w:rsidR="0057723B" w:rsidRPr="00F80B1F" w:rsidRDefault="0057723B" w:rsidP="00FA486B">
      <w:r>
        <w:t xml:space="preserve">A </w:t>
      </w:r>
      <w:r w:rsidRPr="00372442">
        <w:rPr>
          <w:i/>
        </w:rPr>
        <w:t>p</w:t>
      </w:r>
      <w:r>
        <w:t xml:space="preserve">-value is a related measure, which describes the statistical significance of an odds ratio or other effect estimate. The larger a </w:t>
      </w:r>
      <w:r w:rsidRPr="00372442">
        <w:rPr>
          <w:i/>
        </w:rPr>
        <w:t>p</w:t>
      </w:r>
      <w:r>
        <w:t xml:space="preserve">-value, the less precise the OR is. A </w:t>
      </w:r>
      <w:r w:rsidRPr="00372442">
        <w:rPr>
          <w:i/>
        </w:rPr>
        <w:t>p</w:t>
      </w:r>
      <w:r>
        <w:t xml:space="preserve">-value &lt;0.05 is generally considered to be statistically significant. However, importantly, a large </w:t>
      </w:r>
      <w:r w:rsidRPr="00372442">
        <w:rPr>
          <w:i/>
        </w:rPr>
        <w:t>p</w:t>
      </w:r>
      <w:r>
        <w:t xml:space="preserve">-value does not mean that the result is invalid. </w:t>
      </w:r>
      <w:r w:rsidR="00484C73">
        <w:t>It may indicate</w:t>
      </w:r>
      <w:r>
        <w:t xml:space="preserve"> that insufficient information is available to adequately evaluate the result, commonly due to small sample sizes.</w:t>
      </w:r>
    </w:p>
    <w:p w14:paraId="57A01E7F" w14:textId="6DBD85EE" w:rsidR="0036122D" w:rsidRDefault="0057723B" w:rsidP="00FA486B">
      <w:r w:rsidRPr="00F80B1F">
        <w:t>The potential for statistical confounding was evaluated using univariate analyses for matched cases and controls</w:t>
      </w:r>
      <w:r>
        <w:t xml:space="preserve">. </w:t>
      </w:r>
      <w:r w:rsidRPr="00F80B1F">
        <w:t xml:space="preserve">The variables evaluated </w:t>
      </w:r>
      <w:r>
        <w:t>were</w:t>
      </w:r>
      <w:r w:rsidRPr="00F80B1F">
        <w:t xml:space="preserve"> those identified prior to the start of the study as potential risk factors for childhood cancer</w:t>
      </w:r>
      <w:r>
        <w:t xml:space="preserve">. </w:t>
      </w:r>
      <w:r w:rsidRPr="00F80B1F">
        <w:t>Any variable with a univariate odds ratio result</w:t>
      </w:r>
      <w:r>
        <w:t xml:space="preserve"> &gt;1.0</w:t>
      </w:r>
      <w:r w:rsidRPr="00F80B1F">
        <w:t xml:space="preserve"> </w:t>
      </w:r>
      <w:r w:rsidR="0036122D">
        <w:t>and</w:t>
      </w:r>
      <w:r w:rsidRPr="00F80B1F">
        <w:t xml:space="preserve"> a </w:t>
      </w:r>
      <w:r w:rsidRPr="00372442">
        <w:rPr>
          <w:i/>
        </w:rPr>
        <w:t>p</w:t>
      </w:r>
      <w:r>
        <w:t>-value</w:t>
      </w:r>
      <w:r w:rsidRPr="00F80B1F">
        <w:t xml:space="preserve"> </w:t>
      </w:r>
      <w:r>
        <w:t>&lt;</w:t>
      </w:r>
      <w:r w:rsidRPr="00F80B1F">
        <w:t>0.2</w:t>
      </w:r>
      <w:r>
        <w:t>0</w:t>
      </w:r>
      <w:r w:rsidRPr="00F80B1F">
        <w:t xml:space="preserve"> </w:t>
      </w:r>
      <w:r w:rsidR="0036122D">
        <w:t xml:space="preserve">for the association with all cancers or with leukemia/lymphoma </w:t>
      </w:r>
      <w:r w:rsidRPr="00F80B1F">
        <w:t xml:space="preserve">was evaluated as </w:t>
      </w:r>
      <w:r>
        <w:t xml:space="preserve">a </w:t>
      </w:r>
      <w:r w:rsidRPr="00F80B1F">
        <w:t>possible confounder</w:t>
      </w:r>
      <w:r>
        <w:t xml:space="preserve">. </w:t>
      </w:r>
      <w:r w:rsidRPr="00F80B1F">
        <w:t xml:space="preserve">Logistic regression models were run with these possible confounders individually to determine if the variable had an </w:t>
      </w:r>
      <w:r w:rsidR="0036122D">
        <w:t>impact</w:t>
      </w:r>
      <w:r w:rsidRPr="00F80B1F">
        <w:t xml:space="preserve"> on the main effect estimate</w:t>
      </w:r>
      <w:r w:rsidR="0036122D">
        <w:t>s</w:t>
      </w:r>
      <w:r w:rsidRPr="00F80B1F">
        <w:t xml:space="preserve"> of NDMA </w:t>
      </w:r>
      <w:r w:rsidR="0036122D">
        <w:t xml:space="preserve">or TCE </w:t>
      </w:r>
      <w:r w:rsidRPr="00F80B1F">
        <w:t>exposure</w:t>
      </w:r>
      <w:r>
        <w:t xml:space="preserve">. </w:t>
      </w:r>
      <w:r w:rsidR="0036122D">
        <w:t xml:space="preserve">A variable was considered to be acting as a confounder if the effect estimates for exposure changed by at least 10% when the covariate was included in the model. Confounding was evaluated in models of association between both the </w:t>
      </w:r>
      <w:r w:rsidR="00236663">
        <w:t>A</w:t>
      </w:r>
      <w:r w:rsidR="0036122D">
        <w:t xml:space="preserve">ll </w:t>
      </w:r>
      <w:r w:rsidR="00236663">
        <w:t>C</w:t>
      </w:r>
      <w:r w:rsidR="0036122D">
        <w:t xml:space="preserve">ancers group and the </w:t>
      </w:r>
      <w:r w:rsidR="00236663">
        <w:t>L</w:t>
      </w:r>
      <w:r w:rsidR="0036122D">
        <w:t>eukemia/</w:t>
      </w:r>
      <w:r w:rsidR="00236663">
        <w:t>L</w:t>
      </w:r>
      <w:r w:rsidR="0036122D">
        <w:t xml:space="preserve">ymphoma sub-group for maternal </w:t>
      </w:r>
      <w:r w:rsidR="00CE78D8">
        <w:t xml:space="preserve">and childhood </w:t>
      </w:r>
      <w:r w:rsidR="0036122D">
        <w:t xml:space="preserve">NDMA exposure measured as </w:t>
      </w:r>
      <w:r w:rsidR="0036122D" w:rsidRPr="00F80B1F">
        <w:t xml:space="preserve">dichotomous (ever/never) </w:t>
      </w:r>
      <w:r w:rsidR="0036122D">
        <w:t>and as categorical (zero</w:t>
      </w:r>
      <w:r w:rsidR="006866AC">
        <w:t>/</w:t>
      </w:r>
      <w:r w:rsidR="0036122D" w:rsidRPr="00F80B1F">
        <w:t>low</w:t>
      </w:r>
      <w:r w:rsidR="006866AC">
        <w:t>/</w:t>
      </w:r>
      <w:r w:rsidR="0036122D" w:rsidRPr="00F80B1F">
        <w:t>high</w:t>
      </w:r>
      <w:r w:rsidR="0036122D">
        <w:t xml:space="preserve">) average modeled </w:t>
      </w:r>
      <w:r w:rsidR="0036122D" w:rsidRPr="00F80B1F">
        <w:t>NDMA con</w:t>
      </w:r>
      <w:r w:rsidR="0036122D">
        <w:t>centra</w:t>
      </w:r>
      <w:r w:rsidR="0036122D" w:rsidRPr="00F80B1F">
        <w:t>tion</w:t>
      </w:r>
      <w:r w:rsidR="0036122D">
        <w:t>s</w:t>
      </w:r>
      <w:r w:rsidR="0036122D" w:rsidRPr="00F80B1F">
        <w:t xml:space="preserve"> in drinking water</w:t>
      </w:r>
      <w:r w:rsidR="0036122D">
        <w:t xml:space="preserve">. Due to sample size considerations, TCE exposure analyses were evaluated for confounding only among the </w:t>
      </w:r>
      <w:r w:rsidR="00236663">
        <w:t>A</w:t>
      </w:r>
      <w:r w:rsidR="0036122D">
        <w:t xml:space="preserve">ll </w:t>
      </w:r>
      <w:r w:rsidR="00236663">
        <w:t>C</w:t>
      </w:r>
      <w:r w:rsidR="0036122D">
        <w:t xml:space="preserve">ancers group and only using </w:t>
      </w:r>
      <w:r w:rsidR="0036122D" w:rsidRPr="00F80B1F">
        <w:t>dichotomous (ever/never)</w:t>
      </w:r>
      <w:r w:rsidR="0036122D">
        <w:t xml:space="preserve"> modeled TCE concentrations</w:t>
      </w:r>
      <w:r w:rsidR="00236663">
        <w:t>;</w:t>
      </w:r>
      <w:r w:rsidR="00CE78D8">
        <w:t xml:space="preserve"> </w:t>
      </w:r>
      <w:r w:rsidR="00236663">
        <w:t xml:space="preserve">however, </w:t>
      </w:r>
      <w:r w:rsidR="00CE78D8">
        <w:t xml:space="preserve">confounding was evaluated for both </w:t>
      </w:r>
      <w:r w:rsidR="0036122D">
        <w:t xml:space="preserve">maternal </w:t>
      </w:r>
      <w:r w:rsidR="00CE78D8">
        <w:t xml:space="preserve">and childhood </w:t>
      </w:r>
      <w:r w:rsidR="0036122D">
        <w:t>drinking water</w:t>
      </w:r>
      <w:r w:rsidR="00CE78D8">
        <w:t xml:space="preserve"> models</w:t>
      </w:r>
      <w:r w:rsidR="0036122D">
        <w:t xml:space="preserve">. </w:t>
      </w:r>
      <w:r w:rsidR="0085476A">
        <w:t xml:space="preserve">Due to sample size limitations, it was not possible to include multiple confounders in </w:t>
      </w:r>
      <w:r w:rsidR="00270D40">
        <w:t>the same</w:t>
      </w:r>
      <w:r w:rsidR="0085476A">
        <w:t xml:space="preserve"> model</w:t>
      </w:r>
      <w:r w:rsidR="008A573B">
        <w:t>.</w:t>
      </w:r>
    </w:p>
    <w:p w14:paraId="19758ABA" w14:textId="5F667A63" w:rsidR="00562CED" w:rsidRDefault="00562CED" w:rsidP="00FA486B">
      <w:bookmarkStart w:id="95" w:name="_Hlk16106559"/>
      <w:r>
        <w:lastRenderedPageBreak/>
        <w:t xml:space="preserve">Tests of trend for categorical exposure variables were evaluated by assigning the median concentration value </w:t>
      </w:r>
      <w:r w:rsidR="00F22DEF">
        <w:t>of each category to</w:t>
      </w:r>
      <w:r>
        <w:t xml:space="preserve"> study participants in </w:t>
      </w:r>
      <w:r w:rsidR="00F22DEF">
        <w:t xml:space="preserve">that </w:t>
      </w:r>
      <w:r>
        <w:t>category</w:t>
      </w:r>
      <w:r w:rsidR="00F22DEF">
        <w:t xml:space="preserve">. The resulting </w:t>
      </w:r>
      <w:r>
        <w:t>exposure variable</w:t>
      </w:r>
      <w:r w:rsidR="00F22DEF">
        <w:t>s were then treated</w:t>
      </w:r>
      <w:r>
        <w:t xml:space="preserve"> as continuous </w:t>
      </w:r>
      <w:r w:rsidR="00F22DEF">
        <w:t xml:space="preserve">variables while </w:t>
      </w:r>
      <w:r>
        <w:t>assessing association</w:t>
      </w:r>
      <w:r w:rsidR="00F22DEF">
        <w:t>s</w:t>
      </w:r>
      <w:r>
        <w:t xml:space="preserve"> with the outcome in conditional logistic regression analys</w:t>
      </w:r>
      <w:r w:rsidR="00F22DEF">
        <w:t>es.</w:t>
      </w:r>
    </w:p>
    <w:bookmarkEnd w:id="95"/>
    <w:p w14:paraId="34BED23E" w14:textId="77777777" w:rsidR="0057723B" w:rsidRPr="00F80B1F" w:rsidRDefault="0057723B" w:rsidP="0010161F">
      <w:pPr>
        <w:pStyle w:val="Heading3"/>
      </w:pPr>
      <w:r w:rsidRPr="00F80B1F">
        <w:t>Statistical Inference</w:t>
      </w:r>
    </w:p>
    <w:p w14:paraId="179461C7" w14:textId="1E74DF5B" w:rsidR="00BB3B12" w:rsidRDefault="00BC7750" w:rsidP="00FA486B">
      <w:r>
        <w:t xml:space="preserve">Odds ratios </w:t>
      </w:r>
      <w:r w:rsidR="0057723B" w:rsidRPr="00F80B1F">
        <w:t xml:space="preserve">are presented with 95% confidence intervals </w:t>
      </w:r>
      <w:r w:rsidR="000610D7">
        <w:t xml:space="preserve">along with either </w:t>
      </w:r>
      <w:r w:rsidR="0057723B" w:rsidRPr="00372442">
        <w:rPr>
          <w:i/>
        </w:rPr>
        <w:t>p</w:t>
      </w:r>
      <w:r w:rsidR="0057723B">
        <w:t>-values</w:t>
      </w:r>
      <w:r>
        <w:t xml:space="preserve"> or </w:t>
      </w:r>
      <w:r w:rsidR="000610D7">
        <w:t xml:space="preserve">notation to </w:t>
      </w:r>
      <w:r>
        <w:t>indicat</w:t>
      </w:r>
      <w:r w:rsidR="000610D7">
        <w:t>e</w:t>
      </w:r>
      <w:r>
        <w:t xml:space="preserve"> statistical significance</w:t>
      </w:r>
      <w:r w:rsidR="00907681">
        <w:t xml:space="preserve"> (i.e. </w:t>
      </w:r>
      <w:r w:rsidR="00907681">
        <w:rPr>
          <w:i/>
        </w:rPr>
        <w:t>p</w:t>
      </w:r>
      <w:r w:rsidR="00907681">
        <w:t>-value &lt;0.05)</w:t>
      </w:r>
      <w:r w:rsidR="000610D7">
        <w:t>.</w:t>
      </w:r>
      <w:r>
        <w:t xml:space="preserve"> </w:t>
      </w:r>
      <w:r w:rsidR="005E41AE" w:rsidRPr="001E7162">
        <w:t xml:space="preserve">ORs with a </w:t>
      </w:r>
      <w:r w:rsidR="005E41AE" w:rsidRPr="00372442">
        <w:rPr>
          <w:i/>
        </w:rPr>
        <w:t>p</w:t>
      </w:r>
      <w:r w:rsidR="005E41AE">
        <w:t>-value &lt;0.1</w:t>
      </w:r>
      <w:r w:rsidR="005E41AE" w:rsidRPr="001E7162">
        <w:t>0</w:t>
      </w:r>
      <w:r w:rsidR="005E41AE" w:rsidRPr="000B3C71">
        <w:t xml:space="preserve"> </w:t>
      </w:r>
      <w:r w:rsidR="005E41AE">
        <w:t xml:space="preserve">(but </w:t>
      </w:r>
      <w:r w:rsidR="005E41AE">
        <w:rPr>
          <w:rFonts w:ascii="Calibri Light" w:hAnsi="Calibri Light"/>
        </w:rPr>
        <w:t>≥</w:t>
      </w:r>
      <w:r w:rsidR="005E41AE">
        <w:t>0.05) are considered marginally significant and</w:t>
      </w:r>
      <w:r w:rsidR="005E41AE" w:rsidRPr="001E7162">
        <w:t xml:space="preserve"> </w:t>
      </w:r>
      <w:r w:rsidR="005E41AE">
        <w:t>are</w:t>
      </w:r>
      <w:r w:rsidR="005E41AE" w:rsidRPr="001E7162">
        <w:t xml:space="preserve"> </w:t>
      </w:r>
      <w:r w:rsidR="005E41AE">
        <w:t xml:space="preserve">noted in the text and tables. </w:t>
      </w:r>
      <w:r w:rsidR="0057723B">
        <w:t xml:space="preserve">As previously explained, ORs provide a point estimate of the association </w:t>
      </w:r>
      <w:r w:rsidR="000610D7">
        <w:t xml:space="preserve">between a risk factor and childhood cancer while </w:t>
      </w:r>
      <w:r w:rsidR="0057723B">
        <w:t xml:space="preserve">confidence intervals </w:t>
      </w:r>
      <w:r w:rsidR="00A147E1">
        <w:t>help to understand the reliability of the OR.</w:t>
      </w:r>
      <w:r w:rsidR="0031172E">
        <w:t xml:space="preserve"> </w:t>
      </w:r>
      <w:r w:rsidR="0006689A">
        <w:t xml:space="preserve">Statistical significance is presented and used in this study as a tool to help </w:t>
      </w:r>
      <w:r w:rsidR="00BB3B12">
        <w:t>identify potentially meaningful results. However, statistical significance is not the only criteria used to in</w:t>
      </w:r>
      <w:r w:rsidR="009E44A2">
        <w:t>terpret results</w:t>
      </w:r>
      <w:r w:rsidR="0006689A">
        <w:t xml:space="preserve"> and</w:t>
      </w:r>
      <w:r w:rsidR="0006689A" w:rsidRPr="001E7162">
        <w:t xml:space="preserve"> </w:t>
      </w:r>
      <w:r w:rsidR="009E44A2">
        <w:t>draw</w:t>
      </w:r>
      <w:r w:rsidR="0031172E" w:rsidRPr="001E7162">
        <w:t xml:space="preserve"> </w:t>
      </w:r>
      <w:r w:rsidR="00AE7021">
        <w:t xml:space="preserve">conclusions; </w:t>
      </w:r>
      <w:r w:rsidR="00BB3B12">
        <w:t>results that are not statistically signific</w:t>
      </w:r>
      <w:r w:rsidR="00AE7021">
        <w:t>ant may still be considered rele</w:t>
      </w:r>
      <w:r w:rsidR="00BB3B12">
        <w:t>vant to the conclusions. C</w:t>
      </w:r>
      <w:r w:rsidR="0006689A">
        <w:t>areful consideration</w:t>
      </w:r>
      <w:r w:rsidR="00BB3B12">
        <w:t xml:space="preserve"> of the following contributed to all study conclusions:</w:t>
      </w:r>
    </w:p>
    <w:p w14:paraId="3277CD2F" w14:textId="77777777" w:rsidR="00BB3B12" w:rsidRDefault="0057723B" w:rsidP="00FA486B">
      <w:pPr>
        <w:pStyle w:val="ListParagraph"/>
        <w:numPr>
          <w:ilvl w:val="0"/>
          <w:numId w:val="36"/>
        </w:numPr>
      </w:pPr>
      <w:r w:rsidRPr="001E7162">
        <w:t>T</w:t>
      </w:r>
      <w:r w:rsidR="00BB3B12">
        <w:t>he magnitude of ORs</w:t>
      </w:r>
    </w:p>
    <w:p w14:paraId="39075F43" w14:textId="77777777" w:rsidR="00BB3B12" w:rsidRDefault="00BB3B12" w:rsidP="00FA486B">
      <w:pPr>
        <w:pStyle w:val="ListParagraph"/>
        <w:numPr>
          <w:ilvl w:val="0"/>
          <w:numId w:val="36"/>
        </w:numPr>
      </w:pPr>
      <w:r>
        <w:t xml:space="preserve">The width of </w:t>
      </w:r>
      <w:r w:rsidR="0057723B" w:rsidRPr="001E7162">
        <w:t>CIs</w:t>
      </w:r>
    </w:p>
    <w:p w14:paraId="6ADE6959" w14:textId="77777777" w:rsidR="00BB3B12" w:rsidRDefault="000B3C71" w:rsidP="00FA486B">
      <w:pPr>
        <w:pStyle w:val="ListParagraph"/>
        <w:numPr>
          <w:ilvl w:val="0"/>
          <w:numId w:val="36"/>
        </w:numPr>
      </w:pPr>
      <w:r>
        <w:rPr>
          <w:i/>
        </w:rPr>
        <w:t>P</w:t>
      </w:r>
      <w:r w:rsidR="0057723B">
        <w:t>-value</w:t>
      </w:r>
      <w:r w:rsidR="0057723B" w:rsidRPr="001E7162">
        <w:t>s</w:t>
      </w:r>
    </w:p>
    <w:p w14:paraId="717C7DA1" w14:textId="77777777" w:rsidR="00BB3B12" w:rsidRDefault="00BB3B12" w:rsidP="00FA486B">
      <w:pPr>
        <w:pStyle w:val="ListParagraph"/>
        <w:numPr>
          <w:ilvl w:val="0"/>
          <w:numId w:val="36"/>
        </w:numPr>
      </w:pPr>
      <w:r>
        <w:t>T</w:t>
      </w:r>
      <w:r w:rsidR="0057723B">
        <w:t xml:space="preserve">he presence </w:t>
      </w:r>
      <w:r w:rsidR="000B3C71">
        <w:t xml:space="preserve">or absence </w:t>
      </w:r>
      <w:r w:rsidR="0057723B">
        <w:t>of dose-response</w:t>
      </w:r>
      <w:r>
        <w:t xml:space="preserve"> </w:t>
      </w:r>
      <w:r w:rsidR="000B3C71">
        <w:t>trends</w:t>
      </w:r>
    </w:p>
    <w:p w14:paraId="4FEC84E5" w14:textId="77777777" w:rsidR="00BB3B12" w:rsidRDefault="00BB3B12" w:rsidP="00FA486B">
      <w:pPr>
        <w:pStyle w:val="ListParagraph"/>
        <w:numPr>
          <w:ilvl w:val="0"/>
          <w:numId w:val="36"/>
        </w:numPr>
      </w:pPr>
      <w:r>
        <w:t>The presenc</w:t>
      </w:r>
      <w:r w:rsidR="000B3C71">
        <w:t>e of consistency in the results</w:t>
      </w:r>
    </w:p>
    <w:p w14:paraId="3FB32553" w14:textId="77777777" w:rsidR="00BB3B12" w:rsidRDefault="000B3C71" w:rsidP="00FA486B">
      <w:pPr>
        <w:pStyle w:val="ListParagraph"/>
        <w:numPr>
          <w:ilvl w:val="0"/>
          <w:numId w:val="36"/>
        </w:numPr>
      </w:pPr>
      <w:r>
        <w:t>T</w:t>
      </w:r>
      <w:r w:rsidR="0057723B" w:rsidRPr="001E7162">
        <w:t xml:space="preserve">he plausibility of </w:t>
      </w:r>
      <w:r>
        <w:t>an</w:t>
      </w:r>
      <w:r w:rsidR="0057723B" w:rsidRPr="001E7162">
        <w:t xml:space="preserve"> association based on the scientific literature</w:t>
      </w:r>
    </w:p>
    <w:p w14:paraId="783B7067" w14:textId="1FFE4893" w:rsidR="00E35A60" w:rsidRDefault="000B3C71" w:rsidP="00FA486B">
      <w:pPr>
        <w:pStyle w:val="ListParagraph"/>
        <w:numPr>
          <w:ilvl w:val="0"/>
          <w:numId w:val="36"/>
        </w:numPr>
      </w:pPr>
      <w:r>
        <w:t xml:space="preserve">The presence and potential impact of any confounding, </w:t>
      </w:r>
      <w:r w:rsidR="0057723B" w:rsidRPr="001E7162">
        <w:t>measurement</w:t>
      </w:r>
      <w:r>
        <w:t xml:space="preserve"> error, or</w:t>
      </w:r>
      <w:r w:rsidR="00907681">
        <w:t xml:space="preserve"> </w:t>
      </w:r>
      <w:r>
        <w:t>b</w:t>
      </w:r>
      <w:r w:rsidR="00907681">
        <w:t>ias</w:t>
      </w:r>
      <w:r>
        <w:t>.</w:t>
      </w:r>
    </w:p>
    <w:p w14:paraId="0D8D67CB" w14:textId="77777777" w:rsidR="0057723B" w:rsidRPr="00DD6784" w:rsidRDefault="0057723B" w:rsidP="009B5DA2">
      <w:pPr>
        <w:pStyle w:val="Heading2"/>
      </w:pPr>
      <w:bookmarkStart w:id="96" w:name="_Toc67488282"/>
      <w:r w:rsidRPr="00DD6784">
        <w:t>PEER REVIEW</w:t>
      </w:r>
      <w:bookmarkEnd w:id="96"/>
    </w:p>
    <w:p w14:paraId="04D3873B" w14:textId="67F1E020" w:rsidR="0057723B" w:rsidRDefault="0057723B" w:rsidP="00FA486B">
      <w:r w:rsidRPr="00F80B1F">
        <w:t xml:space="preserve">Following completion of </w:t>
      </w:r>
      <w:r>
        <w:t xml:space="preserve">the </w:t>
      </w:r>
      <w:r w:rsidRPr="00F80B1F">
        <w:t xml:space="preserve">exposure assessment and data analysis </w:t>
      </w:r>
      <w:r>
        <w:t>in 2014</w:t>
      </w:r>
      <w:r w:rsidRPr="00F80B1F">
        <w:t xml:space="preserve">, </w:t>
      </w:r>
      <w:r>
        <w:t>a</w:t>
      </w:r>
      <w:r w:rsidRPr="00F80B1F">
        <w:t xml:space="preserve"> detailed study report of methods, results, and conclusions </w:t>
      </w:r>
      <w:r w:rsidR="00236663" w:rsidRPr="00F80B1F">
        <w:t>w</w:t>
      </w:r>
      <w:r w:rsidR="00236663">
        <w:t>as</w:t>
      </w:r>
      <w:r w:rsidR="00236663" w:rsidRPr="00F80B1F">
        <w:t xml:space="preserve"> </w:t>
      </w:r>
      <w:r w:rsidRPr="00F80B1F">
        <w:t>submitted to an independent peer review committee</w:t>
      </w:r>
      <w:r>
        <w:t xml:space="preserve">. </w:t>
      </w:r>
      <w:r w:rsidRPr="00F80B1F">
        <w:t>The purpose of the peer review w</w:t>
      </w:r>
      <w:r>
        <w:t>as</w:t>
      </w:r>
      <w:r w:rsidRPr="00F80B1F">
        <w:t xml:space="preserve"> to </w:t>
      </w:r>
      <w:r w:rsidRPr="00DD44A7">
        <w:t>ensur</w:t>
      </w:r>
      <w:r>
        <w:t>e</w:t>
      </w:r>
      <w:r w:rsidRPr="00DD44A7">
        <w:t xml:space="preserve"> that the methodology applied was scientifically valid and that the conclusions reached were justified by </w:t>
      </w:r>
      <w:r>
        <w:t xml:space="preserve">both </w:t>
      </w:r>
      <w:r w:rsidRPr="00DD44A7">
        <w:t>the methods used and results generated</w:t>
      </w:r>
      <w:r>
        <w:t xml:space="preserve">. The peer review committee was comprised of three scientists, one with expertise in childhood cancer, one with expertise in NDMA, and a third with expertise in water modeling. </w:t>
      </w:r>
    </w:p>
    <w:p w14:paraId="7A463B8F" w14:textId="77777777" w:rsidR="00C81D42" w:rsidRDefault="0057723B" w:rsidP="00FA486B">
      <w:pPr>
        <w:sectPr w:rsidR="00C81D42" w:rsidSect="00B26D34">
          <w:footerReference w:type="default" r:id="rId28"/>
          <w:pgSz w:w="12240" w:h="15840"/>
          <w:pgMar w:top="1440" w:right="1440" w:bottom="1440" w:left="1440" w:header="720" w:footer="720" w:gutter="0"/>
          <w:cols w:space="720"/>
          <w:docGrid w:linePitch="360"/>
        </w:sectPr>
      </w:pPr>
      <w:r>
        <w:t xml:space="preserve">The peer review committee suggested conducting additional analytical work related to the exposure assessment of NDMA to </w:t>
      </w:r>
      <w:r w:rsidR="001E5021">
        <w:t xml:space="preserve">validate analytic assumptions of key model parameters and to </w:t>
      </w:r>
      <w:r>
        <w:t xml:space="preserve">better evaluate uncertainty in the </w:t>
      </w:r>
      <w:r w:rsidR="001E5021">
        <w:t>modeling</w:t>
      </w:r>
      <w:r>
        <w:t xml:space="preserve">. The committee also </w:t>
      </w:r>
      <w:r>
        <w:lastRenderedPageBreak/>
        <w:t xml:space="preserve">recommended more work to evaluate the potential role of TCE in the town’s drinking water. </w:t>
      </w:r>
      <w:r w:rsidR="008C7921">
        <w:t xml:space="preserve">MDPH </w:t>
      </w:r>
      <w:r>
        <w:t xml:space="preserve">believed it was necessary to address the reviewers' comments before considering the study complete. </w:t>
      </w:r>
      <w:r w:rsidR="007405ED">
        <w:t>After additional review of historical records</w:t>
      </w:r>
      <w:r w:rsidR="002857EA">
        <w:t xml:space="preserve"> including a more detailed assessment of industrial water usage</w:t>
      </w:r>
      <w:r w:rsidR="007405ED">
        <w:t>, new groundwater modeling</w:t>
      </w:r>
      <w:r w:rsidR="002857EA">
        <w:t xml:space="preserve"> </w:t>
      </w:r>
      <w:r w:rsidR="001E5021">
        <w:t xml:space="preserve">was conducted in 2015-2017. The new modeling included monthly concentration estimates </w:t>
      </w:r>
      <w:r w:rsidR="002857EA">
        <w:t>for TCE, uncertainty evaluation</w:t>
      </w:r>
      <w:r w:rsidR="00725A34">
        <w:t xml:space="preserve"> of</w:t>
      </w:r>
      <w:r w:rsidR="002857EA">
        <w:t xml:space="preserve"> key model parameters, and </w:t>
      </w:r>
      <w:r w:rsidR="007405ED">
        <w:t xml:space="preserve">sensitivity </w:t>
      </w:r>
      <w:r w:rsidR="002857EA">
        <w:t xml:space="preserve">analyses </w:t>
      </w:r>
      <w:r w:rsidR="007405ED">
        <w:t>of the results</w:t>
      </w:r>
      <w:r w:rsidR="00725A34">
        <w:t xml:space="preserve"> (see Appendix C for details). Subsequent epidemiologic analyses </w:t>
      </w:r>
      <w:r>
        <w:t xml:space="preserve">were completed </w:t>
      </w:r>
      <w:r w:rsidR="007405ED">
        <w:t xml:space="preserve">in 2018 </w:t>
      </w:r>
      <w:r>
        <w:t>and a final peer review was conducted prior to study release in 2019.</w:t>
      </w:r>
    </w:p>
    <w:p w14:paraId="4F7E9D00" w14:textId="07DF4416" w:rsidR="00613D2D" w:rsidRPr="004973CB" w:rsidRDefault="00613D2D" w:rsidP="003477EB">
      <w:pPr>
        <w:pStyle w:val="Heading1"/>
      </w:pPr>
      <w:bookmarkStart w:id="97" w:name="_Toc67488283"/>
      <w:r w:rsidRPr="004973CB">
        <w:lastRenderedPageBreak/>
        <w:t>RESULTS</w:t>
      </w:r>
      <w:bookmarkEnd w:id="69"/>
      <w:bookmarkEnd w:id="97"/>
    </w:p>
    <w:p w14:paraId="4759EE9A" w14:textId="1E06181E" w:rsidR="00613D2D" w:rsidRPr="00F80B1F" w:rsidRDefault="00220505" w:rsidP="009B5DA2">
      <w:pPr>
        <w:pStyle w:val="Heading2"/>
      </w:pPr>
      <w:bookmarkStart w:id="98" w:name="_Toc365640919"/>
      <w:bookmarkStart w:id="99" w:name="_Toc67488284"/>
      <w:r w:rsidRPr="00F80B1F">
        <w:t>PARTICIPATION RATES</w:t>
      </w:r>
      <w:bookmarkEnd w:id="98"/>
      <w:bookmarkEnd w:id="99"/>
    </w:p>
    <w:p w14:paraId="60236F79" w14:textId="77777777" w:rsidR="00F22914" w:rsidRPr="00F80B1F" w:rsidRDefault="00F22914" w:rsidP="0010161F">
      <w:pPr>
        <w:pStyle w:val="Heading3"/>
      </w:pPr>
      <w:r>
        <w:t>Case Participation</w:t>
      </w:r>
    </w:p>
    <w:p w14:paraId="4A785384" w14:textId="4BC77390" w:rsidR="00272631" w:rsidRDefault="003363B8" w:rsidP="00FA486B">
      <w:r>
        <w:fldChar w:fldCharType="begin"/>
      </w:r>
      <w:r>
        <w:instrText xml:space="preserve"> REF  Figure7 \h </w:instrText>
      </w:r>
      <w:r w:rsidR="0040594E">
        <w:instrText xml:space="preserve"> \* MERGEFORMAT </w:instrText>
      </w:r>
      <w:r>
        <w:fldChar w:fldCharType="separate"/>
      </w:r>
      <w:r w:rsidR="00977423">
        <w:t xml:space="preserve">Figure </w:t>
      </w:r>
      <w:r w:rsidR="00977423">
        <w:rPr>
          <w:noProof/>
        </w:rPr>
        <w:t>7</w:t>
      </w:r>
      <w:r>
        <w:fldChar w:fldCharType="end"/>
      </w:r>
      <w:r w:rsidR="00613D2D" w:rsidRPr="00F80B1F">
        <w:t xml:space="preserve"> </w:t>
      </w:r>
      <w:r w:rsidR="00B75AB9">
        <w:t xml:space="preserve">details </w:t>
      </w:r>
      <w:r w:rsidR="00613D2D" w:rsidRPr="00F80B1F">
        <w:t xml:space="preserve">the </w:t>
      </w:r>
      <w:r w:rsidR="00272631">
        <w:t>case recruit</w:t>
      </w:r>
      <w:r w:rsidR="00B75AB9">
        <w:t xml:space="preserve">ment and participation </w:t>
      </w:r>
      <w:r w:rsidR="007F2932">
        <w:t>of the 22 children (</w:t>
      </w:r>
      <w:r w:rsidR="006B6553">
        <w:t>23 cancer diagnoses</w:t>
      </w:r>
      <w:r w:rsidR="007F2932">
        <w:t>)</w:t>
      </w:r>
      <w:r w:rsidR="00613D2D" w:rsidRPr="00F80B1F">
        <w:t xml:space="preserve"> reported to the MCR between 19</w:t>
      </w:r>
      <w:r w:rsidR="00C369F1">
        <w:t>90</w:t>
      </w:r>
      <w:r w:rsidR="00613D2D" w:rsidRPr="00F80B1F">
        <w:t xml:space="preserve"> and 2000</w:t>
      </w:r>
      <w:r w:rsidR="00716072">
        <w:t xml:space="preserve">. </w:t>
      </w:r>
      <w:r w:rsidR="007772BC">
        <w:t>T</w:t>
      </w:r>
      <w:r w:rsidR="002B4AF5">
        <w:t xml:space="preserve">he number of diagnoses </w:t>
      </w:r>
      <w:r w:rsidR="007772BC">
        <w:t xml:space="preserve">was </w:t>
      </w:r>
      <w:r w:rsidR="002B4AF5">
        <w:t>greater than the number of children</w:t>
      </w:r>
      <w:r w:rsidR="007772BC">
        <w:t xml:space="preserve"> because </w:t>
      </w:r>
      <w:r w:rsidR="002B4AF5">
        <w:t>o</w:t>
      </w:r>
      <w:r w:rsidR="00272631" w:rsidRPr="00F80B1F">
        <w:t xml:space="preserve">ne </w:t>
      </w:r>
      <w:r w:rsidR="00272631">
        <w:t xml:space="preserve">child </w:t>
      </w:r>
      <w:r w:rsidR="00272631" w:rsidRPr="00F80B1F">
        <w:t xml:space="preserve">was reported to the MCR as having two primary site cancers diagnosed </w:t>
      </w:r>
      <w:r w:rsidR="00272631">
        <w:t>approximately</w:t>
      </w:r>
      <w:r w:rsidR="00272631" w:rsidRPr="00F80B1F">
        <w:t xml:space="preserve"> five years apart</w:t>
      </w:r>
      <w:r w:rsidR="00716072">
        <w:t xml:space="preserve">. </w:t>
      </w:r>
      <w:r w:rsidR="007F2932">
        <w:t>T</w:t>
      </w:r>
      <w:r w:rsidR="00272631" w:rsidRPr="00F80B1F">
        <w:t xml:space="preserve">he second cancer was </w:t>
      </w:r>
      <w:r w:rsidR="00664BC7">
        <w:t>possibly</w:t>
      </w:r>
      <w:r w:rsidR="00612BF3">
        <w:t xml:space="preserve"> </w:t>
      </w:r>
      <w:r w:rsidR="00272631" w:rsidRPr="00F80B1F">
        <w:t>a treatment-induced cancer (AML) secondary to the first cancer (bone)</w:t>
      </w:r>
      <w:r w:rsidR="00716072">
        <w:t xml:space="preserve">. </w:t>
      </w:r>
      <w:r w:rsidR="007F2932">
        <w:t>Th</w:t>
      </w:r>
      <w:r w:rsidR="00797F91">
        <w:t>is</w:t>
      </w:r>
      <w:r w:rsidR="007F2932">
        <w:t xml:space="preserve"> child was recruited as a case, but only relative to their first primary cancer (bone)</w:t>
      </w:r>
      <w:r w:rsidR="00716072">
        <w:t xml:space="preserve">. </w:t>
      </w:r>
      <w:r w:rsidR="00C5431C">
        <w:t xml:space="preserve">The </w:t>
      </w:r>
      <w:r w:rsidR="00664BC7">
        <w:t xml:space="preserve">possibly </w:t>
      </w:r>
      <w:r w:rsidR="00C5431C">
        <w:t>treatment-induced cancer was not included in the study</w:t>
      </w:r>
      <w:r w:rsidR="00716072">
        <w:t xml:space="preserve">. </w:t>
      </w:r>
      <w:r w:rsidR="00C5431C">
        <w:t>In keeping with the study’s case definition, one child with a diagnosis of melanoma was also excluded from the study</w:t>
      </w:r>
      <w:r w:rsidR="00272631" w:rsidRPr="00F80B1F">
        <w:t>.</w:t>
      </w:r>
    </w:p>
    <w:p w14:paraId="0528D1A3" w14:textId="3776F52C" w:rsidR="00613D2D" w:rsidRDefault="00797F91" w:rsidP="00FA486B">
      <w:r>
        <w:t xml:space="preserve">Physicians for 20 of </w:t>
      </w:r>
      <w:r w:rsidR="00613D2D" w:rsidRPr="00F80B1F">
        <w:t>the</w:t>
      </w:r>
      <w:r w:rsidR="00272631">
        <w:t xml:space="preserve"> 2</w:t>
      </w:r>
      <w:r w:rsidR="00437DBF">
        <w:t>1</w:t>
      </w:r>
      <w:r w:rsidR="00272631">
        <w:t xml:space="preserve"> </w:t>
      </w:r>
      <w:r>
        <w:t xml:space="preserve">eligible </w:t>
      </w:r>
      <w:r w:rsidR="00272631">
        <w:t>children</w:t>
      </w:r>
      <w:r w:rsidR="00B25A41">
        <w:t xml:space="preserve"> </w:t>
      </w:r>
      <w:r>
        <w:t xml:space="preserve">provided </w:t>
      </w:r>
      <w:r w:rsidR="00437DBF">
        <w:t xml:space="preserve">permission for </w:t>
      </w:r>
      <w:r w:rsidR="00B25A41">
        <w:t>study recruitment</w:t>
      </w:r>
      <w:r w:rsidR="00716072">
        <w:t xml:space="preserve">. </w:t>
      </w:r>
      <w:r w:rsidR="001D2116">
        <w:t>O</w:t>
      </w:r>
      <w:r w:rsidR="00613D2D" w:rsidRPr="00F80B1F">
        <w:t xml:space="preserve">ne </w:t>
      </w:r>
      <w:r w:rsidR="001D2116">
        <w:t xml:space="preserve">family </w:t>
      </w:r>
      <w:r w:rsidR="00613D2D" w:rsidRPr="00F80B1F">
        <w:t xml:space="preserve">did not respond </w:t>
      </w:r>
      <w:r w:rsidR="001D2116">
        <w:t xml:space="preserve">to recruitment attempts </w:t>
      </w:r>
      <w:r w:rsidR="00613D2D" w:rsidRPr="00F80B1F">
        <w:t>and one refused enrollment</w:t>
      </w:r>
      <w:r w:rsidR="00716072">
        <w:t xml:space="preserve">. </w:t>
      </w:r>
      <w:r w:rsidR="001D2116">
        <w:t>T</w:t>
      </w:r>
      <w:r w:rsidR="00613D2D" w:rsidRPr="00F80B1F">
        <w:t xml:space="preserve">he remaining 18 </w:t>
      </w:r>
      <w:r w:rsidR="001D2116">
        <w:t xml:space="preserve">case </w:t>
      </w:r>
      <w:r w:rsidR="00613D2D" w:rsidRPr="00F80B1F">
        <w:t>c</w:t>
      </w:r>
      <w:r w:rsidR="001D2116">
        <w:t>hildren</w:t>
      </w:r>
      <w:r w:rsidR="00613D2D" w:rsidRPr="00F80B1F">
        <w:t xml:space="preserve"> were enrolled in the study</w:t>
      </w:r>
      <w:r w:rsidR="00BA5090">
        <w:t>,</w:t>
      </w:r>
      <w:r w:rsidR="00613D2D" w:rsidRPr="00F80B1F">
        <w:t xml:space="preserve"> </w:t>
      </w:r>
      <w:r w:rsidR="00BA5090">
        <w:t xml:space="preserve">resulting in </w:t>
      </w:r>
      <w:r w:rsidR="00613D2D" w:rsidRPr="00F80B1F">
        <w:t xml:space="preserve">a participation rate of </w:t>
      </w:r>
      <w:r w:rsidR="00C11E9E">
        <w:t>8</w:t>
      </w:r>
      <w:r w:rsidR="00055FB0">
        <w:t>6</w:t>
      </w:r>
      <w:r w:rsidR="00613D2D" w:rsidRPr="00F80B1F">
        <w:t xml:space="preserve">% </w:t>
      </w:r>
      <w:r w:rsidR="00613D2D" w:rsidRPr="00D471F4">
        <w:t xml:space="preserve">(see </w:t>
      </w:r>
      <w:r w:rsidR="003363B8">
        <w:fldChar w:fldCharType="begin"/>
      </w:r>
      <w:r w:rsidR="003363B8">
        <w:instrText xml:space="preserve"> REF  Figure7 \h </w:instrText>
      </w:r>
      <w:r w:rsidR="0040594E">
        <w:instrText xml:space="preserve"> \* MERGEFORMAT </w:instrText>
      </w:r>
      <w:r w:rsidR="003363B8">
        <w:fldChar w:fldCharType="separate"/>
      </w:r>
      <w:r w:rsidR="00977423">
        <w:t xml:space="preserve">Figure </w:t>
      </w:r>
      <w:r w:rsidR="00977423">
        <w:rPr>
          <w:noProof/>
        </w:rPr>
        <w:t>7</w:t>
      </w:r>
      <w:r w:rsidR="003363B8">
        <w:fldChar w:fldCharType="end"/>
      </w:r>
      <w:r w:rsidR="00613D2D" w:rsidRPr="00F80B1F">
        <w:t>)</w:t>
      </w:r>
      <w:r w:rsidR="00716072">
        <w:t xml:space="preserve">. </w:t>
      </w:r>
      <w:r w:rsidR="001A1608">
        <w:t>Residential histories were unavailable for any of the non-participating cases and, therefore, an evaluation of the potential for exposure to contaminants in drinking water</w:t>
      </w:r>
      <w:r w:rsidR="001A1608" w:rsidRPr="003F14D8">
        <w:t xml:space="preserve"> </w:t>
      </w:r>
      <w:r w:rsidR="001A1608">
        <w:t>was not possible for non-participating cases</w:t>
      </w:r>
      <w:r w:rsidR="00B803E7" w:rsidRPr="00BB3FD0">
        <w:t>.</w:t>
      </w:r>
    </w:p>
    <w:p w14:paraId="1A01E25D" w14:textId="4DC41B67" w:rsidR="00B75AB9" w:rsidRDefault="00FC2FF7" w:rsidP="0040594E">
      <w:pPr>
        <w:pStyle w:val="Caption"/>
        <w:keepNext/>
      </w:pPr>
      <w:bookmarkStart w:id="100" w:name="_Ref13219170"/>
      <w:bookmarkStart w:id="101" w:name="Figure7"/>
      <w:bookmarkStart w:id="102" w:name="_Toc45717782"/>
      <w:r>
        <w:rPr>
          <w:noProof/>
        </w:rPr>
        <w:drawing>
          <wp:anchor distT="0" distB="0" distL="114300" distR="114300" simplePos="0" relativeHeight="251670528" behindDoc="0" locked="0" layoutInCell="1" allowOverlap="1" wp14:anchorId="7A10B43E" wp14:editId="0E89CD62">
            <wp:simplePos x="0" y="0"/>
            <wp:positionH relativeFrom="margin">
              <wp:align>left</wp:align>
            </wp:positionH>
            <wp:positionV relativeFrom="paragraph">
              <wp:posOffset>434956</wp:posOffset>
            </wp:positionV>
            <wp:extent cx="5977556" cy="1717748"/>
            <wp:effectExtent l="19050" t="19050" r="23495" b="15875"/>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7556" cy="17177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742C5">
        <w:t xml:space="preserve">Figure </w:t>
      </w:r>
      <w:fldSimple w:instr=" SEQ Figure \* ARABIC ">
        <w:r w:rsidR="00977423">
          <w:rPr>
            <w:noProof/>
          </w:rPr>
          <w:t>7</w:t>
        </w:r>
      </w:fldSimple>
      <w:bookmarkEnd w:id="100"/>
      <w:bookmarkEnd w:id="101"/>
      <w:r w:rsidR="00A742C5">
        <w:t xml:space="preserve">. </w:t>
      </w:r>
      <w:r w:rsidR="00A742C5" w:rsidRPr="000C7739">
        <w:t>Recruitment and participation among 22 Wilmington childhood cancer cases (23 diagnoses), 1990-2000</w:t>
      </w:r>
      <w:bookmarkEnd w:id="102"/>
    </w:p>
    <w:p w14:paraId="7444A1EA" w14:textId="77777777" w:rsidR="005330DE" w:rsidRPr="005330DE" w:rsidRDefault="005330DE" w:rsidP="005330DE"/>
    <w:p w14:paraId="5555B77E" w14:textId="50DC3875" w:rsidR="00F22914" w:rsidRPr="00F80B1F" w:rsidRDefault="00F22914" w:rsidP="0010161F">
      <w:pPr>
        <w:pStyle w:val="Heading3"/>
      </w:pPr>
      <w:r>
        <w:t>Control Participation</w:t>
      </w:r>
    </w:p>
    <w:p w14:paraId="546D2EF8" w14:textId="00FE53E7" w:rsidR="00D471F4" w:rsidRDefault="00613D2D" w:rsidP="00FA486B">
      <w:r w:rsidRPr="00F80B1F">
        <w:t>A total of 305 controls were contacted for possible participation in the study</w:t>
      </w:r>
      <w:r w:rsidR="00716072">
        <w:t xml:space="preserve">. </w:t>
      </w:r>
      <w:r w:rsidRPr="00F80B1F">
        <w:t xml:space="preserve">Of these, </w:t>
      </w:r>
      <w:r w:rsidR="008A39F3">
        <w:t>73</w:t>
      </w:r>
      <w:r w:rsidR="006B6553" w:rsidRPr="00F80B1F">
        <w:t xml:space="preserve"> </w:t>
      </w:r>
      <w:r w:rsidRPr="00F80B1F">
        <w:t xml:space="preserve">were </w:t>
      </w:r>
      <w:r w:rsidR="00F73876">
        <w:t xml:space="preserve">found to </w:t>
      </w:r>
      <w:r w:rsidR="00410EE4">
        <w:t xml:space="preserve">be </w:t>
      </w:r>
      <w:r w:rsidRPr="00F80B1F">
        <w:t xml:space="preserve">ineligible </w:t>
      </w:r>
      <w:r w:rsidR="004B325F">
        <w:t>due to</w:t>
      </w:r>
      <w:r w:rsidRPr="00F80B1F">
        <w:t xml:space="preserve"> an incorrect address</w:t>
      </w:r>
      <w:r w:rsidR="004B325F">
        <w:t xml:space="preserve">, </w:t>
      </w:r>
      <w:r w:rsidR="00F73876">
        <w:t>failure to match a case</w:t>
      </w:r>
      <w:r w:rsidRPr="00F80B1F">
        <w:t xml:space="preserve"> on age </w:t>
      </w:r>
      <w:r w:rsidRPr="00F80B1F">
        <w:lastRenderedPageBreak/>
        <w:t>and sex</w:t>
      </w:r>
      <w:r w:rsidR="004B325F">
        <w:t xml:space="preserve">, </w:t>
      </w:r>
      <w:r w:rsidR="00F73876">
        <w:t xml:space="preserve">not being a </w:t>
      </w:r>
      <w:r w:rsidR="004425AE">
        <w:t>residen</w:t>
      </w:r>
      <w:r w:rsidR="00F73876">
        <w:t>t</w:t>
      </w:r>
      <w:r w:rsidR="004425AE">
        <w:t xml:space="preserve"> </w:t>
      </w:r>
      <w:r w:rsidR="00B81A48">
        <w:t xml:space="preserve">in Wilmington </w:t>
      </w:r>
      <w:r w:rsidR="00C74A38">
        <w:t>during</w:t>
      </w:r>
      <w:r w:rsidR="00F73876">
        <w:t xml:space="preserve"> the match</w:t>
      </w:r>
      <w:r w:rsidR="00C74A38">
        <w:t>ing</w:t>
      </w:r>
      <w:r w:rsidR="00F73876">
        <w:t xml:space="preserve"> case’s diagnosis date</w:t>
      </w:r>
      <w:r w:rsidR="00B81A48">
        <w:t>,</w:t>
      </w:r>
      <w:r w:rsidR="004425AE">
        <w:t xml:space="preserve"> or</w:t>
      </w:r>
      <w:r w:rsidR="00CE0270">
        <w:t>, in one instance,</w:t>
      </w:r>
      <w:r w:rsidR="004425AE">
        <w:t xml:space="preserve"> </w:t>
      </w:r>
      <w:r w:rsidR="00B81A48">
        <w:t>Wilmington residency prior to 1974 which prevented</w:t>
      </w:r>
      <w:r w:rsidR="004425AE">
        <w:t xml:space="preserve"> accurate exposure assessment</w:t>
      </w:r>
      <w:r w:rsidR="00716072">
        <w:t xml:space="preserve">. </w:t>
      </w:r>
      <w:r w:rsidRPr="00F80B1F">
        <w:t>An additional 1</w:t>
      </w:r>
      <w:r w:rsidR="008A39F3">
        <w:t>18</w:t>
      </w:r>
      <w:r w:rsidRPr="00F80B1F">
        <w:t xml:space="preserve"> did not respond </w:t>
      </w:r>
      <w:r w:rsidR="00464B11">
        <w:t xml:space="preserve">to any of the three mailings </w:t>
      </w:r>
      <w:r w:rsidRPr="00F80B1F">
        <w:t>and 4</w:t>
      </w:r>
      <w:r w:rsidR="00464B11">
        <w:t>0</w:t>
      </w:r>
      <w:r w:rsidRPr="00F80B1F">
        <w:t xml:space="preserve"> refused to participate</w:t>
      </w:r>
      <w:r w:rsidR="00716072">
        <w:t xml:space="preserve">. </w:t>
      </w:r>
      <w:r w:rsidRPr="00F80B1F">
        <w:t xml:space="preserve">In total, </w:t>
      </w:r>
      <w:r w:rsidR="00CE0270" w:rsidRPr="00F80B1F">
        <w:t>7</w:t>
      </w:r>
      <w:r w:rsidR="00CE0270">
        <w:t>4</w:t>
      </w:r>
      <w:r w:rsidR="00CE0270" w:rsidRPr="00F80B1F">
        <w:t xml:space="preserve"> </w:t>
      </w:r>
      <w:r w:rsidRPr="00F80B1F">
        <w:t xml:space="preserve">controls were enrolled and matched with the 18 participating cases for a </w:t>
      </w:r>
      <w:r w:rsidR="0034558F">
        <w:t xml:space="preserve">control </w:t>
      </w:r>
      <w:r w:rsidRPr="00F80B1F">
        <w:t xml:space="preserve">participation rate of </w:t>
      </w:r>
      <w:r w:rsidR="00464B11" w:rsidRPr="00F80B1F">
        <w:t>3</w:t>
      </w:r>
      <w:r w:rsidR="008A39F3">
        <w:t>2</w:t>
      </w:r>
      <w:r w:rsidRPr="00F80B1F">
        <w:t>% (</w:t>
      </w:r>
      <w:r w:rsidRPr="005257E9">
        <w:t xml:space="preserve">see </w:t>
      </w:r>
      <w:r w:rsidR="003363B8">
        <w:fldChar w:fldCharType="begin"/>
      </w:r>
      <w:r w:rsidR="003363B8">
        <w:instrText xml:space="preserve"> REF  Figure8 \h </w:instrText>
      </w:r>
      <w:r w:rsidR="0040594E">
        <w:instrText xml:space="preserve"> \* MERGEFORMAT </w:instrText>
      </w:r>
      <w:r w:rsidR="003363B8">
        <w:fldChar w:fldCharType="separate"/>
      </w:r>
      <w:r w:rsidR="00977423">
        <w:t xml:space="preserve">Figure </w:t>
      </w:r>
      <w:r w:rsidR="00977423">
        <w:rPr>
          <w:noProof/>
        </w:rPr>
        <w:t>8</w:t>
      </w:r>
      <w:r w:rsidR="003363B8">
        <w:fldChar w:fldCharType="end"/>
      </w:r>
      <w:r w:rsidRPr="00F80B1F">
        <w:t>)</w:t>
      </w:r>
      <w:r w:rsidR="00716072">
        <w:t xml:space="preserve">. </w:t>
      </w:r>
      <w:r w:rsidR="004448CD">
        <w:t xml:space="preserve">The recruitment and participation of controls for the </w:t>
      </w:r>
      <w:r w:rsidR="007F74B7">
        <w:t>Leukemia/Lymphoma</w:t>
      </w:r>
      <w:r w:rsidR="004448CD">
        <w:t xml:space="preserve"> subgroup followed</w:t>
      </w:r>
      <w:r w:rsidR="00CE0270">
        <w:t xml:space="preserve"> a</w:t>
      </w:r>
      <w:r w:rsidR="004448CD">
        <w:t xml:space="preserve"> similar pattern with 172 potential controls, 139 eligible controls, and</w:t>
      </w:r>
      <w:r w:rsidR="00410EE4">
        <w:t xml:space="preserve"> </w:t>
      </w:r>
      <w:r w:rsidR="004448CD">
        <w:t>45 enrolled for a participation rate of 32%.</w:t>
      </w:r>
    </w:p>
    <w:p w14:paraId="7BAFC3E5" w14:textId="70FFE004" w:rsidR="00A742C5" w:rsidRDefault="00FC2FF7" w:rsidP="0040594E">
      <w:pPr>
        <w:pStyle w:val="Caption"/>
        <w:keepNext/>
      </w:pPr>
      <w:bookmarkStart w:id="103" w:name="_Ref13219255"/>
      <w:bookmarkStart w:id="104" w:name="Figure8"/>
      <w:bookmarkStart w:id="105" w:name="_Toc45717783"/>
      <w:r>
        <w:rPr>
          <w:noProof/>
        </w:rPr>
        <w:drawing>
          <wp:anchor distT="0" distB="0" distL="114300" distR="114300" simplePos="0" relativeHeight="251671552" behindDoc="0" locked="0" layoutInCell="1" allowOverlap="1" wp14:anchorId="3A305C74" wp14:editId="33CCF680">
            <wp:simplePos x="0" y="0"/>
            <wp:positionH relativeFrom="column">
              <wp:posOffset>-38100</wp:posOffset>
            </wp:positionH>
            <wp:positionV relativeFrom="paragraph">
              <wp:posOffset>533400</wp:posOffset>
            </wp:positionV>
            <wp:extent cx="5897880" cy="2212848"/>
            <wp:effectExtent l="0" t="0" r="7620"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7880" cy="2212848"/>
                    </a:xfrm>
                    <a:prstGeom prst="rect">
                      <a:avLst/>
                    </a:prstGeom>
                    <a:noFill/>
                  </pic:spPr>
                </pic:pic>
              </a:graphicData>
            </a:graphic>
            <wp14:sizeRelH relativeFrom="page">
              <wp14:pctWidth>0</wp14:pctWidth>
            </wp14:sizeRelH>
            <wp14:sizeRelV relativeFrom="page">
              <wp14:pctHeight>0</wp14:pctHeight>
            </wp14:sizeRelV>
          </wp:anchor>
        </w:drawing>
      </w:r>
      <w:r w:rsidR="00A742C5">
        <w:t xml:space="preserve">Figure </w:t>
      </w:r>
      <w:fldSimple w:instr=" SEQ Figure \* ARABIC ">
        <w:r w:rsidR="00977423">
          <w:rPr>
            <w:noProof/>
          </w:rPr>
          <w:t>8</w:t>
        </w:r>
      </w:fldSimple>
      <w:bookmarkEnd w:id="103"/>
      <w:bookmarkEnd w:id="104"/>
      <w:r w:rsidR="00A742C5">
        <w:t xml:space="preserve">. </w:t>
      </w:r>
      <w:r w:rsidR="00A742C5" w:rsidRPr="00F97DAA">
        <w:t>Recruitment and participation of 305 potential controls for the Wilmington Childhood Cancer Study, 1990-2000</w:t>
      </w:r>
      <w:bookmarkEnd w:id="105"/>
    </w:p>
    <w:p w14:paraId="20FB264C" w14:textId="35883754" w:rsidR="00D471F4" w:rsidRDefault="00D471F4" w:rsidP="0040594E">
      <w:pPr>
        <w:spacing w:line="240" w:lineRule="auto"/>
      </w:pPr>
    </w:p>
    <w:p w14:paraId="5DF9000F" w14:textId="25F57366" w:rsidR="004448CD" w:rsidRDefault="00002BD9" w:rsidP="00FA486B">
      <w:r>
        <w:t xml:space="preserve">Since </w:t>
      </w:r>
      <w:r w:rsidR="001F5C68">
        <w:t>residential location</w:t>
      </w:r>
      <w:r>
        <w:t xml:space="preserve"> may be related to exposure,</w:t>
      </w:r>
      <w:r w:rsidR="008A573B">
        <w:t xml:space="preserve"> </w:t>
      </w:r>
      <w:r>
        <w:t>t</w:t>
      </w:r>
      <w:r w:rsidR="003F14D8" w:rsidRPr="003F14D8">
        <w:t xml:space="preserve">he geographic distribution of </w:t>
      </w:r>
      <w:r w:rsidR="008A573B" w:rsidRPr="003F14D8">
        <w:t>address</w:t>
      </w:r>
      <w:r w:rsidR="008A573B">
        <w:t>es for</w:t>
      </w:r>
      <w:r w:rsidR="008A573B" w:rsidRPr="003F14D8">
        <w:t xml:space="preserve"> </w:t>
      </w:r>
      <w:r w:rsidR="003F14D8" w:rsidRPr="003F14D8">
        <w:t xml:space="preserve">non-participating controls was compared to that of participating controls to </w:t>
      </w:r>
      <w:r w:rsidR="00C944D4" w:rsidRPr="003F14D8">
        <w:t xml:space="preserve">identify differences </w:t>
      </w:r>
      <w:r w:rsidR="00C944D4">
        <w:t>that might suggestion the presence of participation bias</w:t>
      </w:r>
      <w:r w:rsidR="00716072">
        <w:t xml:space="preserve">. </w:t>
      </w:r>
      <w:r w:rsidR="00C944D4">
        <w:t>T</w:t>
      </w:r>
      <w:r w:rsidR="003F14D8" w:rsidRPr="003F14D8">
        <w:t>he distribution of addresses of both groups was similar</w:t>
      </w:r>
      <w:r w:rsidR="00C944D4">
        <w:t xml:space="preserve"> with respect to </w:t>
      </w:r>
      <w:r w:rsidR="00E03F38">
        <w:t xml:space="preserve">the proportion of each within </w:t>
      </w:r>
      <w:r w:rsidR="007637ED">
        <w:t xml:space="preserve">the southern/southwest section of Wilmington receiving the higher concentrations of </w:t>
      </w:r>
      <w:r w:rsidR="001D5169" w:rsidRPr="00A26E6D">
        <w:rPr>
          <w:i/>
        </w:rPr>
        <w:t>n</w:t>
      </w:r>
      <w:r w:rsidR="001D5169" w:rsidRPr="006073BD">
        <w:t>-</w:t>
      </w:r>
      <w:proofErr w:type="spellStart"/>
      <w:r w:rsidR="001D5169" w:rsidRPr="006073BD">
        <w:rPr>
          <w:lang w:val="en"/>
        </w:rPr>
        <w:t>nitrosodimethylamine</w:t>
      </w:r>
      <w:proofErr w:type="spellEnd"/>
      <w:r w:rsidR="001D5169" w:rsidRPr="006073BD">
        <w:rPr>
          <w:lang w:val="en"/>
        </w:rPr>
        <w:t xml:space="preserve"> </w:t>
      </w:r>
      <w:r w:rsidR="001D5169">
        <w:rPr>
          <w:lang w:val="en"/>
        </w:rPr>
        <w:t>(</w:t>
      </w:r>
      <w:r w:rsidR="007637ED">
        <w:t>NDMA</w:t>
      </w:r>
      <w:r w:rsidR="001D5169">
        <w:t>)</w:t>
      </w:r>
      <w:r w:rsidR="007637ED">
        <w:t xml:space="preserve"> and </w:t>
      </w:r>
      <w:r w:rsidR="007B5D01">
        <w:t>trichloroethylene (</w:t>
      </w:r>
      <w:r w:rsidR="007637ED">
        <w:t>TCE</w:t>
      </w:r>
      <w:r w:rsidR="007B5D01">
        <w:t>)</w:t>
      </w:r>
      <w:r w:rsidR="007637ED">
        <w:t xml:space="preserve"> </w:t>
      </w:r>
      <w:r w:rsidR="002B1137">
        <w:t xml:space="preserve">(red/orange sections of town in </w:t>
      </w:r>
      <w:r w:rsidR="00361166">
        <w:fldChar w:fldCharType="begin"/>
      </w:r>
      <w:r w:rsidR="00361166">
        <w:instrText xml:space="preserve"> REF  Figure5 \h </w:instrText>
      </w:r>
      <w:r w:rsidR="00FA486B">
        <w:instrText xml:space="preserve"> \* MERGEFORMAT </w:instrText>
      </w:r>
      <w:r w:rsidR="00361166">
        <w:fldChar w:fldCharType="separate"/>
      </w:r>
      <w:r w:rsidR="00977423">
        <w:rPr>
          <w:noProof/>
        </w:rPr>
        <w:t>Figure</w:t>
      </w:r>
      <w:r w:rsidR="00977423">
        <w:t xml:space="preserve"> </w:t>
      </w:r>
      <w:r w:rsidR="00977423">
        <w:rPr>
          <w:noProof/>
        </w:rPr>
        <w:t>5</w:t>
      </w:r>
      <w:r w:rsidR="00361166">
        <w:fldChar w:fldCharType="end"/>
      </w:r>
      <w:r w:rsidR="00361166">
        <w:t xml:space="preserve"> </w:t>
      </w:r>
      <w:r w:rsidR="002B1137">
        <w:t xml:space="preserve">and </w:t>
      </w:r>
      <w:r w:rsidR="00361166">
        <w:fldChar w:fldCharType="begin"/>
      </w:r>
      <w:r w:rsidR="00361166">
        <w:instrText xml:space="preserve"> REF  Figure6 \h </w:instrText>
      </w:r>
      <w:r w:rsidR="00FA486B">
        <w:instrText xml:space="preserve"> \* MERGEFORMAT </w:instrText>
      </w:r>
      <w:r w:rsidR="00361166">
        <w:fldChar w:fldCharType="separate"/>
      </w:r>
      <w:r w:rsidR="00977423">
        <w:rPr>
          <w:rFonts w:eastAsiaTheme="minorEastAsia"/>
          <w:noProof/>
        </w:rPr>
        <w:t xml:space="preserve">Figure </w:t>
      </w:r>
      <w:r w:rsidR="00977423">
        <w:rPr>
          <w:noProof/>
        </w:rPr>
        <w:t>6</w:t>
      </w:r>
      <w:r w:rsidR="00361166">
        <w:fldChar w:fldCharType="end"/>
      </w:r>
      <w:r w:rsidR="002B1137">
        <w:t xml:space="preserve">) </w:t>
      </w:r>
      <w:r w:rsidR="007637ED">
        <w:t>and the northern/northe</w:t>
      </w:r>
      <w:r w:rsidR="00C67849">
        <w:t>a</w:t>
      </w:r>
      <w:r w:rsidR="007637ED">
        <w:t>st</w:t>
      </w:r>
      <w:r w:rsidR="00C67849">
        <w:t xml:space="preserve"> </w:t>
      </w:r>
      <w:r w:rsidR="007637ED">
        <w:t>section</w:t>
      </w:r>
      <w:r w:rsidR="00C67849">
        <w:t xml:space="preserve"> of town</w:t>
      </w:r>
      <w:r w:rsidR="00C944D4">
        <w:t xml:space="preserve">, </w:t>
      </w:r>
      <w:r w:rsidR="00C67849">
        <w:t>estimated to receive very little of the contaminants</w:t>
      </w:r>
      <w:r w:rsidR="00D62996">
        <w:t xml:space="preserve"> (green/blue sections of town in </w:t>
      </w:r>
      <w:r w:rsidR="00361166">
        <w:fldChar w:fldCharType="begin"/>
      </w:r>
      <w:r w:rsidR="00361166">
        <w:instrText xml:space="preserve"> REF  Figure5 \h </w:instrText>
      </w:r>
      <w:r w:rsidR="00FA486B">
        <w:instrText xml:space="preserve"> \* MERGEFORMAT </w:instrText>
      </w:r>
      <w:r w:rsidR="00361166">
        <w:fldChar w:fldCharType="separate"/>
      </w:r>
      <w:r w:rsidR="00977423">
        <w:rPr>
          <w:noProof/>
        </w:rPr>
        <w:t>Figure</w:t>
      </w:r>
      <w:r w:rsidR="00977423">
        <w:t xml:space="preserve"> </w:t>
      </w:r>
      <w:r w:rsidR="00977423">
        <w:rPr>
          <w:noProof/>
        </w:rPr>
        <w:t>5</w:t>
      </w:r>
      <w:r w:rsidR="00361166">
        <w:fldChar w:fldCharType="end"/>
      </w:r>
      <w:r w:rsidR="00361166">
        <w:t xml:space="preserve"> and </w:t>
      </w:r>
      <w:r w:rsidR="00361166">
        <w:fldChar w:fldCharType="begin"/>
      </w:r>
      <w:r w:rsidR="00361166">
        <w:instrText xml:space="preserve"> REF  Figure6 \h </w:instrText>
      </w:r>
      <w:r w:rsidR="00FA486B">
        <w:instrText xml:space="preserve"> \* MERGEFORMAT </w:instrText>
      </w:r>
      <w:r w:rsidR="00361166">
        <w:fldChar w:fldCharType="separate"/>
      </w:r>
      <w:r w:rsidR="00977423">
        <w:rPr>
          <w:rFonts w:eastAsiaTheme="minorEastAsia"/>
          <w:noProof/>
        </w:rPr>
        <w:t xml:space="preserve">Figure </w:t>
      </w:r>
      <w:r w:rsidR="00977423">
        <w:rPr>
          <w:noProof/>
        </w:rPr>
        <w:t>6</w:t>
      </w:r>
      <w:r w:rsidR="00361166">
        <w:fldChar w:fldCharType="end"/>
      </w:r>
      <w:r w:rsidR="00D62996">
        <w:t>)</w:t>
      </w:r>
      <w:r w:rsidR="002B1137">
        <w:t>.</w:t>
      </w:r>
      <w:r w:rsidR="00BB1808">
        <w:t xml:space="preserve"> </w:t>
      </w:r>
      <w:r w:rsidR="00B677E8">
        <w:t>Of 94</w:t>
      </w:r>
      <w:r w:rsidR="00BB1808">
        <w:t xml:space="preserve"> eligible </w:t>
      </w:r>
      <w:r w:rsidR="00B677E8">
        <w:t>controls in t</w:t>
      </w:r>
      <w:r w:rsidR="00BB1808">
        <w:t xml:space="preserve">he southern/southwest </w:t>
      </w:r>
      <w:r w:rsidR="00B677E8">
        <w:t>section</w:t>
      </w:r>
      <w:r w:rsidR="002B64AB">
        <w:t xml:space="preserve"> of Wilmington</w:t>
      </w:r>
      <w:r w:rsidR="00B677E8">
        <w:t xml:space="preserve">, 34% participated, and of 134 eligible controls in the </w:t>
      </w:r>
      <w:r w:rsidR="00BB1808">
        <w:t>northern/northeast section</w:t>
      </w:r>
      <w:r w:rsidR="002B64AB">
        <w:t xml:space="preserve"> of Wilmington</w:t>
      </w:r>
      <w:r w:rsidR="00BB1808">
        <w:t xml:space="preserve">, </w:t>
      </w:r>
      <w:r w:rsidR="00B677E8">
        <w:t>31% participated</w:t>
      </w:r>
      <w:r w:rsidR="00716072">
        <w:t xml:space="preserve">. </w:t>
      </w:r>
      <w:r w:rsidR="00C67849">
        <w:t xml:space="preserve">This </w:t>
      </w:r>
      <w:r w:rsidR="00C944D4">
        <w:t>suggest</w:t>
      </w:r>
      <w:r w:rsidR="00C67849">
        <w:t>s</w:t>
      </w:r>
      <w:r w:rsidR="00573F52">
        <w:t xml:space="preserve"> </w:t>
      </w:r>
      <w:r w:rsidR="003F14D8" w:rsidRPr="003F14D8">
        <w:t xml:space="preserve">that </w:t>
      </w:r>
      <w:r w:rsidR="00573F52">
        <w:t xml:space="preserve">control </w:t>
      </w:r>
      <w:r w:rsidR="003F14D8" w:rsidRPr="003F14D8">
        <w:t>participati</w:t>
      </w:r>
      <w:r w:rsidR="00573F52">
        <w:t>o</w:t>
      </w:r>
      <w:r w:rsidR="003F14D8" w:rsidRPr="003F14D8">
        <w:t>n</w:t>
      </w:r>
      <w:r w:rsidR="00573F52">
        <w:t xml:space="preserve"> was </w:t>
      </w:r>
      <w:r w:rsidR="00B803E7">
        <w:t xml:space="preserve">likely </w:t>
      </w:r>
      <w:r w:rsidR="00573F52">
        <w:t xml:space="preserve">not related to the </w:t>
      </w:r>
      <w:r w:rsidR="003F14D8" w:rsidRPr="003F14D8">
        <w:t>opportunit</w:t>
      </w:r>
      <w:r w:rsidR="00573F52">
        <w:t>y</w:t>
      </w:r>
      <w:r w:rsidR="003F14D8" w:rsidRPr="003F14D8">
        <w:t xml:space="preserve"> for </w:t>
      </w:r>
      <w:r w:rsidR="001D2116" w:rsidRPr="003F14D8">
        <w:t xml:space="preserve">exposure </w:t>
      </w:r>
      <w:r w:rsidR="001D2116">
        <w:t xml:space="preserve">to </w:t>
      </w:r>
      <w:r w:rsidR="003F14D8" w:rsidRPr="003F14D8">
        <w:t>drinking water contaminant</w:t>
      </w:r>
      <w:r w:rsidR="001D2116">
        <w:t>s</w:t>
      </w:r>
      <w:r w:rsidR="00716072">
        <w:t xml:space="preserve">. </w:t>
      </w:r>
      <w:r w:rsidR="00B803E7">
        <w:t>However, only current addresses were available for non-participating controls (not full residential histories) so a detailed assessment of drinking water contaminant exposure was not possible for those controls who did not participate</w:t>
      </w:r>
      <w:r w:rsidR="00B803E7" w:rsidRPr="00BB3FD0">
        <w:t>.</w:t>
      </w:r>
    </w:p>
    <w:p w14:paraId="3484201C" w14:textId="2E67376E" w:rsidR="00903D9C" w:rsidRDefault="004448CD" w:rsidP="00FA486B">
      <w:r w:rsidRPr="00F80B1F">
        <w:lastRenderedPageBreak/>
        <w:t xml:space="preserve">The </w:t>
      </w:r>
      <w:r>
        <w:t xml:space="preserve">average </w:t>
      </w:r>
      <w:r w:rsidRPr="00F80B1F">
        <w:t xml:space="preserve">number of matched controls </w:t>
      </w:r>
      <w:r>
        <w:t>per case was 4.</w:t>
      </w:r>
      <w:r w:rsidR="00B81A48">
        <w:t>1</w:t>
      </w:r>
      <w:r>
        <w:t>, matching the original study design goal</w:t>
      </w:r>
      <w:r w:rsidR="00716072">
        <w:t xml:space="preserve">. </w:t>
      </w:r>
      <w:r>
        <w:t xml:space="preserve">The number of matched controls </w:t>
      </w:r>
      <w:r w:rsidRPr="00F80B1F">
        <w:t xml:space="preserve">ranged from three to six per case, </w:t>
      </w:r>
      <w:r>
        <w:t>with</w:t>
      </w:r>
      <w:r w:rsidRPr="00F80B1F">
        <w:t xml:space="preserve"> only t</w:t>
      </w:r>
      <w:r w:rsidR="005B1604">
        <w:t>hree</w:t>
      </w:r>
      <w:r w:rsidRPr="00F80B1F">
        <w:t xml:space="preserve"> cases ha</w:t>
      </w:r>
      <w:r>
        <w:t>ving</w:t>
      </w:r>
      <w:r w:rsidRPr="00F80B1F">
        <w:t xml:space="preserve"> less than four</w:t>
      </w:r>
      <w:r>
        <w:t xml:space="preserve"> (see</w:t>
      </w:r>
      <w:r w:rsidR="008161F4">
        <w:t xml:space="preserve"> </w:t>
      </w:r>
      <w:r w:rsidR="003363B8">
        <w:fldChar w:fldCharType="begin"/>
      </w:r>
      <w:r w:rsidR="003363B8">
        <w:instrText xml:space="preserve"> REF  Figure9 \h </w:instrText>
      </w:r>
      <w:r w:rsidR="0040594E">
        <w:instrText xml:space="preserve"> \* MERGEFORMAT </w:instrText>
      </w:r>
      <w:r w:rsidR="003363B8">
        <w:fldChar w:fldCharType="separate"/>
      </w:r>
      <w:r w:rsidR="00977423">
        <w:t xml:space="preserve">Figure </w:t>
      </w:r>
      <w:r w:rsidR="00977423">
        <w:rPr>
          <w:noProof/>
        </w:rPr>
        <w:t>9</w:t>
      </w:r>
      <w:r w:rsidR="003363B8">
        <w:fldChar w:fldCharType="end"/>
      </w:r>
      <w:r>
        <w:t>)</w:t>
      </w:r>
      <w:r w:rsidR="00716072">
        <w:t xml:space="preserve">. </w:t>
      </w:r>
      <w:r>
        <w:t xml:space="preserve">The </w:t>
      </w:r>
      <w:proofErr w:type="spellStart"/>
      <w:r>
        <w:t>case:control</w:t>
      </w:r>
      <w:proofErr w:type="spellEnd"/>
      <w:r>
        <w:t xml:space="preserve"> ratio for the </w:t>
      </w:r>
      <w:r w:rsidR="00236663">
        <w:t>L</w:t>
      </w:r>
      <w:r>
        <w:t>eukemia/</w:t>
      </w:r>
      <w:r w:rsidR="00236663">
        <w:t>L</w:t>
      </w:r>
      <w:r>
        <w:t>ymphoma subgroup was similar at 4.1 with one case having three controls and two cases having five controls.</w:t>
      </w:r>
    </w:p>
    <w:p w14:paraId="10996BC1" w14:textId="34275070" w:rsidR="005330DE" w:rsidRDefault="005330DE" w:rsidP="005330DE">
      <w:pPr>
        <w:pStyle w:val="Caption"/>
        <w:keepNext/>
      </w:pPr>
      <w:bookmarkStart w:id="106" w:name="_Ref13219323"/>
      <w:bookmarkStart w:id="107" w:name="Figure9"/>
      <w:bookmarkStart w:id="108" w:name="_Toc45717784"/>
      <w:r>
        <w:rPr>
          <w:noProof/>
        </w:rPr>
        <w:drawing>
          <wp:anchor distT="0" distB="0" distL="114300" distR="114300" simplePos="0" relativeHeight="251672576" behindDoc="0" locked="0" layoutInCell="1" allowOverlap="1" wp14:anchorId="7AAE9006" wp14:editId="3995D58F">
            <wp:simplePos x="0" y="0"/>
            <wp:positionH relativeFrom="margin">
              <wp:align>left</wp:align>
            </wp:positionH>
            <wp:positionV relativeFrom="paragraph">
              <wp:posOffset>379095</wp:posOffset>
            </wp:positionV>
            <wp:extent cx="5956935" cy="3177540"/>
            <wp:effectExtent l="0" t="0" r="5715" b="3810"/>
            <wp:wrapTopAndBottom/>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A742C5">
        <w:t xml:space="preserve">Figure </w:t>
      </w:r>
      <w:fldSimple w:instr=" SEQ Figure \* ARABIC ">
        <w:r w:rsidR="00977423">
          <w:rPr>
            <w:noProof/>
          </w:rPr>
          <w:t>9</w:t>
        </w:r>
      </w:fldSimple>
      <w:bookmarkEnd w:id="106"/>
      <w:bookmarkEnd w:id="107"/>
      <w:r w:rsidR="00A742C5">
        <w:t xml:space="preserve">. </w:t>
      </w:r>
      <w:proofErr w:type="spellStart"/>
      <w:proofErr w:type="gramStart"/>
      <w:r w:rsidR="00A742C5" w:rsidRPr="000E3ADB">
        <w:t>Case:Control</w:t>
      </w:r>
      <w:proofErr w:type="spellEnd"/>
      <w:proofErr w:type="gramEnd"/>
      <w:r w:rsidR="00A742C5" w:rsidRPr="000E3ADB">
        <w:t xml:space="preserve"> Ratio for the Wilmington Childhood Cancer Study, 1990-2000</w:t>
      </w:r>
      <w:bookmarkEnd w:id="108"/>
    </w:p>
    <w:p w14:paraId="1B75AE07" w14:textId="7F8693D2" w:rsidR="00613D2D" w:rsidRDefault="00613D2D" w:rsidP="005330DE">
      <w:pPr>
        <w:pStyle w:val="Caption"/>
        <w:keepNext/>
      </w:pPr>
    </w:p>
    <w:p w14:paraId="0CA20C80" w14:textId="4BF3DDCE" w:rsidR="00613D2D" w:rsidRPr="002F5F38" w:rsidRDefault="004B0A61" w:rsidP="0010161F">
      <w:pPr>
        <w:pStyle w:val="Heading3"/>
      </w:pPr>
      <w:r>
        <w:t xml:space="preserve">Characteristics of Participating and Non-participating </w:t>
      </w:r>
      <w:r w:rsidR="002F5F38" w:rsidRPr="002F5F38">
        <w:t>Case</w:t>
      </w:r>
      <w:r>
        <w:t>s</w:t>
      </w:r>
    </w:p>
    <w:p w14:paraId="3FC648B1" w14:textId="53660FD9" w:rsidR="00FB6843" w:rsidRDefault="003363B8" w:rsidP="00FA486B">
      <w:r>
        <w:fldChar w:fldCharType="begin"/>
      </w:r>
      <w:r>
        <w:instrText xml:space="preserve"> REF  Table6 \h </w:instrText>
      </w:r>
      <w:r w:rsidR="0040594E">
        <w:instrText xml:space="preserve"> \* MERGEFORMAT </w:instrText>
      </w:r>
      <w:r>
        <w:fldChar w:fldCharType="separate"/>
      </w:r>
      <w:r w:rsidR="00977423">
        <w:t xml:space="preserve">Table </w:t>
      </w:r>
      <w:r w:rsidR="00977423">
        <w:rPr>
          <w:noProof/>
        </w:rPr>
        <w:t>6</w:t>
      </w:r>
      <w:r>
        <w:fldChar w:fldCharType="end"/>
      </w:r>
      <w:r>
        <w:t xml:space="preserve"> </w:t>
      </w:r>
      <w:r w:rsidR="007D2A6F">
        <w:t xml:space="preserve">presents characteristics of the 18 </w:t>
      </w:r>
      <w:r w:rsidR="00E63A60">
        <w:t>childhood cancer cases enrolled in the study and the 3 cases that did not participate</w:t>
      </w:r>
      <w:r w:rsidR="00716072">
        <w:t xml:space="preserve">. </w:t>
      </w:r>
      <w:r w:rsidR="00613D2D" w:rsidRPr="00F80B1F">
        <w:t>Twelve out of the eighteen enrolled cases were male (67%)</w:t>
      </w:r>
      <w:r w:rsidR="00716072">
        <w:t xml:space="preserve">. </w:t>
      </w:r>
      <w:r w:rsidR="00613D2D" w:rsidRPr="00F80B1F">
        <w:t xml:space="preserve">The age range of </w:t>
      </w:r>
      <w:r w:rsidR="00E63A60">
        <w:t xml:space="preserve">enrolled </w:t>
      </w:r>
      <w:r w:rsidR="00613D2D" w:rsidRPr="00F80B1F">
        <w:t xml:space="preserve">children diagnosed with cancer was between 1-19 years, with </w:t>
      </w:r>
      <w:r w:rsidR="00E63A60">
        <w:t>7 children (</w:t>
      </w:r>
      <w:r w:rsidR="00613D2D" w:rsidRPr="00F80B1F">
        <w:t>39%</w:t>
      </w:r>
      <w:r w:rsidR="00E63A60">
        <w:t>)</w:t>
      </w:r>
      <w:r w:rsidR="00613D2D" w:rsidRPr="00F80B1F">
        <w:t xml:space="preserve"> diagnosed at the age of four years </w:t>
      </w:r>
      <w:r w:rsidR="00E63A60">
        <w:t>or less</w:t>
      </w:r>
      <w:r w:rsidR="00716072">
        <w:t xml:space="preserve">. </w:t>
      </w:r>
      <w:r w:rsidR="00613D2D" w:rsidRPr="00F80B1F">
        <w:t xml:space="preserve">The mean age at diagnosis </w:t>
      </w:r>
      <w:r w:rsidR="00E63A60">
        <w:t>for participating cases was</w:t>
      </w:r>
      <w:r w:rsidR="00E63A60" w:rsidRPr="00F80B1F">
        <w:t xml:space="preserve"> </w:t>
      </w:r>
      <w:r w:rsidR="00613D2D" w:rsidRPr="00F80B1F">
        <w:t>8.</w:t>
      </w:r>
      <w:r w:rsidR="0098537F">
        <w:t>8</w:t>
      </w:r>
      <w:r w:rsidR="00613D2D" w:rsidRPr="00F80B1F">
        <w:t xml:space="preserve"> years</w:t>
      </w:r>
      <w:r w:rsidR="00716072">
        <w:t xml:space="preserve">. </w:t>
      </w:r>
      <w:r w:rsidR="00E63A60">
        <w:t>Of the</w:t>
      </w:r>
      <w:r w:rsidR="007255B6" w:rsidRPr="00F80B1F">
        <w:t xml:space="preserve"> </w:t>
      </w:r>
      <w:r w:rsidR="00E63A60">
        <w:t xml:space="preserve">three </w:t>
      </w:r>
      <w:r w:rsidR="007255B6" w:rsidRPr="00F80B1F">
        <w:t>cases</w:t>
      </w:r>
      <w:r w:rsidR="00800501">
        <w:t xml:space="preserve"> not enrolled</w:t>
      </w:r>
      <w:r w:rsidR="00E63A60">
        <w:t>, one was male and two were female; two were</w:t>
      </w:r>
      <w:r w:rsidR="007255B6" w:rsidRPr="00F80B1F">
        <w:t xml:space="preserve"> in the </w:t>
      </w:r>
      <w:proofErr w:type="gramStart"/>
      <w:r w:rsidR="007255B6" w:rsidRPr="00F80B1F">
        <w:t>10-14 year</w:t>
      </w:r>
      <w:proofErr w:type="gramEnd"/>
      <w:r w:rsidR="007255B6" w:rsidRPr="00F80B1F">
        <w:t xml:space="preserve"> age group a</w:t>
      </w:r>
      <w:r w:rsidR="00E63A60">
        <w:t>t diagnosis a</w:t>
      </w:r>
      <w:r w:rsidR="007255B6" w:rsidRPr="00F80B1F">
        <w:t>nd one w</w:t>
      </w:r>
      <w:r w:rsidR="00E63A60">
        <w:t>as in the 15-19 year age group</w:t>
      </w:r>
      <w:r w:rsidR="00CA6839">
        <w:t xml:space="preserve"> (</w:t>
      </w:r>
      <w:r w:rsidR="005F6C24">
        <w:fldChar w:fldCharType="begin"/>
      </w:r>
      <w:r w:rsidR="005F6C24">
        <w:instrText xml:space="preserve"> REF  Table6 \h </w:instrText>
      </w:r>
      <w:r w:rsidR="00FA486B">
        <w:instrText xml:space="preserve"> \* MERGEFORMAT </w:instrText>
      </w:r>
      <w:r w:rsidR="005F6C24">
        <w:fldChar w:fldCharType="separate"/>
      </w:r>
      <w:r w:rsidR="00977423">
        <w:t xml:space="preserve">Table </w:t>
      </w:r>
      <w:r w:rsidR="00977423">
        <w:rPr>
          <w:noProof/>
        </w:rPr>
        <w:t>6</w:t>
      </w:r>
      <w:r w:rsidR="005F6C24">
        <w:fldChar w:fldCharType="end"/>
      </w:r>
      <w:r w:rsidR="00CA6839">
        <w:t>)</w:t>
      </w:r>
      <w:r w:rsidR="00716072">
        <w:t xml:space="preserve">. </w:t>
      </w:r>
      <w:r w:rsidR="00CA6839">
        <w:t xml:space="preserve">Among the 11 children in the </w:t>
      </w:r>
      <w:r w:rsidR="00236663">
        <w:t>L</w:t>
      </w:r>
      <w:r w:rsidR="00CA6839">
        <w:t>eukemia/</w:t>
      </w:r>
      <w:r w:rsidR="00236663">
        <w:t>L</w:t>
      </w:r>
      <w:r w:rsidR="00CA6839">
        <w:t>ymphoma subgroup, all were enrolled in the study and 8 of the children were male (73%)</w:t>
      </w:r>
      <w:r w:rsidR="00716072">
        <w:t xml:space="preserve">. </w:t>
      </w:r>
      <w:r w:rsidR="00CA6839">
        <w:t>All leukemia diagnoses occurred before the age of 10 years with five diagnosed before the age of 5 years</w:t>
      </w:r>
      <w:r w:rsidR="00716072">
        <w:t xml:space="preserve">. </w:t>
      </w:r>
      <w:r w:rsidR="00CA6839">
        <w:t>All 3 children with lymphoma were diagnosed after the age of 1</w:t>
      </w:r>
      <w:r w:rsidR="00B970CB">
        <w:t>3</w:t>
      </w:r>
      <w:r w:rsidR="00CA6839">
        <w:t>.</w:t>
      </w:r>
      <w:r w:rsidR="00FB6843">
        <w:br w:type="page"/>
      </w:r>
    </w:p>
    <w:p w14:paraId="34DF7F00" w14:textId="6749F25A" w:rsidR="00903D9C" w:rsidRDefault="00903D9C" w:rsidP="0040594E">
      <w:pPr>
        <w:pStyle w:val="Caption"/>
        <w:keepNext/>
      </w:pPr>
      <w:bookmarkStart w:id="109" w:name="_Ref12009202"/>
      <w:bookmarkStart w:id="110" w:name="Table6"/>
      <w:bookmarkStart w:id="111" w:name="_Toc12012870"/>
      <w:bookmarkStart w:id="112" w:name="_Toc12013064"/>
      <w:bookmarkStart w:id="113" w:name="_Toc45714885"/>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6</w:t>
      </w:r>
      <w:r w:rsidR="00D616DB">
        <w:rPr>
          <w:noProof/>
        </w:rPr>
        <w:fldChar w:fldCharType="end"/>
      </w:r>
      <w:bookmarkEnd w:id="109"/>
      <w:bookmarkEnd w:id="110"/>
      <w:r w:rsidR="00716072">
        <w:t xml:space="preserve">. </w:t>
      </w:r>
      <w:r w:rsidRPr="00A03A65">
        <w:t>Characteristics of 21 eligible Wilmington childhood cancer cases, 19</w:t>
      </w:r>
      <w:r w:rsidR="00C369F1">
        <w:t>90</w:t>
      </w:r>
      <w:r w:rsidRPr="00A03A65">
        <w:t>-2000</w:t>
      </w:r>
      <w:bookmarkEnd w:id="111"/>
      <w:bookmarkEnd w:id="112"/>
      <w:bookmarkEnd w:id="113"/>
    </w:p>
    <w:tbl>
      <w:tblPr>
        <w:tblW w:w="9312" w:type="dxa"/>
        <w:tblLook w:val="04A0" w:firstRow="1" w:lastRow="0" w:firstColumn="1" w:lastColumn="0" w:noHBand="0" w:noVBand="1"/>
      </w:tblPr>
      <w:tblGrid>
        <w:gridCol w:w="93"/>
        <w:gridCol w:w="3612"/>
        <w:gridCol w:w="93"/>
        <w:gridCol w:w="438"/>
        <w:gridCol w:w="93"/>
        <w:gridCol w:w="967"/>
        <w:gridCol w:w="93"/>
        <w:gridCol w:w="129"/>
        <w:gridCol w:w="93"/>
        <w:gridCol w:w="914"/>
        <w:gridCol w:w="93"/>
        <w:gridCol w:w="312"/>
        <w:gridCol w:w="93"/>
        <w:gridCol w:w="967"/>
        <w:gridCol w:w="93"/>
        <w:gridCol w:w="129"/>
        <w:gridCol w:w="93"/>
        <w:gridCol w:w="914"/>
        <w:gridCol w:w="93"/>
      </w:tblGrid>
      <w:tr w:rsidR="00E63A60" w:rsidRPr="00E35A60" w14:paraId="3A61511F" w14:textId="77777777" w:rsidTr="00493592">
        <w:trPr>
          <w:gridBefore w:val="1"/>
          <w:wBefore w:w="93" w:type="dxa"/>
          <w:trHeight w:val="302"/>
        </w:trPr>
        <w:tc>
          <w:tcPr>
            <w:tcW w:w="3705" w:type="dxa"/>
            <w:gridSpan w:val="2"/>
            <w:tcBorders>
              <w:top w:val="single" w:sz="4" w:space="0" w:color="auto"/>
              <w:bottom w:val="single" w:sz="4" w:space="0" w:color="auto"/>
              <w:right w:val="nil"/>
            </w:tcBorders>
            <w:shd w:val="clear" w:color="auto" w:fill="auto"/>
            <w:noWrap/>
            <w:vAlign w:val="center"/>
            <w:hideMark/>
          </w:tcPr>
          <w:p w14:paraId="7D17EE86" w14:textId="77777777" w:rsidR="00E63A60" w:rsidRPr="00E35A60" w:rsidRDefault="007727EA" w:rsidP="006312FD">
            <w:pPr>
              <w:pStyle w:val="Tableheaders"/>
            </w:pPr>
            <w:r w:rsidRPr="00E35A60">
              <w:t>Characteristics</w:t>
            </w:r>
          </w:p>
        </w:tc>
        <w:tc>
          <w:tcPr>
            <w:tcW w:w="531" w:type="dxa"/>
            <w:gridSpan w:val="2"/>
            <w:tcBorders>
              <w:top w:val="single" w:sz="4" w:space="0" w:color="auto"/>
              <w:left w:val="nil"/>
              <w:bottom w:val="nil"/>
              <w:right w:val="nil"/>
            </w:tcBorders>
            <w:shd w:val="clear" w:color="auto" w:fill="auto"/>
            <w:noWrap/>
            <w:vAlign w:val="bottom"/>
            <w:hideMark/>
          </w:tcPr>
          <w:p w14:paraId="1A268E7B" w14:textId="77777777" w:rsidR="00E63A60" w:rsidRPr="00E35A60" w:rsidRDefault="00E63A60" w:rsidP="006312FD">
            <w:pPr>
              <w:pStyle w:val="Tableheaders"/>
            </w:pPr>
          </w:p>
        </w:tc>
        <w:tc>
          <w:tcPr>
            <w:tcW w:w="2289" w:type="dxa"/>
            <w:gridSpan w:val="6"/>
            <w:tcBorders>
              <w:top w:val="single" w:sz="4" w:space="0" w:color="auto"/>
              <w:left w:val="nil"/>
              <w:bottom w:val="single" w:sz="8" w:space="0" w:color="auto"/>
              <w:right w:val="nil"/>
            </w:tcBorders>
            <w:shd w:val="clear" w:color="auto" w:fill="auto"/>
            <w:noWrap/>
            <w:vAlign w:val="center"/>
            <w:hideMark/>
          </w:tcPr>
          <w:p w14:paraId="5434CBA4" w14:textId="77777777" w:rsidR="00E63A60" w:rsidRPr="00E35A60" w:rsidRDefault="00E63A60" w:rsidP="006312FD">
            <w:pPr>
              <w:pStyle w:val="Tableheaders"/>
            </w:pPr>
            <w:r w:rsidRPr="00E35A60">
              <w:t>Enrolled (n=18)</w:t>
            </w:r>
          </w:p>
        </w:tc>
        <w:tc>
          <w:tcPr>
            <w:tcW w:w="405" w:type="dxa"/>
            <w:gridSpan w:val="2"/>
            <w:tcBorders>
              <w:top w:val="single" w:sz="4" w:space="0" w:color="auto"/>
              <w:left w:val="nil"/>
              <w:bottom w:val="nil"/>
              <w:right w:val="nil"/>
            </w:tcBorders>
            <w:shd w:val="clear" w:color="auto" w:fill="auto"/>
            <w:noWrap/>
            <w:vAlign w:val="bottom"/>
            <w:hideMark/>
          </w:tcPr>
          <w:p w14:paraId="08752CF2" w14:textId="77777777" w:rsidR="00E63A60" w:rsidRPr="00E35A60" w:rsidRDefault="00E63A60" w:rsidP="006312FD">
            <w:pPr>
              <w:pStyle w:val="Tableheaders"/>
            </w:pPr>
          </w:p>
        </w:tc>
        <w:tc>
          <w:tcPr>
            <w:tcW w:w="2289" w:type="dxa"/>
            <w:gridSpan w:val="6"/>
            <w:tcBorders>
              <w:top w:val="single" w:sz="4" w:space="0" w:color="auto"/>
              <w:left w:val="nil"/>
              <w:bottom w:val="single" w:sz="8" w:space="0" w:color="auto"/>
              <w:right w:val="nil"/>
            </w:tcBorders>
            <w:shd w:val="clear" w:color="auto" w:fill="auto"/>
            <w:noWrap/>
            <w:vAlign w:val="center"/>
            <w:hideMark/>
          </w:tcPr>
          <w:p w14:paraId="1249F5A4" w14:textId="77777777" w:rsidR="00E63A60" w:rsidRPr="00E35A60" w:rsidRDefault="00800501" w:rsidP="006312FD">
            <w:pPr>
              <w:pStyle w:val="Tableheaders"/>
            </w:pPr>
            <w:r w:rsidRPr="00E35A60">
              <w:t>Not E</w:t>
            </w:r>
            <w:r w:rsidR="00E63A60" w:rsidRPr="00E35A60">
              <w:t>nrolled (n=3)</w:t>
            </w:r>
          </w:p>
        </w:tc>
      </w:tr>
      <w:tr w:rsidR="00DA0E13" w:rsidRPr="00E35A60" w14:paraId="77843465" w14:textId="77777777" w:rsidTr="00493592">
        <w:trPr>
          <w:gridBefore w:val="1"/>
          <w:wBefore w:w="93" w:type="dxa"/>
          <w:trHeight w:val="302"/>
        </w:trPr>
        <w:tc>
          <w:tcPr>
            <w:tcW w:w="3705" w:type="dxa"/>
            <w:gridSpan w:val="2"/>
            <w:tcBorders>
              <w:top w:val="single" w:sz="4" w:space="0" w:color="auto"/>
              <w:right w:val="nil"/>
            </w:tcBorders>
            <w:shd w:val="clear" w:color="auto" w:fill="auto"/>
            <w:noWrap/>
            <w:vAlign w:val="center"/>
          </w:tcPr>
          <w:p w14:paraId="4271E31C" w14:textId="77777777" w:rsidR="00DA0E13" w:rsidRPr="00E35A60" w:rsidRDefault="00DA0E13" w:rsidP="0040594E">
            <w:pPr>
              <w:pStyle w:val="NoSpacing"/>
              <w:rPr>
                <w:rFonts w:asciiTheme="minorHAnsi" w:hAnsiTheme="minorHAnsi"/>
              </w:rPr>
            </w:pPr>
          </w:p>
        </w:tc>
        <w:tc>
          <w:tcPr>
            <w:tcW w:w="531" w:type="dxa"/>
            <w:gridSpan w:val="2"/>
            <w:tcBorders>
              <w:top w:val="nil"/>
              <w:left w:val="nil"/>
              <w:bottom w:val="nil"/>
              <w:right w:val="nil"/>
            </w:tcBorders>
            <w:shd w:val="clear" w:color="auto" w:fill="auto"/>
            <w:noWrap/>
            <w:vAlign w:val="bottom"/>
            <w:hideMark/>
          </w:tcPr>
          <w:p w14:paraId="262282A3"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single" w:sz="8" w:space="0" w:color="auto"/>
              <w:right w:val="nil"/>
            </w:tcBorders>
            <w:shd w:val="clear" w:color="auto" w:fill="auto"/>
            <w:noWrap/>
            <w:vAlign w:val="center"/>
            <w:hideMark/>
          </w:tcPr>
          <w:p w14:paraId="14FA7C69" w14:textId="77777777" w:rsidR="00DA0E13" w:rsidRPr="00E35A60" w:rsidRDefault="00DA0E13" w:rsidP="0040594E">
            <w:pPr>
              <w:pStyle w:val="NoSpacing"/>
              <w:rPr>
                <w:rFonts w:asciiTheme="minorHAnsi" w:hAnsiTheme="minorHAnsi"/>
                <w:b/>
              </w:rPr>
            </w:pPr>
            <w:r w:rsidRPr="00E35A60">
              <w:rPr>
                <w:rFonts w:asciiTheme="minorHAnsi" w:hAnsiTheme="minorHAnsi"/>
                <w:b/>
              </w:rPr>
              <w:t>Number</w:t>
            </w:r>
          </w:p>
        </w:tc>
        <w:tc>
          <w:tcPr>
            <w:tcW w:w="222" w:type="dxa"/>
            <w:gridSpan w:val="2"/>
            <w:tcBorders>
              <w:top w:val="nil"/>
              <w:left w:val="nil"/>
              <w:bottom w:val="nil"/>
              <w:right w:val="nil"/>
            </w:tcBorders>
            <w:shd w:val="clear" w:color="auto" w:fill="auto"/>
            <w:noWrap/>
            <w:vAlign w:val="bottom"/>
            <w:hideMark/>
          </w:tcPr>
          <w:p w14:paraId="68838FC6" w14:textId="77777777" w:rsidR="00DA0E13" w:rsidRPr="00E35A60" w:rsidRDefault="00DA0E13" w:rsidP="0040594E">
            <w:pPr>
              <w:pStyle w:val="NoSpacing"/>
              <w:rPr>
                <w:rFonts w:asciiTheme="minorHAnsi" w:hAnsiTheme="minorHAnsi"/>
                <w:b/>
              </w:rPr>
            </w:pPr>
          </w:p>
        </w:tc>
        <w:tc>
          <w:tcPr>
            <w:tcW w:w="1007" w:type="dxa"/>
            <w:gridSpan w:val="2"/>
            <w:tcBorders>
              <w:top w:val="nil"/>
              <w:left w:val="nil"/>
              <w:bottom w:val="single" w:sz="8" w:space="0" w:color="auto"/>
              <w:right w:val="nil"/>
            </w:tcBorders>
            <w:shd w:val="clear" w:color="auto" w:fill="auto"/>
            <w:noWrap/>
            <w:vAlign w:val="center"/>
            <w:hideMark/>
          </w:tcPr>
          <w:p w14:paraId="1A2F91A6" w14:textId="77777777" w:rsidR="00DA0E13" w:rsidRPr="00E35A60" w:rsidRDefault="00DA0E13" w:rsidP="0040594E">
            <w:pPr>
              <w:pStyle w:val="NoSpacing"/>
              <w:rPr>
                <w:rFonts w:asciiTheme="minorHAnsi" w:hAnsiTheme="minorHAnsi"/>
                <w:b/>
              </w:rPr>
            </w:pPr>
            <w:r w:rsidRPr="00E35A60">
              <w:rPr>
                <w:rFonts w:asciiTheme="minorHAnsi" w:hAnsiTheme="minorHAnsi"/>
                <w:b/>
              </w:rPr>
              <w:t>Percent</w:t>
            </w:r>
          </w:p>
        </w:tc>
        <w:tc>
          <w:tcPr>
            <w:tcW w:w="405" w:type="dxa"/>
            <w:gridSpan w:val="2"/>
            <w:tcBorders>
              <w:top w:val="nil"/>
              <w:left w:val="nil"/>
              <w:bottom w:val="nil"/>
              <w:right w:val="nil"/>
            </w:tcBorders>
            <w:shd w:val="clear" w:color="auto" w:fill="auto"/>
            <w:noWrap/>
            <w:vAlign w:val="bottom"/>
            <w:hideMark/>
          </w:tcPr>
          <w:p w14:paraId="2DF3444E" w14:textId="77777777" w:rsidR="00DA0E13" w:rsidRPr="00E35A60" w:rsidRDefault="00DA0E13" w:rsidP="0040594E">
            <w:pPr>
              <w:pStyle w:val="NoSpacing"/>
              <w:rPr>
                <w:rFonts w:asciiTheme="minorHAnsi" w:hAnsiTheme="minorHAnsi"/>
                <w:b/>
              </w:rPr>
            </w:pPr>
          </w:p>
        </w:tc>
        <w:tc>
          <w:tcPr>
            <w:tcW w:w="1060" w:type="dxa"/>
            <w:gridSpan w:val="2"/>
            <w:tcBorders>
              <w:top w:val="nil"/>
              <w:left w:val="nil"/>
              <w:bottom w:val="single" w:sz="8" w:space="0" w:color="auto"/>
              <w:right w:val="nil"/>
            </w:tcBorders>
            <w:shd w:val="clear" w:color="auto" w:fill="auto"/>
            <w:noWrap/>
            <w:vAlign w:val="center"/>
            <w:hideMark/>
          </w:tcPr>
          <w:p w14:paraId="6890243F" w14:textId="77777777" w:rsidR="00DA0E13" w:rsidRPr="00E35A60" w:rsidRDefault="00DA0E13" w:rsidP="0040594E">
            <w:pPr>
              <w:pStyle w:val="NoSpacing"/>
              <w:rPr>
                <w:rFonts w:asciiTheme="minorHAnsi" w:hAnsiTheme="minorHAnsi"/>
                <w:b/>
              </w:rPr>
            </w:pPr>
            <w:r w:rsidRPr="00E35A60">
              <w:rPr>
                <w:rFonts w:asciiTheme="minorHAnsi" w:hAnsiTheme="minorHAnsi"/>
                <w:b/>
              </w:rPr>
              <w:t>Number</w:t>
            </w:r>
          </w:p>
        </w:tc>
        <w:tc>
          <w:tcPr>
            <w:tcW w:w="222" w:type="dxa"/>
            <w:gridSpan w:val="2"/>
            <w:tcBorders>
              <w:top w:val="nil"/>
              <w:left w:val="nil"/>
              <w:bottom w:val="nil"/>
              <w:right w:val="nil"/>
            </w:tcBorders>
            <w:shd w:val="clear" w:color="auto" w:fill="auto"/>
            <w:noWrap/>
            <w:vAlign w:val="bottom"/>
            <w:hideMark/>
          </w:tcPr>
          <w:p w14:paraId="7CCB82C3" w14:textId="77777777" w:rsidR="00DA0E13" w:rsidRPr="00E35A60" w:rsidRDefault="00DA0E13" w:rsidP="0040594E">
            <w:pPr>
              <w:pStyle w:val="NoSpacing"/>
              <w:rPr>
                <w:rFonts w:asciiTheme="minorHAnsi" w:hAnsiTheme="minorHAnsi"/>
                <w:b/>
              </w:rPr>
            </w:pPr>
          </w:p>
        </w:tc>
        <w:tc>
          <w:tcPr>
            <w:tcW w:w="1007" w:type="dxa"/>
            <w:gridSpan w:val="2"/>
            <w:tcBorders>
              <w:top w:val="nil"/>
              <w:left w:val="nil"/>
              <w:bottom w:val="single" w:sz="8" w:space="0" w:color="auto"/>
              <w:right w:val="nil"/>
            </w:tcBorders>
            <w:shd w:val="clear" w:color="auto" w:fill="auto"/>
            <w:noWrap/>
            <w:vAlign w:val="center"/>
            <w:hideMark/>
          </w:tcPr>
          <w:p w14:paraId="2664790A" w14:textId="77777777" w:rsidR="00DA0E13" w:rsidRPr="00E35A60" w:rsidRDefault="00DA0E13" w:rsidP="0040594E">
            <w:pPr>
              <w:pStyle w:val="NoSpacing"/>
              <w:rPr>
                <w:rFonts w:asciiTheme="minorHAnsi" w:hAnsiTheme="minorHAnsi"/>
                <w:b/>
              </w:rPr>
            </w:pPr>
            <w:r w:rsidRPr="00E35A60">
              <w:rPr>
                <w:rFonts w:asciiTheme="minorHAnsi" w:hAnsiTheme="minorHAnsi"/>
                <w:b/>
              </w:rPr>
              <w:t>Percent</w:t>
            </w:r>
          </w:p>
        </w:tc>
      </w:tr>
      <w:tr w:rsidR="00DA0E13" w:rsidRPr="00E35A60" w14:paraId="762922EC" w14:textId="77777777" w:rsidTr="005330DE">
        <w:trPr>
          <w:gridAfter w:val="1"/>
          <w:wAfter w:w="93" w:type="dxa"/>
          <w:trHeight w:val="302"/>
        </w:trPr>
        <w:tc>
          <w:tcPr>
            <w:tcW w:w="3705" w:type="dxa"/>
            <w:gridSpan w:val="2"/>
            <w:tcBorders>
              <w:bottom w:val="nil"/>
              <w:right w:val="nil"/>
            </w:tcBorders>
            <w:shd w:val="clear" w:color="auto" w:fill="D9D9D9" w:themeFill="background1" w:themeFillShade="D9"/>
            <w:noWrap/>
            <w:vAlign w:val="center"/>
            <w:hideMark/>
          </w:tcPr>
          <w:p w14:paraId="25DAF6A3" w14:textId="77777777" w:rsidR="00DA0E13" w:rsidRPr="00E35A60" w:rsidRDefault="00DA0E13" w:rsidP="0040594E">
            <w:pPr>
              <w:pStyle w:val="NoSpacing"/>
              <w:rPr>
                <w:rFonts w:asciiTheme="minorHAnsi" w:hAnsiTheme="minorHAnsi"/>
              </w:rPr>
            </w:pPr>
            <w:r w:rsidRPr="00E35A60">
              <w:rPr>
                <w:rFonts w:asciiTheme="minorHAnsi" w:hAnsiTheme="minorHAnsi"/>
              </w:rPr>
              <w:t>Age, years</w:t>
            </w:r>
          </w:p>
        </w:tc>
        <w:tc>
          <w:tcPr>
            <w:tcW w:w="531" w:type="dxa"/>
            <w:gridSpan w:val="2"/>
            <w:tcBorders>
              <w:top w:val="nil"/>
              <w:left w:val="nil"/>
              <w:bottom w:val="nil"/>
              <w:right w:val="nil"/>
            </w:tcBorders>
            <w:shd w:val="clear" w:color="auto" w:fill="D9D9D9" w:themeFill="background1" w:themeFillShade="D9"/>
            <w:noWrap/>
            <w:vAlign w:val="center"/>
          </w:tcPr>
          <w:p w14:paraId="5C348D13"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tcPr>
          <w:p w14:paraId="67150524" w14:textId="77777777" w:rsidR="00DA0E13" w:rsidRPr="00E35A60" w:rsidRDefault="00DA0E13" w:rsidP="0040594E">
            <w:pPr>
              <w:pStyle w:val="NoSpacing"/>
              <w:jc w:val="right"/>
              <w:rPr>
                <w:rFonts w:asciiTheme="minorHAnsi" w:hAnsiTheme="minorHAnsi"/>
              </w:rPr>
            </w:pPr>
          </w:p>
        </w:tc>
        <w:tc>
          <w:tcPr>
            <w:tcW w:w="222" w:type="dxa"/>
            <w:gridSpan w:val="2"/>
            <w:tcBorders>
              <w:top w:val="nil"/>
              <w:left w:val="nil"/>
              <w:bottom w:val="nil"/>
              <w:right w:val="nil"/>
            </w:tcBorders>
            <w:shd w:val="clear" w:color="auto" w:fill="D9D9D9" w:themeFill="background1" w:themeFillShade="D9"/>
            <w:noWrap/>
            <w:vAlign w:val="center"/>
          </w:tcPr>
          <w:p w14:paraId="2C731DDB" w14:textId="77777777" w:rsidR="00DA0E13" w:rsidRPr="00E35A60" w:rsidRDefault="00DA0E13" w:rsidP="0040594E">
            <w:pPr>
              <w:pStyle w:val="NoSpacing"/>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tcPr>
          <w:p w14:paraId="574D23FD" w14:textId="77777777" w:rsidR="00DA0E13" w:rsidRPr="00E35A60" w:rsidRDefault="00DA0E13" w:rsidP="0040594E">
            <w:pPr>
              <w:pStyle w:val="NoSpacing"/>
              <w:jc w:val="right"/>
              <w:rPr>
                <w:rFonts w:asciiTheme="minorHAnsi" w:hAnsiTheme="minorHAnsi"/>
              </w:rPr>
            </w:pPr>
          </w:p>
        </w:tc>
        <w:tc>
          <w:tcPr>
            <w:tcW w:w="405" w:type="dxa"/>
            <w:gridSpan w:val="2"/>
            <w:tcBorders>
              <w:top w:val="nil"/>
              <w:left w:val="nil"/>
              <w:bottom w:val="nil"/>
              <w:right w:val="nil"/>
            </w:tcBorders>
            <w:shd w:val="clear" w:color="auto" w:fill="D9D9D9" w:themeFill="background1" w:themeFillShade="D9"/>
            <w:noWrap/>
            <w:vAlign w:val="center"/>
          </w:tcPr>
          <w:p w14:paraId="456A7B0D" w14:textId="77777777" w:rsidR="00DA0E13" w:rsidRPr="00E35A60" w:rsidRDefault="00DA0E13" w:rsidP="0040594E">
            <w:pPr>
              <w:pStyle w:val="NoSpacing"/>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tcPr>
          <w:p w14:paraId="20FF68E8" w14:textId="77777777" w:rsidR="00DA0E13" w:rsidRPr="00E35A60" w:rsidRDefault="00DA0E13" w:rsidP="0040594E">
            <w:pPr>
              <w:pStyle w:val="NoSpacing"/>
              <w:jc w:val="right"/>
              <w:rPr>
                <w:rFonts w:asciiTheme="minorHAnsi" w:hAnsiTheme="minorHAnsi"/>
              </w:rPr>
            </w:pPr>
          </w:p>
        </w:tc>
        <w:tc>
          <w:tcPr>
            <w:tcW w:w="222" w:type="dxa"/>
            <w:gridSpan w:val="2"/>
            <w:tcBorders>
              <w:top w:val="nil"/>
              <w:left w:val="nil"/>
              <w:bottom w:val="nil"/>
              <w:right w:val="nil"/>
            </w:tcBorders>
            <w:shd w:val="clear" w:color="auto" w:fill="D9D9D9" w:themeFill="background1" w:themeFillShade="D9"/>
            <w:noWrap/>
            <w:vAlign w:val="center"/>
          </w:tcPr>
          <w:p w14:paraId="01685531" w14:textId="77777777" w:rsidR="00DA0E13" w:rsidRPr="00E35A60" w:rsidRDefault="00DA0E13" w:rsidP="0040594E">
            <w:pPr>
              <w:pStyle w:val="NoSpacing"/>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tcPr>
          <w:p w14:paraId="1A98E22A" w14:textId="77777777" w:rsidR="00DA0E13" w:rsidRPr="00E35A60" w:rsidRDefault="00DA0E13" w:rsidP="0040594E">
            <w:pPr>
              <w:pStyle w:val="NoSpacing"/>
              <w:jc w:val="right"/>
              <w:rPr>
                <w:rFonts w:asciiTheme="minorHAnsi" w:hAnsiTheme="minorHAnsi"/>
              </w:rPr>
            </w:pPr>
          </w:p>
        </w:tc>
      </w:tr>
      <w:tr w:rsidR="00DA0E13" w:rsidRPr="00E35A60" w14:paraId="0959BAA9"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232DAFE2"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0-4</w:t>
            </w:r>
          </w:p>
        </w:tc>
        <w:tc>
          <w:tcPr>
            <w:tcW w:w="531" w:type="dxa"/>
            <w:gridSpan w:val="2"/>
            <w:tcBorders>
              <w:top w:val="nil"/>
              <w:left w:val="nil"/>
              <w:bottom w:val="nil"/>
              <w:right w:val="nil"/>
            </w:tcBorders>
            <w:shd w:val="clear" w:color="auto" w:fill="D9D9D9" w:themeFill="background1" w:themeFillShade="D9"/>
            <w:noWrap/>
            <w:vAlign w:val="center"/>
          </w:tcPr>
          <w:p w14:paraId="2AC141CD"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53062100"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7</w:t>
            </w:r>
          </w:p>
        </w:tc>
        <w:tc>
          <w:tcPr>
            <w:tcW w:w="222" w:type="dxa"/>
            <w:gridSpan w:val="2"/>
            <w:tcBorders>
              <w:top w:val="nil"/>
              <w:left w:val="nil"/>
              <w:bottom w:val="nil"/>
              <w:right w:val="nil"/>
            </w:tcBorders>
            <w:shd w:val="clear" w:color="auto" w:fill="D9D9D9" w:themeFill="background1" w:themeFillShade="D9"/>
            <w:noWrap/>
            <w:vAlign w:val="center"/>
            <w:hideMark/>
          </w:tcPr>
          <w:p w14:paraId="2D2CDA70"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2CC4C192"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39%</w:t>
            </w:r>
          </w:p>
        </w:tc>
        <w:tc>
          <w:tcPr>
            <w:tcW w:w="405" w:type="dxa"/>
            <w:gridSpan w:val="2"/>
            <w:tcBorders>
              <w:top w:val="nil"/>
              <w:left w:val="nil"/>
              <w:bottom w:val="nil"/>
              <w:right w:val="nil"/>
            </w:tcBorders>
            <w:shd w:val="clear" w:color="auto" w:fill="D9D9D9" w:themeFill="background1" w:themeFillShade="D9"/>
            <w:noWrap/>
            <w:vAlign w:val="center"/>
            <w:hideMark/>
          </w:tcPr>
          <w:p w14:paraId="1342D170"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05696F89"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nil"/>
              <w:right w:val="nil"/>
            </w:tcBorders>
            <w:shd w:val="clear" w:color="auto" w:fill="D9D9D9" w:themeFill="background1" w:themeFillShade="D9"/>
            <w:noWrap/>
            <w:vAlign w:val="center"/>
            <w:hideMark/>
          </w:tcPr>
          <w:p w14:paraId="38E896F0"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4DF3498E"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0222CAD7"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525A925A"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5-9</w:t>
            </w:r>
          </w:p>
        </w:tc>
        <w:tc>
          <w:tcPr>
            <w:tcW w:w="531" w:type="dxa"/>
            <w:gridSpan w:val="2"/>
            <w:tcBorders>
              <w:top w:val="nil"/>
              <w:left w:val="nil"/>
              <w:bottom w:val="nil"/>
              <w:right w:val="nil"/>
            </w:tcBorders>
            <w:shd w:val="clear" w:color="auto" w:fill="D9D9D9" w:themeFill="background1" w:themeFillShade="D9"/>
            <w:noWrap/>
            <w:vAlign w:val="center"/>
          </w:tcPr>
          <w:p w14:paraId="77AD5FEF"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51463A7A"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4</w:t>
            </w:r>
          </w:p>
        </w:tc>
        <w:tc>
          <w:tcPr>
            <w:tcW w:w="222" w:type="dxa"/>
            <w:gridSpan w:val="2"/>
            <w:tcBorders>
              <w:top w:val="nil"/>
              <w:left w:val="nil"/>
              <w:bottom w:val="nil"/>
              <w:right w:val="nil"/>
            </w:tcBorders>
            <w:shd w:val="clear" w:color="auto" w:fill="D9D9D9" w:themeFill="background1" w:themeFillShade="D9"/>
            <w:noWrap/>
            <w:vAlign w:val="center"/>
            <w:hideMark/>
          </w:tcPr>
          <w:p w14:paraId="0E3E2E78"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02896466"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22%</w:t>
            </w:r>
          </w:p>
        </w:tc>
        <w:tc>
          <w:tcPr>
            <w:tcW w:w="405" w:type="dxa"/>
            <w:gridSpan w:val="2"/>
            <w:tcBorders>
              <w:top w:val="nil"/>
              <w:left w:val="nil"/>
              <w:bottom w:val="nil"/>
              <w:right w:val="nil"/>
            </w:tcBorders>
            <w:shd w:val="clear" w:color="auto" w:fill="D9D9D9" w:themeFill="background1" w:themeFillShade="D9"/>
            <w:noWrap/>
            <w:vAlign w:val="center"/>
            <w:hideMark/>
          </w:tcPr>
          <w:p w14:paraId="6BDD565F"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254778FF"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nil"/>
              <w:right w:val="nil"/>
            </w:tcBorders>
            <w:shd w:val="clear" w:color="auto" w:fill="D9D9D9" w:themeFill="background1" w:themeFillShade="D9"/>
            <w:noWrap/>
            <w:vAlign w:val="center"/>
            <w:hideMark/>
          </w:tcPr>
          <w:p w14:paraId="41F98A34"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1D37D63E"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26806ACB"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0BCC4412"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10-14</w:t>
            </w:r>
          </w:p>
        </w:tc>
        <w:tc>
          <w:tcPr>
            <w:tcW w:w="531" w:type="dxa"/>
            <w:gridSpan w:val="2"/>
            <w:tcBorders>
              <w:top w:val="nil"/>
              <w:left w:val="nil"/>
              <w:bottom w:val="nil"/>
              <w:right w:val="nil"/>
            </w:tcBorders>
            <w:shd w:val="clear" w:color="auto" w:fill="D9D9D9" w:themeFill="background1" w:themeFillShade="D9"/>
            <w:noWrap/>
            <w:vAlign w:val="center"/>
          </w:tcPr>
          <w:p w14:paraId="365C0F3A"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04C106BF"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3</w:t>
            </w:r>
          </w:p>
        </w:tc>
        <w:tc>
          <w:tcPr>
            <w:tcW w:w="222" w:type="dxa"/>
            <w:gridSpan w:val="2"/>
            <w:tcBorders>
              <w:top w:val="nil"/>
              <w:left w:val="nil"/>
              <w:bottom w:val="nil"/>
              <w:right w:val="nil"/>
            </w:tcBorders>
            <w:shd w:val="clear" w:color="auto" w:fill="D9D9D9" w:themeFill="background1" w:themeFillShade="D9"/>
            <w:noWrap/>
            <w:vAlign w:val="center"/>
            <w:hideMark/>
          </w:tcPr>
          <w:p w14:paraId="7C2C7A0A"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5152DBBA"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17%</w:t>
            </w:r>
          </w:p>
        </w:tc>
        <w:tc>
          <w:tcPr>
            <w:tcW w:w="405" w:type="dxa"/>
            <w:gridSpan w:val="2"/>
            <w:tcBorders>
              <w:top w:val="nil"/>
              <w:left w:val="nil"/>
              <w:bottom w:val="nil"/>
              <w:right w:val="nil"/>
            </w:tcBorders>
            <w:shd w:val="clear" w:color="auto" w:fill="D9D9D9" w:themeFill="background1" w:themeFillShade="D9"/>
            <w:noWrap/>
            <w:vAlign w:val="center"/>
            <w:hideMark/>
          </w:tcPr>
          <w:p w14:paraId="72C43F6A"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6DC1C555"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2</w:t>
            </w:r>
          </w:p>
        </w:tc>
        <w:tc>
          <w:tcPr>
            <w:tcW w:w="222" w:type="dxa"/>
            <w:gridSpan w:val="2"/>
            <w:tcBorders>
              <w:top w:val="nil"/>
              <w:left w:val="nil"/>
              <w:bottom w:val="nil"/>
              <w:right w:val="nil"/>
            </w:tcBorders>
            <w:shd w:val="clear" w:color="auto" w:fill="D9D9D9" w:themeFill="background1" w:themeFillShade="D9"/>
            <w:noWrap/>
            <w:vAlign w:val="center"/>
            <w:hideMark/>
          </w:tcPr>
          <w:p w14:paraId="3DBC4996"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7B5FD522"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67%</w:t>
            </w:r>
          </w:p>
        </w:tc>
      </w:tr>
      <w:tr w:rsidR="00DA0E13" w:rsidRPr="00E35A60" w14:paraId="4968B5F8"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278DC7E3"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15-19</w:t>
            </w:r>
          </w:p>
        </w:tc>
        <w:tc>
          <w:tcPr>
            <w:tcW w:w="531" w:type="dxa"/>
            <w:gridSpan w:val="2"/>
            <w:tcBorders>
              <w:top w:val="nil"/>
              <w:left w:val="nil"/>
              <w:bottom w:val="nil"/>
              <w:right w:val="nil"/>
            </w:tcBorders>
            <w:shd w:val="clear" w:color="auto" w:fill="D9D9D9" w:themeFill="background1" w:themeFillShade="D9"/>
            <w:noWrap/>
            <w:vAlign w:val="center"/>
          </w:tcPr>
          <w:p w14:paraId="053A16A7"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2083A736"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4</w:t>
            </w:r>
          </w:p>
        </w:tc>
        <w:tc>
          <w:tcPr>
            <w:tcW w:w="222" w:type="dxa"/>
            <w:gridSpan w:val="2"/>
            <w:tcBorders>
              <w:top w:val="nil"/>
              <w:left w:val="nil"/>
              <w:bottom w:val="nil"/>
              <w:right w:val="nil"/>
            </w:tcBorders>
            <w:shd w:val="clear" w:color="auto" w:fill="D9D9D9" w:themeFill="background1" w:themeFillShade="D9"/>
            <w:noWrap/>
            <w:vAlign w:val="center"/>
            <w:hideMark/>
          </w:tcPr>
          <w:p w14:paraId="75B29257"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5EA4F7A2"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22%</w:t>
            </w:r>
          </w:p>
        </w:tc>
        <w:tc>
          <w:tcPr>
            <w:tcW w:w="405" w:type="dxa"/>
            <w:gridSpan w:val="2"/>
            <w:tcBorders>
              <w:top w:val="nil"/>
              <w:left w:val="nil"/>
              <w:bottom w:val="nil"/>
              <w:right w:val="nil"/>
            </w:tcBorders>
            <w:shd w:val="clear" w:color="auto" w:fill="D9D9D9" w:themeFill="background1" w:themeFillShade="D9"/>
            <w:noWrap/>
            <w:vAlign w:val="center"/>
            <w:hideMark/>
          </w:tcPr>
          <w:p w14:paraId="79BCEE92"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60194662"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D9D9D9" w:themeFill="background1" w:themeFillShade="D9"/>
            <w:noWrap/>
            <w:vAlign w:val="center"/>
            <w:hideMark/>
          </w:tcPr>
          <w:p w14:paraId="44ADF472"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608780E5"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33%</w:t>
            </w:r>
          </w:p>
        </w:tc>
      </w:tr>
      <w:tr w:rsidR="00DA0E13" w:rsidRPr="00E35A60" w14:paraId="72F2CC03" w14:textId="77777777" w:rsidTr="00493592">
        <w:trPr>
          <w:gridAfter w:val="1"/>
          <w:wAfter w:w="93" w:type="dxa"/>
          <w:trHeight w:val="302"/>
        </w:trPr>
        <w:tc>
          <w:tcPr>
            <w:tcW w:w="3705" w:type="dxa"/>
            <w:gridSpan w:val="2"/>
            <w:tcBorders>
              <w:top w:val="nil"/>
              <w:bottom w:val="nil"/>
              <w:right w:val="nil"/>
            </w:tcBorders>
            <w:shd w:val="clear" w:color="auto" w:fill="auto"/>
            <w:noWrap/>
            <w:vAlign w:val="center"/>
            <w:hideMark/>
          </w:tcPr>
          <w:p w14:paraId="5119D0B2" w14:textId="77777777" w:rsidR="00DA0E13" w:rsidRPr="00E35A60" w:rsidRDefault="00DA0E13" w:rsidP="0040594E">
            <w:pPr>
              <w:pStyle w:val="NoSpacing"/>
              <w:rPr>
                <w:rFonts w:asciiTheme="minorHAnsi" w:hAnsiTheme="minorHAnsi"/>
              </w:rPr>
            </w:pPr>
            <w:r w:rsidRPr="00E35A60">
              <w:rPr>
                <w:rFonts w:asciiTheme="minorHAnsi" w:hAnsiTheme="minorHAnsi"/>
              </w:rPr>
              <w:t>Sex</w:t>
            </w:r>
          </w:p>
        </w:tc>
        <w:tc>
          <w:tcPr>
            <w:tcW w:w="531" w:type="dxa"/>
            <w:gridSpan w:val="2"/>
            <w:tcBorders>
              <w:top w:val="nil"/>
              <w:left w:val="nil"/>
              <w:bottom w:val="nil"/>
              <w:right w:val="nil"/>
            </w:tcBorders>
            <w:shd w:val="clear" w:color="auto" w:fill="auto"/>
            <w:noWrap/>
            <w:vAlign w:val="center"/>
          </w:tcPr>
          <w:p w14:paraId="66682231"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auto"/>
            <w:noWrap/>
            <w:vAlign w:val="center"/>
            <w:hideMark/>
          </w:tcPr>
          <w:p w14:paraId="43F4905C" w14:textId="77777777" w:rsidR="00DA0E13" w:rsidRPr="00E35A60" w:rsidRDefault="00DA0E13" w:rsidP="0040594E">
            <w:pPr>
              <w:pStyle w:val="NoSpacing"/>
              <w:ind w:right="288"/>
              <w:jc w:val="right"/>
              <w:rPr>
                <w:rFonts w:asciiTheme="minorHAnsi" w:hAnsiTheme="minorHAnsi"/>
              </w:rPr>
            </w:pPr>
          </w:p>
        </w:tc>
        <w:tc>
          <w:tcPr>
            <w:tcW w:w="222" w:type="dxa"/>
            <w:gridSpan w:val="2"/>
            <w:tcBorders>
              <w:top w:val="nil"/>
              <w:left w:val="nil"/>
              <w:bottom w:val="nil"/>
              <w:right w:val="nil"/>
            </w:tcBorders>
            <w:shd w:val="clear" w:color="auto" w:fill="auto"/>
            <w:noWrap/>
            <w:vAlign w:val="center"/>
            <w:hideMark/>
          </w:tcPr>
          <w:p w14:paraId="1852FC1B"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auto"/>
            <w:noWrap/>
            <w:vAlign w:val="center"/>
            <w:hideMark/>
          </w:tcPr>
          <w:p w14:paraId="429E53C0" w14:textId="77777777" w:rsidR="00DA0E13" w:rsidRPr="00E35A60" w:rsidRDefault="00DA0E13" w:rsidP="0040594E">
            <w:pPr>
              <w:pStyle w:val="NoSpacing"/>
              <w:ind w:right="144"/>
              <w:jc w:val="right"/>
              <w:rPr>
                <w:rFonts w:asciiTheme="minorHAnsi" w:hAnsiTheme="minorHAnsi"/>
              </w:rPr>
            </w:pPr>
          </w:p>
        </w:tc>
        <w:tc>
          <w:tcPr>
            <w:tcW w:w="405" w:type="dxa"/>
            <w:gridSpan w:val="2"/>
            <w:tcBorders>
              <w:top w:val="nil"/>
              <w:left w:val="nil"/>
              <w:bottom w:val="nil"/>
              <w:right w:val="nil"/>
            </w:tcBorders>
            <w:shd w:val="clear" w:color="auto" w:fill="auto"/>
            <w:noWrap/>
            <w:vAlign w:val="center"/>
            <w:hideMark/>
          </w:tcPr>
          <w:p w14:paraId="4EFFD294"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auto"/>
            <w:noWrap/>
            <w:vAlign w:val="center"/>
            <w:hideMark/>
          </w:tcPr>
          <w:p w14:paraId="473E4BD6" w14:textId="77777777" w:rsidR="00DA0E13" w:rsidRPr="00E35A60" w:rsidRDefault="00DA0E13" w:rsidP="0040594E">
            <w:pPr>
              <w:pStyle w:val="NoSpacing"/>
              <w:ind w:right="288"/>
              <w:jc w:val="right"/>
              <w:rPr>
                <w:rFonts w:asciiTheme="minorHAnsi" w:hAnsiTheme="minorHAnsi"/>
              </w:rPr>
            </w:pPr>
          </w:p>
        </w:tc>
        <w:tc>
          <w:tcPr>
            <w:tcW w:w="222" w:type="dxa"/>
            <w:gridSpan w:val="2"/>
            <w:tcBorders>
              <w:top w:val="nil"/>
              <w:left w:val="nil"/>
              <w:bottom w:val="nil"/>
              <w:right w:val="nil"/>
            </w:tcBorders>
            <w:shd w:val="clear" w:color="auto" w:fill="auto"/>
            <w:noWrap/>
            <w:vAlign w:val="center"/>
            <w:hideMark/>
          </w:tcPr>
          <w:p w14:paraId="3BF022F0"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auto"/>
            <w:noWrap/>
            <w:vAlign w:val="center"/>
            <w:hideMark/>
          </w:tcPr>
          <w:p w14:paraId="067934FF" w14:textId="77777777" w:rsidR="00DA0E13" w:rsidRPr="00E35A60" w:rsidRDefault="00DA0E13" w:rsidP="0040594E">
            <w:pPr>
              <w:pStyle w:val="NoSpacing"/>
              <w:ind w:right="144"/>
              <w:jc w:val="right"/>
              <w:rPr>
                <w:rFonts w:asciiTheme="minorHAnsi" w:hAnsiTheme="minorHAnsi"/>
              </w:rPr>
            </w:pPr>
          </w:p>
        </w:tc>
      </w:tr>
      <w:tr w:rsidR="00DA0E13" w:rsidRPr="00E35A60" w14:paraId="5BC03EEF" w14:textId="77777777" w:rsidTr="00493592">
        <w:trPr>
          <w:gridAfter w:val="1"/>
          <w:wAfter w:w="93" w:type="dxa"/>
          <w:trHeight w:val="302"/>
        </w:trPr>
        <w:tc>
          <w:tcPr>
            <w:tcW w:w="3705" w:type="dxa"/>
            <w:gridSpan w:val="2"/>
            <w:tcBorders>
              <w:top w:val="nil"/>
              <w:bottom w:val="nil"/>
              <w:right w:val="nil"/>
            </w:tcBorders>
            <w:shd w:val="clear" w:color="auto" w:fill="auto"/>
            <w:noWrap/>
            <w:vAlign w:val="center"/>
            <w:hideMark/>
          </w:tcPr>
          <w:p w14:paraId="678983D3"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Male</w:t>
            </w:r>
          </w:p>
        </w:tc>
        <w:tc>
          <w:tcPr>
            <w:tcW w:w="531" w:type="dxa"/>
            <w:gridSpan w:val="2"/>
            <w:tcBorders>
              <w:top w:val="nil"/>
              <w:left w:val="nil"/>
              <w:bottom w:val="nil"/>
              <w:right w:val="nil"/>
            </w:tcBorders>
            <w:shd w:val="clear" w:color="auto" w:fill="auto"/>
            <w:noWrap/>
            <w:vAlign w:val="center"/>
          </w:tcPr>
          <w:p w14:paraId="219335DB"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auto"/>
            <w:noWrap/>
            <w:vAlign w:val="center"/>
            <w:hideMark/>
          </w:tcPr>
          <w:p w14:paraId="2785E43B"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12</w:t>
            </w:r>
          </w:p>
        </w:tc>
        <w:tc>
          <w:tcPr>
            <w:tcW w:w="222" w:type="dxa"/>
            <w:gridSpan w:val="2"/>
            <w:tcBorders>
              <w:top w:val="nil"/>
              <w:left w:val="nil"/>
              <w:bottom w:val="nil"/>
              <w:right w:val="nil"/>
            </w:tcBorders>
            <w:shd w:val="clear" w:color="auto" w:fill="auto"/>
            <w:noWrap/>
            <w:vAlign w:val="center"/>
            <w:hideMark/>
          </w:tcPr>
          <w:p w14:paraId="569184D2"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auto"/>
            <w:noWrap/>
            <w:vAlign w:val="center"/>
            <w:hideMark/>
          </w:tcPr>
          <w:p w14:paraId="27A160E1"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67%</w:t>
            </w:r>
          </w:p>
        </w:tc>
        <w:tc>
          <w:tcPr>
            <w:tcW w:w="405" w:type="dxa"/>
            <w:gridSpan w:val="2"/>
            <w:tcBorders>
              <w:top w:val="nil"/>
              <w:left w:val="nil"/>
              <w:bottom w:val="nil"/>
              <w:right w:val="nil"/>
            </w:tcBorders>
            <w:shd w:val="clear" w:color="auto" w:fill="auto"/>
            <w:noWrap/>
            <w:vAlign w:val="center"/>
            <w:hideMark/>
          </w:tcPr>
          <w:p w14:paraId="750E637D"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auto"/>
            <w:noWrap/>
            <w:vAlign w:val="center"/>
            <w:hideMark/>
          </w:tcPr>
          <w:p w14:paraId="440BA4C0"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auto"/>
            <w:noWrap/>
            <w:vAlign w:val="center"/>
            <w:hideMark/>
          </w:tcPr>
          <w:p w14:paraId="0DBC3AC9"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auto"/>
            <w:noWrap/>
            <w:vAlign w:val="center"/>
            <w:hideMark/>
          </w:tcPr>
          <w:p w14:paraId="0927ED1E"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33%</w:t>
            </w:r>
          </w:p>
        </w:tc>
      </w:tr>
      <w:tr w:rsidR="00DA0E13" w:rsidRPr="00E35A60" w14:paraId="41E70B45" w14:textId="77777777" w:rsidTr="00493592">
        <w:trPr>
          <w:gridAfter w:val="1"/>
          <w:wAfter w:w="93" w:type="dxa"/>
          <w:trHeight w:val="302"/>
        </w:trPr>
        <w:tc>
          <w:tcPr>
            <w:tcW w:w="3705" w:type="dxa"/>
            <w:gridSpan w:val="2"/>
            <w:tcBorders>
              <w:top w:val="nil"/>
              <w:bottom w:val="nil"/>
              <w:right w:val="nil"/>
            </w:tcBorders>
            <w:shd w:val="clear" w:color="auto" w:fill="auto"/>
            <w:noWrap/>
            <w:vAlign w:val="center"/>
            <w:hideMark/>
          </w:tcPr>
          <w:p w14:paraId="793B4903"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Female</w:t>
            </w:r>
          </w:p>
        </w:tc>
        <w:tc>
          <w:tcPr>
            <w:tcW w:w="531" w:type="dxa"/>
            <w:gridSpan w:val="2"/>
            <w:tcBorders>
              <w:top w:val="nil"/>
              <w:left w:val="nil"/>
              <w:bottom w:val="nil"/>
              <w:right w:val="nil"/>
            </w:tcBorders>
            <w:shd w:val="clear" w:color="auto" w:fill="auto"/>
            <w:noWrap/>
            <w:vAlign w:val="center"/>
          </w:tcPr>
          <w:p w14:paraId="726CF165"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auto"/>
            <w:noWrap/>
            <w:vAlign w:val="center"/>
            <w:hideMark/>
          </w:tcPr>
          <w:p w14:paraId="5875B2E4"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6</w:t>
            </w:r>
          </w:p>
        </w:tc>
        <w:tc>
          <w:tcPr>
            <w:tcW w:w="222" w:type="dxa"/>
            <w:gridSpan w:val="2"/>
            <w:tcBorders>
              <w:top w:val="nil"/>
              <w:left w:val="nil"/>
              <w:bottom w:val="nil"/>
              <w:right w:val="nil"/>
            </w:tcBorders>
            <w:shd w:val="clear" w:color="auto" w:fill="auto"/>
            <w:noWrap/>
            <w:vAlign w:val="center"/>
            <w:hideMark/>
          </w:tcPr>
          <w:p w14:paraId="365CB0C4"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auto"/>
            <w:noWrap/>
            <w:vAlign w:val="center"/>
            <w:hideMark/>
          </w:tcPr>
          <w:p w14:paraId="1CF6242D"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33%</w:t>
            </w:r>
          </w:p>
        </w:tc>
        <w:tc>
          <w:tcPr>
            <w:tcW w:w="405" w:type="dxa"/>
            <w:gridSpan w:val="2"/>
            <w:tcBorders>
              <w:top w:val="nil"/>
              <w:left w:val="nil"/>
              <w:bottom w:val="nil"/>
              <w:right w:val="nil"/>
            </w:tcBorders>
            <w:shd w:val="clear" w:color="auto" w:fill="auto"/>
            <w:noWrap/>
            <w:vAlign w:val="center"/>
            <w:hideMark/>
          </w:tcPr>
          <w:p w14:paraId="29D68513"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auto"/>
            <w:noWrap/>
            <w:vAlign w:val="center"/>
            <w:hideMark/>
          </w:tcPr>
          <w:p w14:paraId="25BC029F"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2</w:t>
            </w:r>
          </w:p>
        </w:tc>
        <w:tc>
          <w:tcPr>
            <w:tcW w:w="222" w:type="dxa"/>
            <w:gridSpan w:val="2"/>
            <w:tcBorders>
              <w:top w:val="nil"/>
              <w:left w:val="nil"/>
              <w:bottom w:val="nil"/>
              <w:right w:val="nil"/>
            </w:tcBorders>
            <w:shd w:val="clear" w:color="auto" w:fill="auto"/>
            <w:noWrap/>
            <w:vAlign w:val="center"/>
            <w:hideMark/>
          </w:tcPr>
          <w:p w14:paraId="38BD43A3"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auto"/>
            <w:noWrap/>
            <w:vAlign w:val="center"/>
            <w:hideMark/>
          </w:tcPr>
          <w:p w14:paraId="4FD88EB1"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67%</w:t>
            </w:r>
          </w:p>
        </w:tc>
      </w:tr>
      <w:tr w:rsidR="00DA0E13" w:rsidRPr="00E35A60" w14:paraId="2FF27756"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57A83047" w14:textId="77777777" w:rsidR="00DA0E13" w:rsidRPr="00E35A60" w:rsidRDefault="00DA0E13" w:rsidP="0040594E">
            <w:pPr>
              <w:pStyle w:val="NoSpacing"/>
              <w:rPr>
                <w:rFonts w:asciiTheme="minorHAnsi" w:hAnsiTheme="minorHAnsi"/>
              </w:rPr>
            </w:pPr>
            <w:r w:rsidRPr="00E35A60">
              <w:rPr>
                <w:rFonts w:asciiTheme="minorHAnsi" w:hAnsiTheme="minorHAnsi"/>
              </w:rPr>
              <w:t>Cancer Type</w:t>
            </w:r>
          </w:p>
        </w:tc>
        <w:tc>
          <w:tcPr>
            <w:tcW w:w="531" w:type="dxa"/>
            <w:gridSpan w:val="2"/>
            <w:tcBorders>
              <w:top w:val="nil"/>
              <w:left w:val="nil"/>
              <w:bottom w:val="nil"/>
              <w:right w:val="nil"/>
            </w:tcBorders>
            <w:shd w:val="clear" w:color="auto" w:fill="D9D9D9" w:themeFill="background1" w:themeFillShade="D9"/>
            <w:noWrap/>
            <w:vAlign w:val="center"/>
          </w:tcPr>
          <w:p w14:paraId="6A51084E"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41B8837C" w14:textId="77777777" w:rsidR="00DA0E13" w:rsidRPr="00E35A60" w:rsidRDefault="00DA0E13" w:rsidP="0040594E">
            <w:pPr>
              <w:pStyle w:val="NoSpacing"/>
              <w:ind w:right="288"/>
              <w:jc w:val="right"/>
              <w:rPr>
                <w:rFonts w:asciiTheme="minorHAnsi" w:hAnsiTheme="minorHAnsi"/>
              </w:rPr>
            </w:pPr>
          </w:p>
        </w:tc>
        <w:tc>
          <w:tcPr>
            <w:tcW w:w="222" w:type="dxa"/>
            <w:gridSpan w:val="2"/>
            <w:tcBorders>
              <w:top w:val="nil"/>
              <w:left w:val="nil"/>
              <w:bottom w:val="nil"/>
              <w:right w:val="nil"/>
            </w:tcBorders>
            <w:shd w:val="clear" w:color="auto" w:fill="D9D9D9" w:themeFill="background1" w:themeFillShade="D9"/>
            <w:noWrap/>
            <w:vAlign w:val="center"/>
            <w:hideMark/>
          </w:tcPr>
          <w:p w14:paraId="5E98FC25"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2E0DF7F3" w14:textId="77777777" w:rsidR="00DA0E13" w:rsidRPr="00E35A60" w:rsidRDefault="00DA0E13" w:rsidP="0040594E">
            <w:pPr>
              <w:pStyle w:val="NoSpacing"/>
              <w:ind w:right="144"/>
              <w:jc w:val="right"/>
              <w:rPr>
                <w:rFonts w:asciiTheme="minorHAnsi" w:hAnsiTheme="minorHAnsi"/>
              </w:rPr>
            </w:pPr>
          </w:p>
        </w:tc>
        <w:tc>
          <w:tcPr>
            <w:tcW w:w="405" w:type="dxa"/>
            <w:gridSpan w:val="2"/>
            <w:tcBorders>
              <w:top w:val="nil"/>
              <w:left w:val="nil"/>
              <w:bottom w:val="nil"/>
              <w:right w:val="nil"/>
            </w:tcBorders>
            <w:shd w:val="clear" w:color="auto" w:fill="D9D9D9" w:themeFill="background1" w:themeFillShade="D9"/>
            <w:noWrap/>
            <w:vAlign w:val="center"/>
            <w:hideMark/>
          </w:tcPr>
          <w:p w14:paraId="68EDFD51"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0D1BF6AD" w14:textId="77777777" w:rsidR="00DA0E13" w:rsidRPr="00E35A60" w:rsidRDefault="00DA0E13" w:rsidP="0040594E">
            <w:pPr>
              <w:pStyle w:val="NoSpacing"/>
              <w:ind w:right="288"/>
              <w:jc w:val="right"/>
              <w:rPr>
                <w:rFonts w:asciiTheme="minorHAnsi" w:hAnsiTheme="minorHAnsi"/>
              </w:rPr>
            </w:pPr>
          </w:p>
        </w:tc>
        <w:tc>
          <w:tcPr>
            <w:tcW w:w="222" w:type="dxa"/>
            <w:gridSpan w:val="2"/>
            <w:tcBorders>
              <w:top w:val="nil"/>
              <w:left w:val="nil"/>
              <w:bottom w:val="nil"/>
              <w:right w:val="nil"/>
            </w:tcBorders>
            <w:shd w:val="clear" w:color="auto" w:fill="D9D9D9" w:themeFill="background1" w:themeFillShade="D9"/>
            <w:noWrap/>
            <w:vAlign w:val="center"/>
            <w:hideMark/>
          </w:tcPr>
          <w:p w14:paraId="04D3140E"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30B52252" w14:textId="77777777" w:rsidR="00DA0E13" w:rsidRPr="00E35A60" w:rsidRDefault="00DA0E13" w:rsidP="0040594E">
            <w:pPr>
              <w:pStyle w:val="NoSpacing"/>
              <w:ind w:right="144"/>
              <w:jc w:val="right"/>
              <w:rPr>
                <w:rFonts w:asciiTheme="minorHAnsi" w:hAnsiTheme="minorHAnsi"/>
              </w:rPr>
            </w:pPr>
          </w:p>
        </w:tc>
      </w:tr>
      <w:tr w:rsidR="00DA0E13" w:rsidRPr="00E35A60" w14:paraId="0617705C"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03D8E607"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Leukemia</w:t>
            </w:r>
          </w:p>
        </w:tc>
        <w:tc>
          <w:tcPr>
            <w:tcW w:w="531" w:type="dxa"/>
            <w:gridSpan w:val="2"/>
            <w:tcBorders>
              <w:top w:val="nil"/>
              <w:left w:val="nil"/>
              <w:bottom w:val="nil"/>
              <w:right w:val="nil"/>
            </w:tcBorders>
            <w:shd w:val="clear" w:color="auto" w:fill="D9D9D9" w:themeFill="background1" w:themeFillShade="D9"/>
            <w:noWrap/>
            <w:vAlign w:val="center"/>
          </w:tcPr>
          <w:p w14:paraId="32FD4E78"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3AB826B7"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8</w:t>
            </w:r>
          </w:p>
        </w:tc>
        <w:tc>
          <w:tcPr>
            <w:tcW w:w="222" w:type="dxa"/>
            <w:gridSpan w:val="2"/>
            <w:tcBorders>
              <w:top w:val="nil"/>
              <w:left w:val="nil"/>
              <w:bottom w:val="nil"/>
              <w:right w:val="nil"/>
            </w:tcBorders>
            <w:shd w:val="clear" w:color="auto" w:fill="D9D9D9" w:themeFill="background1" w:themeFillShade="D9"/>
            <w:noWrap/>
            <w:vAlign w:val="center"/>
            <w:hideMark/>
          </w:tcPr>
          <w:p w14:paraId="45B1FB25"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57FC8AEA"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44%</w:t>
            </w:r>
          </w:p>
        </w:tc>
        <w:tc>
          <w:tcPr>
            <w:tcW w:w="405" w:type="dxa"/>
            <w:gridSpan w:val="2"/>
            <w:tcBorders>
              <w:top w:val="nil"/>
              <w:left w:val="nil"/>
              <w:bottom w:val="nil"/>
              <w:right w:val="nil"/>
            </w:tcBorders>
            <w:shd w:val="clear" w:color="auto" w:fill="D9D9D9" w:themeFill="background1" w:themeFillShade="D9"/>
            <w:noWrap/>
            <w:vAlign w:val="center"/>
            <w:hideMark/>
          </w:tcPr>
          <w:p w14:paraId="0E6A0FFF"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15F46D13"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nil"/>
              <w:right w:val="nil"/>
            </w:tcBorders>
            <w:shd w:val="clear" w:color="auto" w:fill="D9D9D9" w:themeFill="background1" w:themeFillShade="D9"/>
            <w:noWrap/>
            <w:vAlign w:val="center"/>
            <w:hideMark/>
          </w:tcPr>
          <w:p w14:paraId="5D0937A9"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45A92C5B"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61BB7057"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4C3E2FF8"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Lymphoma</w:t>
            </w:r>
          </w:p>
        </w:tc>
        <w:tc>
          <w:tcPr>
            <w:tcW w:w="531" w:type="dxa"/>
            <w:gridSpan w:val="2"/>
            <w:tcBorders>
              <w:top w:val="nil"/>
              <w:left w:val="nil"/>
              <w:bottom w:val="nil"/>
              <w:right w:val="nil"/>
            </w:tcBorders>
            <w:shd w:val="clear" w:color="auto" w:fill="D9D9D9" w:themeFill="background1" w:themeFillShade="D9"/>
            <w:noWrap/>
            <w:vAlign w:val="center"/>
          </w:tcPr>
          <w:p w14:paraId="08C31FEE"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40AC90FA"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3</w:t>
            </w:r>
          </w:p>
        </w:tc>
        <w:tc>
          <w:tcPr>
            <w:tcW w:w="222" w:type="dxa"/>
            <w:gridSpan w:val="2"/>
            <w:tcBorders>
              <w:top w:val="nil"/>
              <w:left w:val="nil"/>
              <w:bottom w:val="nil"/>
              <w:right w:val="nil"/>
            </w:tcBorders>
            <w:shd w:val="clear" w:color="auto" w:fill="D9D9D9" w:themeFill="background1" w:themeFillShade="D9"/>
            <w:noWrap/>
            <w:vAlign w:val="center"/>
            <w:hideMark/>
          </w:tcPr>
          <w:p w14:paraId="3742A468"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12A9FE9A"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17%</w:t>
            </w:r>
          </w:p>
        </w:tc>
        <w:tc>
          <w:tcPr>
            <w:tcW w:w="405" w:type="dxa"/>
            <w:gridSpan w:val="2"/>
            <w:tcBorders>
              <w:top w:val="nil"/>
              <w:left w:val="nil"/>
              <w:bottom w:val="nil"/>
              <w:right w:val="nil"/>
            </w:tcBorders>
            <w:shd w:val="clear" w:color="auto" w:fill="D9D9D9" w:themeFill="background1" w:themeFillShade="D9"/>
            <w:noWrap/>
            <w:vAlign w:val="center"/>
            <w:hideMark/>
          </w:tcPr>
          <w:p w14:paraId="1E99251A"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74311109"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nil"/>
              <w:right w:val="nil"/>
            </w:tcBorders>
            <w:shd w:val="clear" w:color="auto" w:fill="D9D9D9" w:themeFill="background1" w:themeFillShade="D9"/>
            <w:noWrap/>
            <w:vAlign w:val="center"/>
            <w:hideMark/>
          </w:tcPr>
          <w:p w14:paraId="1967881F"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33DDDEDC"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500DFD7F"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6ED1B250"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Bone</w:t>
            </w:r>
          </w:p>
        </w:tc>
        <w:tc>
          <w:tcPr>
            <w:tcW w:w="531" w:type="dxa"/>
            <w:gridSpan w:val="2"/>
            <w:tcBorders>
              <w:top w:val="nil"/>
              <w:left w:val="nil"/>
              <w:bottom w:val="nil"/>
              <w:right w:val="nil"/>
            </w:tcBorders>
            <w:shd w:val="clear" w:color="auto" w:fill="D9D9D9" w:themeFill="background1" w:themeFillShade="D9"/>
            <w:noWrap/>
            <w:vAlign w:val="center"/>
          </w:tcPr>
          <w:p w14:paraId="7DB298CD"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479CE67C"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2</w:t>
            </w:r>
          </w:p>
        </w:tc>
        <w:tc>
          <w:tcPr>
            <w:tcW w:w="222" w:type="dxa"/>
            <w:gridSpan w:val="2"/>
            <w:tcBorders>
              <w:top w:val="nil"/>
              <w:left w:val="nil"/>
              <w:bottom w:val="nil"/>
              <w:right w:val="nil"/>
            </w:tcBorders>
            <w:shd w:val="clear" w:color="auto" w:fill="D9D9D9" w:themeFill="background1" w:themeFillShade="D9"/>
            <w:noWrap/>
            <w:vAlign w:val="center"/>
            <w:hideMark/>
          </w:tcPr>
          <w:p w14:paraId="6943002E"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4A6ADC72"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11%</w:t>
            </w:r>
          </w:p>
        </w:tc>
        <w:tc>
          <w:tcPr>
            <w:tcW w:w="405" w:type="dxa"/>
            <w:gridSpan w:val="2"/>
            <w:tcBorders>
              <w:top w:val="nil"/>
              <w:left w:val="nil"/>
              <w:bottom w:val="nil"/>
              <w:right w:val="nil"/>
            </w:tcBorders>
            <w:shd w:val="clear" w:color="auto" w:fill="D9D9D9" w:themeFill="background1" w:themeFillShade="D9"/>
            <w:noWrap/>
            <w:vAlign w:val="center"/>
            <w:hideMark/>
          </w:tcPr>
          <w:p w14:paraId="0097E54C"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5E444CF4"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D9D9D9" w:themeFill="background1" w:themeFillShade="D9"/>
            <w:noWrap/>
            <w:vAlign w:val="center"/>
            <w:hideMark/>
          </w:tcPr>
          <w:p w14:paraId="7D491D41"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78F45280"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33%</w:t>
            </w:r>
          </w:p>
        </w:tc>
      </w:tr>
      <w:tr w:rsidR="00DA0E13" w:rsidRPr="00E35A60" w14:paraId="3D033589"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43C2DADC"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Germ Cell</w:t>
            </w:r>
          </w:p>
        </w:tc>
        <w:tc>
          <w:tcPr>
            <w:tcW w:w="531" w:type="dxa"/>
            <w:gridSpan w:val="2"/>
            <w:tcBorders>
              <w:top w:val="nil"/>
              <w:left w:val="nil"/>
              <w:bottom w:val="nil"/>
              <w:right w:val="nil"/>
            </w:tcBorders>
            <w:shd w:val="clear" w:color="auto" w:fill="D9D9D9" w:themeFill="background1" w:themeFillShade="D9"/>
            <w:noWrap/>
            <w:vAlign w:val="center"/>
          </w:tcPr>
          <w:p w14:paraId="25530F14"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7E762DFB"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D9D9D9" w:themeFill="background1" w:themeFillShade="D9"/>
            <w:noWrap/>
            <w:vAlign w:val="center"/>
            <w:hideMark/>
          </w:tcPr>
          <w:p w14:paraId="16CEED79"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1B78F507"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w:t>
            </w:r>
          </w:p>
        </w:tc>
        <w:tc>
          <w:tcPr>
            <w:tcW w:w="405" w:type="dxa"/>
            <w:gridSpan w:val="2"/>
            <w:tcBorders>
              <w:top w:val="nil"/>
              <w:left w:val="nil"/>
              <w:bottom w:val="nil"/>
              <w:right w:val="nil"/>
            </w:tcBorders>
            <w:shd w:val="clear" w:color="auto" w:fill="D9D9D9" w:themeFill="background1" w:themeFillShade="D9"/>
            <w:noWrap/>
            <w:vAlign w:val="center"/>
            <w:hideMark/>
          </w:tcPr>
          <w:p w14:paraId="0A5CDE9E"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27D51B68"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D9D9D9" w:themeFill="background1" w:themeFillShade="D9"/>
            <w:noWrap/>
            <w:vAlign w:val="center"/>
            <w:hideMark/>
          </w:tcPr>
          <w:p w14:paraId="35892D9D"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6AA7A8CA"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33%</w:t>
            </w:r>
          </w:p>
        </w:tc>
      </w:tr>
      <w:tr w:rsidR="00DA0E13" w:rsidRPr="00E35A60" w14:paraId="2EA47853"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3F298EAE"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Central Nervous System</w:t>
            </w:r>
          </w:p>
        </w:tc>
        <w:tc>
          <w:tcPr>
            <w:tcW w:w="531" w:type="dxa"/>
            <w:gridSpan w:val="2"/>
            <w:tcBorders>
              <w:top w:val="nil"/>
              <w:left w:val="nil"/>
              <w:bottom w:val="nil"/>
              <w:right w:val="nil"/>
            </w:tcBorders>
            <w:shd w:val="clear" w:color="auto" w:fill="D9D9D9" w:themeFill="background1" w:themeFillShade="D9"/>
            <w:noWrap/>
            <w:vAlign w:val="center"/>
          </w:tcPr>
          <w:p w14:paraId="38536EBF"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73CC5E70"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D9D9D9" w:themeFill="background1" w:themeFillShade="D9"/>
            <w:noWrap/>
            <w:vAlign w:val="center"/>
            <w:hideMark/>
          </w:tcPr>
          <w:p w14:paraId="024FF2B7"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501F0C0E"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w:t>
            </w:r>
          </w:p>
        </w:tc>
        <w:tc>
          <w:tcPr>
            <w:tcW w:w="405" w:type="dxa"/>
            <w:gridSpan w:val="2"/>
            <w:tcBorders>
              <w:top w:val="nil"/>
              <w:left w:val="nil"/>
              <w:bottom w:val="nil"/>
              <w:right w:val="nil"/>
            </w:tcBorders>
            <w:shd w:val="clear" w:color="auto" w:fill="D9D9D9" w:themeFill="background1" w:themeFillShade="D9"/>
            <w:noWrap/>
            <w:vAlign w:val="center"/>
            <w:hideMark/>
          </w:tcPr>
          <w:p w14:paraId="521E4A0E"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6F0BEB2D"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nil"/>
              <w:right w:val="nil"/>
            </w:tcBorders>
            <w:shd w:val="clear" w:color="auto" w:fill="D9D9D9" w:themeFill="background1" w:themeFillShade="D9"/>
            <w:noWrap/>
            <w:vAlign w:val="center"/>
            <w:hideMark/>
          </w:tcPr>
          <w:p w14:paraId="374A135C"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2FD58D8F"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33B76192"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76A8C5AA"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Hepatic</w:t>
            </w:r>
          </w:p>
        </w:tc>
        <w:tc>
          <w:tcPr>
            <w:tcW w:w="531" w:type="dxa"/>
            <w:gridSpan w:val="2"/>
            <w:tcBorders>
              <w:top w:val="nil"/>
              <w:left w:val="nil"/>
              <w:bottom w:val="nil"/>
              <w:right w:val="nil"/>
            </w:tcBorders>
            <w:shd w:val="clear" w:color="auto" w:fill="D9D9D9" w:themeFill="background1" w:themeFillShade="D9"/>
            <w:noWrap/>
            <w:vAlign w:val="center"/>
          </w:tcPr>
          <w:p w14:paraId="43B40FD5"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6DD028A1"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D9D9D9" w:themeFill="background1" w:themeFillShade="D9"/>
            <w:noWrap/>
            <w:vAlign w:val="center"/>
            <w:hideMark/>
          </w:tcPr>
          <w:p w14:paraId="65B3A8EA"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3863FFBC"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w:t>
            </w:r>
          </w:p>
        </w:tc>
        <w:tc>
          <w:tcPr>
            <w:tcW w:w="405" w:type="dxa"/>
            <w:gridSpan w:val="2"/>
            <w:tcBorders>
              <w:top w:val="nil"/>
              <w:left w:val="nil"/>
              <w:bottom w:val="nil"/>
              <w:right w:val="nil"/>
            </w:tcBorders>
            <w:shd w:val="clear" w:color="auto" w:fill="D9D9D9" w:themeFill="background1" w:themeFillShade="D9"/>
            <w:noWrap/>
            <w:vAlign w:val="center"/>
            <w:hideMark/>
          </w:tcPr>
          <w:p w14:paraId="6F56AA42"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6ACE9372"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nil"/>
              <w:right w:val="nil"/>
            </w:tcBorders>
            <w:shd w:val="clear" w:color="auto" w:fill="D9D9D9" w:themeFill="background1" w:themeFillShade="D9"/>
            <w:noWrap/>
            <w:vAlign w:val="center"/>
            <w:hideMark/>
          </w:tcPr>
          <w:p w14:paraId="11FB64CB"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74567445"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3627D830" w14:textId="77777777" w:rsidTr="005330DE">
        <w:trPr>
          <w:gridAfter w:val="1"/>
          <w:wAfter w:w="93" w:type="dxa"/>
          <w:trHeight w:val="302"/>
        </w:trPr>
        <w:tc>
          <w:tcPr>
            <w:tcW w:w="3705" w:type="dxa"/>
            <w:gridSpan w:val="2"/>
            <w:tcBorders>
              <w:top w:val="nil"/>
              <w:bottom w:val="nil"/>
              <w:right w:val="nil"/>
            </w:tcBorders>
            <w:shd w:val="clear" w:color="auto" w:fill="D9D9D9" w:themeFill="background1" w:themeFillShade="D9"/>
            <w:noWrap/>
            <w:vAlign w:val="center"/>
            <w:hideMark/>
          </w:tcPr>
          <w:p w14:paraId="1D26E419"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Other Malignant Epithelial</w:t>
            </w:r>
          </w:p>
        </w:tc>
        <w:tc>
          <w:tcPr>
            <w:tcW w:w="531" w:type="dxa"/>
            <w:gridSpan w:val="2"/>
            <w:tcBorders>
              <w:top w:val="nil"/>
              <w:left w:val="nil"/>
              <w:bottom w:val="nil"/>
              <w:right w:val="nil"/>
            </w:tcBorders>
            <w:shd w:val="clear" w:color="auto" w:fill="D9D9D9" w:themeFill="background1" w:themeFillShade="D9"/>
            <w:noWrap/>
            <w:vAlign w:val="center"/>
          </w:tcPr>
          <w:p w14:paraId="7809668D"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1BB01667"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nil"/>
              <w:right w:val="nil"/>
            </w:tcBorders>
            <w:shd w:val="clear" w:color="auto" w:fill="D9D9D9" w:themeFill="background1" w:themeFillShade="D9"/>
            <w:noWrap/>
            <w:vAlign w:val="center"/>
            <w:hideMark/>
          </w:tcPr>
          <w:p w14:paraId="4D58258A"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49A4FAD8"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w:t>
            </w:r>
          </w:p>
        </w:tc>
        <w:tc>
          <w:tcPr>
            <w:tcW w:w="405" w:type="dxa"/>
            <w:gridSpan w:val="2"/>
            <w:tcBorders>
              <w:top w:val="nil"/>
              <w:left w:val="nil"/>
              <w:bottom w:val="nil"/>
              <w:right w:val="nil"/>
            </w:tcBorders>
            <w:shd w:val="clear" w:color="auto" w:fill="D9D9D9" w:themeFill="background1" w:themeFillShade="D9"/>
            <w:noWrap/>
            <w:vAlign w:val="center"/>
            <w:hideMark/>
          </w:tcPr>
          <w:p w14:paraId="593816E5"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nil"/>
              <w:right w:val="nil"/>
            </w:tcBorders>
            <w:shd w:val="clear" w:color="auto" w:fill="D9D9D9" w:themeFill="background1" w:themeFillShade="D9"/>
            <w:noWrap/>
            <w:vAlign w:val="center"/>
            <w:hideMark/>
          </w:tcPr>
          <w:p w14:paraId="57D334A5"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nil"/>
              <w:right w:val="nil"/>
            </w:tcBorders>
            <w:shd w:val="clear" w:color="auto" w:fill="D9D9D9" w:themeFill="background1" w:themeFillShade="D9"/>
            <w:noWrap/>
            <w:vAlign w:val="center"/>
            <w:hideMark/>
          </w:tcPr>
          <w:p w14:paraId="5C977588"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nil"/>
              <w:right w:val="nil"/>
            </w:tcBorders>
            <w:shd w:val="clear" w:color="auto" w:fill="D9D9D9" w:themeFill="background1" w:themeFillShade="D9"/>
            <w:noWrap/>
            <w:vAlign w:val="center"/>
            <w:hideMark/>
          </w:tcPr>
          <w:p w14:paraId="3984C935"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07367C04" w14:textId="77777777" w:rsidTr="005330DE">
        <w:trPr>
          <w:gridAfter w:val="1"/>
          <w:wAfter w:w="93" w:type="dxa"/>
          <w:trHeight w:val="302"/>
        </w:trPr>
        <w:tc>
          <w:tcPr>
            <w:tcW w:w="3705" w:type="dxa"/>
            <w:gridSpan w:val="2"/>
            <w:tcBorders>
              <w:top w:val="nil"/>
              <w:right w:val="nil"/>
            </w:tcBorders>
            <w:shd w:val="clear" w:color="auto" w:fill="D9D9D9" w:themeFill="background1" w:themeFillShade="D9"/>
            <w:noWrap/>
            <w:vAlign w:val="center"/>
            <w:hideMark/>
          </w:tcPr>
          <w:p w14:paraId="319D6C6D"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Renal</w:t>
            </w:r>
          </w:p>
        </w:tc>
        <w:tc>
          <w:tcPr>
            <w:tcW w:w="531" w:type="dxa"/>
            <w:gridSpan w:val="2"/>
            <w:tcBorders>
              <w:top w:val="nil"/>
              <w:left w:val="nil"/>
              <w:right w:val="nil"/>
            </w:tcBorders>
            <w:shd w:val="clear" w:color="auto" w:fill="D9D9D9" w:themeFill="background1" w:themeFillShade="D9"/>
            <w:noWrap/>
            <w:vAlign w:val="center"/>
          </w:tcPr>
          <w:p w14:paraId="7F5553E8" w14:textId="77777777" w:rsidR="00DA0E13" w:rsidRPr="00E35A60" w:rsidRDefault="00DA0E13" w:rsidP="0040594E">
            <w:pPr>
              <w:pStyle w:val="NoSpacing"/>
              <w:rPr>
                <w:rFonts w:asciiTheme="minorHAnsi" w:hAnsiTheme="minorHAnsi"/>
              </w:rPr>
            </w:pPr>
          </w:p>
        </w:tc>
        <w:tc>
          <w:tcPr>
            <w:tcW w:w="1060" w:type="dxa"/>
            <w:gridSpan w:val="2"/>
            <w:tcBorders>
              <w:top w:val="nil"/>
              <w:left w:val="nil"/>
              <w:right w:val="nil"/>
            </w:tcBorders>
            <w:shd w:val="clear" w:color="auto" w:fill="D9D9D9" w:themeFill="background1" w:themeFillShade="D9"/>
            <w:noWrap/>
            <w:vAlign w:val="center"/>
            <w:hideMark/>
          </w:tcPr>
          <w:p w14:paraId="0780E1F9"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right w:val="nil"/>
            </w:tcBorders>
            <w:shd w:val="clear" w:color="auto" w:fill="D9D9D9" w:themeFill="background1" w:themeFillShade="D9"/>
            <w:noWrap/>
            <w:vAlign w:val="center"/>
            <w:hideMark/>
          </w:tcPr>
          <w:p w14:paraId="7669B624"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right w:val="nil"/>
            </w:tcBorders>
            <w:shd w:val="clear" w:color="auto" w:fill="D9D9D9" w:themeFill="background1" w:themeFillShade="D9"/>
            <w:noWrap/>
            <w:vAlign w:val="center"/>
            <w:hideMark/>
          </w:tcPr>
          <w:p w14:paraId="507D751E"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6%</w:t>
            </w:r>
          </w:p>
        </w:tc>
        <w:tc>
          <w:tcPr>
            <w:tcW w:w="405" w:type="dxa"/>
            <w:gridSpan w:val="2"/>
            <w:tcBorders>
              <w:top w:val="nil"/>
              <w:left w:val="nil"/>
              <w:right w:val="nil"/>
            </w:tcBorders>
            <w:shd w:val="clear" w:color="auto" w:fill="D9D9D9" w:themeFill="background1" w:themeFillShade="D9"/>
            <w:noWrap/>
            <w:vAlign w:val="center"/>
            <w:hideMark/>
          </w:tcPr>
          <w:p w14:paraId="7802EB6B"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right w:val="nil"/>
            </w:tcBorders>
            <w:shd w:val="clear" w:color="auto" w:fill="D9D9D9" w:themeFill="background1" w:themeFillShade="D9"/>
            <w:noWrap/>
            <w:vAlign w:val="center"/>
            <w:hideMark/>
          </w:tcPr>
          <w:p w14:paraId="230E5AD0"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right w:val="nil"/>
            </w:tcBorders>
            <w:shd w:val="clear" w:color="auto" w:fill="D9D9D9" w:themeFill="background1" w:themeFillShade="D9"/>
            <w:noWrap/>
            <w:vAlign w:val="center"/>
            <w:hideMark/>
          </w:tcPr>
          <w:p w14:paraId="78BEA99D"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right w:val="nil"/>
            </w:tcBorders>
            <w:shd w:val="clear" w:color="auto" w:fill="D9D9D9" w:themeFill="background1" w:themeFillShade="D9"/>
            <w:noWrap/>
            <w:vAlign w:val="center"/>
            <w:hideMark/>
          </w:tcPr>
          <w:p w14:paraId="457DD3E3"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r>
      <w:tr w:rsidR="00DA0E13" w:rsidRPr="00E35A60" w14:paraId="68F9A6D1" w14:textId="77777777" w:rsidTr="005330DE">
        <w:trPr>
          <w:gridAfter w:val="1"/>
          <w:wAfter w:w="93" w:type="dxa"/>
          <w:trHeight w:val="302"/>
        </w:trPr>
        <w:tc>
          <w:tcPr>
            <w:tcW w:w="3705" w:type="dxa"/>
            <w:gridSpan w:val="2"/>
            <w:tcBorders>
              <w:top w:val="nil"/>
              <w:bottom w:val="single" w:sz="4" w:space="0" w:color="auto"/>
              <w:right w:val="nil"/>
            </w:tcBorders>
            <w:shd w:val="clear" w:color="auto" w:fill="D9D9D9" w:themeFill="background1" w:themeFillShade="D9"/>
            <w:noWrap/>
            <w:vAlign w:val="center"/>
          </w:tcPr>
          <w:p w14:paraId="5040630B" w14:textId="77777777" w:rsidR="00DA0E13" w:rsidRPr="00E35A60" w:rsidRDefault="00DA0E13" w:rsidP="0040594E">
            <w:pPr>
              <w:pStyle w:val="NoSpacing"/>
              <w:ind w:left="720"/>
              <w:rPr>
                <w:rFonts w:asciiTheme="minorHAnsi" w:hAnsiTheme="minorHAnsi"/>
              </w:rPr>
            </w:pPr>
            <w:r w:rsidRPr="00E35A60">
              <w:rPr>
                <w:rFonts w:asciiTheme="minorHAnsi" w:hAnsiTheme="minorHAnsi"/>
              </w:rPr>
              <w:t>Soft Tissue Sarcoma</w:t>
            </w:r>
          </w:p>
        </w:tc>
        <w:tc>
          <w:tcPr>
            <w:tcW w:w="531" w:type="dxa"/>
            <w:gridSpan w:val="2"/>
            <w:tcBorders>
              <w:top w:val="nil"/>
              <w:left w:val="nil"/>
              <w:bottom w:val="single" w:sz="4" w:space="0" w:color="auto"/>
              <w:right w:val="nil"/>
            </w:tcBorders>
            <w:shd w:val="clear" w:color="auto" w:fill="D9D9D9" w:themeFill="background1" w:themeFillShade="D9"/>
            <w:noWrap/>
            <w:vAlign w:val="center"/>
          </w:tcPr>
          <w:p w14:paraId="512482AC" w14:textId="77777777" w:rsidR="00DA0E13" w:rsidRPr="00E35A60" w:rsidRDefault="00DA0E13" w:rsidP="0040594E">
            <w:pPr>
              <w:pStyle w:val="NoSpacing"/>
              <w:rPr>
                <w:rFonts w:asciiTheme="minorHAnsi" w:hAnsiTheme="minorHAnsi"/>
              </w:rPr>
            </w:pPr>
          </w:p>
        </w:tc>
        <w:tc>
          <w:tcPr>
            <w:tcW w:w="1060" w:type="dxa"/>
            <w:gridSpan w:val="2"/>
            <w:tcBorders>
              <w:top w:val="nil"/>
              <w:left w:val="nil"/>
              <w:bottom w:val="single" w:sz="4" w:space="0" w:color="auto"/>
              <w:right w:val="nil"/>
            </w:tcBorders>
            <w:shd w:val="clear" w:color="auto" w:fill="D9D9D9" w:themeFill="background1" w:themeFillShade="D9"/>
            <w:noWrap/>
            <w:vAlign w:val="center"/>
          </w:tcPr>
          <w:p w14:paraId="00B5ECFC"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w:t>
            </w:r>
          </w:p>
        </w:tc>
        <w:tc>
          <w:tcPr>
            <w:tcW w:w="222" w:type="dxa"/>
            <w:gridSpan w:val="2"/>
            <w:tcBorders>
              <w:top w:val="nil"/>
              <w:left w:val="nil"/>
              <w:bottom w:val="single" w:sz="4" w:space="0" w:color="auto"/>
              <w:right w:val="nil"/>
            </w:tcBorders>
            <w:shd w:val="clear" w:color="auto" w:fill="D9D9D9" w:themeFill="background1" w:themeFillShade="D9"/>
            <w:noWrap/>
            <w:vAlign w:val="center"/>
          </w:tcPr>
          <w:p w14:paraId="5E51339F"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single" w:sz="4" w:space="0" w:color="auto"/>
              <w:right w:val="nil"/>
            </w:tcBorders>
            <w:shd w:val="clear" w:color="auto" w:fill="D9D9D9" w:themeFill="background1" w:themeFillShade="D9"/>
            <w:noWrap/>
            <w:vAlign w:val="center"/>
          </w:tcPr>
          <w:p w14:paraId="6C363DD1"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w:t>
            </w:r>
          </w:p>
        </w:tc>
        <w:tc>
          <w:tcPr>
            <w:tcW w:w="405" w:type="dxa"/>
            <w:gridSpan w:val="2"/>
            <w:tcBorders>
              <w:top w:val="nil"/>
              <w:left w:val="nil"/>
              <w:bottom w:val="single" w:sz="4" w:space="0" w:color="auto"/>
              <w:right w:val="nil"/>
            </w:tcBorders>
            <w:shd w:val="clear" w:color="auto" w:fill="D9D9D9" w:themeFill="background1" w:themeFillShade="D9"/>
            <w:noWrap/>
            <w:vAlign w:val="center"/>
          </w:tcPr>
          <w:p w14:paraId="77EE652C" w14:textId="77777777" w:rsidR="00DA0E13" w:rsidRPr="00E35A60" w:rsidRDefault="00DA0E13" w:rsidP="0040594E">
            <w:pPr>
              <w:pStyle w:val="NoSpacing"/>
              <w:ind w:right="144"/>
              <w:jc w:val="right"/>
              <w:rPr>
                <w:rFonts w:asciiTheme="minorHAnsi" w:hAnsiTheme="minorHAnsi"/>
              </w:rPr>
            </w:pPr>
          </w:p>
        </w:tc>
        <w:tc>
          <w:tcPr>
            <w:tcW w:w="1060" w:type="dxa"/>
            <w:gridSpan w:val="2"/>
            <w:tcBorders>
              <w:top w:val="nil"/>
              <w:left w:val="nil"/>
              <w:bottom w:val="single" w:sz="4" w:space="0" w:color="auto"/>
              <w:right w:val="nil"/>
            </w:tcBorders>
            <w:shd w:val="clear" w:color="auto" w:fill="D9D9D9" w:themeFill="background1" w:themeFillShade="D9"/>
            <w:noWrap/>
            <w:vAlign w:val="center"/>
          </w:tcPr>
          <w:p w14:paraId="0FAC38B5" w14:textId="77777777" w:rsidR="00DA0E13" w:rsidRPr="00E35A60" w:rsidRDefault="00DA0E13" w:rsidP="0040594E">
            <w:pPr>
              <w:pStyle w:val="NoSpacing"/>
              <w:ind w:right="288"/>
              <w:jc w:val="right"/>
              <w:rPr>
                <w:rFonts w:asciiTheme="minorHAnsi" w:hAnsiTheme="minorHAnsi"/>
              </w:rPr>
            </w:pPr>
            <w:r w:rsidRPr="00E35A60">
              <w:rPr>
                <w:rFonts w:asciiTheme="minorHAnsi" w:hAnsiTheme="minorHAnsi"/>
              </w:rPr>
              <w:t>1</w:t>
            </w:r>
          </w:p>
        </w:tc>
        <w:tc>
          <w:tcPr>
            <w:tcW w:w="222" w:type="dxa"/>
            <w:gridSpan w:val="2"/>
            <w:tcBorders>
              <w:top w:val="nil"/>
              <w:left w:val="nil"/>
              <w:bottom w:val="single" w:sz="4" w:space="0" w:color="auto"/>
              <w:right w:val="nil"/>
            </w:tcBorders>
            <w:shd w:val="clear" w:color="auto" w:fill="D9D9D9" w:themeFill="background1" w:themeFillShade="D9"/>
            <w:noWrap/>
            <w:vAlign w:val="center"/>
          </w:tcPr>
          <w:p w14:paraId="5D0824A2" w14:textId="77777777" w:rsidR="00DA0E13" w:rsidRPr="00E35A60" w:rsidRDefault="00DA0E13" w:rsidP="0040594E">
            <w:pPr>
              <w:pStyle w:val="NoSpacing"/>
              <w:ind w:right="144"/>
              <w:jc w:val="right"/>
              <w:rPr>
                <w:rFonts w:asciiTheme="minorHAnsi" w:hAnsiTheme="minorHAnsi"/>
              </w:rPr>
            </w:pPr>
          </w:p>
        </w:tc>
        <w:tc>
          <w:tcPr>
            <w:tcW w:w="1007" w:type="dxa"/>
            <w:gridSpan w:val="2"/>
            <w:tcBorders>
              <w:top w:val="nil"/>
              <w:left w:val="nil"/>
              <w:bottom w:val="single" w:sz="4" w:space="0" w:color="auto"/>
              <w:right w:val="nil"/>
            </w:tcBorders>
            <w:shd w:val="clear" w:color="auto" w:fill="D9D9D9" w:themeFill="background1" w:themeFillShade="D9"/>
            <w:noWrap/>
            <w:vAlign w:val="center"/>
          </w:tcPr>
          <w:p w14:paraId="1C72537D" w14:textId="77777777" w:rsidR="00DA0E13" w:rsidRPr="00E35A60" w:rsidRDefault="00DA0E13" w:rsidP="0040594E">
            <w:pPr>
              <w:pStyle w:val="NoSpacing"/>
              <w:ind w:right="144"/>
              <w:jc w:val="right"/>
              <w:rPr>
                <w:rFonts w:asciiTheme="minorHAnsi" w:hAnsiTheme="minorHAnsi"/>
              </w:rPr>
            </w:pPr>
            <w:r w:rsidRPr="00E35A60">
              <w:rPr>
                <w:rFonts w:asciiTheme="minorHAnsi" w:hAnsiTheme="minorHAnsi"/>
              </w:rPr>
              <w:t>33%</w:t>
            </w:r>
          </w:p>
        </w:tc>
      </w:tr>
    </w:tbl>
    <w:p w14:paraId="4C8199E9" w14:textId="77777777" w:rsidR="00613D2D" w:rsidRPr="00F80B1F" w:rsidRDefault="00613D2D" w:rsidP="0040594E">
      <w:pPr>
        <w:pStyle w:val="NoSpacing"/>
      </w:pPr>
    </w:p>
    <w:p w14:paraId="22FA4E65" w14:textId="0951DE88" w:rsidR="00F22914" w:rsidRDefault="00DA0AEF" w:rsidP="00FA486B">
      <w:r>
        <w:t>Nine</w:t>
      </w:r>
      <w:r w:rsidRPr="00F80B1F">
        <w:t xml:space="preserve"> </w:t>
      </w:r>
      <w:r w:rsidR="00613D2D" w:rsidRPr="00F80B1F">
        <w:t xml:space="preserve">different cancer </w:t>
      </w:r>
      <w:r>
        <w:t>types</w:t>
      </w:r>
      <w:r w:rsidR="00613D2D" w:rsidRPr="00F80B1F">
        <w:t xml:space="preserve"> were represented in these children (</w:t>
      </w:r>
      <w:r w:rsidR="00361166">
        <w:fldChar w:fldCharType="begin"/>
      </w:r>
      <w:r w:rsidR="00361166">
        <w:instrText xml:space="preserve"> REF  Table6 \h </w:instrText>
      </w:r>
      <w:r w:rsidR="00FA486B">
        <w:instrText xml:space="preserve"> \* MERGEFORMAT </w:instrText>
      </w:r>
      <w:r w:rsidR="00361166">
        <w:fldChar w:fldCharType="separate"/>
      </w:r>
      <w:r w:rsidR="00977423">
        <w:t xml:space="preserve">Table </w:t>
      </w:r>
      <w:r w:rsidR="00977423">
        <w:rPr>
          <w:noProof/>
        </w:rPr>
        <w:t>6</w:t>
      </w:r>
      <w:r w:rsidR="00361166">
        <w:fldChar w:fldCharType="end"/>
      </w:r>
      <w:r w:rsidR="00613D2D" w:rsidRPr="00F80B1F">
        <w:t>)</w:t>
      </w:r>
      <w:r w:rsidR="00716072">
        <w:t xml:space="preserve">. </w:t>
      </w:r>
      <w:r>
        <w:t>The most common diagnosis was leukemia (8 children</w:t>
      </w:r>
      <w:r w:rsidR="00203BD6">
        <w:t xml:space="preserve">: 6 with acute </w:t>
      </w:r>
      <w:r w:rsidR="00823756">
        <w:t xml:space="preserve">lymphocytic subtype or ALL </w:t>
      </w:r>
      <w:r w:rsidR="00203BD6">
        <w:t>and 2 with acute</w:t>
      </w:r>
      <w:r w:rsidR="00823756" w:rsidRPr="00823756">
        <w:t xml:space="preserve"> </w:t>
      </w:r>
      <w:r w:rsidR="00823756">
        <w:t>myeloid subtype or AML</w:t>
      </w:r>
      <w:r>
        <w:t>) followed by lymphoma (3 children)</w:t>
      </w:r>
      <w:r w:rsidR="00716072">
        <w:t xml:space="preserve">. </w:t>
      </w:r>
      <w:r>
        <w:t>All children diagnosed with leukemia and lymphoma participated in the study</w:t>
      </w:r>
      <w:r w:rsidR="00716072">
        <w:t xml:space="preserve">. </w:t>
      </w:r>
      <w:r>
        <w:t xml:space="preserve">There were three children with bone cancer; </w:t>
      </w:r>
      <w:r w:rsidR="00613D2D" w:rsidRPr="00F80B1F">
        <w:t xml:space="preserve">two </w:t>
      </w:r>
      <w:r>
        <w:t>enrolled in the study and one did not</w:t>
      </w:r>
      <w:r w:rsidR="00F36908">
        <w:t xml:space="preserve"> </w:t>
      </w:r>
      <w:r w:rsidR="00C718A2">
        <w:t>participate</w:t>
      </w:r>
      <w:r w:rsidR="00716072">
        <w:t xml:space="preserve">. </w:t>
      </w:r>
      <w:r>
        <w:t xml:space="preserve">Two germ cell tumors were diagnosed </w:t>
      </w:r>
      <w:r w:rsidR="007E1667">
        <w:t xml:space="preserve">(both of the intracranial and intraspinal subtype) </w:t>
      </w:r>
      <w:r>
        <w:t>with one child participating and one not participating in the study</w:t>
      </w:r>
      <w:r w:rsidR="00716072">
        <w:t xml:space="preserve">. </w:t>
      </w:r>
      <w:r>
        <w:t xml:space="preserve">The remaining five cancer types were diagnosed in one child </w:t>
      </w:r>
      <w:r w:rsidR="007D1FAE">
        <w:t xml:space="preserve">each: </w:t>
      </w:r>
      <w:r w:rsidR="00613D2D" w:rsidRPr="00F80B1F">
        <w:t xml:space="preserve">central nervous system, </w:t>
      </w:r>
      <w:r w:rsidR="00303AF8">
        <w:t>hepatic</w:t>
      </w:r>
      <w:r w:rsidR="007D1FAE">
        <w:t>,</w:t>
      </w:r>
      <w:r w:rsidR="00613D2D" w:rsidRPr="00F80B1F">
        <w:t xml:space="preserve"> </w:t>
      </w:r>
      <w:r w:rsidR="00DA0E13">
        <w:t xml:space="preserve">other malignant epithelial neoplasm (of the skin carcinoma subtype), renal, and </w:t>
      </w:r>
      <w:r w:rsidR="00877A74">
        <w:t xml:space="preserve">soft tissue </w:t>
      </w:r>
      <w:r w:rsidR="00DA0E13">
        <w:t>sarcoma</w:t>
      </w:r>
      <w:r w:rsidR="00716072">
        <w:t xml:space="preserve">. </w:t>
      </w:r>
      <w:r w:rsidR="00F36908">
        <w:t>A</w:t>
      </w:r>
      <w:r w:rsidR="007D1FAE">
        <w:t xml:space="preserve">ll enrolled in the study except for the child with </w:t>
      </w:r>
      <w:r w:rsidR="00877A74">
        <w:t xml:space="preserve">soft tissue </w:t>
      </w:r>
      <w:r w:rsidR="007D1FAE">
        <w:t>sarcoma</w:t>
      </w:r>
      <w:r w:rsidR="00716072">
        <w:t xml:space="preserve">. </w:t>
      </w:r>
    </w:p>
    <w:p w14:paraId="779E4EDB" w14:textId="17958216" w:rsidR="00F22914" w:rsidRDefault="00F22914" w:rsidP="009B5DA2">
      <w:pPr>
        <w:pStyle w:val="Heading2"/>
      </w:pPr>
      <w:bookmarkStart w:id="114" w:name="_Toc67488285"/>
      <w:r>
        <w:t xml:space="preserve">RISK FACTOR </w:t>
      </w:r>
      <w:r w:rsidRPr="00F80B1F">
        <w:t xml:space="preserve">CHARACTERISTICS OF </w:t>
      </w:r>
      <w:r>
        <w:t xml:space="preserve">THE </w:t>
      </w:r>
      <w:r w:rsidRPr="00F80B1F">
        <w:t>STUDY POPULATION</w:t>
      </w:r>
      <w:bookmarkEnd w:id="114"/>
    </w:p>
    <w:p w14:paraId="0F44236B" w14:textId="77777777" w:rsidR="00BF6A37" w:rsidRDefault="00BF6A37" w:rsidP="00FA486B">
      <w:r w:rsidRPr="00F80B1F">
        <w:t xml:space="preserve">As described in the Methods section, information on a large number of variables was collected during the interviews </w:t>
      </w:r>
      <w:r>
        <w:t>of</w:t>
      </w:r>
      <w:r w:rsidRPr="00F80B1F">
        <w:t xml:space="preserve"> cases and controls</w:t>
      </w:r>
      <w:r w:rsidR="00716072">
        <w:t xml:space="preserve">. </w:t>
      </w:r>
      <w:r w:rsidRPr="00F80B1F">
        <w:t xml:space="preserve">The majority of variables were included in the interview because they were identified </w:t>
      </w:r>
      <w:r w:rsidRPr="00D439DE">
        <w:t xml:space="preserve">in the </w:t>
      </w:r>
      <w:r>
        <w:t xml:space="preserve">scientific </w:t>
      </w:r>
      <w:r w:rsidRPr="00D439DE">
        <w:t>literature as having a possible association with childhood cancer</w:t>
      </w:r>
      <w:r>
        <w:t xml:space="preserve"> </w:t>
      </w:r>
      <w:r w:rsidRPr="00F80B1F">
        <w:t xml:space="preserve">(e.g., </w:t>
      </w:r>
      <w:r>
        <w:t>exposure to ionizing radiation</w:t>
      </w:r>
      <w:r w:rsidRPr="00F80B1F">
        <w:t xml:space="preserve">) </w:t>
      </w:r>
      <w:r w:rsidRPr="00F80B1F">
        <w:lastRenderedPageBreak/>
        <w:t xml:space="preserve">or were important for characterizing </w:t>
      </w:r>
      <w:r>
        <w:t xml:space="preserve">a hypothesized </w:t>
      </w:r>
      <w:r w:rsidRPr="00F80B1F">
        <w:t xml:space="preserve">exposure (e.g., type of water used for </w:t>
      </w:r>
      <w:r>
        <w:t>drinking</w:t>
      </w:r>
      <w:r w:rsidRPr="00F80B1F">
        <w:t>).</w:t>
      </w:r>
    </w:p>
    <w:p w14:paraId="440F7D16" w14:textId="4765BAB8" w:rsidR="00094ADB" w:rsidRPr="00244953" w:rsidRDefault="00094ADB" w:rsidP="00FA486B">
      <w:r>
        <w:t xml:space="preserve">Select </w:t>
      </w:r>
      <w:r w:rsidR="00D90E24">
        <w:t>characteristics</w:t>
      </w:r>
      <w:r w:rsidRPr="00DB36FE">
        <w:t xml:space="preserve"> </w:t>
      </w:r>
      <w:r>
        <w:t xml:space="preserve">were included in this section and presented in </w:t>
      </w:r>
      <w:r w:rsidR="003363B8">
        <w:fldChar w:fldCharType="begin"/>
      </w:r>
      <w:r w:rsidR="003363B8">
        <w:instrText xml:space="preserve"> REF  Table7 \h </w:instrText>
      </w:r>
      <w:r w:rsidR="0040594E">
        <w:instrText xml:space="preserve"> \* MERGEFORMAT </w:instrText>
      </w:r>
      <w:r w:rsidR="003363B8">
        <w:fldChar w:fldCharType="separate"/>
      </w:r>
      <w:r w:rsidR="00977423">
        <w:rPr>
          <w:noProof/>
        </w:rPr>
        <w:t>Table</w:t>
      </w:r>
      <w:r w:rsidR="00977423">
        <w:t xml:space="preserve"> </w:t>
      </w:r>
      <w:r w:rsidR="00977423">
        <w:rPr>
          <w:noProof/>
        </w:rPr>
        <w:t>7</w:t>
      </w:r>
      <w:r w:rsidR="003363B8">
        <w:fldChar w:fldCharType="end"/>
      </w:r>
      <w:r>
        <w:t xml:space="preserve"> </w:t>
      </w:r>
      <w:r w:rsidR="00D90E24">
        <w:t>if they met any of</w:t>
      </w:r>
      <w:r>
        <w:t xml:space="preserve"> the following criteria: 1) </w:t>
      </w:r>
      <w:r w:rsidR="00DE1258">
        <w:t>those with analytical results</w:t>
      </w:r>
      <w:r w:rsidR="00DE1258" w:rsidRPr="00DB36FE">
        <w:t xml:space="preserve"> suggest</w:t>
      </w:r>
      <w:r w:rsidR="00DE1258">
        <w:t>ing</w:t>
      </w:r>
      <w:r w:rsidR="00DE1258" w:rsidRPr="00DB36FE">
        <w:t xml:space="preserve"> </w:t>
      </w:r>
      <w:r w:rsidR="00DE1258">
        <w:t xml:space="preserve">a possible </w:t>
      </w:r>
      <w:r w:rsidR="00DE1258" w:rsidRPr="00DB36FE">
        <w:t>associat</w:t>
      </w:r>
      <w:r w:rsidR="00DE1258">
        <w:t>ion</w:t>
      </w:r>
      <w:r w:rsidR="00DE1258" w:rsidRPr="00DB36FE">
        <w:t xml:space="preserve"> with childhood cancer in Wilmington</w:t>
      </w:r>
      <w:r w:rsidR="001B2765">
        <w:t xml:space="preserve"> based on having an OR &gt;1.0 and a </w:t>
      </w:r>
      <w:r w:rsidR="00C67EB4" w:rsidRPr="00372442">
        <w:rPr>
          <w:i/>
        </w:rPr>
        <w:t>p</w:t>
      </w:r>
      <w:r w:rsidR="00C67EB4">
        <w:t>-value</w:t>
      </w:r>
      <w:r w:rsidR="00DE1258">
        <w:t xml:space="preserve"> &lt;0.2</w:t>
      </w:r>
      <w:r w:rsidR="00372442">
        <w:t>0</w:t>
      </w:r>
      <w:r w:rsidR="00DE1258">
        <w:t xml:space="preserve">, 2) those that are commonly </w:t>
      </w:r>
      <w:r w:rsidR="00D90E24" w:rsidRPr="00DB36FE">
        <w:t xml:space="preserve">reported in the literature as </w:t>
      </w:r>
      <w:r w:rsidR="00DE1258">
        <w:t xml:space="preserve">being </w:t>
      </w:r>
      <w:r w:rsidR="00D90E24">
        <w:t>major risk factor</w:t>
      </w:r>
      <w:r w:rsidR="00DE1258">
        <w:t>s</w:t>
      </w:r>
      <w:r w:rsidR="00D90E24">
        <w:t xml:space="preserve"> for</w:t>
      </w:r>
      <w:r w:rsidR="00D90E24" w:rsidRPr="00DB36FE">
        <w:t xml:space="preserve"> childhood cancer</w:t>
      </w:r>
      <w:r w:rsidR="00DE1258">
        <w:t xml:space="preserve"> even if analytical results did not suggest an association with childhood cancer among the study population</w:t>
      </w:r>
      <w:r w:rsidR="00D90E24">
        <w:t xml:space="preserve">, or 3) </w:t>
      </w:r>
      <w:r w:rsidR="00DE1258">
        <w:t xml:space="preserve">those providing </w:t>
      </w:r>
      <w:r w:rsidR="00D90E24">
        <w:t xml:space="preserve">basic demographic </w:t>
      </w:r>
      <w:r w:rsidR="00DE1258">
        <w:t xml:space="preserve">and residential </w:t>
      </w:r>
      <w:r w:rsidR="00D90E24">
        <w:t>information</w:t>
      </w:r>
      <w:r w:rsidR="00DE1258">
        <w:t xml:space="preserve"> about the study population</w:t>
      </w:r>
      <w:r w:rsidR="00716072">
        <w:t xml:space="preserve">. </w:t>
      </w:r>
      <w:r w:rsidR="00DE1258">
        <w:t xml:space="preserve">Full </w:t>
      </w:r>
      <w:r w:rsidRPr="00086F8C">
        <w:t>detailed results of the analyses</w:t>
      </w:r>
      <w:r>
        <w:t xml:space="preserve"> for all risk factors collected during informational interviews</w:t>
      </w:r>
      <w:r w:rsidR="00DE1258">
        <w:t xml:space="preserve"> are contained in </w:t>
      </w:r>
      <w:r w:rsidR="00DE1258" w:rsidRPr="00086F8C">
        <w:t>Appendix D</w:t>
      </w:r>
      <w:r w:rsidRPr="00086F8C">
        <w:t>.</w:t>
      </w:r>
    </w:p>
    <w:p w14:paraId="2518671A" w14:textId="6573D576" w:rsidR="005251BF" w:rsidRDefault="00094ADB" w:rsidP="005251BF">
      <w:pPr>
        <w:pStyle w:val="Caption"/>
        <w:keepNext/>
      </w:pPr>
      <w:r w:rsidRPr="00244953">
        <w:t>Results are presented for</w:t>
      </w:r>
      <w:r w:rsidR="00DE1258">
        <w:t xml:space="preserve"> all</w:t>
      </w:r>
      <w:r w:rsidRPr="00244953">
        <w:t xml:space="preserve"> </w:t>
      </w:r>
      <w:r w:rsidR="00DE1258" w:rsidRPr="00244953">
        <w:t xml:space="preserve">18 participating cases and their </w:t>
      </w:r>
      <w:r w:rsidR="00DE1258">
        <w:t xml:space="preserve">74 </w:t>
      </w:r>
      <w:r w:rsidR="00DE1258" w:rsidRPr="00244953">
        <w:t xml:space="preserve">matched controls </w:t>
      </w:r>
      <w:r w:rsidR="00DE1258">
        <w:t>(</w:t>
      </w:r>
      <w:r w:rsidRPr="00244953">
        <w:t>All Cancers group</w:t>
      </w:r>
      <w:r w:rsidR="00DE1258">
        <w:t>) and, separately, for</w:t>
      </w:r>
      <w:r w:rsidRPr="00244953">
        <w:t xml:space="preserve"> </w:t>
      </w:r>
      <w:r w:rsidR="00DE1258" w:rsidRPr="00244953">
        <w:t xml:space="preserve">the 11 cases with leukemia or lymphoma and their </w:t>
      </w:r>
      <w:r w:rsidR="00DE1258">
        <w:t xml:space="preserve">45 </w:t>
      </w:r>
      <w:r w:rsidR="00DE1258" w:rsidRPr="00244953">
        <w:t xml:space="preserve">matched controls </w:t>
      </w:r>
      <w:r w:rsidR="00DE1258">
        <w:t>(</w:t>
      </w:r>
      <w:r w:rsidRPr="00244953">
        <w:t>Leukemia/Lymphoma subgroup</w:t>
      </w:r>
      <w:r w:rsidR="00DE1258">
        <w:t>)</w:t>
      </w:r>
      <w:r w:rsidR="00716072">
        <w:t xml:space="preserve">. </w:t>
      </w:r>
      <w:r w:rsidR="00361166">
        <w:fldChar w:fldCharType="begin"/>
      </w:r>
      <w:r w:rsidR="00361166">
        <w:instrText xml:space="preserve"> REF  Table7 \h </w:instrText>
      </w:r>
      <w:r w:rsidR="00FA486B">
        <w:instrText xml:space="preserve"> \* MERGEFORMAT </w:instrText>
      </w:r>
      <w:r w:rsidR="00361166">
        <w:fldChar w:fldCharType="separate"/>
      </w:r>
      <w:r w:rsidR="00977423">
        <w:rPr>
          <w:noProof/>
        </w:rPr>
        <w:t>Table</w:t>
      </w:r>
      <w:r w:rsidR="00977423">
        <w:t xml:space="preserve"> </w:t>
      </w:r>
      <w:r w:rsidR="00977423">
        <w:rPr>
          <w:noProof/>
        </w:rPr>
        <w:t>7</w:t>
      </w:r>
      <w:r w:rsidR="00361166">
        <w:fldChar w:fldCharType="end"/>
      </w:r>
      <w:r w:rsidR="00A764FB">
        <w:t xml:space="preserve"> </w:t>
      </w:r>
      <w:r w:rsidR="00D33F32">
        <w:t>provides frequencies and/or mean values comparing cases and controls for each characteristic</w:t>
      </w:r>
      <w:r w:rsidR="00716072">
        <w:t xml:space="preserve">. </w:t>
      </w:r>
      <w:r w:rsidR="00D33F32">
        <w:t xml:space="preserve">Odds ratios (ORs) and </w:t>
      </w:r>
      <w:r w:rsidR="00C67EB4" w:rsidRPr="00372442">
        <w:rPr>
          <w:i/>
        </w:rPr>
        <w:t>p</w:t>
      </w:r>
      <w:r w:rsidR="00C67EB4">
        <w:t>-value</w:t>
      </w:r>
      <w:r w:rsidR="00D33F32">
        <w:t>s are described in the text for select findings of interest</w:t>
      </w:r>
      <w:r w:rsidR="00716072">
        <w:t xml:space="preserve">. </w:t>
      </w:r>
      <w:r w:rsidR="00D33F32">
        <w:t xml:space="preserve">In addition, </w:t>
      </w:r>
      <w:r w:rsidR="003363B8">
        <w:fldChar w:fldCharType="begin"/>
      </w:r>
      <w:r w:rsidR="003363B8">
        <w:instrText xml:space="preserve"> REF  Table7 \h </w:instrText>
      </w:r>
      <w:r w:rsidR="0040594E">
        <w:instrText xml:space="preserve"> \* MERGEFORMAT </w:instrText>
      </w:r>
      <w:r w:rsidR="003363B8">
        <w:fldChar w:fldCharType="separate"/>
      </w:r>
      <w:r w:rsidR="00977423">
        <w:rPr>
          <w:noProof/>
        </w:rPr>
        <w:t>Table</w:t>
      </w:r>
      <w:r w:rsidR="00977423">
        <w:t xml:space="preserve"> </w:t>
      </w:r>
      <w:r w:rsidR="00977423">
        <w:rPr>
          <w:noProof/>
        </w:rPr>
        <w:t>7.</w:t>
      </w:r>
      <w:r w:rsidR="00977423">
        <w:t xml:space="preserve"> </w:t>
      </w:r>
      <w:r w:rsidR="003363B8">
        <w:fldChar w:fldCharType="end"/>
      </w:r>
      <w:r w:rsidR="00D33F32">
        <w:t xml:space="preserve">provides notation to identify statistically significant associations </w:t>
      </w:r>
      <w:r w:rsidR="00D33F32" w:rsidRPr="00637668">
        <w:t>(</w:t>
      </w:r>
      <w:r w:rsidR="00D33F32" w:rsidRPr="00C67EB4">
        <w:rPr>
          <w:i/>
        </w:rPr>
        <w:t>p</w:t>
      </w:r>
      <w:r w:rsidR="00C67EB4">
        <w:t xml:space="preserve"> </w:t>
      </w:r>
      <w:r w:rsidR="00372442">
        <w:t>&lt;</w:t>
      </w:r>
      <w:r w:rsidR="00D33F32" w:rsidRPr="00637668">
        <w:t>0.05</w:t>
      </w:r>
      <w:r w:rsidR="00D33F32">
        <w:t>) and marginally significant associations (</w:t>
      </w:r>
      <w:r w:rsidR="00C67EB4" w:rsidRPr="00C67EB4">
        <w:rPr>
          <w:i/>
        </w:rPr>
        <w:t>p</w:t>
      </w:r>
      <w:r w:rsidR="00C67EB4">
        <w:t xml:space="preserve"> </w:t>
      </w:r>
      <w:r w:rsidR="00372442">
        <w:t>&lt;</w:t>
      </w:r>
      <w:r w:rsidR="00D33F32">
        <w:t>0.10) between r</w:t>
      </w:r>
      <w:r>
        <w:t xml:space="preserve">isk factors </w:t>
      </w:r>
      <w:r w:rsidR="00D33F32">
        <w:t>and childhood cancer in Wilmington</w:t>
      </w:r>
      <w:r w:rsidR="00716072">
        <w:t xml:space="preserve">. </w:t>
      </w:r>
      <w:r>
        <w:t xml:space="preserve">Readers can find all ORs and </w:t>
      </w:r>
      <w:r w:rsidR="00C67EB4" w:rsidRPr="00372442">
        <w:rPr>
          <w:i/>
        </w:rPr>
        <w:t>p</w:t>
      </w:r>
      <w:r w:rsidR="00C67EB4">
        <w:t>-value</w:t>
      </w:r>
      <w:r>
        <w:t>s in Appendix D.</w:t>
      </w:r>
      <w:r w:rsidR="005251BF" w:rsidRPr="005251BF">
        <w:t xml:space="preserve"> </w:t>
      </w:r>
      <w:r w:rsidR="005251BF">
        <w:br w:type="page"/>
      </w:r>
    </w:p>
    <w:p w14:paraId="7A479889" w14:textId="551E3208" w:rsidR="00903D9C" w:rsidRDefault="00903D9C" w:rsidP="0040594E">
      <w:pPr>
        <w:pStyle w:val="Caption"/>
        <w:keepNext/>
      </w:pPr>
      <w:bookmarkStart w:id="115" w:name="_Ref12009450"/>
      <w:bookmarkStart w:id="116" w:name="Table7"/>
      <w:bookmarkStart w:id="117" w:name="_Toc12012871"/>
      <w:bookmarkStart w:id="118" w:name="_Toc12013065"/>
      <w:bookmarkStart w:id="119" w:name="_Toc45714886"/>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7</w:t>
      </w:r>
      <w:r w:rsidR="00D616DB">
        <w:rPr>
          <w:noProof/>
        </w:rPr>
        <w:fldChar w:fldCharType="end"/>
      </w:r>
      <w:bookmarkEnd w:id="115"/>
      <w:r w:rsidR="00716072">
        <w:t xml:space="preserve">. </w:t>
      </w:r>
      <w:bookmarkEnd w:id="116"/>
      <w:r w:rsidRPr="00376A94">
        <w:t>Select demographic and risk factor characteristics among cases and controls of the Wilmington Childhood Cancer Study</w:t>
      </w:r>
      <w:bookmarkEnd w:id="117"/>
      <w:bookmarkEnd w:id="118"/>
      <w:bookmarkEnd w:id="119"/>
    </w:p>
    <w:tbl>
      <w:tblPr>
        <w:tblStyle w:val="TableGrid"/>
        <w:tblW w:w="9624" w:type="dxa"/>
        <w:tblInd w:w="18" w:type="dxa"/>
        <w:tblLayout w:type="fixed"/>
        <w:tblLook w:val="04A0" w:firstRow="1" w:lastRow="0" w:firstColumn="1" w:lastColumn="0" w:noHBand="0" w:noVBand="1"/>
      </w:tblPr>
      <w:tblGrid>
        <w:gridCol w:w="2700"/>
        <w:gridCol w:w="18"/>
        <w:gridCol w:w="774"/>
        <w:gridCol w:w="18"/>
        <w:gridCol w:w="774"/>
        <w:gridCol w:w="18"/>
        <w:gridCol w:w="918"/>
        <w:gridCol w:w="18"/>
        <w:gridCol w:w="912"/>
        <w:gridCol w:w="18"/>
        <w:gridCol w:w="774"/>
        <w:gridCol w:w="18"/>
        <w:gridCol w:w="772"/>
        <w:gridCol w:w="18"/>
        <w:gridCol w:w="918"/>
        <w:gridCol w:w="18"/>
        <w:gridCol w:w="920"/>
        <w:gridCol w:w="18"/>
      </w:tblGrid>
      <w:tr w:rsidR="00CF1059" w:rsidRPr="00F24F88" w14:paraId="156103CD" w14:textId="77777777" w:rsidTr="00832728">
        <w:trPr>
          <w:trHeight w:val="302"/>
          <w:tblHeader/>
        </w:trPr>
        <w:tc>
          <w:tcPr>
            <w:tcW w:w="2718" w:type="dxa"/>
            <w:gridSpan w:val="2"/>
            <w:tcBorders>
              <w:top w:val="single" w:sz="4" w:space="0" w:color="auto"/>
              <w:left w:val="nil"/>
              <w:right w:val="nil"/>
            </w:tcBorders>
            <w:vAlign w:val="center"/>
          </w:tcPr>
          <w:p w14:paraId="27B3BEB3" w14:textId="77777777" w:rsidR="00CF1059" w:rsidRPr="00E35A60" w:rsidRDefault="00CF1059" w:rsidP="006312FD">
            <w:pPr>
              <w:pStyle w:val="Tableheaders"/>
            </w:pPr>
            <w:r w:rsidRPr="00E35A60">
              <w:t>Characteristics</w:t>
            </w:r>
          </w:p>
        </w:tc>
        <w:tc>
          <w:tcPr>
            <w:tcW w:w="3450" w:type="dxa"/>
            <w:gridSpan w:val="8"/>
            <w:tcBorders>
              <w:top w:val="single" w:sz="4" w:space="0" w:color="auto"/>
              <w:left w:val="nil"/>
              <w:right w:val="nil"/>
            </w:tcBorders>
          </w:tcPr>
          <w:p w14:paraId="35A7A77A" w14:textId="77777777" w:rsidR="00CF1059" w:rsidRPr="00E35A60" w:rsidRDefault="00CF1059" w:rsidP="006312FD">
            <w:pPr>
              <w:pStyle w:val="Tableheaders"/>
            </w:pPr>
            <w:r w:rsidRPr="00E35A60">
              <w:t>All Cancers</w:t>
            </w:r>
          </w:p>
        </w:tc>
        <w:tc>
          <w:tcPr>
            <w:tcW w:w="3456" w:type="dxa"/>
            <w:gridSpan w:val="8"/>
            <w:tcBorders>
              <w:top w:val="single" w:sz="4" w:space="0" w:color="auto"/>
              <w:left w:val="nil"/>
              <w:bottom w:val="single" w:sz="4" w:space="0" w:color="auto"/>
              <w:right w:val="nil"/>
            </w:tcBorders>
            <w:shd w:val="clear" w:color="auto" w:fill="auto"/>
          </w:tcPr>
          <w:p w14:paraId="7BD0D3F9" w14:textId="77777777" w:rsidR="00CF1059" w:rsidRPr="00E35A60" w:rsidRDefault="00CF1059" w:rsidP="006312FD">
            <w:pPr>
              <w:pStyle w:val="Tableheaders"/>
            </w:pPr>
            <w:r w:rsidRPr="00E35A60">
              <w:t>Leukemia/Lymphoma</w:t>
            </w:r>
          </w:p>
        </w:tc>
      </w:tr>
      <w:tr w:rsidR="00CF1059" w:rsidRPr="00FC7334" w14:paraId="0DD963C2" w14:textId="77777777" w:rsidTr="00832728">
        <w:trPr>
          <w:trHeight w:val="302"/>
          <w:tblHeader/>
        </w:trPr>
        <w:tc>
          <w:tcPr>
            <w:tcW w:w="2718" w:type="dxa"/>
            <w:gridSpan w:val="2"/>
            <w:tcBorders>
              <w:left w:val="nil"/>
              <w:bottom w:val="nil"/>
              <w:right w:val="nil"/>
            </w:tcBorders>
            <w:vAlign w:val="center"/>
          </w:tcPr>
          <w:p w14:paraId="45DB8B31" w14:textId="77777777" w:rsidR="00CF1059" w:rsidRPr="00E35A60" w:rsidRDefault="00CF1059" w:rsidP="0040594E">
            <w:pPr>
              <w:pStyle w:val="NoSpacing"/>
              <w:rPr>
                <w:rFonts w:asciiTheme="minorHAnsi" w:hAnsiTheme="minorHAnsi"/>
              </w:rPr>
            </w:pPr>
          </w:p>
        </w:tc>
        <w:tc>
          <w:tcPr>
            <w:tcW w:w="1584" w:type="dxa"/>
            <w:gridSpan w:val="4"/>
            <w:tcBorders>
              <w:top w:val="nil"/>
              <w:left w:val="nil"/>
              <w:bottom w:val="single" w:sz="4" w:space="0" w:color="auto"/>
              <w:right w:val="nil"/>
            </w:tcBorders>
            <w:vAlign w:val="center"/>
          </w:tcPr>
          <w:p w14:paraId="1277A7BA" w14:textId="77777777" w:rsidR="00CF1059" w:rsidRPr="00E35A60" w:rsidRDefault="00CF1059" w:rsidP="0040594E">
            <w:pPr>
              <w:pStyle w:val="NoSpacing"/>
              <w:rPr>
                <w:rFonts w:asciiTheme="minorHAnsi" w:hAnsiTheme="minorHAnsi"/>
              </w:rPr>
            </w:pPr>
            <w:r w:rsidRPr="00E35A60">
              <w:rPr>
                <w:rFonts w:asciiTheme="minorHAnsi" w:hAnsiTheme="minorHAnsi"/>
              </w:rPr>
              <w:t>Cases (n=18)</w:t>
            </w:r>
          </w:p>
        </w:tc>
        <w:tc>
          <w:tcPr>
            <w:tcW w:w="1866" w:type="dxa"/>
            <w:gridSpan w:val="4"/>
            <w:tcBorders>
              <w:top w:val="nil"/>
              <w:left w:val="nil"/>
              <w:bottom w:val="single" w:sz="4" w:space="0" w:color="auto"/>
              <w:right w:val="nil"/>
            </w:tcBorders>
            <w:vAlign w:val="center"/>
          </w:tcPr>
          <w:p w14:paraId="136A44A5" w14:textId="77777777" w:rsidR="00CF1059" w:rsidRPr="00E35A60" w:rsidRDefault="00CF1059" w:rsidP="0040594E">
            <w:pPr>
              <w:pStyle w:val="NoSpacing"/>
              <w:rPr>
                <w:rFonts w:asciiTheme="minorHAnsi" w:hAnsiTheme="minorHAnsi"/>
              </w:rPr>
            </w:pPr>
            <w:r w:rsidRPr="00E35A60">
              <w:rPr>
                <w:rFonts w:asciiTheme="minorHAnsi" w:hAnsiTheme="minorHAnsi"/>
              </w:rPr>
              <w:t>Controls (n=74)</w:t>
            </w:r>
          </w:p>
        </w:tc>
        <w:tc>
          <w:tcPr>
            <w:tcW w:w="1582" w:type="dxa"/>
            <w:gridSpan w:val="4"/>
            <w:tcBorders>
              <w:top w:val="nil"/>
              <w:left w:val="nil"/>
              <w:bottom w:val="single" w:sz="4" w:space="0" w:color="auto"/>
              <w:right w:val="nil"/>
            </w:tcBorders>
            <w:shd w:val="clear" w:color="auto" w:fill="auto"/>
            <w:vAlign w:val="center"/>
          </w:tcPr>
          <w:p w14:paraId="6ED818A6" w14:textId="77777777" w:rsidR="00CF1059" w:rsidRPr="00E35A60" w:rsidRDefault="00CF1059" w:rsidP="0040594E">
            <w:pPr>
              <w:pStyle w:val="NoSpacing"/>
              <w:rPr>
                <w:rFonts w:asciiTheme="minorHAnsi" w:hAnsiTheme="minorHAnsi"/>
              </w:rPr>
            </w:pPr>
            <w:r w:rsidRPr="00E35A60">
              <w:rPr>
                <w:rFonts w:asciiTheme="minorHAnsi" w:hAnsiTheme="minorHAnsi"/>
              </w:rPr>
              <w:t>Cases (n=11)</w:t>
            </w:r>
          </w:p>
        </w:tc>
        <w:tc>
          <w:tcPr>
            <w:tcW w:w="1874" w:type="dxa"/>
            <w:gridSpan w:val="4"/>
            <w:tcBorders>
              <w:top w:val="nil"/>
              <w:left w:val="nil"/>
              <w:bottom w:val="single" w:sz="4" w:space="0" w:color="auto"/>
              <w:right w:val="nil"/>
            </w:tcBorders>
            <w:shd w:val="clear" w:color="auto" w:fill="auto"/>
            <w:vAlign w:val="center"/>
          </w:tcPr>
          <w:p w14:paraId="733686AC" w14:textId="77777777" w:rsidR="00CF1059" w:rsidRPr="00E35A60" w:rsidRDefault="00CF1059" w:rsidP="0040594E">
            <w:pPr>
              <w:pStyle w:val="NoSpacing"/>
              <w:rPr>
                <w:rFonts w:asciiTheme="minorHAnsi" w:hAnsiTheme="minorHAnsi"/>
              </w:rPr>
            </w:pPr>
            <w:r w:rsidRPr="00E35A60">
              <w:rPr>
                <w:rFonts w:asciiTheme="minorHAnsi" w:hAnsiTheme="minorHAnsi"/>
              </w:rPr>
              <w:t>Controls (n=45)</w:t>
            </w:r>
          </w:p>
        </w:tc>
      </w:tr>
      <w:tr w:rsidR="00CF1059" w:rsidRPr="00F24F88" w14:paraId="2D039655" w14:textId="77777777" w:rsidTr="00832728">
        <w:trPr>
          <w:trHeight w:val="302"/>
        </w:trPr>
        <w:tc>
          <w:tcPr>
            <w:tcW w:w="2718" w:type="dxa"/>
            <w:gridSpan w:val="2"/>
            <w:tcBorders>
              <w:top w:val="nil"/>
              <w:left w:val="nil"/>
              <w:bottom w:val="nil"/>
              <w:right w:val="nil"/>
            </w:tcBorders>
            <w:vAlign w:val="center"/>
          </w:tcPr>
          <w:p w14:paraId="67D4B2E9" w14:textId="77777777" w:rsidR="00CF1059" w:rsidRPr="00E35A60" w:rsidRDefault="00CF1059" w:rsidP="0040594E">
            <w:pPr>
              <w:pStyle w:val="NoSpacing"/>
              <w:rPr>
                <w:rFonts w:asciiTheme="minorHAnsi" w:hAnsiTheme="minorHAnsi"/>
              </w:rPr>
            </w:pPr>
          </w:p>
        </w:tc>
        <w:tc>
          <w:tcPr>
            <w:tcW w:w="792" w:type="dxa"/>
            <w:gridSpan w:val="2"/>
            <w:tcBorders>
              <w:top w:val="single" w:sz="4" w:space="0" w:color="auto"/>
              <w:left w:val="nil"/>
              <w:bottom w:val="nil"/>
              <w:right w:val="nil"/>
            </w:tcBorders>
            <w:vAlign w:val="center"/>
          </w:tcPr>
          <w:p w14:paraId="65E07FA4" w14:textId="77777777" w:rsidR="00CF1059" w:rsidRPr="00E35A60" w:rsidRDefault="00CF1059" w:rsidP="0040594E">
            <w:pPr>
              <w:pStyle w:val="NoSpacing"/>
              <w:jc w:val="center"/>
              <w:rPr>
                <w:rFonts w:asciiTheme="minorHAnsi" w:hAnsiTheme="minorHAnsi"/>
                <w:u w:val="single"/>
              </w:rPr>
            </w:pPr>
            <w:r w:rsidRPr="00E35A60">
              <w:rPr>
                <w:rFonts w:asciiTheme="minorHAnsi" w:hAnsiTheme="minorHAnsi"/>
                <w:u w:val="single"/>
              </w:rPr>
              <w:t>#</w:t>
            </w:r>
          </w:p>
        </w:tc>
        <w:tc>
          <w:tcPr>
            <w:tcW w:w="792" w:type="dxa"/>
            <w:gridSpan w:val="2"/>
            <w:tcBorders>
              <w:top w:val="single" w:sz="4" w:space="0" w:color="auto"/>
              <w:left w:val="nil"/>
              <w:bottom w:val="nil"/>
              <w:right w:val="nil"/>
            </w:tcBorders>
            <w:vAlign w:val="center"/>
          </w:tcPr>
          <w:p w14:paraId="708D9F1A" w14:textId="77777777" w:rsidR="00CF1059" w:rsidRPr="00E35A60" w:rsidRDefault="00CF1059" w:rsidP="0040594E">
            <w:pPr>
              <w:pStyle w:val="NoSpacing"/>
              <w:jc w:val="center"/>
              <w:rPr>
                <w:rFonts w:asciiTheme="minorHAnsi" w:hAnsiTheme="minorHAnsi"/>
                <w:u w:val="single"/>
              </w:rPr>
            </w:pPr>
            <w:r w:rsidRPr="00E35A60">
              <w:rPr>
                <w:rFonts w:asciiTheme="minorHAnsi" w:hAnsiTheme="minorHAnsi"/>
                <w:u w:val="single"/>
              </w:rPr>
              <w:t>%</w:t>
            </w:r>
          </w:p>
        </w:tc>
        <w:tc>
          <w:tcPr>
            <w:tcW w:w="936" w:type="dxa"/>
            <w:gridSpan w:val="2"/>
            <w:tcBorders>
              <w:top w:val="single" w:sz="4" w:space="0" w:color="auto"/>
              <w:left w:val="nil"/>
              <w:bottom w:val="nil"/>
              <w:right w:val="nil"/>
            </w:tcBorders>
            <w:vAlign w:val="center"/>
          </w:tcPr>
          <w:p w14:paraId="041D9133" w14:textId="77777777" w:rsidR="00CF1059" w:rsidRPr="00E35A60" w:rsidRDefault="00CF1059" w:rsidP="0040594E">
            <w:pPr>
              <w:pStyle w:val="NoSpacing"/>
              <w:ind w:right="144"/>
              <w:jc w:val="center"/>
              <w:rPr>
                <w:rFonts w:asciiTheme="minorHAnsi" w:hAnsiTheme="minorHAnsi"/>
                <w:u w:val="single"/>
              </w:rPr>
            </w:pPr>
            <w:r w:rsidRPr="00E35A60">
              <w:rPr>
                <w:rFonts w:asciiTheme="minorHAnsi" w:hAnsiTheme="minorHAnsi"/>
                <w:u w:val="single"/>
              </w:rPr>
              <w:t>#</w:t>
            </w:r>
          </w:p>
        </w:tc>
        <w:tc>
          <w:tcPr>
            <w:tcW w:w="930" w:type="dxa"/>
            <w:gridSpan w:val="2"/>
            <w:tcBorders>
              <w:top w:val="single" w:sz="4" w:space="0" w:color="auto"/>
              <w:left w:val="nil"/>
              <w:bottom w:val="nil"/>
              <w:right w:val="nil"/>
            </w:tcBorders>
            <w:vAlign w:val="center"/>
          </w:tcPr>
          <w:p w14:paraId="7D58029A" w14:textId="77777777" w:rsidR="00CF1059" w:rsidRPr="00E35A60" w:rsidRDefault="00CF1059" w:rsidP="0040594E">
            <w:pPr>
              <w:pStyle w:val="NoSpacing"/>
              <w:ind w:right="144"/>
              <w:jc w:val="center"/>
              <w:rPr>
                <w:rFonts w:asciiTheme="minorHAnsi" w:hAnsiTheme="minorHAnsi"/>
                <w:u w:val="single"/>
              </w:rPr>
            </w:pPr>
            <w:r w:rsidRPr="00E35A60">
              <w:rPr>
                <w:rFonts w:asciiTheme="minorHAnsi" w:hAnsiTheme="minorHAnsi"/>
                <w:u w:val="single"/>
              </w:rPr>
              <w:t>%</w:t>
            </w:r>
          </w:p>
        </w:tc>
        <w:tc>
          <w:tcPr>
            <w:tcW w:w="792" w:type="dxa"/>
            <w:gridSpan w:val="2"/>
            <w:tcBorders>
              <w:top w:val="single" w:sz="4" w:space="0" w:color="auto"/>
              <w:left w:val="nil"/>
              <w:bottom w:val="nil"/>
              <w:right w:val="nil"/>
            </w:tcBorders>
            <w:shd w:val="clear" w:color="auto" w:fill="auto"/>
            <w:vAlign w:val="center"/>
          </w:tcPr>
          <w:p w14:paraId="3468CD2D" w14:textId="77777777" w:rsidR="00CF1059" w:rsidRPr="00E35A60" w:rsidRDefault="00CF1059" w:rsidP="0040594E">
            <w:pPr>
              <w:pStyle w:val="NoSpacing"/>
              <w:jc w:val="center"/>
              <w:rPr>
                <w:rFonts w:asciiTheme="minorHAnsi" w:hAnsiTheme="minorHAnsi"/>
                <w:u w:val="single"/>
              </w:rPr>
            </w:pPr>
            <w:r w:rsidRPr="00E35A60">
              <w:rPr>
                <w:rFonts w:asciiTheme="minorHAnsi" w:hAnsiTheme="minorHAnsi"/>
                <w:u w:val="single"/>
              </w:rPr>
              <w:t>#</w:t>
            </w:r>
          </w:p>
        </w:tc>
        <w:tc>
          <w:tcPr>
            <w:tcW w:w="790" w:type="dxa"/>
            <w:gridSpan w:val="2"/>
            <w:tcBorders>
              <w:top w:val="single" w:sz="4" w:space="0" w:color="auto"/>
              <w:left w:val="nil"/>
              <w:bottom w:val="nil"/>
              <w:right w:val="nil"/>
            </w:tcBorders>
            <w:shd w:val="clear" w:color="auto" w:fill="auto"/>
            <w:vAlign w:val="center"/>
          </w:tcPr>
          <w:p w14:paraId="3393FB4F" w14:textId="77777777" w:rsidR="00CF1059" w:rsidRPr="00E35A60" w:rsidRDefault="00CF1059" w:rsidP="0040594E">
            <w:pPr>
              <w:pStyle w:val="NoSpacing"/>
              <w:jc w:val="center"/>
              <w:rPr>
                <w:rFonts w:asciiTheme="minorHAnsi" w:hAnsiTheme="minorHAnsi"/>
                <w:u w:val="single"/>
              </w:rPr>
            </w:pPr>
            <w:r w:rsidRPr="00E35A60">
              <w:rPr>
                <w:rFonts w:asciiTheme="minorHAnsi" w:hAnsiTheme="minorHAnsi"/>
                <w:u w:val="single"/>
              </w:rPr>
              <w:t>%</w:t>
            </w:r>
          </w:p>
        </w:tc>
        <w:tc>
          <w:tcPr>
            <w:tcW w:w="936" w:type="dxa"/>
            <w:gridSpan w:val="2"/>
            <w:tcBorders>
              <w:top w:val="nil"/>
              <w:left w:val="nil"/>
              <w:bottom w:val="nil"/>
              <w:right w:val="nil"/>
            </w:tcBorders>
            <w:shd w:val="clear" w:color="auto" w:fill="auto"/>
            <w:vAlign w:val="center"/>
          </w:tcPr>
          <w:p w14:paraId="4F1CD5DF" w14:textId="77777777" w:rsidR="00CF1059" w:rsidRPr="00E35A60" w:rsidRDefault="00CF1059" w:rsidP="0040594E">
            <w:pPr>
              <w:pStyle w:val="NoSpacing"/>
              <w:ind w:right="144"/>
              <w:jc w:val="center"/>
              <w:rPr>
                <w:rFonts w:asciiTheme="minorHAnsi" w:hAnsiTheme="minorHAnsi"/>
                <w:u w:val="single"/>
              </w:rPr>
            </w:pPr>
            <w:r w:rsidRPr="00E35A60">
              <w:rPr>
                <w:rFonts w:asciiTheme="minorHAnsi" w:hAnsiTheme="minorHAnsi"/>
                <w:u w:val="single"/>
              </w:rPr>
              <w:t>#</w:t>
            </w:r>
          </w:p>
        </w:tc>
        <w:tc>
          <w:tcPr>
            <w:tcW w:w="938" w:type="dxa"/>
            <w:gridSpan w:val="2"/>
            <w:tcBorders>
              <w:top w:val="nil"/>
              <w:left w:val="nil"/>
              <w:bottom w:val="nil"/>
              <w:right w:val="nil"/>
            </w:tcBorders>
            <w:shd w:val="clear" w:color="auto" w:fill="auto"/>
            <w:vAlign w:val="center"/>
          </w:tcPr>
          <w:p w14:paraId="2045B37D" w14:textId="77777777" w:rsidR="00CF1059" w:rsidRPr="00E35A60" w:rsidRDefault="00CF1059" w:rsidP="0040594E">
            <w:pPr>
              <w:pStyle w:val="NoSpacing"/>
              <w:ind w:right="144"/>
              <w:jc w:val="center"/>
              <w:rPr>
                <w:rFonts w:asciiTheme="minorHAnsi" w:hAnsiTheme="minorHAnsi"/>
                <w:u w:val="single"/>
              </w:rPr>
            </w:pPr>
            <w:r w:rsidRPr="00E35A60">
              <w:rPr>
                <w:rFonts w:asciiTheme="minorHAnsi" w:hAnsiTheme="minorHAnsi"/>
                <w:u w:val="single"/>
              </w:rPr>
              <w:t>%</w:t>
            </w:r>
          </w:p>
        </w:tc>
      </w:tr>
      <w:tr w:rsidR="00CF1059" w:rsidRPr="00F24F88" w14:paraId="4A59BAB0" w14:textId="77777777" w:rsidTr="00832728">
        <w:trPr>
          <w:trHeight w:val="302"/>
        </w:trPr>
        <w:tc>
          <w:tcPr>
            <w:tcW w:w="2718" w:type="dxa"/>
            <w:gridSpan w:val="2"/>
            <w:tcBorders>
              <w:top w:val="nil"/>
              <w:left w:val="nil"/>
              <w:bottom w:val="nil"/>
              <w:right w:val="nil"/>
            </w:tcBorders>
            <w:shd w:val="clear" w:color="auto" w:fill="auto"/>
            <w:vAlign w:val="center"/>
          </w:tcPr>
          <w:p w14:paraId="7DAAFF23" w14:textId="77777777" w:rsidR="00CF1059" w:rsidRPr="00E35A60" w:rsidRDefault="00CF1059" w:rsidP="0040594E">
            <w:pPr>
              <w:pStyle w:val="NoSpacing"/>
              <w:rPr>
                <w:rFonts w:asciiTheme="minorHAnsi" w:hAnsiTheme="minorHAnsi"/>
                <w:b/>
              </w:rPr>
            </w:pPr>
            <w:r w:rsidRPr="00E35A60">
              <w:rPr>
                <w:rFonts w:asciiTheme="minorHAnsi" w:hAnsiTheme="minorHAnsi"/>
                <w:b/>
              </w:rPr>
              <w:t>Demographics</w:t>
            </w:r>
          </w:p>
        </w:tc>
        <w:tc>
          <w:tcPr>
            <w:tcW w:w="792" w:type="dxa"/>
            <w:gridSpan w:val="2"/>
            <w:tcBorders>
              <w:top w:val="nil"/>
              <w:left w:val="nil"/>
              <w:bottom w:val="nil"/>
              <w:right w:val="nil"/>
            </w:tcBorders>
            <w:shd w:val="clear" w:color="auto" w:fill="auto"/>
            <w:vAlign w:val="center"/>
          </w:tcPr>
          <w:p w14:paraId="240ACDC3"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4D8488FB" w14:textId="77777777" w:rsidR="00CF1059" w:rsidRPr="00E35A60" w:rsidRDefault="00CF1059" w:rsidP="0040594E">
            <w:pPr>
              <w:spacing w:after="0" w:line="240" w:lineRule="auto"/>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7087E889" w14:textId="77777777" w:rsidR="00CF1059" w:rsidRPr="00E35A60" w:rsidRDefault="00CF1059" w:rsidP="0040594E">
            <w:pPr>
              <w:spacing w:after="0" w:line="240" w:lineRule="auto"/>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28F0CA6E" w14:textId="77777777" w:rsidR="00CF1059" w:rsidRPr="00E35A60" w:rsidRDefault="00CF1059" w:rsidP="0040594E">
            <w:pPr>
              <w:spacing w:after="0" w:line="240" w:lineRule="auto"/>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38929EC6"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6BE1F056"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55CE0E59"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5D0956F4" w14:textId="77777777" w:rsidR="00CF1059" w:rsidRPr="00E35A60" w:rsidRDefault="00CF1059" w:rsidP="0040594E">
            <w:pPr>
              <w:pStyle w:val="NoSpacing"/>
              <w:ind w:right="144"/>
              <w:jc w:val="right"/>
              <w:rPr>
                <w:rFonts w:asciiTheme="minorHAnsi" w:hAnsiTheme="minorHAnsi"/>
              </w:rPr>
            </w:pPr>
          </w:p>
        </w:tc>
      </w:tr>
      <w:tr w:rsidR="00CF1059" w:rsidRPr="00F24F88" w14:paraId="608C9F36" w14:textId="77777777" w:rsidTr="00832728">
        <w:trPr>
          <w:trHeight w:val="302"/>
        </w:trPr>
        <w:tc>
          <w:tcPr>
            <w:tcW w:w="2718" w:type="dxa"/>
            <w:gridSpan w:val="2"/>
            <w:tcBorders>
              <w:top w:val="nil"/>
              <w:left w:val="nil"/>
              <w:bottom w:val="nil"/>
              <w:right w:val="nil"/>
            </w:tcBorders>
            <w:shd w:val="clear" w:color="auto" w:fill="auto"/>
            <w:vAlign w:val="center"/>
          </w:tcPr>
          <w:p w14:paraId="6F5BC8ED" w14:textId="77777777" w:rsidR="00CF1059" w:rsidRPr="00E35A60" w:rsidRDefault="00CF1059" w:rsidP="0040594E">
            <w:pPr>
              <w:pStyle w:val="NoSpacing"/>
              <w:rPr>
                <w:rFonts w:asciiTheme="minorHAnsi" w:hAnsiTheme="minorHAnsi"/>
              </w:rPr>
            </w:pPr>
            <w:r w:rsidRPr="00E35A60">
              <w:rPr>
                <w:rFonts w:asciiTheme="minorHAnsi" w:hAnsiTheme="minorHAnsi"/>
              </w:rPr>
              <w:t>Mean age of child, years</w:t>
            </w:r>
          </w:p>
        </w:tc>
        <w:tc>
          <w:tcPr>
            <w:tcW w:w="792" w:type="dxa"/>
            <w:gridSpan w:val="2"/>
            <w:tcBorders>
              <w:top w:val="nil"/>
              <w:left w:val="nil"/>
              <w:bottom w:val="nil"/>
              <w:right w:val="nil"/>
            </w:tcBorders>
            <w:shd w:val="clear" w:color="auto" w:fill="auto"/>
            <w:vAlign w:val="center"/>
          </w:tcPr>
          <w:p w14:paraId="2F3827E1"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8.8</w:t>
            </w:r>
          </w:p>
        </w:tc>
        <w:tc>
          <w:tcPr>
            <w:tcW w:w="792" w:type="dxa"/>
            <w:gridSpan w:val="2"/>
            <w:tcBorders>
              <w:top w:val="nil"/>
              <w:left w:val="nil"/>
              <w:bottom w:val="nil"/>
              <w:right w:val="nil"/>
            </w:tcBorders>
            <w:shd w:val="clear" w:color="auto" w:fill="auto"/>
            <w:vAlign w:val="center"/>
          </w:tcPr>
          <w:p w14:paraId="185EBF47" w14:textId="77777777" w:rsidR="00CF1059" w:rsidRPr="00E35A60" w:rsidRDefault="00CF1059" w:rsidP="0040594E">
            <w:pPr>
              <w:spacing w:after="0" w:line="240" w:lineRule="auto"/>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05DCC6C9" w14:textId="77777777" w:rsidR="00CF1059" w:rsidRPr="00E35A60" w:rsidRDefault="00CF1059" w:rsidP="0040594E">
            <w:pPr>
              <w:spacing w:after="0" w:line="240" w:lineRule="auto"/>
              <w:ind w:right="245"/>
              <w:jc w:val="right"/>
              <w:rPr>
                <w:rFonts w:asciiTheme="minorHAnsi" w:hAnsiTheme="minorHAnsi"/>
              </w:rPr>
            </w:pPr>
            <w:r w:rsidRPr="00E35A60">
              <w:rPr>
                <w:rFonts w:asciiTheme="minorHAnsi" w:hAnsiTheme="minorHAnsi"/>
              </w:rPr>
              <w:t>8.7</w:t>
            </w:r>
          </w:p>
        </w:tc>
        <w:tc>
          <w:tcPr>
            <w:tcW w:w="930" w:type="dxa"/>
            <w:gridSpan w:val="2"/>
            <w:tcBorders>
              <w:top w:val="nil"/>
              <w:left w:val="nil"/>
              <w:bottom w:val="nil"/>
              <w:right w:val="nil"/>
            </w:tcBorders>
            <w:shd w:val="clear" w:color="auto" w:fill="auto"/>
            <w:vAlign w:val="center"/>
          </w:tcPr>
          <w:p w14:paraId="01C2C525" w14:textId="77777777" w:rsidR="00CF1059" w:rsidRPr="00E35A60" w:rsidRDefault="00CF1059" w:rsidP="0040594E">
            <w:pPr>
              <w:spacing w:after="0" w:line="240" w:lineRule="auto"/>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2811D1CB"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7.5</w:t>
            </w:r>
          </w:p>
        </w:tc>
        <w:tc>
          <w:tcPr>
            <w:tcW w:w="790" w:type="dxa"/>
            <w:gridSpan w:val="2"/>
            <w:tcBorders>
              <w:top w:val="nil"/>
              <w:left w:val="nil"/>
              <w:bottom w:val="nil"/>
              <w:right w:val="nil"/>
            </w:tcBorders>
            <w:shd w:val="clear" w:color="auto" w:fill="auto"/>
            <w:vAlign w:val="center"/>
          </w:tcPr>
          <w:p w14:paraId="4EAA18D0"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6E86B9A7"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7.8</w:t>
            </w:r>
          </w:p>
        </w:tc>
        <w:tc>
          <w:tcPr>
            <w:tcW w:w="938" w:type="dxa"/>
            <w:gridSpan w:val="2"/>
            <w:tcBorders>
              <w:top w:val="nil"/>
              <w:left w:val="nil"/>
              <w:bottom w:val="nil"/>
              <w:right w:val="nil"/>
            </w:tcBorders>
            <w:shd w:val="clear" w:color="auto" w:fill="auto"/>
            <w:vAlign w:val="center"/>
          </w:tcPr>
          <w:p w14:paraId="418D308E" w14:textId="77777777" w:rsidR="00CF1059" w:rsidRPr="00E35A60" w:rsidRDefault="00CF1059" w:rsidP="0040594E">
            <w:pPr>
              <w:pStyle w:val="NoSpacing"/>
              <w:ind w:right="144"/>
              <w:jc w:val="right"/>
              <w:rPr>
                <w:rFonts w:asciiTheme="minorHAnsi" w:hAnsiTheme="minorHAnsi"/>
              </w:rPr>
            </w:pPr>
          </w:p>
        </w:tc>
      </w:tr>
      <w:tr w:rsidR="00CF1059" w:rsidRPr="00F24F88" w14:paraId="54F560AC"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0DC4BC7A" w14:textId="77777777" w:rsidR="00CF1059" w:rsidRPr="00E35A60" w:rsidRDefault="00CF1059" w:rsidP="0040594E">
            <w:pPr>
              <w:pStyle w:val="NoSpacing"/>
              <w:rPr>
                <w:rFonts w:asciiTheme="minorHAnsi" w:hAnsiTheme="minorHAnsi"/>
              </w:rPr>
            </w:pPr>
            <w:r w:rsidRPr="00E35A60">
              <w:rPr>
                <w:rFonts w:asciiTheme="minorHAnsi" w:hAnsiTheme="minorHAnsi"/>
              </w:rPr>
              <w:t>Sex of child</w:t>
            </w:r>
          </w:p>
        </w:tc>
        <w:tc>
          <w:tcPr>
            <w:tcW w:w="792" w:type="dxa"/>
            <w:gridSpan w:val="2"/>
            <w:tcBorders>
              <w:top w:val="nil"/>
              <w:left w:val="nil"/>
              <w:bottom w:val="nil"/>
              <w:right w:val="nil"/>
            </w:tcBorders>
            <w:shd w:val="clear" w:color="auto" w:fill="D9D9D9" w:themeFill="background1" w:themeFillShade="D9"/>
            <w:vAlign w:val="center"/>
          </w:tcPr>
          <w:p w14:paraId="4F7F5056"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6239E009"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6154AF94"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D9D9D9" w:themeFill="background1" w:themeFillShade="D9"/>
            <w:vAlign w:val="center"/>
          </w:tcPr>
          <w:p w14:paraId="08E0B9B4"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3040E850"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D9D9D9" w:themeFill="background1" w:themeFillShade="D9"/>
            <w:vAlign w:val="center"/>
          </w:tcPr>
          <w:p w14:paraId="451D0833"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05D05CC8"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D9D9D9" w:themeFill="background1" w:themeFillShade="D9"/>
            <w:vAlign w:val="center"/>
          </w:tcPr>
          <w:p w14:paraId="25840660" w14:textId="77777777" w:rsidR="00CF1059" w:rsidRPr="00E35A60" w:rsidRDefault="00CF1059" w:rsidP="0040594E">
            <w:pPr>
              <w:pStyle w:val="NoSpacing"/>
              <w:ind w:right="144"/>
              <w:jc w:val="right"/>
              <w:rPr>
                <w:rFonts w:asciiTheme="minorHAnsi" w:hAnsiTheme="minorHAnsi"/>
              </w:rPr>
            </w:pPr>
          </w:p>
        </w:tc>
      </w:tr>
      <w:tr w:rsidR="00CF1059" w:rsidRPr="00F24F88" w14:paraId="52620E04"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648A917B"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Male</w:t>
            </w:r>
          </w:p>
        </w:tc>
        <w:tc>
          <w:tcPr>
            <w:tcW w:w="792" w:type="dxa"/>
            <w:gridSpan w:val="2"/>
            <w:tcBorders>
              <w:top w:val="nil"/>
              <w:left w:val="nil"/>
              <w:bottom w:val="nil"/>
              <w:right w:val="nil"/>
            </w:tcBorders>
            <w:shd w:val="clear" w:color="auto" w:fill="D9D9D9" w:themeFill="background1" w:themeFillShade="D9"/>
            <w:vAlign w:val="center"/>
          </w:tcPr>
          <w:p w14:paraId="32FC0436"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12</w:t>
            </w:r>
          </w:p>
        </w:tc>
        <w:tc>
          <w:tcPr>
            <w:tcW w:w="792" w:type="dxa"/>
            <w:gridSpan w:val="2"/>
            <w:tcBorders>
              <w:top w:val="nil"/>
              <w:left w:val="nil"/>
              <w:bottom w:val="nil"/>
              <w:right w:val="nil"/>
            </w:tcBorders>
            <w:shd w:val="clear" w:color="auto" w:fill="D9D9D9" w:themeFill="background1" w:themeFillShade="D9"/>
            <w:vAlign w:val="center"/>
          </w:tcPr>
          <w:p w14:paraId="093A4E02"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67%</w:t>
            </w:r>
          </w:p>
        </w:tc>
        <w:tc>
          <w:tcPr>
            <w:tcW w:w="936" w:type="dxa"/>
            <w:gridSpan w:val="2"/>
            <w:tcBorders>
              <w:top w:val="nil"/>
              <w:left w:val="nil"/>
              <w:bottom w:val="nil"/>
              <w:right w:val="nil"/>
            </w:tcBorders>
            <w:shd w:val="clear" w:color="auto" w:fill="D9D9D9" w:themeFill="background1" w:themeFillShade="D9"/>
            <w:vAlign w:val="center"/>
          </w:tcPr>
          <w:p w14:paraId="1CCF53A8"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49</w:t>
            </w:r>
          </w:p>
        </w:tc>
        <w:tc>
          <w:tcPr>
            <w:tcW w:w="930" w:type="dxa"/>
            <w:gridSpan w:val="2"/>
            <w:tcBorders>
              <w:top w:val="nil"/>
              <w:left w:val="nil"/>
              <w:bottom w:val="nil"/>
              <w:right w:val="nil"/>
            </w:tcBorders>
            <w:shd w:val="clear" w:color="auto" w:fill="D9D9D9" w:themeFill="background1" w:themeFillShade="D9"/>
            <w:vAlign w:val="center"/>
          </w:tcPr>
          <w:p w14:paraId="58C91EF5"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66%</w:t>
            </w:r>
          </w:p>
        </w:tc>
        <w:tc>
          <w:tcPr>
            <w:tcW w:w="792" w:type="dxa"/>
            <w:gridSpan w:val="2"/>
            <w:tcBorders>
              <w:top w:val="nil"/>
              <w:left w:val="nil"/>
              <w:bottom w:val="nil"/>
              <w:right w:val="nil"/>
            </w:tcBorders>
            <w:shd w:val="clear" w:color="auto" w:fill="D9D9D9" w:themeFill="background1" w:themeFillShade="D9"/>
            <w:vAlign w:val="center"/>
          </w:tcPr>
          <w:p w14:paraId="36B58F6C"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8</w:t>
            </w:r>
          </w:p>
        </w:tc>
        <w:tc>
          <w:tcPr>
            <w:tcW w:w="790" w:type="dxa"/>
            <w:gridSpan w:val="2"/>
            <w:tcBorders>
              <w:top w:val="nil"/>
              <w:left w:val="nil"/>
              <w:bottom w:val="nil"/>
              <w:right w:val="nil"/>
            </w:tcBorders>
            <w:shd w:val="clear" w:color="auto" w:fill="D9D9D9" w:themeFill="background1" w:themeFillShade="D9"/>
            <w:vAlign w:val="center"/>
          </w:tcPr>
          <w:p w14:paraId="6E4BE3B8"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73%</w:t>
            </w:r>
          </w:p>
        </w:tc>
        <w:tc>
          <w:tcPr>
            <w:tcW w:w="936" w:type="dxa"/>
            <w:gridSpan w:val="2"/>
            <w:tcBorders>
              <w:top w:val="nil"/>
              <w:left w:val="nil"/>
              <w:bottom w:val="nil"/>
              <w:right w:val="nil"/>
            </w:tcBorders>
            <w:shd w:val="clear" w:color="auto" w:fill="D9D9D9" w:themeFill="background1" w:themeFillShade="D9"/>
            <w:vAlign w:val="center"/>
          </w:tcPr>
          <w:p w14:paraId="706C009A"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32</w:t>
            </w:r>
          </w:p>
        </w:tc>
        <w:tc>
          <w:tcPr>
            <w:tcW w:w="938" w:type="dxa"/>
            <w:gridSpan w:val="2"/>
            <w:tcBorders>
              <w:top w:val="nil"/>
              <w:left w:val="nil"/>
              <w:bottom w:val="nil"/>
              <w:right w:val="nil"/>
            </w:tcBorders>
            <w:shd w:val="clear" w:color="auto" w:fill="D9D9D9" w:themeFill="background1" w:themeFillShade="D9"/>
            <w:vAlign w:val="center"/>
          </w:tcPr>
          <w:p w14:paraId="7A601066"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71%</w:t>
            </w:r>
          </w:p>
        </w:tc>
      </w:tr>
      <w:tr w:rsidR="00CF1059" w:rsidRPr="00F24F88" w14:paraId="67EACCE4"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16C09E20"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Female</w:t>
            </w:r>
          </w:p>
        </w:tc>
        <w:tc>
          <w:tcPr>
            <w:tcW w:w="792" w:type="dxa"/>
            <w:gridSpan w:val="2"/>
            <w:tcBorders>
              <w:top w:val="nil"/>
              <w:left w:val="nil"/>
              <w:bottom w:val="nil"/>
              <w:right w:val="nil"/>
            </w:tcBorders>
            <w:shd w:val="clear" w:color="auto" w:fill="D9D9D9" w:themeFill="background1" w:themeFillShade="D9"/>
            <w:vAlign w:val="center"/>
          </w:tcPr>
          <w:p w14:paraId="767EEFF6"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6</w:t>
            </w:r>
          </w:p>
        </w:tc>
        <w:tc>
          <w:tcPr>
            <w:tcW w:w="792" w:type="dxa"/>
            <w:gridSpan w:val="2"/>
            <w:tcBorders>
              <w:top w:val="nil"/>
              <w:left w:val="nil"/>
              <w:bottom w:val="nil"/>
              <w:right w:val="nil"/>
            </w:tcBorders>
            <w:shd w:val="clear" w:color="auto" w:fill="D9D9D9" w:themeFill="background1" w:themeFillShade="D9"/>
            <w:vAlign w:val="center"/>
          </w:tcPr>
          <w:p w14:paraId="7EC8B55D"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33%</w:t>
            </w:r>
          </w:p>
        </w:tc>
        <w:tc>
          <w:tcPr>
            <w:tcW w:w="936" w:type="dxa"/>
            <w:gridSpan w:val="2"/>
            <w:tcBorders>
              <w:top w:val="nil"/>
              <w:left w:val="nil"/>
              <w:bottom w:val="nil"/>
              <w:right w:val="nil"/>
            </w:tcBorders>
            <w:shd w:val="clear" w:color="auto" w:fill="D9D9D9" w:themeFill="background1" w:themeFillShade="D9"/>
            <w:vAlign w:val="center"/>
          </w:tcPr>
          <w:p w14:paraId="74E29A82"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25</w:t>
            </w:r>
          </w:p>
        </w:tc>
        <w:tc>
          <w:tcPr>
            <w:tcW w:w="930" w:type="dxa"/>
            <w:gridSpan w:val="2"/>
            <w:tcBorders>
              <w:top w:val="nil"/>
              <w:left w:val="nil"/>
              <w:bottom w:val="nil"/>
              <w:right w:val="nil"/>
            </w:tcBorders>
            <w:shd w:val="clear" w:color="auto" w:fill="D9D9D9" w:themeFill="background1" w:themeFillShade="D9"/>
            <w:vAlign w:val="center"/>
          </w:tcPr>
          <w:p w14:paraId="344E5275"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34%</w:t>
            </w:r>
          </w:p>
        </w:tc>
        <w:tc>
          <w:tcPr>
            <w:tcW w:w="792" w:type="dxa"/>
            <w:gridSpan w:val="2"/>
            <w:tcBorders>
              <w:top w:val="nil"/>
              <w:left w:val="nil"/>
              <w:bottom w:val="nil"/>
              <w:right w:val="nil"/>
            </w:tcBorders>
            <w:shd w:val="clear" w:color="auto" w:fill="D9D9D9" w:themeFill="background1" w:themeFillShade="D9"/>
            <w:vAlign w:val="center"/>
          </w:tcPr>
          <w:p w14:paraId="3BBE1544"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3</w:t>
            </w:r>
          </w:p>
        </w:tc>
        <w:tc>
          <w:tcPr>
            <w:tcW w:w="790" w:type="dxa"/>
            <w:gridSpan w:val="2"/>
            <w:tcBorders>
              <w:top w:val="nil"/>
              <w:left w:val="nil"/>
              <w:bottom w:val="nil"/>
              <w:right w:val="nil"/>
            </w:tcBorders>
            <w:shd w:val="clear" w:color="auto" w:fill="D9D9D9" w:themeFill="background1" w:themeFillShade="D9"/>
            <w:vAlign w:val="center"/>
          </w:tcPr>
          <w:p w14:paraId="0642A57A"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27%</w:t>
            </w:r>
          </w:p>
        </w:tc>
        <w:tc>
          <w:tcPr>
            <w:tcW w:w="936" w:type="dxa"/>
            <w:gridSpan w:val="2"/>
            <w:tcBorders>
              <w:top w:val="nil"/>
              <w:left w:val="nil"/>
              <w:bottom w:val="nil"/>
              <w:right w:val="nil"/>
            </w:tcBorders>
            <w:shd w:val="clear" w:color="auto" w:fill="D9D9D9" w:themeFill="background1" w:themeFillShade="D9"/>
            <w:vAlign w:val="center"/>
          </w:tcPr>
          <w:p w14:paraId="45D2EFA5"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13</w:t>
            </w:r>
          </w:p>
        </w:tc>
        <w:tc>
          <w:tcPr>
            <w:tcW w:w="938" w:type="dxa"/>
            <w:gridSpan w:val="2"/>
            <w:tcBorders>
              <w:top w:val="nil"/>
              <w:left w:val="nil"/>
              <w:bottom w:val="nil"/>
              <w:right w:val="nil"/>
            </w:tcBorders>
            <w:shd w:val="clear" w:color="auto" w:fill="D9D9D9" w:themeFill="background1" w:themeFillShade="D9"/>
            <w:vAlign w:val="center"/>
          </w:tcPr>
          <w:p w14:paraId="48405ADE"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29%</w:t>
            </w:r>
          </w:p>
        </w:tc>
      </w:tr>
      <w:tr w:rsidR="00FC7334" w:rsidRPr="00F24F88" w14:paraId="2B70C4F6" w14:textId="77777777" w:rsidTr="00832728">
        <w:trPr>
          <w:trHeight w:val="302"/>
        </w:trPr>
        <w:tc>
          <w:tcPr>
            <w:tcW w:w="2718" w:type="dxa"/>
            <w:gridSpan w:val="2"/>
            <w:tcBorders>
              <w:top w:val="nil"/>
              <w:left w:val="nil"/>
              <w:bottom w:val="nil"/>
              <w:right w:val="nil"/>
            </w:tcBorders>
            <w:shd w:val="clear" w:color="auto" w:fill="auto"/>
            <w:vAlign w:val="center"/>
          </w:tcPr>
          <w:p w14:paraId="35C3234A" w14:textId="77777777" w:rsidR="00FC7334" w:rsidRPr="00E35A60" w:rsidRDefault="00FC7334" w:rsidP="0040594E">
            <w:pPr>
              <w:pStyle w:val="NoSpacing"/>
              <w:rPr>
                <w:rFonts w:asciiTheme="minorHAnsi" w:hAnsiTheme="minorHAnsi"/>
              </w:rPr>
            </w:pPr>
            <w:r w:rsidRPr="00E35A60">
              <w:rPr>
                <w:rFonts w:asciiTheme="minorHAnsi" w:hAnsiTheme="minorHAnsi"/>
              </w:rPr>
              <w:t>Wilmington residence</w:t>
            </w:r>
          </w:p>
        </w:tc>
        <w:tc>
          <w:tcPr>
            <w:tcW w:w="792" w:type="dxa"/>
            <w:gridSpan w:val="2"/>
            <w:tcBorders>
              <w:top w:val="nil"/>
              <w:left w:val="nil"/>
              <w:bottom w:val="nil"/>
              <w:right w:val="nil"/>
            </w:tcBorders>
            <w:shd w:val="clear" w:color="auto" w:fill="auto"/>
            <w:vAlign w:val="center"/>
          </w:tcPr>
          <w:p w14:paraId="1A2DAD45" w14:textId="77777777" w:rsidR="00FC7334" w:rsidRPr="00E35A60" w:rsidRDefault="00FC7334"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655CEC4F" w14:textId="77777777" w:rsidR="00FC7334" w:rsidRPr="00E35A60" w:rsidRDefault="00FC7334"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38E26E0A" w14:textId="77777777" w:rsidR="00FC7334" w:rsidRPr="00E35A60" w:rsidRDefault="00FC7334"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61A43937" w14:textId="77777777" w:rsidR="00FC7334" w:rsidRPr="00E35A60" w:rsidRDefault="00FC7334"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7433ED09" w14:textId="77777777" w:rsidR="00FC7334" w:rsidRPr="00E35A60" w:rsidRDefault="00FC7334"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07196E5B" w14:textId="77777777" w:rsidR="00FC7334" w:rsidRPr="00E35A60" w:rsidRDefault="00FC7334"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75AB44BD" w14:textId="77777777" w:rsidR="00FC7334" w:rsidRPr="00E35A60" w:rsidRDefault="00FC7334"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467902E4" w14:textId="77777777" w:rsidR="00FC7334" w:rsidRPr="00E35A60" w:rsidRDefault="00FC7334" w:rsidP="0040594E">
            <w:pPr>
              <w:pStyle w:val="NoSpacing"/>
              <w:ind w:right="144"/>
              <w:jc w:val="right"/>
              <w:rPr>
                <w:rFonts w:asciiTheme="minorHAnsi" w:hAnsiTheme="minorHAnsi"/>
              </w:rPr>
            </w:pPr>
          </w:p>
        </w:tc>
      </w:tr>
      <w:tr w:rsidR="00FC7334" w:rsidRPr="00F24F88" w14:paraId="023F047E" w14:textId="77777777" w:rsidTr="00832728">
        <w:trPr>
          <w:trHeight w:val="302"/>
        </w:trPr>
        <w:tc>
          <w:tcPr>
            <w:tcW w:w="2718" w:type="dxa"/>
            <w:gridSpan w:val="2"/>
            <w:tcBorders>
              <w:top w:val="nil"/>
              <w:left w:val="nil"/>
              <w:bottom w:val="nil"/>
              <w:right w:val="nil"/>
            </w:tcBorders>
            <w:vAlign w:val="center"/>
          </w:tcPr>
          <w:p w14:paraId="2040ECEF" w14:textId="77777777" w:rsidR="00FC7334" w:rsidRPr="00E35A60" w:rsidRDefault="00FC7334" w:rsidP="0040594E">
            <w:pPr>
              <w:pStyle w:val="NoSpacing"/>
              <w:ind w:left="360"/>
              <w:rPr>
                <w:rFonts w:asciiTheme="minorHAnsi" w:hAnsiTheme="minorHAnsi"/>
              </w:rPr>
            </w:pPr>
            <w:r w:rsidRPr="00E35A60">
              <w:rPr>
                <w:rFonts w:asciiTheme="minorHAnsi" w:hAnsiTheme="minorHAnsi"/>
              </w:rPr>
              <w:t>Maternal mean, mos.</w:t>
            </w:r>
          </w:p>
        </w:tc>
        <w:tc>
          <w:tcPr>
            <w:tcW w:w="792" w:type="dxa"/>
            <w:gridSpan w:val="2"/>
            <w:tcBorders>
              <w:top w:val="nil"/>
              <w:left w:val="nil"/>
              <w:bottom w:val="nil"/>
              <w:right w:val="nil"/>
            </w:tcBorders>
            <w:vAlign w:val="center"/>
          </w:tcPr>
          <w:p w14:paraId="75CE3EF3" w14:textId="77777777" w:rsidR="00FC7334" w:rsidRPr="00E35A60" w:rsidRDefault="00FC7334" w:rsidP="0040594E">
            <w:pPr>
              <w:pStyle w:val="NoSpacing"/>
              <w:ind w:right="94"/>
              <w:jc w:val="right"/>
              <w:rPr>
                <w:rFonts w:asciiTheme="minorHAnsi" w:hAnsiTheme="minorHAnsi"/>
              </w:rPr>
            </w:pPr>
            <w:r w:rsidRPr="00E35A60">
              <w:rPr>
                <w:rFonts w:asciiTheme="minorHAnsi" w:hAnsiTheme="minorHAnsi"/>
              </w:rPr>
              <w:t>6.1</w:t>
            </w:r>
          </w:p>
        </w:tc>
        <w:tc>
          <w:tcPr>
            <w:tcW w:w="792" w:type="dxa"/>
            <w:gridSpan w:val="2"/>
            <w:tcBorders>
              <w:top w:val="nil"/>
              <w:left w:val="nil"/>
              <w:bottom w:val="nil"/>
              <w:right w:val="nil"/>
            </w:tcBorders>
            <w:vAlign w:val="center"/>
          </w:tcPr>
          <w:p w14:paraId="0451DDFA" w14:textId="77777777" w:rsidR="00FC7334" w:rsidRPr="00E35A60" w:rsidRDefault="00FC7334" w:rsidP="0040594E">
            <w:pPr>
              <w:pStyle w:val="NoSpacing"/>
              <w:jc w:val="right"/>
              <w:rPr>
                <w:rFonts w:asciiTheme="minorHAnsi" w:hAnsiTheme="minorHAnsi"/>
              </w:rPr>
            </w:pPr>
          </w:p>
        </w:tc>
        <w:tc>
          <w:tcPr>
            <w:tcW w:w="936" w:type="dxa"/>
            <w:gridSpan w:val="2"/>
            <w:tcBorders>
              <w:top w:val="nil"/>
              <w:left w:val="nil"/>
              <w:bottom w:val="nil"/>
              <w:right w:val="nil"/>
            </w:tcBorders>
            <w:vAlign w:val="center"/>
          </w:tcPr>
          <w:p w14:paraId="53BD704C" w14:textId="77777777" w:rsidR="00FC7334" w:rsidRPr="00E35A60" w:rsidRDefault="00FC7334" w:rsidP="0040594E">
            <w:pPr>
              <w:pStyle w:val="NoSpacing"/>
              <w:ind w:right="245"/>
              <w:jc w:val="right"/>
              <w:rPr>
                <w:rFonts w:asciiTheme="minorHAnsi" w:hAnsiTheme="minorHAnsi"/>
              </w:rPr>
            </w:pPr>
            <w:r w:rsidRPr="00E35A60">
              <w:rPr>
                <w:rFonts w:asciiTheme="minorHAnsi" w:hAnsiTheme="minorHAnsi"/>
              </w:rPr>
              <w:t>6.7</w:t>
            </w:r>
          </w:p>
        </w:tc>
        <w:tc>
          <w:tcPr>
            <w:tcW w:w="930" w:type="dxa"/>
            <w:gridSpan w:val="2"/>
            <w:tcBorders>
              <w:top w:val="nil"/>
              <w:left w:val="nil"/>
              <w:bottom w:val="nil"/>
              <w:right w:val="nil"/>
            </w:tcBorders>
            <w:vAlign w:val="center"/>
          </w:tcPr>
          <w:p w14:paraId="258A0175" w14:textId="77777777" w:rsidR="00FC7334" w:rsidRPr="00E35A60" w:rsidRDefault="00FC7334"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3A66A3EB" w14:textId="77777777" w:rsidR="00FC7334" w:rsidRPr="00E35A60" w:rsidRDefault="00FC7334" w:rsidP="0040594E">
            <w:pPr>
              <w:pStyle w:val="NoSpacing"/>
              <w:ind w:right="94"/>
              <w:jc w:val="right"/>
              <w:rPr>
                <w:rFonts w:asciiTheme="minorHAnsi" w:hAnsiTheme="minorHAnsi"/>
              </w:rPr>
            </w:pPr>
            <w:r w:rsidRPr="00E35A60">
              <w:rPr>
                <w:rFonts w:asciiTheme="minorHAnsi" w:hAnsiTheme="minorHAnsi"/>
              </w:rPr>
              <w:t>6.5</w:t>
            </w:r>
          </w:p>
        </w:tc>
        <w:tc>
          <w:tcPr>
            <w:tcW w:w="790" w:type="dxa"/>
            <w:gridSpan w:val="2"/>
            <w:tcBorders>
              <w:top w:val="nil"/>
              <w:left w:val="nil"/>
              <w:bottom w:val="nil"/>
              <w:right w:val="nil"/>
            </w:tcBorders>
            <w:shd w:val="clear" w:color="auto" w:fill="auto"/>
            <w:vAlign w:val="center"/>
          </w:tcPr>
          <w:p w14:paraId="0EAB53FA" w14:textId="77777777" w:rsidR="00FC7334" w:rsidRPr="00E35A60" w:rsidRDefault="00FC7334"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5DC15CFC" w14:textId="77777777" w:rsidR="00FC7334" w:rsidRPr="00E35A60" w:rsidRDefault="00FC7334" w:rsidP="0040594E">
            <w:pPr>
              <w:pStyle w:val="NoSpacing"/>
              <w:ind w:right="245"/>
              <w:jc w:val="right"/>
              <w:rPr>
                <w:rFonts w:asciiTheme="minorHAnsi" w:hAnsiTheme="minorHAnsi"/>
              </w:rPr>
            </w:pPr>
            <w:r w:rsidRPr="00E35A60">
              <w:rPr>
                <w:rFonts w:asciiTheme="minorHAnsi" w:hAnsiTheme="minorHAnsi"/>
              </w:rPr>
              <w:t>6.1</w:t>
            </w:r>
          </w:p>
        </w:tc>
        <w:tc>
          <w:tcPr>
            <w:tcW w:w="938" w:type="dxa"/>
            <w:gridSpan w:val="2"/>
            <w:tcBorders>
              <w:top w:val="nil"/>
              <w:left w:val="nil"/>
              <w:bottom w:val="nil"/>
              <w:right w:val="nil"/>
            </w:tcBorders>
            <w:shd w:val="clear" w:color="auto" w:fill="auto"/>
            <w:vAlign w:val="center"/>
          </w:tcPr>
          <w:p w14:paraId="5E190E1B" w14:textId="77777777" w:rsidR="00FC7334" w:rsidRPr="00E35A60" w:rsidRDefault="00FC7334" w:rsidP="0040594E">
            <w:pPr>
              <w:pStyle w:val="NoSpacing"/>
              <w:ind w:right="144"/>
              <w:jc w:val="right"/>
              <w:rPr>
                <w:rFonts w:asciiTheme="minorHAnsi" w:hAnsiTheme="minorHAnsi"/>
              </w:rPr>
            </w:pPr>
          </w:p>
        </w:tc>
      </w:tr>
      <w:tr w:rsidR="00FC7334" w:rsidRPr="00F24F88" w14:paraId="55B00837" w14:textId="77777777" w:rsidTr="00832728">
        <w:trPr>
          <w:trHeight w:val="302"/>
        </w:trPr>
        <w:tc>
          <w:tcPr>
            <w:tcW w:w="2718" w:type="dxa"/>
            <w:gridSpan w:val="2"/>
            <w:tcBorders>
              <w:top w:val="nil"/>
              <w:left w:val="nil"/>
              <w:bottom w:val="nil"/>
              <w:right w:val="nil"/>
            </w:tcBorders>
            <w:vAlign w:val="center"/>
          </w:tcPr>
          <w:p w14:paraId="469C11B7" w14:textId="77777777" w:rsidR="00FC7334" w:rsidRPr="00E35A60" w:rsidRDefault="00832728" w:rsidP="0040594E">
            <w:pPr>
              <w:pStyle w:val="NoSpacing"/>
              <w:ind w:left="360"/>
              <w:rPr>
                <w:rFonts w:asciiTheme="minorHAnsi" w:hAnsiTheme="minorHAnsi"/>
              </w:rPr>
            </w:pPr>
            <w:r w:rsidRPr="00E35A60">
              <w:rPr>
                <w:rFonts w:asciiTheme="minorHAnsi" w:hAnsiTheme="minorHAnsi"/>
              </w:rPr>
              <w:t>Zero m</w:t>
            </w:r>
            <w:r w:rsidR="00FC7334" w:rsidRPr="00E35A60">
              <w:rPr>
                <w:rFonts w:asciiTheme="minorHAnsi" w:hAnsiTheme="minorHAnsi"/>
              </w:rPr>
              <w:t>aternal</w:t>
            </w:r>
          </w:p>
        </w:tc>
        <w:tc>
          <w:tcPr>
            <w:tcW w:w="792" w:type="dxa"/>
            <w:gridSpan w:val="2"/>
            <w:tcBorders>
              <w:top w:val="nil"/>
              <w:left w:val="nil"/>
              <w:bottom w:val="nil"/>
              <w:right w:val="nil"/>
            </w:tcBorders>
            <w:vAlign w:val="center"/>
          </w:tcPr>
          <w:p w14:paraId="6C607F4F" w14:textId="77777777" w:rsidR="00FC7334" w:rsidRPr="00E35A60" w:rsidRDefault="00FC7334" w:rsidP="0040594E">
            <w:pPr>
              <w:pStyle w:val="NoSpacing"/>
              <w:ind w:right="94"/>
              <w:jc w:val="right"/>
              <w:rPr>
                <w:rFonts w:asciiTheme="minorHAnsi" w:hAnsiTheme="minorHAnsi"/>
              </w:rPr>
            </w:pPr>
            <w:r w:rsidRPr="00E35A60">
              <w:rPr>
                <w:rFonts w:asciiTheme="minorHAnsi" w:hAnsiTheme="minorHAnsi"/>
              </w:rPr>
              <w:t>6</w:t>
            </w:r>
          </w:p>
        </w:tc>
        <w:tc>
          <w:tcPr>
            <w:tcW w:w="792" w:type="dxa"/>
            <w:gridSpan w:val="2"/>
            <w:tcBorders>
              <w:top w:val="nil"/>
              <w:left w:val="nil"/>
              <w:bottom w:val="nil"/>
              <w:right w:val="nil"/>
            </w:tcBorders>
            <w:vAlign w:val="center"/>
          </w:tcPr>
          <w:p w14:paraId="4D00E4C5" w14:textId="77777777" w:rsidR="00FC7334" w:rsidRPr="00E35A60" w:rsidRDefault="00FC7334" w:rsidP="0040594E">
            <w:pPr>
              <w:pStyle w:val="NoSpacing"/>
              <w:jc w:val="right"/>
              <w:rPr>
                <w:rFonts w:asciiTheme="minorHAnsi" w:hAnsiTheme="minorHAnsi"/>
              </w:rPr>
            </w:pPr>
            <w:r w:rsidRPr="00E35A60">
              <w:rPr>
                <w:rFonts w:asciiTheme="minorHAnsi" w:hAnsiTheme="minorHAnsi"/>
              </w:rPr>
              <w:t>33%</w:t>
            </w:r>
          </w:p>
        </w:tc>
        <w:tc>
          <w:tcPr>
            <w:tcW w:w="936" w:type="dxa"/>
            <w:gridSpan w:val="2"/>
            <w:tcBorders>
              <w:top w:val="nil"/>
              <w:left w:val="nil"/>
              <w:bottom w:val="nil"/>
              <w:right w:val="nil"/>
            </w:tcBorders>
            <w:vAlign w:val="center"/>
          </w:tcPr>
          <w:p w14:paraId="36554923" w14:textId="77777777" w:rsidR="00FC7334" w:rsidRPr="00E35A60" w:rsidRDefault="00FC7334" w:rsidP="0040594E">
            <w:pPr>
              <w:pStyle w:val="NoSpacing"/>
              <w:ind w:right="245"/>
              <w:jc w:val="right"/>
              <w:rPr>
                <w:rFonts w:asciiTheme="minorHAnsi" w:hAnsiTheme="minorHAnsi"/>
              </w:rPr>
            </w:pPr>
            <w:r w:rsidRPr="00E35A60">
              <w:rPr>
                <w:rFonts w:asciiTheme="minorHAnsi" w:hAnsiTheme="minorHAnsi"/>
              </w:rPr>
              <w:t>26</w:t>
            </w:r>
          </w:p>
        </w:tc>
        <w:tc>
          <w:tcPr>
            <w:tcW w:w="930" w:type="dxa"/>
            <w:gridSpan w:val="2"/>
            <w:tcBorders>
              <w:top w:val="nil"/>
              <w:left w:val="nil"/>
              <w:bottom w:val="nil"/>
              <w:right w:val="nil"/>
            </w:tcBorders>
            <w:vAlign w:val="center"/>
          </w:tcPr>
          <w:p w14:paraId="00E388F4" w14:textId="77777777" w:rsidR="00FC7334" w:rsidRPr="00E35A60" w:rsidRDefault="00FC7334" w:rsidP="0040594E">
            <w:pPr>
              <w:pStyle w:val="NoSpacing"/>
              <w:ind w:right="144"/>
              <w:jc w:val="right"/>
              <w:rPr>
                <w:rFonts w:asciiTheme="minorHAnsi" w:hAnsiTheme="minorHAnsi"/>
              </w:rPr>
            </w:pPr>
            <w:r w:rsidRPr="00E35A60">
              <w:rPr>
                <w:rFonts w:asciiTheme="minorHAnsi" w:hAnsiTheme="minorHAnsi"/>
              </w:rPr>
              <w:t>35%</w:t>
            </w:r>
          </w:p>
        </w:tc>
        <w:tc>
          <w:tcPr>
            <w:tcW w:w="792" w:type="dxa"/>
            <w:gridSpan w:val="2"/>
            <w:tcBorders>
              <w:top w:val="nil"/>
              <w:left w:val="nil"/>
              <w:bottom w:val="nil"/>
              <w:right w:val="nil"/>
            </w:tcBorders>
            <w:shd w:val="clear" w:color="auto" w:fill="auto"/>
            <w:vAlign w:val="center"/>
          </w:tcPr>
          <w:p w14:paraId="3409A5D3" w14:textId="77777777" w:rsidR="00FC7334" w:rsidRPr="00E35A60" w:rsidRDefault="00FC7334" w:rsidP="0040594E">
            <w:pPr>
              <w:pStyle w:val="NoSpacing"/>
              <w:ind w:right="94"/>
              <w:jc w:val="right"/>
              <w:rPr>
                <w:rFonts w:asciiTheme="minorHAnsi" w:hAnsiTheme="minorHAnsi"/>
              </w:rPr>
            </w:pPr>
            <w:r w:rsidRPr="00E35A60">
              <w:rPr>
                <w:rFonts w:asciiTheme="minorHAnsi" w:hAnsiTheme="minorHAnsi"/>
              </w:rPr>
              <w:t>3</w:t>
            </w:r>
          </w:p>
        </w:tc>
        <w:tc>
          <w:tcPr>
            <w:tcW w:w="790" w:type="dxa"/>
            <w:gridSpan w:val="2"/>
            <w:tcBorders>
              <w:top w:val="nil"/>
              <w:left w:val="nil"/>
              <w:bottom w:val="nil"/>
              <w:right w:val="nil"/>
            </w:tcBorders>
            <w:shd w:val="clear" w:color="auto" w:fill="auto"/>
            <w:vAlign w:val="center"/>
          </w:tcPr>
          <w:p w14:paraId="712B576F" w14:textId="77777777" w:rsidR="00FC7334" w:rsidRPr="00E35A60" w:rsidRDefault="00FC7334" w:rsidP="0040594E">
            <w:pPr>
              <w:pStyle w:val="NoSpacing"/>
              <w:jc w:val="right"/>
              <w:rPr>
                <w:rFonts w:asciiTheme="minorHAnsi" w:hAnsiTheme="minorHAnsi"/>
              </w:rPr>
            </w:pPr>
            <w:r w:rsidRPr="00E35A60">
              <w:rPr>
                <w:rFonts w:asciiTheme="minorHAnsi" w:hAnsiTheme="minorHAnsi"/>
              </w:rPr>
              <w:t>27%</w:t>
            </w:r>
          </w:p>
        </w:tc>
        <w:tc>
          <w:tcPr>
            <w:tcW w:w="936" w:type="dxa"/>
            <w:gridSpan w:val="2"/>
            <w:tcBorders>
              <w:top w:val="nil"/>
              <w:left w:val="nil"/>
              <w:bottom w:val="nil"/>
              <w:right w:val="nil"/>
            </w:tcBorders>
            <w:shd w:val="clear" w:color="auto" w:fill="auto"/>
            <w:vAlign w:val="center"/>
          </w:tcPr>
          <w:p w14:paraId="26C6231E" w14:textId="77777777" w:rsidR="00FC7334" w:rsidRPr="00E35A60" w:rsidRDefault="00FC7334" w:rsidP="0040594E">
            <w:pPr>
              <w:pStyle w:val="NoSpacing"/>
              <w:ind w:right="245"/>
              <w:jc w:val="right"/>
              <w:rPr>
                <w:rFonts w:asciiTheme="minorHAnsi" w:hAnsiTheme="minorHAnsi"/>
              </w:rPr>
            </w:pPr>
            <w:r w:rsidRPr="00E35A60">
              <w:rPr>
                <w:rFonts w:asciiTheme="minorHAnsi" w:hAnsiTheme="minorHAnsi"/>
              </w:rPr>
              <w:t>17</w:t>
            </w:r>
          </w:p>
        </w:tc>
        <w:tc>
          <w:tcPr>
            <w:tcW w:w="938" w:type="dxa"/>
            <w:gridSpan w:val="2"/>
            <w:tcBorders>
              <w:top w:val="nil"/>
              <w:left w:val="nil"/>
              <w:bottom w:val="nil"/>
              <w:right w:val="nil"/>
            </w:tcBorders>
            <w:shd w:val="clear" w:color="auto" w:fill="auto"/>
            <w:vAlign w:val="center"/>
          </w:tcPr>
          <w:p w14:paraId="1A3DF36B" w14:textId="77777777" w:rsidR="00FC7334" w:rsidRPr="00E35A60" w:rsidRDefault="00FC7334" w:rsidP="0040594E">
            <w:pPr>
              <w:pStyle w:val="NoSpacing"/>
              <w:ind w:right="144"/>
              <w:jc w:val="right"/>
              <w:rPr>
                <w:rFonts w:asciiTheme="minorHAnsi" w:hAnsiTheme="minorHAnsi"/>
              </w:rPr>
            </w:pPr>
            <w:r w:rsidRPr="00E35A60">
              <w:rPr>
                <w:rFonts w:asciiTheme="minorHAnsi" w:hAnsiTheme="minorHAnsi"/>
              </w:rPr>
              <w:t>38%</w:t>
            </w:r>
          </w:p>
        </w:tc>
      </w:tr>
      <w:tr w:rsidR="00CF1059" w:rsidRPr="00F24F88" w14:paraId="132A28A2" w14:textId="77777777" w:rsidTr="00832728">
        <w:trPr>
          <w:trHeight w:val="302"/>
        </w:trPr>
        <w:tc>
          <w:tcPr>
            <w:tcW w:w="2718" w:type="dxa"/>
            <w:gridSpan w:val="2"/>
            <w:tcBorders>
              <w:top w:val="nil"/>
              <w:left w:val="nil"/>
              <w:bottom w:val="nil"/>
              <w:right w:val="nil"/>
            </w:tcBorders>
            <w:shd w:val="clear" w:color="auto" w:fill="auto"/>
            <w:vAlign w:val="center"/>
          </w:tcPr>
          <w:p w14:paraId="5D381699" w14:textId="77777777" w:rsidR="00CF1059" w:rsidRPr="00E35A60" w:rsidRDefault="00FC7334" w:rsidP="0040594E">
            <w:pPr>
              <w:pStyle w:val="NoSpacing"/>
              <w:ind w:left="360"/>
              <w:rPr>
                <w:rFonts w:asciiTheme="minorHAnsi" w:hAnsiTheme="minorHAnsi"/>
              </w:rPr>
            </w:pPr>
            <w:r w:rsidRPr="00E35A60">
              <w:rPr>
                <w:rFonts w:asciiTheme="minorHAnsi" w:hAnsiTheme="minorHAnsi"/>
              </w:rPr>
              <w:t>Resident at birth</w:t>
            </w:r>
          </w:p>
        </w:tc>
        <w:tc>
          <w:tcPr>
            <w:tcW w:w="792" w:type="dxa"/>
            <w:gridSpan w:val="2"/>
            <w:tcBorders>
              <w:top w:val="nil"/>
              <w:left w:val="nil"/>
              <w:bottom w:val="nil"/>
              <w:right w:val="nil"/>
            </w:tcBorders>
            <w:shd w:val="clear" w:color="auto" w:fill="auto"/>
            <w:vAlign w:val="center"/>
          </w:tcPr>
          <w:p w14:paraId="4BC7C5A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12</w:t>
            </w:r>
          </w:p>
        </w:tc>
        <w:tc>
          <w:tcPr>
            <w:tcW w:w="792" w:type="dxa"/>
            <w:gridSpan w:val="2"/>
            <w:tcBorders>
              <w:top w:val="nil"/>
              <w:left w:val="nil"/>
              <w:bottom w:val="nil"/>
              <w:right w:val="nil"/>
            </w:tcBorders>
            <w:shd w:val="clear" w:color="auto" w:fill="auto"/>
            <w:vAlign w:val="center"/>
          </w:tcPr>
          <w:p w14:paraId="49F63185"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67%</w:t>
            </w:r>
          </w:p>
        </w:tc>
        <w:tc>
          <w:tcPr>
            <w:tcW w:w="936" w:type="dxa"/>
            <w:gridSpan w:val="2"/>
            <w:tcBorders>
              <w:top w:val="nil"/>
              <w:left w:val="nil"/>
              <w:bottom w:val="nil"/>
              <w:right w:val="nil"/>
            </w:tcBorders>
            <w:shd w:val="clear" w:color="auto" w:fill="auto"/>
            <w:vAlign w:val="center"/>
          </w:tcPr>
          <w:p w14:paraId="04D6885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49</w:t>
            </w:r>
          </w:p>
        </w:tc>
        <w:tc>
          <w:tcPr>
            <w:tcW w:w="930" w:type="dxa"/>
            <w:gridSpan w:val="2"/>
            <w:tcBorders>
              <w:top w:val="nil"/>
              <w:left w:val="nil"/>
              <w:bottom w:val="nil"/>
              <w:right w:val="nil"/>
            </w:tcBorders>
            <w:shd w:val="clear" w:color="auto" w:fill="auto"/>
            <w:vAlign w:val="center"/>
          </w:tcPr>
          <w:p w14:paraId="35396752"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66%</w:t>
            </w:r>
          </w:p>
        </w:tc>
        <w:tc>
          <w:tcPr>
            <w:tcW w:w="792" w:type="dxa"/>
            <w:gridSpan w:val="2"/>
            <w:tcBorders>
              <w:top w:val="nil"/>
              <w:left w:val="nil"/>
              <w:bottom w:val="nil"/>
              <w:right w:val="nil"/>
            </w:tcBorders>
            <w:shd w:val="clear" w:color="auto" w:fill="auto"/>
            <w:vAlign w:val="center"/>
          </w:tcPr>
          <w:p w14:paraId="763D75F9"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8</w:t>
            </w:r>
          </w:p>
        </w:tc>
        <w:tc>
          <w:tcPr>
            <w:tcW w:w="790" w:type="dxa"/>
            <w:gridSpan w:val="2"/>
            <w:tcBorders>
              <w:top w:val="nil"/>
              <w:left w:val="nil"/>
              <w:bottom w:val="nil"/>
              <w:right w:val="nil"/>
            </w:tcBorders>
            <w:shd w:val="clear" w:color="auto" w:fill="auto"/>
            <w:vAlign w:val="center"/>
          </w:tcPr>
          <w:p w14:paraId="2EE3D2B6"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73%</w:t>
            </w:r>
          </w:p>
        </w:tc>
        <w:tc>
          <w:tcPr>
            <w:tcW w:w="936" w:type="dxa"/>
            <w:gridSpan w:val="2"/>
            <w:tcBorders>
              <w:top w:val="nil"/>
              <w:left w:val="nil"/>
              <w:bottom w:val="nil"/>
              <w:right w:val="nil"/>
            </w:tcBorders>
            <w:shd w:val="clear" w:color="auto" w:fill="auto"/>
            <w:vAlign w:val="center"/>
          </w:tcPr>
          <w:p w14:paraId="75175054"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29</w:t>
            </w:r>
          </w:p>
        </w:tc>
        <w:tc>
          <w:tcPr>
            <w:tcW w:w="938" w:type="dxa"/>
            <w:gridSpan w:val="2"/>
            <w:tcBorders>
              <w:top w:val="nil"/>
              <w:left w:val="nil"/>
              <w:bottom w:val="nil"/>
              <w:right w:val="nil"/>
            </w:tcBorders>
            <w:shd w:val="clear" w:color="auto" w:fill="auto"/>
            <w:vAlign w:val="center"/>
          </w:tcPr>
          <w:p w14:paraId="1A7199E8"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64%</w:t>
            </w:r>
          </w:p>
        </w:tc>
      </w:tr>
      <w:tr w:rsidR="00CF1059" w:rsidRPr="00F24F88" w14:paraId="29D31CF8" w14:textId="77777777" w:rsidTr="00832728">
        <w:trPr>
          <w:trHeight w:val="302"/>
        </w:trPr>
        <w:tc>
          <w:tcPr>
            <w:tcW w:w="2718" w:type="dxa"/>
            <w:gridSpan w:val="2"/>
            <w:tcBorders>
              <w:top w:val="nil"/>
              <w:left w:val="nil"/>
              <w:bottom w:val="nil"/>
              <w:right w:val="nil"/>
            </w:tcBorders>
            <w:vAlign w:val="center"/>
          </w:tcPr>
          <w:p w14:paraId="5365900A" w14:textId="77777777" w:rsidR="00CF1059" w:rsidRPr="00E35A60" w:rsidRDefault="00832728" w:rsidP="0040594E">
            <w:pPr>
              <w:pStyle w:val="NoSpacing"/>
              <w:ind w:left="360"/>
              <w:rPr>
                <w:rFonts w:asciiTheme="minorHAnsi" w:hAnsiTheme="minorHAnsi"/>
              </w:rPr>
            </w:pPr>
            <w:r w:rsidRPr="00E35A60">
              <w:rPr>
                <w:rFonts w:asciiTheme="minorHAnsi" w:hAnsiTheme="minorHAnsi"/>
              </w:rPr>
              <w:t>Child</w:t>
            </w:r>
            <w:r w:rsidR="00CF1059" w:rsidRPr="00E35A60">
              <w:rPr>
                <w:rFonts w:asciiTheme="minorHAnsi" w:hAnsiTheme="minorHAnsi"/>
              </w:rPr>
              <w:t xml:space="preserve"> mean</w:t>
            </w:r>
            <w:r w:rsidRPr="00E35A60">
              <w:rPr>
                <w:rFonts w:asciiTheme="minorHAnsi" w:hAnsiTheme="minorHAnsi"/>
              </w:rPr>
              <w:t>, mos.</w:t>
            </w:r>
          </w:p>
        </w:tc>
        <w:tc>
          <w:tcPr>
            <w:tcW w:w="792" w:type="dxa"/>
            <w:gridSpan w:val="2"/>
            <w:tcBorders>
              <w:top w:val="nil"/>
              <w:left w:val="nil"/>
              <w:bottom w:val="nil"/>
              <w:right w:val="nil"/>
            </w:tcBorders>
            <w:vAlign w:val="center"/>
          </w:tcPr>
          <w:p w14:paraId="7A53AA8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78.2</w:t>
            </w:r>
          </w:p>
        </w:tc>
        <w:tc>
          <w:tcPr>
            <w:tcW w:w="792" w:type="dxa"/>
            <w:gridSpan w:val="2"/>
            <w:tcBorders>
              <w:top w:val="nil"/>
              <w:left w:val="nil"/>
              <w:bottom w:val="nil"/>
              <w:right w:val="nil"/>
            </w:tcBorders>
            <w:vAlign w:val="center"/>
          </w:tcPr>
          <w:p w14:paraId="76C196D1"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vAlign w:val="center"/>
          </w:tcPr>
          <w:p w14:paraId="7BC3BC58"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93.9</w:t>
            </w:r>
          </w:p>
        </w:tc>
        <w:tc>
          <w:tcPr>
            <w:tcW w:w="930" w:type="dxa"/>
            <w:gridSpan w:val="2"/>
            <w:tcBorders>
              <w:top w:val="nil"/>
              <w:left w:val="nil"/>
              <w:bottom w:val="nil"/>
              <w:right w:val="nil"/>
            </w:tcBorders>
            <w:vAlign w:val="center"/>
          </w:tcPr>
          <w:p w14:paraId="1F1D75E1"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48400098"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70.3</w:t>
            </w:r>
          </w:p>
        </w:tc>
        <w:tc>
          <w:tcPr>
            <w:tcW w:w="790" w:type="dxa"/>
            <w:gridSpan w:val="2"/>
            <w:tcBorders>
              <w:top w:val="nil"/>
              <w:left w:val="nil"/>
              <w:bottom w:val="nil"/>
              <w:right w:val="nil"/>
            </w:tcBorders>
            <w:shd w:val="clear" w:color="auto" w:fill="auto"/>
            <w:vAlign w:val="center"/>
          </w:tcPr>
          <w:p w14:paraId="5A63A879"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3C432151"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82.4</w:t>
            </w:r>
          </w:p>
        </w:tc>
        <w:tc>
          <w:tcPr>
            <w:tcW w:w="938" w:type="dxa"/>
            <w:gridSpan w:val="2"/>
            <w:tcBorders>
              <w:top w:val="nil"/>
              <w:left w:val="nil"/>
              <w:bottom w:val="nil"/>
              <w:right w:val="nil"/>
            </w:tcBorders>
            <w:shd w:val="clear" w:color="auto" w:fill="auto"/>
            <w:vAlign w:val="center"/>
          </w:tcPr>
          <w:p w14:paraId="766207D3" w14:textId="77777777" w:rsidR="00CF1059" w:rsidRPr="00E35A60" w:rsidRDefault="00CF1059" w:rsidP="0040594E">
            <w:pPr>
              <w:pStyle w:val="NoSpacing"/>
              <w:ind w:right="144"/>
              <w:jc w:val="right"/>
              <w:rPr>
                <w:rFonts w:asciiTheme="minorHAnsi" w:hAnsiTheme="minorHAnsi"/>
              </w:rPr>
            </w:pPr>
          </w:p>
        </w:tc>
      </w:tr>
      <w:tr w:rsidR="00CF1059" w:rsidRPr="00F24F88" w14:paraId="24732D50"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230B1E8D" w14:textId="77777777" w:rsidR="00CF1059" w:rsidRPr="00E35A60" w:rsidRDefault="00CF1059" w:rsidP="0040594E">
            <w:pPr>
              <w:pStyle w:val="NoSpacing"/>
              <w:rPr>
                <w:rFonts w:asciiTheme="minorHAnsi" w:hAnsiTheme="minorHAnsi"/>
              </w:rPr>
            </w:pPr>
            <w:r w:rsidRPr="00E35A60">
              <w:rPr>
                <w:rFonts w:asciiTheme="minorHAnsi" w:hAnsiTheme="minorHAnsi"/>
              </w:rPr>
              <w:t>Mother’s education</w:t>
            </w:r>
          </w:p>
        </w:tc>
        <w:tc>
          <w:tcPr>
            <w:tcW w:w="792" w:type="dxa"/>
            <w:gridSpan w:val="2"/>
            <w:tcBorders>
              <w:top w:val="nil"/>
              <w:left w:val="nil"/>
              <w:bottom w:val="nil"/>
              <w:right w:val="nil"/>
            </w:tcBorders>
            <w:shd w:val="clear" w:color="auto" w:fill="D9D9D9" w:themeFill="background1" w:themeFillShade="D9"/>
            <w:vAlign w:val="center"/>
          </w:tcPr>
          <w:p w14:paraId="7C9FD37F"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1A81ABE5"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7BAC344C"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D9D9D9" w:themeFill="background1" w:themeFillShade="D9"/>
            <w:vAlign w:val="center"/>
          </w:tcPr>
          <w:p w14:paraId="185F4C16"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1AF6A0DE"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D9D9D9" w:themeFill="background1" w:themeFillShade="D9"/>
            <w:vAlign w:val="center"/>
          </w:tcPr>
          <w:p w14:paraId="028612F5"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6C91FE38"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D9D9D9" w:themeFill="background1" w:themeFillShade="D9"/>
            <w:vAlign w:val="center"/>
          </w:tcPr>
          <w:p w14:paraId="37D2938C" w14:textId="77777777" w:rsidR="00CF1059" w:rsidRPr="00E35A60" w:rsidRDefault="00CF1059" w:rsidP="0040594E">
            <w:pPr>
              <w:pStyle w:val="NoSpacing"/>
              <w:ind w:right="144"/>
              <w:jc w:val="right"/>
              <w:rPr>
                <w:rFonts w:asciiTheme="minorHAnsi" w:hAnsiTheme="minorHAnsi"/>
              </w:rPr>
            </w:pPr>
          </w:p>
        </w:tc>
      </w:tr>
      <w:tr w:rsidR="00CF1059" w:rsidRPr="00E35A60" w14:paraId="7D669BFF" w14:textId="77777777" w:rsidTr="00832728">
        <w:trPr>
          <w:gridAfter w:val="1"/>
          <w:wAfter w:w="18" w:type="dxa"/>
          <w:trHeight w:val="302"/>
        </w:trPr>
        <w:tc>
          <w:tcPr>
            <w:tcW w:w="2700" w:type="dxa"/>
            <w:tcBorders>
              <w:top w:val="nil"/>
              <w:left w:val="nil"/>
              <w:bottom w:val="nil"/>
              <w:right w:val="nil"/>
            </w:tcBorders>
            <w:shd w:val="clear" w:color="auto" w:fill="D9D9D9" w:themeFill="background1" w:themeFillShade="D9"/>
            <w:vAlign w:val="center"/>
          </w:tcPr>
          <w:p w14:paraId="719E2C87" w14:textId="77777777" w:rsidR="00CF1059" w:rsidRPr="00E35A60" w:rsidRDefault="00CF1059" w:rsidP="0040594E">
            <w:pPr>
              <w:spacing w:after="0" w:line="240" w:lineRule="auto"/>
              <w:ind w:left="346"/>
              <w:rPr>
                <w:rFonts w:asciiTheme="minorHAnsi" w:hAnsiTheme="minorHAnsi"/>
              </w:rPr>
            </w:pPr>
            <w:r w:rsidRPr="00E35A60">
              <w:rPr>
                <w:rFonts w:asciiTheme="minorHAnsi" w:hAnsiTheme="minorHAnsi"/>
              </w:rPr>
              <w:t xml:space="preserve">High School/GED </w:t>
            </w:r>
          </w:p>
        </w:tc>
        <w:tc>
          <w:tcPr>
            <w:tcW w:w="792" w:type="dxa"/>
            <w:gridSpan w:val="2"/>
            <w:tcBorders>
              <w:top w:val="nil"/>
              <w:left w:val="nil"/>
              <w:bottom w:val="nil"/>
              <w:right w:val="nil"/>
            </w:tcBorders>
            <w:shd w:val="clear" w:color="auto" w:fill="D9D9D9" w:themeFill="background1" w:themeFillShade="D9"/>
            <w:vAlign w:val="center"/>
          </w:tcPr>
          <w:p w14:paraId="5C1F2868"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6</w:t>
            </w:r>
          </w:p>
        </w:tc>
        <w:tc>
          <w:tcPr>
            <w:tcW w:w="792" w:type="dxa"/>
            <w:gridSpan w:val="2"/>
            <w:tcBorders>
              <w:top w:val="nil"/>
              <w:left w:val="nil"/>
              <w:bottom w:val="nil"/>
              <w:right w:val="nil"/>
            </w:tcBorders>
            <w:shd w:val="clear" w:color="auto" w:fill="D9D9D9" w:themeFill="background1" w:themeFillShade="D9"/>
            <w:vAlign w:val="center"/>
          </w:tcPr>
          <w:p w14:paraId="325E173E"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33%</w:t>
            </w:r>
          </w:p>
        </w:tc>
        <w:tc>
          <w:tcPr>
            <w:tcW w:w="936" w:type="dxa"/>
            <w:gridSpan w:val="2"/>
            <w:tcBorders>
              <w:top w:val="nil"/>
              <w:left w:val="nil"/>
              <w:bottom w:val="nil"/>
              <w:right w:val="nil"/>
            </w:tcBorders>
            <w:shd w:val="clear" w:color="auto" w:fill="D9D9D9" w:themeFill="background1" w:themeFillShade="D9"/>
            <w:vAlign w:val="center"/>
          </w:tcPr>
          <w:p w14:paraId="5EAE69DB"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17</w:t>
            </w:r>
          </w:p>
        </w:tc>
        <w:tc>
          <w:tcPr>
            <w:tcW w:w="930" w:type="dxa"/>
            <w:gridSpan w:val="2"/>
            <w:tcBorders>
              <w:top w:val="nil"/>
              <w:left w:val="nil"/>
              <w:bottom w:val="nil"/>
              <w:right w:val="nil"/>
            </w:tcBorders>
            <w:shd w:val="clear" w:color="auto" w:fill="D9D9D9" w:themeFill="background1" w:themeFillShade="D9"/>
            <w:vAlign w:val="center"/>
          </w:tcPr>
          <w:p w14:paraId="641FE992"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23%</w:t>
            </w:r>
          </w:p>
        </w:tc>
        <w:tc>
          <w:tcPr>
            <w:tcW w:w="792" w:type="dxa"/>
            <w:gridSpan w:val="2"/>
            <w:tcBorders>
              <w:top w:val="nil"/>
              <w:left w:val="nil"/>
              <w:bottom w:val="nil"/>
              <w:right w:val="nil"/>
            </w:tcBorders>
            <w:shd w:val="clear" w:color="auto" w:fill="D9D9D9" w:themeFill="background1" w:themeFillShade="D9"/>
            <w:vAlign w:val="center"/>
          </w:tcPr>
          <w:p w14:paraId="37507F46"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4</w:t>
            </w:r>
          </w:p>
        </w:tc>
        <w:tc>
          <w:tcPr>
            <w:tcW w:w="790" w:type="dxa"/>
            <w:gridSpan w:val="2"/>
            <w:tcBorders>
              <w:top w:val="nil"/>
              <w:left w:val="nil"/>
              <w:bottom w:val="nil"/>
              <w:right w:val="nil"/>
            </w:tcBorders>
            <w:shd w:val="clear" w:color="auto" w:fill="D9D9D9" w:themeFill="background1" w:themeFillShade="D9"/>
            <w:vAlign w:val="center"/>
          </w:tcPr>
          <w:p w14:paraId="262F7639"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36%</w:t>
            </w:r>
          </w:p>
        </w:tc>
        <w:tc>
          <w:tcPr>
            <w:tcW w:w="936" w:type="dxa"/>
            <w:gridSpan w:val="2"/>
            <w:tcBorders>
              <w:top w:val="nil"/>
              <w:left w:val="nil"/>
              <w:bottom w:val="nil"/>
              <w:right w:val="nil"/>
            </w:tcBorders>
            <w:shd w:val="clear" w:color="auto" w:fill="D9D9D9" w:themeFill="background1" w:themeFillShade="D9"/>
            <w:vAlign w:val="center"/>
          </w:tcPr>
          <w:p w14:paraId="05D741BA"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13</w:t>
            </w:r>
          </w:p>
        </w:tc>
        <w:tc>
          <w:tcPr>
            <w:tcW w:w="938" w:type="dxa"/>
            <w:gridSpan w:val="2"/>
            <w:tcBorders>
              <w:top w:val="nil"/>
              <w:left w:val="nil"/>
              <w:bottom w:val="nil"/>
              <w:right w:val="nil"/>
            </w:tcBorders>
            <w:shd w:val="clear" w:color="auto" w:fill="D9D9D9" w:themeFill="background1" w:themeFillShade="D9"/>
            <w:vAlign w:val="center"/>
          </w:tcPr>
          <w:p w14:paraId="2E0127F5"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29%</w:t>
            </w:r>
          </w:p>
        </w:tc>
      </w:tr>
      <w:tr w:rsidR="00CF1059" w:rsidRPr="00E35A60" w14:paraId="51B42F5B" w14:textId="77777777" w:rsidTr="00832728">
        <w:trPr>
          <w:gridAfter w:val="1"/>
          <w:wAfter w:w="18" w:type="dxa"/>
          <w:trHeight w:val="302"/>
        </w:trPr>
        <w:tc>
          <w:tcPr>
            <w:tcW w:w="2700" w:type="dxa"/>
            <w:tcBorders>
              <w:top w:val="nil"/>
              <w:left w:val="nil"/>
              <w:bottom w:val="nil"/>
              <w:right w:val="nil"/>
            </w:tcBorders>
            <w:shd w:val="clear" w:color="auto" w:fill="D9D9D9" w:themeFill="background1" w:themeFillShade="D9"/>
            <w:vAlign w:val="center"/>
          </w:tcPr>
          <w:p w14:paraId="647B761A" w14:textId="77777777" w:rsidR="00CF1059" w:rsidRPr="00E35A60" w:rsidRDefault="00CF1059" w:rsidP="0040594E">
            <w:pPr>
              <w:pStyle w:val="NoSpacing"/>
              <w:ind w:left="342"/>
              <w:rPr>
                <w:rFonts w:asciiTheme="minorHAnsi" w:hAnsiTheme="minorHAnsi"/>
              </w:rPr>
            </w:pPr>
            <w:r w:rsidRPr="00E35A60">
              <w:rPr>
                <w:rFonts w:asciiTheme="minorHAnsi" w:hAnsiTheme="minorHAnsi"/>
              </w:rPr>
              <w:t>&gt;High School/GED</w:t>
            </w:r>
          </w:p>
        </w:tc>
        <w:tc>
          <w:tcPr>
            <w:tcW w:w="792" w:type="dxa"/>
            <w:gridSpan w:val="2"/>
            <w:tcBorders>
              <w:top w:val="nil"/>
              <w:left w:val="nil"/>
              <w:bottom w:val="nil"/>
              <w:right w:val="nil"/>
            </w:tcBorders>
            <w:shd w:val="clear" w:color="auto" w:fill="D9D9D9" w:themeFill="background1" w:themeFillShade="D9"/>
            <w:vAlign w:val="center"/>
          </w:tcPr>
          <w:p w14:paraId="6F6EB602"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12</w:t>
            </w:r>
          </w:p>
        </w:tc>
        <w:tc>
          <w:tcPr>
            <w:tcW w:w="792" w:type="dxa"/>
            <w:gridSpan w:val="2"/>
            <w:tcBorders>
              <w:top w:val="nil"/>
              <w:left w:val="nil"/>
              <w:bottom w:val="nil"/>
              <w:right w:val="nil"/>
            </w:tcBorders>
            <w:shd w:val="clear" w:color="auto" w:fill="D9D9D9" w:themeFill="background1" w:themeFillShade="D9"/>
            <w:vAlign w:val="center"/>
          </w:tcPr>
          <w:p w14:paraId="05496085"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67%</w:t>
            </w:r>
          </w:p>
        </w:tc>
        <w:tc>
          <w:tcPr>
            <w:tcW w:w="936" w:type="dxa"/>
            <w:gridSpan w:val="2"/>
            <w:tcBorders>
              <w:top w:val="nil"/>
              <w:left w:val="nil"/>
              <w:bottom w:val="nil"/>
              <w:right w:val="nil"/>
            </w:tcBorders>
            <w:shd w:val="clear" w:color="auto" w:fill="D9D9D9" w:themeFill="background1" w:themeFillShade="D9"/>
            <w:vAlign w:val="center"/>
          </w:tcPr>
          <w:p w14:paraId="6B08701B"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57</w:t>
            </w:r>
          </w:p>
        </w:tc>
        <w:tc>
          <w:tcPr>
            <w:tcW w:w="930" w:type="dxa"/>
            <w:gridSpan w:val="2"/>
            <w:tcBorders>
              <w:top w:val="nil"/>
              <w:left w:val="nil"/>
              <w:bottom w:val="nil"/>
              <w:right w:val="nil"/>
            </w:tcBorders>
            <w:shd w:val="clear" w:color="auto" w:fill="D9D9D9" w:themeFill="background1" w:themeFillShade="D9"/>
            <w:vAlign w:val="center"/>
          </w:tcPr>
          <w:p w14:paraId="3DC1B8F0"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77%</w:t>
            </w:r>
          </w:p>
        </w:tc>
        <w:tc>
          <w:tcPr>
            <w:tcW w:w="792" w:type="dxa"/>
            <w:gridSpan w:val="2"/>
            <w:tcBorders>
              <w:top w:val="nil"/>
              <w:left w:val="nil"/>
              <w:bottom w:val="nil"/>
              <w:right w:val="nil"/>
            </w:tcBorders>
            <w:shd w:val="clear" w:color="auto" w:fill="D9D9D9" w:themeFill="background1" w:themeFillShade="D9"/>
            <w:vAlign w:val="center"/>
          </w:tcPr>
          <w:p w14:paraId="4BE0B637"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7</w:t>
            </w:r>
          </w:p>
        </w:tc>
        <w:tc>
          <w:tcPr>
            <w:tcW w:w="790" w:type="dxa"/>
            <w:gridSpan w:val="2"/>
            <w:tcBorders>
              <w:top w:val="nil"/>
              <w:left w:val="nil"/>
              <w:bottom w:val="nil"/>
              <w:right w:val="nil"/>
            </w:tcBorders>
            <w:shd w:val="clear" w:color="auto" w:fill="D9D9D9" w:themeFill="background1" w:themeFillShade="D9"/>
            <w:vAlign w:val="center"/>
          </w:tcPr>
          <w:p w14:paraId="06BB2C75"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64%</w:t>
            </w:r>
          </w:p>
        </w:tc>
        <w:tc>
          <w:tcPr>
            <w:tcW w:w="936" w:type="dxa"/>
            <w:gridSpan w:val="2"/>
            <w:tcBorders>
              <w:top w:val="nil"/>
              <w:left w:val="nil"/>
              <w:bottom w:val="nil"/>
              <w:right w:val="nil"/>
            </w:tcBorders>
            <w:shd w:val="clear" w:color="auto" w:fill="D9D9D9" w:themeFill="background1" w:themeFillShade="D9"/>
            <w:vAlign w:val="center"/>
          </w:tcPr>
          <w:p w14:paraId="55A53B20"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32</w:t>
            </w:r>
          </w:p>
        </w:tc>
        <w:tc>
          <w:tcPr>
            <w:tcW w:w="938" w:type="dxa"/>
            <w:gridSpan w:val="2"/>
            <w:tcBorders>
              <w:top w:val="nil"/>
              <w:left w:val="nil"/>
              <w:bottom w:val="nil"/>
              <w:right w:val="nil"/>
            </w:tcBorders>
            <w:shd w:val="clear" w:color="auto" w:fill="D9D9D9" w:themeFill="background1" w:themeFillShade="D9"/>
            <w:vAlign w:val="center"/>
          </w:tcPr>
          <w:p w14:paraId="3EDA246D"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71%</w:t>
            </w:r>
          </w:p>
        </w:tc>
      </w:tr>
      <w:tr w:rsidR="00CF1059" w:rsidRPr="00F24F88" w14:paraId="0C551622" w14:textId="77777777" w:rsidTr="00832728">
        <w:trPr>
          <w:trHeight w:val="302"/>
        </w:trPr>
        <w:tc>
          <w:tcPr>
            <w:tcW w:w="2718" w:type="dxa"/>
            <w:gridSpan w:val="2"/>
            <w:tcBorders>
              <w:top w:val="nil"/>
              <w:left w:val="nil"/>
              <w:bottom w:val="nil"/>
              <w:right w:val="nil"/>
            </w:tcBorders>
            <w:vAlign w:val="center"/>
          </w:tcPr>
          <w:p w14:paraId="08899406" w14:textId="77777777" w:rsidR="00CF1059" w:rsidRPr="00E35A60" w:rsidRDefault="00CF1059" w:rsidP="0040594E">
            <w:pPr>
              <w:pStyle w:val="NoSpacing"/>
              <w:rPr>
                <w:rFonts w:asciiTheme="minorHAnsi" w:hAnsiTheme="minorHAnsi"/>
                <w:vertAlign w:val="superscript"/>
              </w:rPr>
            </w:pPr>
            <w:r w:rsidRPr="00E35A60">
              <w:rPr>
                <w:rFonts w:asciiTheme="minorHAnsi" w:hAnsiTheme="minorHAnsi"/>
              </w:rPr>
              <w:t xml:space="preserve">Family cancer </w:t>
            </w:r>
            <w:proofErr w:type="spellStart"/>
            <w:r w:rsidRPr="00E35A60">
              <w:rPr>
                <w:rFonts w:asciiTheme="minorHAnsi" w:hAnsiTheme="minorHAnsi"/>
              </w:rPr>
              <w:t>history</w:t>
            </w:r>
            <w:r w:rsidRPr="00E35A60">
              <w:rPr>
                <w:rFonts w:asciiTheme="minorHAnsi" w:hAnsiTheme="minorHAnsi"/>
                <w:vertAlign w:val="superscript"/>
              </w:rPr>
              <w:t>a</w:t>
            </w:r>
            <w:proofErr w:type="spellEnd"/>
          </w:p>
        </w:tc>
        <w:tc>
          <w:tcPr>
            <w:tcW w:w="792" w:type="dxa"/>
            <w:gridSpan w:val="2"/>
            <w:tcBorders>
              <w:top w:val="nil"/>
              <w:left w:val="nil"/>
              <w:bottom w:val="nil"/>
              <w:right w:val="nil"/>
            </w:tcBorders>
            <w:vAlign w:val="center"/>
          </w:tcPr>
          <w:p w14:paraId="2100551E"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vAlign w:val="center"/>
          </w:tcPr>
          <w:p w14:paraId="24CE1673"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vAlign w:val="center"/>
          </w:tcPr>
          <w:p w14:paraId="113FF63F"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vAlign w:val="center"/>
          </w:tcPr>
          <w:p w14:paraId="5DD698C4"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0CAF74CB"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42203E34"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69FF1C0B"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7AE3B2F3" w14:textId="77777777" w:rsidR="00CF1059" w:rsidRPr="00E35A60" w:rsidRDefault="00CF1059" w:rsidP="0040594E">
            <w:pPr>
              <w:pStyle w:val="NoSpacing"/>
              <w:ind w:right="144"/>
              <w:jc w:val="right"/>
              <w:rPr>
                <w:rFonts w:asciiTheme="minorHAnsi" w:hAnsiTheme="minorHAnsi"/>
              </w:rPr>
            </w:pPr>
          </w:p>
        </w:tc>
      </w:tr>
      <w:tr w:rsidR="00CF1059" w:rsidRPr="00F24F88" w14:paraId="415BB084" w14:textId="77777777" w:rsidTr="00832728">
        <w:trPr>
          <w:trHeight w:val="302"/>
        </w:trPr>
        <w:tc>
          <w:tcPr>
            <w:tcW w:w="2718" w:type="dxa"/>
            <w:gridSpan w:val="2"/>
            <w:tcBorders>
              <w:top w:val="nil"/>
              <w:left w:val="nil"/>
              <w:bottom w:val="nil"/>
              <w:right w:val="nil"/>
            </w:tcBorders>
            <w:vAlign w:val="center"/>
          </w:tcPr>
          <w:p w14:paraId="373EC196"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Children, &lt;20 years</w:t>
            </w:r>
          </w:p>
        </w:tc>
        <w:tc>
          <w:tcPr>
            <w:tcW w:w="792" w:type="dxa"/>
            <w:gridSpan w:val="2"/>
            <w:tcBorders>
              <w:top w:val="nil"/>
              <w:left w:val="nil"/>
              <w:bottom w:val="nil"/>
              <w:right w:val="nil"/>
            </w:tcBorders>
            <w:vAlign w:val="center"/>
          </w:tcPr>
          <w:p w14:paraId="7D9569E9"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0</w:t>
            </w:r>
          </w:p>
        </w:tc>
        <w:tc>
          <w:tcPr>
            <w:tcW w:w="792" w:type="dxa"/>
            <w:gridSpan w:val="2"/>
            <w:tcBorders>
              <w:top w:val="nil"/>
              <w:left w:val="nil"/>
              <w:bottom w:val="nil"/>
              <w:right w:val="nil"/>
            </w:tcBorders>
            <w:vAlign w:val="center"/>
          </w:tcPr>
          <w:p w14:paraId="680D085A"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0%</w:t>
            </w:r>
          </w:p>
        </w:tc>
        <w:tc>
          <w:tcPr>
            <w:tcW w:w="936" w:type="dxa"/>
            <w:gridSpan w:val="2"/>
            <w:tcBorders>
              <w:top w:val="nil"/>
              <w:left w:val="nil"/>
              <w:bottom w:val="nil"/>
              <w:right w:val="nil"/>
            </w:tcBorders>
            <w:vAlign w:val="center"/>
          </w:tcPr>
          <w:p w14:paraId="57065683"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w:t>
            </w:r>
          </w:p>
        </w:tc>
        <w:tc>
          <w:tcPr>
            <w:tcW w:w="930" w:type="dxa"/>
            <w:gridSpan w:val="2"/>
            <w:tcBorders>
              <w:top w:val="nil"/>
              <w:left w:val="nil"/>
              <w:bottom w:val="nil"/>
              <w:right w:val="nil"/>
            </w:tcBorders>
            <w:vAlign w:val="center"/>
          </w:tcPr>
          <w:p w14:paraId="2931B60F"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&lt;1%</w:t>
            </w:r>
          </w:p>
        </w:tc>
        <w:tc>
          <w:tcPr>
            <w:tcW w:w="792" w:type="dxa"/>
            <w:gridSpan w:val="2"/>
            <w:tcBorders>
              <w:top w:val="nil"/>
              <w:left w:val="nil"/>
              <w:bottom w:val="nil"/>
              <w:right w:val="nil"/>
            </w:tcBorders>
            <w:shd w:val="clear" w:color="auto" w:fill="auto"/>
            <w:vAlign w:val="center"/>
          </w:tcPr>
          <w:p w14:paraId="73222873"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0</w:t>
            </w:r>
          </w:p>
        </w:tc>
        <w:tc>
          <w:tcPr>
            <w:tcW w:w="790" w:type="dxa"/>
            <w:gridSpan w:val="2"/>
            <w:tcBorders>
              <w:top w:val="nil"/>
              <w:left w:val="nil"/>
              <w:bottom w:val="nil"/>
              <w:right w:val="nil"/>
            </w:tcBorders>
            <w:shd w:val="clear" w:color="auto" w:fill="auto"/>
            <w:vAlign w:val="center"/>
          </w:tcPr>
          <w:p w14:paraId="0076BD2A"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0%</w:t>
            </w:r>
          </w:p>
        </w:tc>
        <w:tc>
          <w:tcPr>
            <w:tcW w:w="936" w:type="dxa"/>
            <w:gridSpan w:val="2"/>
            <w:tcBorders>
              <w:top w:val="nil"/>
              <w:left w:val="nil"/>
              <w:bottom w:val="nil"/>
              <w:right w:val="nil"/>
            </w:tcBorders>
            <w:shd w:val="clear" w:color="auto" w:fill="auto"/>
            <w:vAlign w:val="center"/>
          </w:tcPr>
          <w:p w14:paraId="6643B19F"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w:t>
            </w:r>
          </w:p>
        </w:tc>
        <w:tc>
          <w:tcPr>
            <w:tcW w:w="938" w:type="dxa"/>
            <w:gridSpan w:val="2"/>
            <w:tcBorders>
              <w:top w:val="nil"/>
              <w:left w:val="nil"/>
              <w:bottom w:val="nil"/>
              <w:right w:val="nil"/>
            </w:tcBorders>
            <w:shd w:val="clear" w:color="auto" w:fill="auto"/>
            <w:vAlign w:val="center"/>
          </w:tcPr>
          <w:p w14:paraId="4E0217E6"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w:t>
            </w:r>
          </w:p>
        </w:tc>
      </w:tr>
      <w:tr w:rsidR="00CF1059" w:rsidRPr="00F24F88" w14:paraId="1F653851" w14:textId="77777777" w:rsidTr="00832728">
        <w:trPr>
          <w:trHeight w:val="302"/>
        </w:trPr>
        <w:tc>
          <w:tcPr>
            <w:tcW w:w="2718" w:type="dxa"/>
            <w:gridSpan w:val="2"/>
            <w:tcBorders>
              <w:top w:val="nil"/>
              <w:left w:val="nil"/>
              <w:bottom w:val="nil"/>
              <w:right w:val="nil"/>
            </w:tcBorders>
            <w:vAlign w:val="center"/>
          </w:tcPr>
          <w:p w14:paraId="758F893F"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Adults, &lt;50 years</w:t>
            </w:r>
          </w:p>
        </w:tc>
        <w:tc>
          <w:tcPr>
            <w:tcW w:w="792" w:type="dxa"/>
            <w:gridSpan w:val="2"/>
            <w:tcBorders>
              <w:top w:val="nil"/>
              <w:left w:val="nil"/>
              <w:bottom w:val="nil"/>
              <w:right w:val="nil"/>
            </w:tcBorders>
            <w:vAlign w:val="center"/>
          </w:tcPr>
          <w:p w14:paraId="1E91392A"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4</w:t>
            </w:r>
          </w:p>
        </w:tc>
        <w:tc>
          <w:tcPr>
            <w:tcW w:w="792" w:type="dxa"/>
            <w:gridSpan w:val="2"/>
            <w:tcBorders>
              <w:top w:val="nil"/>
              <w:left w:val="nil"/>
              <w:bottom w:val="nil"/>
              <w:right w:val="nil"/>
            </w:tcBorders>
            <w:vAlign w:val="center"/>
          </w:tcPr>
          <w:p w14:paraId="444ABCBA"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22%</w:t>
            </w:r>
          </w:p>
        </w:tc>
        <w:tc>
          <w:tcPr>
            <w:tcW w:w="936" w:type="dxa"/>
            <w:gridSpan w:val="2"/>
            <w:tcBorders>
              <w:top w:val="nil"/>
              <w:left w:val="nil"/>
              <w:bottom w:val="nil"/>
              <w:right w:val="nil"/>
            </w:tcBorders>
            <w:vAlign w:val="center"/>
          </w:tcPr>
          <w:p w14:paraId="0236F574"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14</w:t>
            </w:r>
          </w:p>
        </w:tc>
        <w:tc>
          <w:tcPr>
            <w:tcW w:w="930" w:type="dxa"/>
            <w:gridSpan w:val="2"/>
            <w:tcBorders>
              <w:top w:val="nil"/>
              <w:left w:val="nil"/>
              <w:bottom w:val="nil"/>
              <w:right w:val="nil"/>
            </w:tcBorders>
            <w:vAlign w:val="center"/>
          </w:tcPr>
          <w:p w14:paraId="11731A5E"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19%</w:t>
            </w:r>
          </w:p>
        </w:tc>
        <w:tc>
          <w:tcPr>
            <w:tcW w:w="792" w:type="dxa"/>
            <w:gridSpan w:val="2"/>
            <w:tcBorders>
              <w:top w:val="nil"/>
              <w:left w:val="nil"/>
              <w:bottom w:val="nil"/>
              <w:right w:val="nil"/>
            </w:tcBorders>
            <w:shd w:val="clear" w:color="auto" w:fill="auto"/>
            <w:vAlign w:val="center"/>
          </w:tcPr>
          <w:p w14:paraId="07C7369C"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w:t>
            </w:r>
          </w:p>
        </w:tc>
        <w:tc>
          <w:tcPr>
            <w:tcW w:w="790" w:type="dxa"/>
            <w:gridSpan w:val="2"/>
            <w:tcBorders>
              <w:top w:val="nil"/>
              <w:left w:val="nil"/>
              <w:bottom w:val="nil"/>
              <w:right w:val="nil"/>
            </w:tcBorders>
            <w:shd w:val="clear" w:color="auto" w:fill="auto"/>
            <w:vAlign w:val="center"/>
          </w:tcPr>
          <w:p w14:paraId="0086BA78"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18%</w:t>
            </w:r>
          </w:p>
        </w:tc>
        <w:tc>
          <w:tcPr>
            <w:tcW w:w="936" w:type="dxa"/>
            <w:gridSpan w:val="2"/>
            <w:tcBorders>
              <w:top w:val="nil"/>
              <w:left w:val="nil"/>
              <w:bottom w:val="nil"/>
              <w:right w:val="nil"/>
            </w:tcBorders>
            <w:shd w:val="clear" w:color="auto" w:fill="auto"/>
            <w:vAlign w:val="center"/>
          </w:tcPr>
          <w:p w14:paraId="4BAC3F1F"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7</w:t>
            </w:r>
          </w:p>
        </w:tc>
        <w:tc>
          <w:tcPr>
            <w:tcW w:w="938" w:type="dxa"/>
            <w:gridSpan w:val="2"/>
            <w:tcBorders>
              <w:top w:val="nil"/>
              <w:left w:val="nil"/>
              <w:bottom w:val="nil"/>
              <w:right w:val="nil"/>
            </w:tcBorders>
            <w:shd w:val="clear" w:color="auto" w:fill="auto"/>
            <w:vAlign w:val="center"/>
          </w:tcPr>
          <w:p w14:paraId="29FE6494"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16%</w:t>
            </w:r>
          </w:p>
        </w:tc>
      </w:tr>
      <w:tr w:rsidR="00CF1059" w:rsidRPr="00F24F88" w14:paraId="04B93C99" w14:textId="77777777" w:rsidTr="00203936">
        <w:trPr>
          <w:trHeight w:val="302"/>
        </w:trPr>
        <w:tc>
          <w:tcPr>
            <w:tcW w:w="2718" w:type="dxa"/>
            <w:gridSpan w:val="2"/>
            <w:tcBorders>
              <w:top w:val="nil"/>
              <w:left w:val="nil"/>
              <w:bottom w:val="nil"/>
              <w:right w:val="nil"/>
            </w:tcBorders>
            <w:shd w:val="clear" w:color="auto" w:fill="auto"/>
            <w:vAlign w:val="center"/>
          </w:tcPr>
          <w:p w14:paraId="092E37E6" w14:textId="77777777" w:rsidR="00CF1059" w:rsidRPr="00E35A60" w:rsidRDefault="00CF1059" w:rsidP="0040594E">
            <w:pPr>
              <w:pStyle w:val="NoSpacing"/>
              <w:rPr>
                <w:rFonts w:asciiTheme="minorHAnsi" w:hAnsiTheme="minorHAnsi"/>
                <w:b/>
              </w:rPr>
            </w:pPr>
            <w:r w:rsidRPr="00E35A60">
              <w:rPr>
                <w:rFonts w:asciiTheme="minorHAnsi" w:hAnsiTheme="minorHAnsi"/>
                <w:b/>
              </w:rPr>
              <w:t>Prenatal Risk Factors</w:t>
            </w:r>
          </w:p>
        </w:tc>
        <w:tc>
          <w:tcPr>
            <w:tcW w:w="792" w:type="dxa"/>
            <w:gridSpan w:val="2"/>
            <w:tcBorders>
              <w:top w:val="nil"/>
              <w:left w:val="nil"/>
              <w:bottom w:val="nil"/>
              <w:right w:val="nil"/>
            </w:tcBorders>
            <w:shd w:val="clear" w:color="auto" w:fill="auto"/>
            <w:vAlign w:val="center"/>
          </w:tcPr>
          <w:p w14:paraId="4D231612"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56128E20"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20E33672"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47AC7E91"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3F8061A2"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3B2E5F57"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7D0C5E20"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5E83E371" w14:textId="77777777" w:rsidR="00CF1059" w:rsidRPr="00E35A60" w:rsidRDefault="00CF1059" w:rsidP="0040594E">
            <w:pPr>
              <w:pStyle w:val="NoSpacing"/>
              <w:ind w:right="144"/>
              <w:jc w:val="right"/>
              <w:rPr>
                <w:rFonts w:asciiTheme="minorHAnsi" w:hAnsiTheme="minorHAnsi"/>
              </w:rPr>
            </w:pPr>
          </w:p>
        </w:tc>
      </w:tr>
      <w:tr w:rsidR="00CF1059" w:rsidRPr="00F24F88" w14:paraId="1B36E1FE"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51566531" w14:textId="77777777" w:rsidR="00CF1059" w:rsidRPr="00E35A60" w:rsidRDefault="00832728" w:rsidP="0040594E">
            <w:pPr>
              <w:pStyle w:val="NoSpacing"/>
              <w:rPr>
                <w:rFonts w:asciiTheme="minorHAnsi" w:hAnsiTheme="minorHAnsi"/>
              </w:rPr>
            </w:pPr>
            <w:r w:rsidRPr="00E35A60">
              <w:rPr>
                <w:rFonts w:asciiTheme="minorHAnsi" w:hAnsiTheme="minorHAnsi"/>
              </w:rPr>
              <w:t>Maternal a</w:t>
            </w:r>
            <w:r w:rsidR="00CF1059" w:rsidRPr="00E35A60">
              <w:rPr>
                <w:rFonts w:asciiTheme="minorHAnsi" w:hAnsiTheme="minorHAnsi"/>
              </w:rPr>
              <w:t xml:space="preserve">ge at </w:t>
            </w:r>
            <w:proofErr w:type="spellStart"/>
            <w:r w:rsidR="00CF1059" w:rsidRPr="00E35A60">
              <w:rPr>
                <w:rFonts w:asciiTheme="minorHAnsi" w:hAnsiTheme="minorHAnsi"/>
              </w:rPr>
              <w:t>birth</w:t>
            </w:r>
            <w:r w:rsidR="00CF1059" w:rsidRPr="00E35A60">
              <w:rPr>
                <w:rFonts w:asciiTheme="minorHAnsi" w:hAnsiTheme="minorHAnsi"/>
                <w:vertAlign w:val="superscript"/>
              </w:rPr>
              <w:t>a</w:t>
            </w:r>
            <w:proofErr w:type="spellEnd"/>
            <w:r w:rsidR="00CF1059" w:rsidRPr="00E35A60">
              <w:rPr>
                <w:rFonts w:asciiTheme="minorHAnsi" w:hAnsiTheme="minorHAnsi"/>
              </w:rPr>
              <w:t xml:space="preserve"> </w:t>
            </w:r>
          </w:p>
        </w:tc>
        <w:tc>
          <w:tcPr>
            <w:tcW w:w="792" w:type="dxa"/>
            <w:gridSpan w:val="2"/>
            <w:tcBorders>
              <w:top w:val="nil"/>
              <w:left w:val="nil"/>
              <w:bottom w:val="nil"/>
              <w:right w:val="nil"/>
            </w:tcBorders>
            <w:shd w:val="clear" w:color="auto" w:fill="D9D9D9" w:themeFill="background1" w:themeFillShade="D9"/>
            <w:vAlign w:val="center"/>
          </w:tcPr>
          <w:p w14:paraId="7A74D7B2"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6F83D221"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2F212F9B"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D9D9D9" w:themeFill="background1" w:themeFillShade="D9"/>
            <w:vAlign w:val="center"/>
          </w:tcPr>
          <w:p w14:paraId="272C0B47"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5FB95E96"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D9D9D9" w:themeFill="background1" w:themeFillShade="D9"/>
            <w:vAlign w:val="center"/>
          </w:tcPr>
          <w:p w14:paraId="656E7862"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5A0D23E9"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D9D9D9" w:themeFill="background1" w:themeFillShade="D9"/>
            <w:vAlign w:val="center"/>
          </w:tcPr>
          <w:p w14:paraId="45279974" w14:textId="77777777" w:rsidR="00CF1059" w:rsidRPr="00E35A60" w:rsidRDefault="00CF1059" w:rsidP="0040594E">
            <w:pPr>
              <w:pStyle w:val="NoSpacing"/>
              <w:ind w:right="144"/>
              <w:jc w:val="right"/>
              <w:rPr>
                <w:rFonts w:asciiTheme="minorHAnsi" w:hAnsiTheme="minorHAnsi"/>
              </w:rPr>
            </w:pPr>
          </w:p>
        </w:tc>
      </w:tr>
      <w:tr w:rsidR="00CF1059" w:rsidRPr="00F24F88" w14:paraId="59AE068C"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23888180"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Mean age, years</w:t>
            </w:r>
          </w:p>
        </w:tc>
        <w:tc>
          <w:tcPr>
            <w:tcW w:w="792" w:type="dxa"/>
            <w:gridSpan w:val="2"/>
            <w:tcBorders>
              <w:top w:val="nil"/>
              <w:left w:val="nil"/>
              <w:bottom w:val="nil"/>
              <w:right w:val="nil"/>
            </w:tcBorders>
            <w:shd w:val="clear" w:color="auto" w:fill="D9D9D9" w:themeFill="background1" w:themeFillShade="D9"/>
            <w:vAlign w:val="center"/>
          </w:tcPr>
          <w:p w14:paraId="46DCD621"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28.3</w:t>
            </w:r>
          </w:p>
        </w:tc>
        <w:tc>
          <w:tcPr>
            <w:tcW w:w="792" w:type="dxa"/>
            <w:gridSpan w:val="2"/>
            <w:tcBorders>
              <w:top w:val="nil"/>
              <w:left w:val="nil"/>
              <w:bottom w:val="nil"/>
              <w:right w:val="nil"/>
            </w:tcBorders>
            <w:shd w:val="clear" w:color="auto" w:fill="D9D9D9" w:themeFill="background1" w:themeFillShade="D9"/>
            <w:vAlign w:val="center"/>
          </w:tcPr>
          <w:p w14:paraId="210F8688"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6BA8E160"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29.7</w:t>
            </w:r>
          </w:p>
        </w:tc>
        <w:tc>
          <w:tcPr>
            <w:tcW w:w="930" w:type="dxa"/>
            <w:gridSpan w:val="2"/>
            <w:tcBorders>
              <w:top w:val="nil"/>
              <w:left w:val="nil"/>
              <w:bottom w:val="nil"/>
              <w:right w:val="nil"/>
            </w:tcBorders>
            <w:shd w:val="clear" w:color="auto" w:fill="D9D9D9" w:themeFill="background1" w:themeFillShade="D9"/>
            <w:vAlign w:val="center"/>
          </w:tcPr>
          <w:p w14:paraId="48DB1523"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17C6C3E6"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28.5</w:t>
            </w:r>
          </w:p>
        </w:tc>
        <w:tc>
          <w:tcPr>
            <w:tcW w:w="790" w:type="dxa"/>
            <w:gridSpan w:val="2"/>
            <w:tcBorders>
              <w:top w:val="nil"/>
              <w:left w:val="nil"/>
              <w:bottom w:val="nil"/>
              <w:right w:val="nil"/>
            </w:tcBorders>
            <w:shd w:val="clear" w:color="auto" w:fill="D9D9D9" w:themeFill="background1" w:themeFillShade="D9"/>
            <w:vAlign w:val="center"/>
          </w:tcPr>
          <w:p w14:paraId="3F55FC69"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60C12847"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29.9</w:t>
            </w:r>
          </w:p>
        </w:tc>
        <w:tc>
          <w:tcPr>
            <w:tcW w:w="938" w:type="dxa"/>
            <w:gridSpan w:val="2"/>
            <w:tcBorders>
              <w:top w:val="nil"/>
              <w:left w:val="nil"/>
              <w:bottom w:val="nil"/>
              <w:right w:val="nil"/>
            </w:tcBorders>
            <w:shd w:val="clear" w:color="auto" w:fill="D9D9D9" w:themeFill="background1" w:themeFillShade="D9"/>
            <w:vAlign w:val="center"/>
          </w:tcPr>
          <w:p w14:paraId="6D33075A" w14:textId="77777777" w:rsidR="00CF1059" w:rsidRPr="00E35A60" w:rsidRDefault="00CF1059" w:rsidP="0040594E">
            <w:pPr>
              <w:pStyle w:val="NoSpacing"/>
              <w:ind w:right="144"/>
              <w:jc w:val="right"/>
              <w:rPr>
                <w:rFonts w:asciiTheme="minorHAnsi" w:hAnsiTheme="minorHAnsi"/>
              </w:rPr>
            </w:pPr>
          </w:p>
        </w:tc>
      </w:tr>
      <w:tr w:rsidR="00CF1059" w:rsidRPr="00F24F88" w14:paraId="53536489"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043E16A2"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Age 35+</w:t>
            </w:r>
          </w:p>
        </w:tc>
        <w:tc>
          <w:tcPr>
            <w:tcW w:w="792" w:type="dxa"/>
            <w:gridSpan w:val="2"/>
            <w:tcBorders>
              <w:top w:val="nil"/>
              <w:left w:val="nil"/>
              <w:bottom w:val="nil"/>
              <w:right w:val="nil"/>
            </w:tcBorders>
            <w:shd w:val="clear" w:color="auto" w:fill="D9D9D9" w:themeFill="background1" w:themeFillShade="D9"/>
            <w:vAlign w:val="center"/>
          </w:tcPr>
          <w:p w14:paraId="5CF6FC4C"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w:t>
            </w:r>
          </w:p>
        </w:tc>
        <w:tc>
          <w:tcPr>
            <w:tcW w:w="792" w:type="dxa"/>
            <w:gridSpan w:val="2"/>
            <w:tcBorders>
              <w:top w:val="nil"/>
              <w:left w:val="nil"/>
              <w:bottom w:val="nil"/>
              <w:right w:val="nil"/>
            </w:tcBorders>
            <w:shd w:val="clear" w:color="auto" w:fill="D9D9D9" w:themeFill="background1" w:themeFillShade="D9"/>
            <w:vAlign w:val="center"/>
          </w:tcPr>
          <w:p w14:paraId="0A39D956"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6%</w:t>
            </w:r>
          </w:p>
        </w:tc>
        <w:tc>
          <w:tcPr>
            <w:tcW w:w="936" w:type="dxa"/>
            <w:gridSpan w:val="2"/>
            <w:tcBorders>
              <w:top w:val="nil"/>
              <w:left w:val="nil"/>
              <w:bottom w:val="nil"/>
              <w:right w:val="nil"/>
            </w:tcBorders>
            <w:shd w:val="clear" w:color="auto" w:fill="D9D9D9" w:themeFill="background1" w:themeFillShade="D9"/>
            <w:vAlign w:val="center"/>
          </w:tcPr>
          <w:p w14:paraId="68537708"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8</w:t>
            </w:r>
          </w:p>
        </w:tc>
        <w:tc>
          <w:tcPr>
            <w:tcW w:w="930" w:type="dxa"/>
            <w:gridSpan w:val="2"/>
            <w:tcBorders>
              <w:top w:val="nil"/>
              <w:left w:val="nil"/>
              <w:bottom w:val="nil"/>
              <w:right w:val="nil"/>
            </w:tcBorders>
            <w:shd w:val="clear" w:color="auto" w:fill="D9D9D9" w:themeFill="background1" w:themeFillShade="D9"/>
            <w:vAlign w:val="center"/>
          </w:tcPr>
          <w:p w14:paraId="650A4FFC"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11%</w:t>
            </w:r>
          </w:p>
        </w:tc>
        <w:tc>
          <w:tcPr>
            <w:tcW w:w="792" w:type="dxa"/>
            <w:gridSpan w:val="2"/>
            <w:tcBorders>
              <w:top w:val="nil"/>
              <w:left w:val="nil"/>
              <w:bottom w:val="nil"/>
              <w:right w:val="nil"/>
            </w:tcBorders>
            <w:shd w:val="clear" w:color="auto" w:fill="D9D9D9" w:themeFill="background1" w:themeFillShade="D9"/>
            <w:vAlign w:val="center"/>
          </w:tcPr>
          <w:p w14:paraId="57AB6DD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w:t>
            </w:r>
          </w:p>
        </w:tc>
        <w:tc>
          <w:tcPr>
            <w:tcW w:w="790" w:type="dxa"/>
            <w:gridSpan w:val="2"/>
            <w:tcBorders>
              <w:top w:val="nil"/>
              <w:left w:val="nil"/>
              <w:bottom w:val="nil"/>
              <w:right w:val="nil"/>
            </w:tcBorders>
            <w:shd w:val="clear" w:color="auto" w:fill="D9D9D9" w:themeFill="background1" w:themeFillShade="D9"/>
            <w:vAlign w:val="center"/>
          </w:tcPr>
          <w:p w14:paraId="66A164CF"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9%</w:t>
            </w:r>
          </w:p>
        </w:tc>
        <w:tc>
          <w:tcPr>
            <w:tcW w:w="936" w:type="dxa"/>
            <w:gridSpan w:val="2"/>
            <w:tcBorders>
              <w:top w:val="nil"/>
              <w:left w:val="nil"/>
              <w:bottom w:val="nil"/>
              <w:right w:val="nil"/>
            </w:tcBorders>
            <w:shd w:val="clear" w:color="auto" w:fill="D9D9D9" w:themeFill="background1" w:themeFillShade="D9"/>
            <w:vAlign w:val="center"/>
          </w:tcPr>
          <w:p w14:paraId="58A550A2"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6</w:t>
            </w:r>
          </w:p>
        </w:tc>
        <w:tc>
          <w:tcPr>
            <w:tcW w:w="938" w:type="dxa"/>
            <w:gridSpan w:val="2"/>
            <w:tcBorders>
              <w:top w:val="nil"/>
              <w:left w:val="nil"/>
              <w:bottom w:val="nil"/>
              <w:right w:val="nil"/>
            </w:tcBorders>
            <w:shd w:val="clear" w:color="auto" w:fill="D9D9D9" w:themeFill="background1" w:themeFillShade="D9"/>
            <w:vAlign w:val="center"/>
          </w:tcPr>
          <w:p w14:paraId="59134538"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13%</w:t>
            </w:r>
          </w:p>
        </w:tc>
      </w:tr>
      <w:tr w:rsidR="00CF1059" w:rsidRPr="00F24F88" w14:paraId="65AB503B" w14:textId="77777777" w:rsidTr="00832728">
        <w:trPr>
          <w:trHeight w:val="302"/>
        </w:trPr>
        <w:tc>
          <w:tcPr>
            <w:tcW w:w="2718" w:type="dxa"/>
            <w:gridSpan w:val="2"/>
            <w:tcBorders>
              <w:top w:val="nil"/>
              <w:left w:val="nil"/>
              <w:bottom w:val="nil"/>
              <w:right w:val="nil"/>
            </w:tcBorders>
            <w:shd w:val="clear" w:color="auto" w:fill="auto"/>
            <w:vAlign w:val="center"/>
          </w:tcPr>
          <w:p w14:paraId="4144CAE3" w14:textId="77777777" w:rsidR="00CF1059" w:rsidRPr="00E35A60" w:rsidRDefault="00CF1059" w:rsidP="0040594E">
            <w:pPr>
              <w:pStyle w:val="NoSpacing"/>
              <w:rPr>
                <w:rFonts w:asciiTheme="minorHAnsi" w:hAnsiTheme="minorHAnsi"/>
              </w:rPr>
            </w:pPr>
            <w:r w:rsidRPr="00E35A60">
              <w:rPr>
                <w:rFonts w:asciiTheme="minorHAnsi" w:hAnsiTheme="minorHAnsi"/>
              </w:rPr>
              <w:t xml:space="preserve">Pregnancy </w:t>
            </w:r>
            <w:proofErr w:type="spellStart"/>
            <w:r w:rsidRPr="00E35A60">
              <w:rPr>
                <w:rFonts w:asciiTheme="minorHAnsi" w:hAnsiTheme="minorHAnsi"/>
              </w:rPr>
              <w:t>behaviors</w:t>
            </w:r>
            <w:r w:rsidRPr="00E35A60">
              <w:rPr>
                <w:rFonts w:asciiTheme="minorHAnsi" w:hAnsiTheme="minorHAnsi"/>
                <w:vertAlign w:val="superscript"/>
              </w:rPr>
              <w:t>b</w:t>
            </w:r>
            <w:proofErr w:type="spellEnd"/>
          </w:p>
        </w:tc>
        <w:tc>
          <w:tcPr>
            <w:tcW w:w="792" w:type="dxa"/>
            <w:gridSpan w:val="2"/>
            <w:tcBorders>
              <w:top w:val="nil"/>
              <w:left w:val="nil"/>
              <w:bottom w:val="nil"/>
              <w:right w:val="nil"/>
            </w:tcBorders>
            <w:shd w:val="clear" w:color="auto" w:fill="auto"/>
            <w:vAlign w:val="center"/>
          </w:tcPr>
          <w:p w14:paraId="07284E9E"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305CC94F"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72A3A13B"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0A6D43DB"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1CD0DFEF"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142B9038"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66487741"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0513DA53" w14:textId="77777777" w:rsidR="00CF1059" w:rsidRPr="00E35A60" w:rsidRDefault="00CF1059" w:rsidP="0040594E">
            <w:pPr>
              <w:pStyle w:val="NoSpacing"/>
              <w:ind w:right="144"/>
              <w:jc w:val="right"/>
              <w:rPr>
                <w:rFonts w:asciiTheme="minorHAnsi" w:hAnsiTheme="minorHAnsi"/>
              </w:rPr>
            </w:pPr>
          </w:p>
        </w:tc>
      </w:tr>
      <w:tr w:rsidR="00CF1059" w:rsidRPr="006A2C72" w14:paraId="5A46EBA6" w14:textId="77777777" w:rsidTr="00832728">
        <w:trPr>
          <w:trHeight w:val="302"/>
        </w:trPr>
        <w:tc>
          <w:tcPr>
            <w:tcW w:w="2718" w:type="dxa"/>
            <w:gridSpan w:val="2"/>
            <w:tcBorders>
              <w:top w:val="nil"/>
              <w:left w:val="nil"/>
              <w:bottom w:val="nil"/>
              <w:right w:val="nil"/>
            </w:tcBorders>
            <w:shd w:val="clear" w:color="auto" w:fill="auto"/>
            <w:vAlign w:val="center"/>
          </w:tcPr>
          <w:p w14:paraId="7831DC78"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Prenatal vitamin use</w:t>
            </w:r>
          </w:p>
        </w:tc>
        <w:tc>
          <w:tcPr>
            <w:tcW w:w="792" w:type="dxa"/>
            <w:gridSpan w:val="2"/>
            <w:tcBorders>
              <w:top w:val="nil"/>
              <w:left w:val="nil"/>
              <w:bottom w:val="nil"/>
              <w:right w:val="nil"/>
            </w:tcBorders>
            <w:shd w:val="clear" w:color="auto" w:fill="auto"/>
            <w:vAlign w:val="center"/>
          </w:tcPr>
          <w:p w14:paraId="2BE3DD28"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15</w:t>
            </w:r>
          </w:p>
        </w:tc>
        <w:tc>
          <w:tcPr>
            <w:tcW w:w="792" w:type="dxa"/>
            <w:gridSpan w:val="2"/>
            <w:tcBorders>
              <w:top w:val="nil"/>
              <w:left w:val="nil"/>
              <w:bottom w:val="nil"/>
              <w:right w:val="nil"/>
            </w:tcBorders>
            <w:shd w:val="clear" w:color="auto" w:fill="auto"/>
            <w:vAlign w:val="center"/>
          </w:tcPr>
          <w:p w14:paraId="5FA82138"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83%</w:t>
            </w:r>
          </w:p>
        </w:tc>
        <w:tc>
          <w:tcPr>
            <w:tcW w:w="936" w:type="dxa"/>
            <w:gridSpan w:val="2"/>
            <w:tcBorders>
              <w:top w:val="nil"/>
              <w:left w:val="nil"/>
              <w:bottom w:val="nil"/>
              <w:right w:val="nil"/>
            </w:tcBorders>
            <w:shd w:val="clear" w:color="auto" w:fill="auto"/>
            <w:vAlign w:val="center"/>
          </w:tcPr>
          <w:p w14:paraId="500F4B71"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65</w:t>
            </w:r>
          </w:p>
        </w:tc>
        <w:tc>
          <w:tcPr>
            <w:tcW w:w="930" w:type="dxa"/>
            <w:gridSpan w:val="2"/>
            <w:tcBorders>
              <w:top w:val="nil"/>
              <w:left w:val="nil"/>
              <w:bottom w:val="nil"/>
              <w:right w:val="nil"/>
            </w:tcBorders>
            <w:shd w:val="clear" w:color="auto" w:fill="auto"/>
            <w:vAlign w:val="center"/>
          </w:tcPr>
          <w:p w14:paraId="75CE0FAE"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88%</w:t>
            </w:r>
          </w:p>
        </w:tc>
        <w:tc>
          <w:tcPr>
            <w:tcW w:w="792" w:type="dxa"/>
            <w:gridSpan w:val="2"/>
            <w:tcBorders>
              <w:top w:val="nil"/>
              <w:left w:val="nil"/>
              <w:bottom w:val="nil"/>
              <w:right w:val="nil"/>
            </w:tcBorders>
            <w:shd w:val="clear" w:color="auto" w:fill="auto"/>
            <w:vAlign w:val="center"/>
          </w:tcPr>
          <w:p w14:paraId="7D3C7A0C"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9</w:t>
            </w:r>
          </w:p>
        </w:tc>
        <w:tc>
          <w:tcPr>
            <w:tcW w:w="790" w:type="dxa"/>
            <w:gridSpan w:val="2"/>
            <w:tcBorders>
              <w:top w:val="nil"/>
              <w:left w:val="nil"/>
              <w:bottom w:val="nil"/>
              <w:right w:val="nil"/>
            </w:tcBorders>
            <w:shd w:val="clear" w:color="auto" w:fill="auto"/>
            <w:vAlign w:val="center"/>
          </w:tcPr>
          <w:p w14:paraId="142317AC"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82%</w:t>
            </w:r>
          </w:p>
        </w:tc>
        <w:tc>
          <w:tcPr>
            <w:tcW w:w="936" w:type="dxa"/>
            <w:gridSpan w:val="2"/>
            <w:tcBorders>
              <w:top w:val="nil"/>
              <w:left w:val="nil"/>
              <w:bottom w:val="nil"/>
              <w:right w:val="nil"/>
            </w:tcBorders>
            <w:shd w:val="clear" w:color="auto" w:fill="auto"/>
            <w:vAlign w:val="center"/>
          </w:tcPr>
          <w:p w14:paraId="214FD7F6"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41</w:t>
            </w:r>
          </w:p>
        </w:tc>
        <w:tc>
          <w:tcPr>
            <w:tcW w:w="938" w:type="dxa"/>
            <w:gridSpan w:val="2"/>
            <w:tcBorders>
              <w:top w:val="nil"/>
              <w:left w:val="nil"/>
              <w:bottom w:val="nil"/>
              <w:right w:val="nil"/>
            </w:tcBorders>
            <w:shd w:val="clear" w:color="auto" w:fill="auto"/>
            <w:vAlign w:val="center"/>
          </w:tcPr>
          <w:p w14:paraId="0F1CADDF"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92%</w:t>
            </w:r>
          </w:p>
        </w:tc>
      </w:tr>
      <w:tr w:rsidR="00CF1059" w:rsidRPr="006A2C72" w14:paraId="27413210" w14:textId="77777777" w:rsidTr="00832728">
        <w:trPr>
          <w:trHeight w:val="302"/>
        </w:trPr>
        <w:tc>
          <w:tcPr>
            <w:tcW w:w="2718" w:type="dxa"/>
            <w:gridSpan w:val="2"/>
            <w:tcBorders>
              <w:top w:val="nil"/>
              <w:left w:val="nil"/>
              <w:bottom w:val="nil"/>
              <w:right w:val="nil"/>
            </w:tcBorders>
            <w:shd w:val="clear" w:color="auto" w:fill="auto"/>
            <w:vAlign w:val="center"/>
          </w:tcPr>
          <w:p w14:paraId="6DCB1C83" w14:textId="77777777" w:rsidR="00CF1059" w:rsidRPr="00E35A60" w:rsidRDefault="00CF1059" w:rsidP="0040594E">
            <w:pPr>
              <w:pStyle w:val="NoSpacing"/>
              <w:ind w:left="360"/>
              <w:rPr>
                <w:rFonts w:asciiTheme="minorHAnsi" w:hAnsiTheme="minorHAnsi"/>
                <w:vertAlign w:val="superscript"/>
              </w:rPr>
            </w:pPr>
            <w:proofErr w:type="spellStart"/>
            <w:r w:rsidRPr="00E35A60">
              <w:rPr>
                <w:rFonts w:asciiTheme="minorHAnsi" w:hAnsiTheme="minorHAnsi"/>
              </w:rPr>
              <w:t>Smoking</w:t>
            </w:r>
            <w:r w:rsidRPr="00E35A60">
              <w:rPr>
                <w:rFonts w:asciiTheme="minorHAnsi" w:hAnsiTheme="minorHAnsi"/>
                <w:vertAlign w:val="superscript"/>
              </w:rPr>
              <w:t>c</w:t>
            </w:r>
            <w:proofErr w:type="spellEnd"/>
          </w:p>
        </w:tc>
        <w:tc>
          <w:tcPr>
            <w:tcW w:w="792" w:type="dxa"/>
            <w:gridSpan w:val="2"/>
            <w:tcBorders>
              <w:top w:val="nil"/>
              <w:left w:val="nil"/>
              <w:bottom w:val="nil"/>
              <w:right w:val="nil"/>
            </w:tcBorders>
            <w:shd w:val="clear" w:color="auto" w:fill="auto"/>
            <w:vAlign w:val="center"/>
          </w:tcPr>
          <w:p w14:paraId="2411CC4C"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w:t>
            </w:r>
          </w:p>
        </w:tc>
        <w:tc>
          <w:tcPr>
            <w:tcW w:w="792" w:type="dxa"/>
            <w:gridSpan w:val="2"/>
            <w:tcBorders>
              <w:top w:val="nil"/>
              <w:left w:val="nil"/>
              <w:bottom w:val="nil"/>
              <w:right w:val="nil"/>
            </w:tcBorders>
            <w:shd w:val="clear" w:color="auto" w:fill="auto"/>
            <w:vAlign w:val="center"/>
          </w:tcPr>
          <w:p w14:paraId="59D73914"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6%</w:t>
            </w:r>
          </w:p>
        </w:tc>
        <w:tc>
          <w:tcPr>
            <w:tcW w:w="936" w:type="dxa"/>
            <w:gridSpan w:val="2"/>
            <w:tcBorders>
              <w:top w:val="nil"/>
              <w:left w:val="nil"/>
              <w:bottom w:val="nil"/>
              <w:right w:val="nil"/>
            </w:tcBorders>
            <w:shd w:val="clear" w:color="auto" w:fill="auto"/>
            <w:vAlign w:val="center"/>
          </w:tcPr>
          <w:p w14:paraId="30B59A52"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20</w:t>
            </w:r>
          </w:p>
        </w:tc>
        <w:tc>
          <w:tcPr>
            <w:tcW w:w="930" w:type="dxa"/>
            <w:gridSpan w:val="2"/>
            <w:tcBorders>
              <w:top w:val="nil"/>
              <w:left w:val="nil"/>
              <w:bottom w:val="nil"/>
              <w:right w:val="nil"/>
            </w:tcBorders>
            <w:shd w:val="clear" w:color="auto" w:fill="auto"/>
            <w:vAlign w:val="center"/>
          </w:tcPr>
          <w:p w14:paraId="41EDFE67"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27%</w:t>
            </w:r>
          </w:p>
        </w:tc>
        <w:tc>
          <w:tcPr>
            <w:tcW w:w="792" w:type="dxa"/>
            <w:gridSpan w:val="2"/>
            <w:tcBorders>
              <w:top w:val="nil"/>
              <w:left w:val="nil"/>
              <w:bottom w:val="nil"/>
              <w:right w:val="nil"/>
            </w:tcBorders>
            <w:shd w:val="clear" w:color="auto" w:fill="auto"/>
            <w:vAlign w:val="center"/>
          </w:tcPr>
          <w:p w14:paraId="62457B40"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w:t>
            </w:r>
          </w:p>
        </w:tc>
        <w:tc>
          <w:tcPr>
            <w:tcW w:w="790" w:type="dxa"/>
            <w:gridSpan w:val="2"/>
            <w:tcBorders>
              <w:top w:val="nil"/>
              <w:left w:val="nil"/>
              <w:bottom w:val="nil"/>
              <w:right w:val="nil"/>
            </w:tcBorders>
            <w:shd w:val="clear" w:color="auto" w:fill="auto"/>
            <w:vAlign w:val="center"/>
          </w:tcPr>
          <w:p w14:paraId="1E962B2E"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9%</w:t>
            </w:r>
          </w:p>
        </w:tc>
        <w:tc>
          <w:tcPr>
            <w:tcW w:w="936" w:type="dxa"/>
            <w:gridSpan w:val="2"/>
            <w:tcBorders>
              <w:top w:val="nil"/>
              <w:left w:val="nil"/>
              <w:bottom w:val="nil"/>
              <w:right w:val="nil"/>
            </w:tcBorders>
            <w:shd w:val="clear" w:color="auto" w:fill="auto"/>
            <w:vAlign w:val="center"/>
          </w:tcPr>
          <w:p w14:paraId="020350E4"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11</w:t>
            </w:r>
          </w:p>
        </w:tc>
        <w:tc>
          <w:tcPr>
            <w:tcW w:w="938" w:type="dxa"/>
            <w:gridSpan w:val="2"/>
            <w:tcBorders>
              <w:top w:val="nil"/>
              <w:left w:val="nil"/>
              <w:bottom w:val="nil"/>
              <w:right w:val="nil"/>
            </w:tcBorders>
            <w:shd w:val="clear" w:color="auto" w:fill="auto"/>
            <w:vAlign w:val="center"/>
          </w:tcPr>
          <w:p w14:paraId="5442F1C0"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24%</w:t>
            </w:r>
          </w:p>
        </w:tc>
      </w:tr>
      <w:tr w:rsidR="00CF1059" w:rsidRPr="006A2C72" w14:paraId="6C94812B" w14:textId="77777777" w:rsidTr="00832728">
        <w:trPr>
          <w:trHeight w:val="302"/>
        </w:trPr>
        <w:tc>
          <w:tcPr>
            <w:tcW w:w="2718" w:type="dxa"/>
            <w:gridSpan w:val="2"/>
            <w:tcBorders>
              <w:top w:val="nil"/>
              <w:left w:val="nil"/>
              <w:bottom w:val="nil"/>
              <w:right w:val="nil"/>
            </w:tcBorders>
            <w:shd w:val="clear" w:color="auto" w:fill="auto"/>
            <w:vAlign w:val="center"/>
          </w:tcPr>
          <w:p w14:paraId="0B2A5C18" w14:textId="77777777" w:rsidR="00CF1059" w:rsidRPr="00E35A60" w:rsidRDefault="00CF1059" w:rsidP="0040594E">
            <w:pPr>
              <w:pStyle w:val="NoSpacing"/>
              <w:ind w:left="360"/>
              <w:rPr>
                <w:rFonts w:asciiTheme="minorHAnsi" w:hAnsiTheme="minorHAnsi"/>
                <w:vertAlign w:val="superscript"/>
              </w:rPr>
            </w:pPr>
            <w:r w:rsidRPr="00E35A60">
              <w:rPr>
                <w:rFonts w:asciiTheme="minorHAnsi" w:hAnsiTheme="minorHAnsi"/>
              </w:rPr>
              <w:t>Alcohol intake</w:t>
            </w:r>
          </w:p>
        </w:tc>
        <w:tc>
          <w:tcPr>
            <w:tcW w:w="792" w:type="dxa"/>
            <w:gridSpan w:val="2"/>
            <w:tcBorders>
              <w:top w:val="nil"/>
              <w:left w:val="nil"/>
              <w:bottom w:val="nil"/>
              <w:right w:val="nil"/>
            </w:tcBorders>
            <w:shd w:val="clear" w:color="auto" w:fill="auto"/>
            <w:vAlign w:val="center"/>
          </w:tcPr>
          <w:p w14:paraId="731BB4BF"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4</w:t>
            </w:r>
          </w:p>
        </w:tc>
        <w:tc>
          <w:tcPr>
            <w:tcW w:w="792" w:type="dxa"/>
            <w:gridSpan w:val="2"/>
            <w:tcBorders>
              <w:top w:val="nil"/>
              <w:left w:val="nil"/>
              <w:bottom w:val="nil"/>
              <w:right w:val="nil"/>
            </w:tcBorders>
            <w:shd w:val="clear" w:color="auto" w:fill="auto"/>
            <w:vAlign w:val="center"/>
          </w:tcPr>
          <w:p w14:paraId="08F1EDCA"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22%</w:t>
            </w:r>
          </w:p>
        </w:tc>
        <w:tc>
          <w:tcPr>
            <w:tcW w:w="936" w:type="dxa"/>
            <w:gridSpan w:val="2"/>
            <w:tcBorders>
              <w:top w:val="nil"/>
              <w:left w:val="nil"/>
              <w:bottom w:val="nil"/>
              <w:right w:val="nil"/>
            </w:tcBorders>
            <w:shd w:val="clear" w:color="auto" w:fill="auto"/>
            <w:vAlign w:val="center"/>
          </w:tcPr>
          <w:p w14:paraId="443C0F2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27</w:t>
            </w:r>
          </w:p>
        </w:tc>
        <w:tc>
          <w:tcPr>
            <w:tcW w:w="930" w:type="dxa"/>
            <w:gridSpan w:val="2"/>
            <w:tcBorders>
              <w:top w:val="nil"/>
              <w:left w:val="nil"/>
              <w:bottom w:val="nil"/>
              <w:right w:val="nil"/>
            </w:tcBorders>
            <w:shd w:val="clear" w:color="auto" w:fill="auto"/>
            <w:vAlign w:val="center"/>
          </w:tcPr>
          <w:p w14:paraId="4F1E7B40"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37%</w:t>
            </w:r>
          </w:p>
        </w:tc>
        <w:tc>
          <w:tcPr>
            <w:tcW w:w="792" w:type="dxa"/>
            <w:gridSpan w:val="2"/>
            <w:tcBorders>
              <w:top w:val="nil"/>
              <w:left w:val="nil"/>
              <w:bottom w:val="nil"/>
              <w:right w:val="nil"/>
            </w:tcBorders>
            <w:shd w:val="clear" w:color="auto" w:fill="auto"/>
            <w:vAlign w:val="center"/>
          </w:tcPr>
          <w:p w14:paraId="5F6B1A8B"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3</w:t>
            </w:r>
          </w:p>
        </w:tc>
        <w:tc>
          <w:tcPr>
            <w:tcW w:w="790" w:type="dxa"/>
            <w:gridSpan w:val="2"/>
            <w:tcBorders>
              <w:top w:val="nil"/>
              <w:left w:val="nil"/>
              <w:bottom w:val="nil"/>
              <w:right w:val="nil"/>
            </w:tcBorders>
            <w:shd w:val="clear" w:color="auto" w:fill="auto"/>
            <w:vAlign w:val="center"/>
          </w:tcPr>
          <w:p w14:paraId="2AE62D99"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27%</w:t>
            </w:r>
          </w:p>
        </w:tc>
        <w:tc>
          <w:tcPr>
            <w:tcW w:w="936" w:type="dxa"/>
            <w:gridSpan w:val="2"/>
            <w:tcBorders>
              <w:top w:val="nil"/>
              <w:left w:val="nil"/>
              <w:bottom w:val="nil"/>
              <w:right w:val="nil"/>
            </w:tcBorders>
            <w:shd w:val="clear" w:color="auto" w:fill="auto"/>
            <w:vAlign w:val="center"/>
          </w:tcPr>
          <w:p w14:paraId="5B701E06"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15</w:t>
            </w:r>
          </w:p>
        </w:tc>
        <w:tc>
          <w:tcPr>
            <w:tcW w:w="938" w:type="dxa"/>
            <w:gridSpan w:val="2"/>
            <w:tcBorders>
              <w:top w:val="nil"/>
              <w:left w:val="nil"/>
              <w:bottom w:val="nil"/>
              <w:right w:val="nil"/>
            </w:tcBorders>
            <w:shd w:val="clear" w:color="auto" w:fill="auto"/>
            <w:vAlign w:val="center"/>
          </w:tcPr>
          <w:p w14:paraId="773CA50B"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33%</w:t>
            </w:r>
          </w:p>
        </w:tc>
      </w:tr>
      <w:tr w:rsidR="00CF1059" w:rsidRPr="006A2C72" w14:paraId="63A61217"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182C374C" w14:textId="77777777" w:rsidR="00CF1059" w:rsidRPr="00E35A60" w:rsidRDefault="00CF1059" w:rsidP="0040594E">
            <w:pPr>
              <w:pStyle w:val="NoSpacing"/>
              <w:rPr>
                <w:rFonts w:asciiTheme="minorHAnsi" w:hAnsiTheme="minorHAnsi"/>
              </w:rPr>
            </w:pPr>
            <w:r w:rsidRPr="00E35A60">
              <w:rPr>
                <w:rFonts w:asciiTheme="minorHAnsi" w:hAnsiTheme="minorHAnsi"/>
              </w:rPr>
              <w:t xml:space="preserve">Pregnancy </w:t>
            </w:r>
            <w:proofErr w:type="spellStart"/>
            <w:r w:rsidRPr="00E35A60">
              <w:rPr>
                <w:rFonts w:asciiTheme="minorHAnsi" w:hAnsiTheme="minorHAnsi"/>
              </w:rPr>
              <w:t>exposures</w:t>
            </w:r>
            <w:r w:rsidRPr="00E35A60">
              <w:rPr>
                <w:rFonts w:asciiTheme="minorHAnsi" w:hAnsiTheme="minorHAnsi"/>
                <w:vertAlign w:val="superscript"/>
              </w:rPr>
              <w:t>b</w:t>
            </w:r>
            <w:proofErr w:type="spellEnd"/>
          </w:p>
        </w:tc>
        <w:tc>
          <w:tcPr>
            <w:tcW w:w="792" w:type="dxa"/>
            <w:gridSpan w:val="2"/>
            <w:tcBorders>
              <w:top w:val="nil"/>
              <w:left w:val="nil"/>
              <w:bottom w:val="nil"/>
              <w:right w:val="nil"/>
            </w:tcBorders>
            <w:shd w:val="clear" w:color="auto" w:fill="D9D9D9" w:themeFill="background1" w:themeFillShade="D9"/>
            <w:vAlign w:val="center"/>
          </w:tcPr>
          <w:p w14:paraId="73522F01"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32E235BF"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2B34A7F2"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D9D9D9" w:themeFill="background1" w:themeFillShade="D9"/>
            <w:vAlign w:val="center"/>
          </w:tcPr>
          <w:p w14:paraId="1E1BB44D"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27E0A918"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D9D9D9" w:themeFill="background1" w:themeFillShade="D9"/>
            <w:vAlign w:val="center"/>
          </w:tcPr>
          <w:p w14:paraId="70C3BD41"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20406804"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D9D9D9" w:themeFill="background1" w:themeFillShade="D9"/>
            <w:vAlign w:val="center"/>
          </w:tcPr>
          <w:p w14:paraId="61E32F9A" w14:textId="77777777" w:rsidR="00CF1059" w:rsidRPr="00E35A60" w:rsidRDefault="00CF1059" w:rsidP="0040594E">
            <w:pPr>
              <w:pStyle w:val="NoSpacing"/>
              <w:ind w:right="144"/>
              <w:jc w:val="right"/>
              <w:rPr>
                <w:rFonts w:asciiTheme="minorHAnsi" w:hAnsiTheme="minorHAnsi"/>
              </w:rPr>
            </w:pPr>
          </w:p>
        </w:tc>
      </w:tr>
      <w:tr w:rsidR="00CF1059" w:rsidRPr="006A2C72" w14:paraId="426C2296"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7510F2D0"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Diagnostic x-ray</w:t>
            </w:r>
          </w:p>
        </w:tc>
        <w:tc>
          <w:tcPr>
            <w:tcW w:w="792" w:type="dxa"/>
            <w:gridSpan w:val="2"/>
            <w:tcBorders>
              <w:top w:val="nil"/>
              <w:left w:val="nil"/>
              <w:bottom w:val="nil"/>
              <w:right w:val="nil"/>
            </w:tcBorders>
            <w:shd w:val="clear" w:color="auto" w:fill="D9D9D9" w:themeFill="background1" w:themeFillShade="D9"/>
            <w:vAlign w:val="center"/>
          </w:tcPr>
          <w:p w14:paraId="26401C6F"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0</w:t>
            </w:r>
          </w:p>
        </w:tc>
        <w:tc>
          <w:tcPr>
            <w:tcW w:w="792" w:type="dxa"/>
            <w:gridSpan w:val="2"/>
            <w:tcBorders>
              <w:top w:val="nil"/>
              <w:left w:val="nil"/>
              <w:bottom w:val="nil"/>
              <w:right w:val="nil"/>
            </w:tcBorders>
            <w:shd w:val="clear" w:color="auto" w:fill="D9D9D9" w:themeFill="background1" w:themeFillShade="D9"/>
            <w:vAlign w:val="center"/>
          </w:tcPr>
          <w:p w14:paraId="048FA65E"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0%</w:t>
            </w:r>
          </w:p>
        </w:tc>
        <w:tc>
          <w:tcPr>
            <w:tcW w:w="936" w:type="dxa"/>
            <w:gridSpan w:val="2"/>
            <w:tcBorders>
              <w:top w:val="nil"/>
              <w:left w:val="nil"/>
              <w:bottom w:val="nil"/>
              <w:right w:val="nil"/>
            </w:tcBorders>
            <w:shd w:val="clear" w:color="auto" w:fill="D9D9D9" w:themeFill="background1" w:themeFillShade="D9"/>
            <w:vAlign w:val="center"/>
          </w:tcPr>
          <w:p w14:paraId="15EE280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8</w:t>
            </w:r>
          </w:p>
        </w:tc>
        <w:tc>
          <w:tcPr>
            <w:tcW w:w="930" w:type="dxa"/>
            <w:gridSpan w:val="2"/>
            <w:tcBorders>
              <w:top w:val="nil"/>
              <w:left w:val="nil"/>
              <w:bottom w:val="nil"/>
              <w:right w:val="nil"/>
            </w:tcBorders>
            <w:shd w:val="clear" w:color="auto" w:fill="D9D9D9" w:themeFill="background1" w:themeFillShade="D9"/>
            <w:vAlign w:val="center"/>
          </w:tcPr>
          <w:p w14:paraId="6C82AA79"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11%</w:t>
            </w:r>
          </w:p>
        </w:tc>
        <w:tc>
          <w:tcPr>
            <w:tcW w:w="792" w:type="dxa"/>
            <w:gridSpan w:val="2"/>
            <w:tcBorders>
              <w:top w:val="nil"/>
              <w:left w:val="nil"/>
              <w:bottom w:val="nil"/>
              <w:right w:val="nil"/>
            </w:tcBorders>
            <w:shd w:val="clear" w:color="auto" w:fill="D9D9D9" w:themeFill="background1" w:themeFillShade="D9"/>
            <w:vAlign w:val="center"/>
          </w:tcPr>
          <w:p w14:paraId="6BD2CF8D"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0</w:t>
            </w:r>
          </w:p>
        </w:tc>
        <w:tc>
          <w:tcPr>
            <w:tcW w:w="790" w:type="dxa"/>
            <w:gridSpan w:val="2"/>
            <w:tcBorders>
              <w:top w:val="nil"/>
              <w:left w:val="nil"/>
              <w:bottom w:val="nil"/>
              <w:right w:val="nil"/>
            </w:tcBorders>
            <w:shd w:val="clear" w:color="auto" w:fill="D9D9D9" w:themeFill="background1" w:themeFillShade="D9"/>
            <w:vAlign w:val="center"/>
          </w:tcPr>
          <w:p w14:paraId="11714E22"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0%</w:t>
            </w:r>
          </w:p>
        </w:tc>
        <w:tc>
          <w:tcPr>
            <w:tcW w:w="936" w:type="dxa"/>
            <w:gridSpan w:val="2"/>
            <w:tcBorders>
              <w:top w:val="nil"/>
              <w:left w:val="nil"/>
              <w:bottom w:val="nil"/>
              <w:right w:val="nil"/>
            </w:tcBorders>
            <w:shd w:val="clear" w:color="auto" w:fill="D9D9D9" w:themeFill="background1" w:themeFillShade="D9"/>
            <w:vAlign w:val="center"/>
          </w:tcPr>
          <w:p w14:paraId="42CF3635"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6</w:t>
            </w:r>
          </w:p>
        </w:tc>
        <w:tc>
          <w:tcPr>
            <w:tcW w:w="938" w:type="dxa"/>
            <w:gridSpan w:val="2"/>
            <w:tcBorders>
              <w:top w:val="nil"/>
              <w:left w:val="nil"/>
              <w:bottom w:val="nil"/>
              <w:right w:val="nil"/>
            </w:tcBorders>
            <w:shd w:val="clear" w:color="auto" w:fill="D9D9D9" w:themeFill="background1" w:themeFillShade="D9"/>
            <w:vAlign w:val="center"/>
          </w:tcPr>
          <w:p w14:paraId="225F7083"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13%</w:t>
            </w:r>
          </w:p>
        </w:tc>
      </w:tr>
      <w:tr w:rsidR="00CF1059" w:rsidRPr="006A2C72" w14:paraId="21DF7E3B"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4977BBE5"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Mononucleosis</w:t>
            </w:r>
          </w:p>
        </w:tc>
        <w:tc>
          <w:tcPr>
            <w:tcW w:w="792" w:type="dxa"/>
            <w:gridSpan w:val="2"/>
            <w:tcBorders>
              <w:top w:val="nil"/>
              <w:left w:val="nil"/>
              <w:bottom w:val="nil"/>
              <w:right w:val="nil"/>
            </w:tcBorders>
            <w:shd w:val="clear" w:color="auto" w:fill="D9D9D9" w:themeFill="background1" w:themeFillShade="D9"/>
            <w:vAlign w:val="center"/>
          </w:tcPr>
          <w:p w14:paraId="11700D2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0</w:t>
            </w:r>
          </w:p>
        </w:tc>
        <w:tc>
          <w:tcPr>
            <w:tcW w:w="792" w:type="dxa"/>
            <w:gridSpan w:val="2"/>
            <w:tcBorders>
              <w:top w:val="nil"/>
              <w:left w:val="nil"/>
              <w:bottom w:val="nil"/>
              <w:right w:val="nil"/>
            </w:tcBorders>
            <w:shd w:val="clear" w:color="auto" w:fill="D9D9D9" w:themeFill="background1" w:themeFillShade="D9"/>
            <w:vAlign w:val="center"/>
          </w:tcPr>
          <w:p w14:paraId="12B50CD3"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0%</w:t>
            </w:r>
          </w:p>
        </w:tc>
        <w:tc>
          <w:tcPr>
            <w:tcW w:w="936" w:type="dxa"/>
            <w:gridSpan w:val="2"/>
            <w:tcBorders>
              <w:top w:val="nil"/>
              <w:left w:val="nil"/>
              <w:bottom w:val="nil"/>
              <w:right w:val="nil"/>
            </w:tcBorders>
            <w:shd w:val="clear" w:color="auto" w:fill="D9D9D9" w:themeFill="background1" w:themeFillShade="D9"/>
            <w:vAlign w:val="center"/>
          </w:tcPr>
          <w:p w14:paraId="46B9BFF6"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0</w:t>
            </w:r>
          </w:p>
        </w:tc>
        <w:tc>
          <w:tcPr>
            <w:tcW w:w="930" w:type="dxa"/>
            <w:gridSpan w:val="2"/>
            <w:tcBorders>
              <w:top w:val="nil"/>
              <w:left w:val="nil"/>
              <w:bottom w:val="nil"/>
              <w:right w:val="nil"/>
            </w:tcBorders>
            <w:shd w:val="clear" w:color="auto" w:fill="D9D9D9" w:themeFill="background1" w:themeFillShade="D9"/>
            <w:vAlign w:val="center"/>
          </w:tcPr>
          <w:p w14:paraId="5F061AE1"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0%</w:t>
            </w:r>
          </w:p>
        </w:tc>
        <w:tc>
          <w:tcPr>
            <w:tcW w:w="792" w:type="dxa"/>
            <w:gridSpan w:val="2"/>
            <w:tcBorders>
              <w:top w:val="nil"/>
              <w:left w:val="nil"/>
              <w:bottom w:val="nil"/>
              <w:right w:val="nil"/>
            </w:tcBorders>
            <w:shd w:val="clear" w:color="auto" w:fill="D9D9D9" w:themeFill="background1" w:themeFillShade="D9"/>
            <w:vAlign w:val="center"/>
          </w:tcPr>
          <w:p w14:paraId="084213C4"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0</w:t>
            </w:r>
          </w:p>
        </w:tc>
        <w:tc>
          <w:tcPr>
            <w:tcW w:w="790" w:type="dxa"/>
            <w:gridSpan w:val="2"/>
            <w:tcBorders>
              <w:top w:val="nil"/>
              <w:left w:val="nil"/>
              <w:bottom w:val="nil"/>
              <w:right w:val="nil"/>
            </w:tcBorders>
            <w:shd w:val="clear" w:color="auto" w:fill="D9D9D9" w:themeFill="background1" w:themeFillShade="D9"/>
            <w:vAlign w:val="center"/>
          </w:tcPr>
          <w:p w14:paraId="69FCFA80"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0%</w:t>
            </w:r>
          </w:p>
        </w:tc>
        <w:tc>
          <w:tcPr>
            <w:tcW w:w="936" w:type="dxa"/>
            <w:gridSpan w:val="2"/>
            <w:tcBorders>
              <w:top w:val="nil"/>
              <w:left w:val="nil"/>
              <w:bottom w:val="nil"/>
              <w:right w:val="nil"/>
            </w:tcBorders>
            <w:shd w:val="clear" w:color="auto" w:fill="D9D9D9" w:themeFill="background1" w:themeFillShade="D9"/>
            <w:vAlign w:val="center"/>
          </w:tcPr>
          <w:p w14:paraId="2922F876"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0</w:t>
            </w:r>
          </w:p>
        </w:tc>
        <w:tc>
          <w:tcPr>
            <w:tcW w:w="938" w:type="dxa"/>
            <w:gridSpan w:val="2"/>
            <w:tcBorders>
              <w:top w:val="nil"/>
              <w:left w:val="nil"/>
              <w:bottom w:val="nil"/>
              <w:right w:val="nil"/>
            </w:tcBorders>
            <w:shd w:val="clear" w:color="auto" w:fill="D9D9D9" w:themeFill="background1" w:themeFillShade="D9"/>
            <w:vAlign w:val="center"/>
          </w:tcPr>
          <w:p w14:paraId="3DA2994A"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0%</w:t>
            </w:r>
          </w:p>
        </w:tc>
      </w:tr>
      <w:tr w:rsidR="00CF1059" w:rsidRPr="006A2C72" w14:paraId="45554A4E"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15FA68D0"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Ultrasonography</w:t>
            </w:r>
          </w:p>
        </w:tc>
        <w:tc>
          <w:tcPr>
            <w:tcW w:w="792" w:type="dxa"/>
            <w:gridSpan w:val="2"/>
            <w:tcBorders>
              <w:top w:val="nil"/>
              <w:left w:val="nil"/>
              <w:bottom w:val="nil"/>
              <w:right w:val="nil"/>
            </w:tcBorders>
            <w:shd w:val="clear" w:color="auto" w:fill="D9D9D9" w:themeFill="background1" w:themeFillShade="D9"/>
            <w:vAlign w:val="center"/>
          </w:tcPr>
          <w:p w14:paraId="4293C310"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14</w:t>
            </w:r>
          </w:p>
        </w:tc>
        <w:tc>
          <w:tcPr>
            <w:tcW w:w="792" w:type="dxa"/>
            <w:gridSpan w:val="2"/>
            <w:tcBorders>
              <w:top w:val="nil"/>
              <w:left w:val="nil"/>
              <w:bottom w:val="nil"/>
              <w:right w:val="nil"/>
            </w:tcBorders>
            <w:shd w:val="clear" w:color="auto" w:fill="D9D9D9" w:themeFill="background1" w:themeFillShade="D9"/>
            <w:vAlign w:val="center"/>
          </w:tcPr>
          <w:p w14:paraId="39AF0BF0"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78%</w:t>
            </w:r>
          </w:p>
        </w:tc>
        <w:tc>
          <w:tcPr>
            <w:tcW w:w="936" w:type="dxa"/>
            <w:gridSpan w:val="2"/>
            <w:tcBorders>
              <w:top w:val="nil"/>
              <w:left w:val="nil"/>
              <w:bottom w:val="nil"/>
              <w:right w:val="nil"/>
            </w:tcBorders>
            <w:shd w:val="clear" w:color="auto" w:fill="D9D9D9" w:themeFill="background1" w:themeFillShade="D9"/>
            <w:vAlign w:val="center"/>
          </w:tcPr>
          <w:p w14:paraId="0B69C8D6"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52</w:t>
            </w:r>
          </w:p>
        </w:tc>
        <w:tc>
          <w:tcPr>
            <w:tcW w:w="930" w:type="dxa"/>
            <w:gridSpan w:val="2"/>
            <w:tcBorders>
              <w:top w:val="nil"/>
              <w:left w:val="nil"/>
              <w:bottom w:val="nil"/>
              <w:right w:val="nil"/>
            </w:tcBorders>
            <w:shd w:val="clear" w:color="auto" w:fill="D9D9D9" w:themeFill="background1" w:themeFillShade="D9"/>
            <w:vAlign w:val="center"/>
          </w:tcPr>
          <w:p w14:paraId="744A7AA1"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70%</w:t>
            </w:r>
          </w:p>
        </w:tc>
        <w:tc>
          <w:tcPr>
            <w:tcW w:w="792" w:type="dxa"/>
            <w:gridSpan w:val="2"/>
            <w:tcBorders>
              <w:top w:val="nil"/>
              <w:left w:val="nil"/>
              <w:bottom w:val="nil"/>
              <w:right w:val="nil"/>
            </w:tcBorders>
            <w:shd w:val="clear" w:color="auto" w:fill="D9D9D9" w:themeFill="background1" w:themeFillShade="D9"/>
            <w:vAlign w:val="center"/>
          </w:tcPr>
          <w:p w14:paraId="684F57DD"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9</w:t>
            </w:r>
          </w:p>
        </w:tc>
        <w:tc>
          <w:tcPr>
            <w:tcW w:w="790" w:type="dxa"/>
            <w:gridSpan w:val="2"/>
            <w:tcBorders>
              <w:top w:val="nil"/>
              <w:left w:val="nil"/>
              <w:bottom w:val="nil"/>
              <w:right w:val="nil"/>
            </w:tcBorders>
            <w:shd w:val="clear" w:color="auto" w:fill="D9D9D9" w:themeFill="background1" w:themeFillShade="D9"/>
            <w:vAlign w:val="center"/>
          </w:tcPr>
          <w:p w14:paraId="46EAB059"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82%</w:t>
            </w:r>
          </w:p>
        </w:tc>
        <w:tc>
          <w:tcPr>
            <w:tcW w:w="936" w:type="dxa"/>
            <w:gridSpan w:val="2"/>
            <w:tcBorders>
              <w:top w:val="nil"/>
              <w:left w:val="nil"/>
              <w:bottom w:val="nil"/>
              <w:right w:val="nil"/>
            </w:tcBorders>
            <w:shd w:val="clear" w:color="auto" w:fill="D9D9D9" w:themeFill="background1" w:themeFillShade="D9"/>
            <w:vAlign w:val="center"/>
          </w:tcPr>
          <w:p w14:paraId="347C11DC"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34</w:t>
            </w:r>
          </w:p>
        </w:tc>
        <w:tc>
          <w:tcPr>
            <w:tcW w:w="938" w:type="dxa"/>
            <w:gridSpan w:val="2"/>
            <w:tcBorders>
              <w:top w:val="nil"/>
              <w:left w:val="nil"/>
              <w:bottom w:val="nil"/>
              <w:right w:val="nil"/>
            </w:tcBorders>
            <w:shd w:val="clear" w:color="auto" w:fill="D9D9D9" w:themeFill="background1" w:themeFillShade="D9"/>
            <w:vAlign w:val="center"/>
          </w:tcPr>
          <w:p w14:paraId="16C6025C"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76%</w:t>
            </w:r>
          </w:p>
        </w:tc>
      </w:tr>
      <w:tr w:rsidR="00CF1059" w:rsidRPr="006A2C72" w14:paraId="5CEF69E9"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741065BA" w14:textId="77777777" w:rsidR="00CF1059" w:rsidRPr="00E35A60" w:rsidRDefault="00CF1059" w:rsidP="0040594E">
            <w:pPr>
              <w:pStyle w:val="NoSpacing"/>
              <w:ind w:left="360"/>
              <w:rPr>
                <w:rFonts w:asciiTheme="minorHAnsi" w:hAnsiTheme="minorHAnsi"/>
                <w:vertAlign w:val="superscript"/>
              </w:rPr>
            </w:pPr>
            <w:r w:rsidRPr="00E35A60">
              <w:rPr>
                <w:rFonts w:asciiTheme="minorHAnsi" w:hAnsiTheme="minorHAnsi"/>
              </w:rPr>
              <w:t xml:space="preserve">Ionizing </w:t>
            </w:r>
            <w:proofErr w:type="spellStart"/>
            <w:r w:rsidRPr="00E35A60">
              <w:rPr>
                <w:rFonts w:asciiTheme="minorHAnsi" w:hAnsiTheme="minorHAnsi"/>
              </w:rPr>
              <w:t>radiation</w:t>
            </w:r>
            <w:r w:rsidRPr="00E35A60">
              <w:rPr>
                <w:rFonts w:asciiTheme="minorHAnsi" w:hAnsiTheme="minorHAnsi"/>
                <w:vertAlign w:val="superscript"/>
              </w:rPr>
              <w:t>d</w:t>
            </w:r>
            <w:proofErr w:type="spellEnd"/>
          </w:p>
        </w:tc>
        <w:tc>
          <w:tcPr>
            <w:tcW w:w="792" w:type="dxa"/>
            <w:gridSpan w:val="2"/>
            <w:tcBorders>
              <w:top w:val="nil"/>
              <w:left w:val="nil"/>
              <w:bottom w:val="nil"/>
              <w:right w:val="nil"/>
            </w:tcBorders>
            <w:shd w:val="clear" w:color="auto" w:fill="D9D9D9" w:themeFill="background1" w:themeFillShade="D9"/>
            <w:vAlign w:val="center"/>
          </w:tcPr>
          <w:p w14:paraId="341B9724"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4</w:t>
            </w:r>
          </w:p>
        </w:tc>
        <w:tc>
          <w:tcPr>
            <w:tcW w:w="792" w:type="dxa"/>
            <w:gridSpan w:val="2"/>
            <w:tcBorders>
              <w:top w:val="nil"/>
              <w:left w:val="nil"/>
              <w:bottom w:val="nil"/>
              <w:right w:val="nil"/>
            </w:tcBorders>
            <w:shd w:val="clear" w:color="auto" w:fill="D9D9D9" w:themeFill="background1" w:themeFillShade="D9"/>
            <w:vAlign w:val="center"/>
          </w:tcPr>
          <w:p w14:paraId="2182229C"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22%</w:t>
            </w:r>
          </w:p>
        </w:tc>
        <w:tc>
          <w:tcPr>
            <w:tcW w:w="936" w:type="dxa"/>
            <w:gridSpan w:val="2"/>
            <w:tcBorders>
              <w:top w:val="nil"/>
              <w:left w:val="nil"/>
              <w:bottom w:val="nil"/>
              <w:right w:val="nil"/>
            </w:tcBorders>
            <w:shd w:val="clear" w:color="auto" w:fill="D9D9D9" w:themeFill="background1" w:themeFillShade="D9"/>
            <w:vAlign w:val="center"/>
          </w:tcPr>
          <w:p w14:paraId="18768F0B"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6</w:t>
            </w:r>
          </w:p>
        </w:tc>
        <w:tc>
          <w:tcPr>
            <w:tcW w:w="930" w:type="dxa"/>
            <w:gridSpan w:val="2"/>
            <w:tcBorders>
              <w:top w:val="nil"/>
              <w:left w:val="nil"/>
              <w:bottom w:val="nil"/>
              <w:right w:val="nil"/>
            </w:tcBorders>
            <w:shd w:val="clear" w:color="auto" w:fill="D9D9D9" w:themeFill="background1" w:themeFillShade="D9"/>
            <w:vAlign w:val="center"/>
          </w:tcPr>
          <w:p w14:paraId="175A60B5"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8%</w:t>
            </w:r>
          </w:p>
        </w:tc>
        <w:tc>
          <w:tcPr>
            <w:tcW w:w="792" w:type="dxa"/>
            <w:gridSpan w:val="2"/>
            <w:tcBorders>
              <w:top w:val="nil"/>
              <w:left w:val="nil"/>
              <w:bottom w:val="nil"/>
              <w:right w:val="nil"/>
            </w:tcBorders>
            <w:shd w:val="clear" w:color="auto" w:fill="D9D9D9" w:themeFill="background1" w:themeFillShade="D9"/>
            <w:vAlign w:val="center"/>
          </w:tcPr>
          <w:p w14:paraId="013CACB7"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3</w:t>
            </w:r>
          </w:p>
        </w:tc>
        <w:tc>
          <w:tcPr>
            <w:tcW w:w="790" w:type="dxa"/>
            <w:gridSpan w:val="2"/>
            <w:tcBorders>
              <w:top w:val="nil"/>
              <w:left w:val="nil"/>
              <w:bottom w:val="nil"/>
              <w:right w:val="nil"/>
            </w:tcBorders>
            <w:shd w:val="clear" w:color="auto" w:fill="D9D9D9" w:themeFill="background1" w:themeFillShade="D9"/>
            <w:vAlign w:val="center"/>
          </w:tcPr>
          <w:p w14:paraId="0FBA9B5C"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 xml:space="preserve">27% </w:t>
            </w:r>
          </w:p>
        </w:tc>
        <w:tc>
          <w:tcPr>
            <w:tcW w:w="936" w:type="dxa"/>
            <w:gridSpan w:val="2"/>
            <w:tcBorders>
              <w:top w:val="nil"/>
              <w:left w:val="nil"/>
              <w:bottom w:val="nil"/>
              <w:right w:val="nil"/>
            </w:tcBorders>
            <w:shd w:val="clear" w:color="auto" w:fill="D9D9D9" w:themeFill="background1" w:themeFillShade="D9"/>
            <w:vAlign w:val="center"/>
          </w:tcPr>
          <w:p w14:paraId="04E6D8B7"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w:t>
            </w:r>
          </w:p>
        </w:tc>
        <w:tc>
          <w:tcPr>
            <w:tcW w:w="938" w:type="dxa"/>
            <w:gridSpan w:val="2"/>
            <w:tcBorders>
              <w:top w:val="nil"/>
              <w:left w:val="nil"/>
              <w:bottom w:val="nil"/>
              <w:right w:val="nil"/>
            </w:tcBorders>
            <w:shd w:val="clear" w:color="auto" w:fill="D9D9D9" w:themeFill="background1" w:themeFillShade="D9"/>
            <w:vAlign w:val="center"/>
          </w:tcPr>
          <w:p w14:paraId="27149D9D"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w:t>
            </w:r>
          </w:p>
        </w:tc>
      </w:tr>
      <w:tr w:rsidR="00CF1059" w:rsidRPr="006A2C72" w14:paraId="5FB61784" w14:textId="77777777" w:rsidTr="00832728">
        <w:trPr>
          <w:trHeight w:val="302"/>
        </w:trPr>
        <w:tc>
          <w:tcPr>
            <w:tcW w:w="2718" w:type="dxa"/>
            <w:gridSpan w:val="2"/>
            <w:tcBorders>
              <w:top w:val="nil"/>
              <w:left w:val="nil"/>
              <w:bottom w:val="nil"/>
              <w:right w:val="nil"/>
            </w:tcBorders>
            <w:shd w:val="clear" w:color="auto" w:fill="auto"/>
            <w:vAlign w:val="center"/>
          </w:tcPr>
          <w:p w14:paraId="67BEF7FB" w14:textId="77777777" w:rsidR="00CF1059" w:rsidRPr="00E35A60" w:rsidRDefault="00CF1059" w:rsidP="0040594E">
            <w:pPr>
              <w:pStyle w:val="NoSpacing"/>
              <w:rPr>
                <w:rFonts w:asciiTheme="minorHAnsi" w:hAnsiTheme="minorHAnsi"/>
                <w:b/>
                <w:spacing w:val="-6"/>
              </w:rPr>
            </w:pPr>
            <w:r w:rsidRPr="00E35A60">
              <w:rPr>
                <w:rFonts w:asciiTheme="minorHAnsi" w:hAnsiTheme="minorHAnsi"/>
                <w:b/>
                <w:spacing w:val="-6"/>
              </w:rPr>
              <w:t>Childhood Risk Factors</w:t>
            </w:r>
          </w:p>
        </w:tc>
        <w:tc>
          <w:tcPr>
            <w:tcW w:w="792" w:type="dxa"/>
            <w:gridSpan w:val="2"/>
            <w:tcBorders>
              <w:top w:val="nil"/>
              <w:left w:val="nil"/>
              <w:bottom w:val="nil"/>
              <w:right w:val="nil"/>
            </w:tcBorders>
            <w:shd w:val="clear" w:color="auto" w:fill="auto"/>
            <w:vAlign w:val="center"/>
          </w:tcPr>
          <w:p w14:paraId="243C42BC"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36D8E503"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39D67F34"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74DAC2EE"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07752AE3"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34FAF4D9"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1A8FED05"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1E849789" w14:textId="77777777" w:rsidR="00CF1059" w:rsidRPr="00E35A60" w:rsidRDefault="00CF1059" w:rsidP="0040594E">
            <w:pPr>
              <w:pStyle w:val="NoSpacing"/>
              <w:ind w:right="144"/>
              <w:jc w:val="right"/>
              <w:rPr>
                <w:rFonts w:asciiTheme="minorHAnsi" w:hAnsiTheme="minorHAnsi"/>
              </w:rPr>
            </w:pPr>
          </w:p>
        </w:tc>
      </w:tr>
      <w:tr w:rsidR="00CF1059" w:rsidRPr="006A2C72" w14:paraId="4E4120C8" w14:textId="77777777" w:rsidTr="00832728">
        <w:trPr>
          <w:trHeight w:val="302"/>
        </w:trPr>
        <w:tc>
          <w:tcPr>
            <w:tcW w:w="2718" w:type="dxa"/>
            <w:gridSpan w:val="2"/>
            <w:tcBorders>
              <w:top w:val="nil"/>
              <w:left w:val="nil"/>
              <w:bottom w:val="nil"/>
              <w:right w:val="nil"/>
            </w:tcBorders>
            <w:shd w:val="clear" w:color="auto" w:fill="auto"/>
            <w:vAlign w:val="center"/>
          </w:tcPr>
          <w:p w14:paraId="67B11E5C" w14:textId="77777777" w:rsidR="00CF1059" w:rsidRPr="00E35A60" w:rsidRDefault="00832728" w:rsidP="0040594E">
            <w:pPr>
              <w:pStyle w:val="NoSpacing"/>
              <w:rPr>
                <w:rFonts w:asciiTheme="minorHAnsi" w:hAnsiTheme="minorHAnsi"/>
              </w:rPr>
            </w:pPr>
            <w:r w:rsidRPr="00E35A60">
              <w:rPr>
                <w:rFonts w:asciiTheme="minorHAnsi" w:hAnsiTheme="minorHAnsi"/>
              </w:rPr>
              <w:t xml:space="preserve">Birth </w:t>
            </w:r>
            <w:proofErr w:type="spellStart"/>
            <w:r w:rsidRPr="00E35A60">
              <w:rPr>
                <w:rFonts w:asciiTheme="minorHAnsi" w:hAnsiTheme="minorHAnsi"/>
              </w:rPr>
              <w:t>e</w:t>
            </w:r>
            <w:r w:rsidR="00CF1059" w:rsidRPr="00E35A60">
              <w:rPr>
                <w:rFonts w:asciiTheme="minorHAnsi" w:hAnsiTheme="minorHAnsi"/>
              </w:rPr>
              <w:t>vents</w:t>
            </w:r>
            <w:r w:rsidR="00CF1059" w:rsidRPr="00E35A60">
              <w:rPr>
                <w:rFonts w:asciiTheme="minorHAnsi" w:hAnsiTheme="minorHAnsi"/>
                <w:vertAlign w:val="superscript"/>
              </w:rPr>
              <w:t>b</w:t>
            </w:r>
            <w:proofErr w:type="spellEnd"/>
          </w:p>
        </w:tc>
        <w:tc>
          <w:tcPr>
            <w:tcW w:w="792" w:type="dxa"/>
            <w:gridSpan w:val="2"/>
            <w:tcBorders>
              <w:top w:val="nil"/>
              <w:left w:val="nil"/>
              <w:bottom w:val="nil"/>
              <w:right w:val="nil"/>
            </w:tcBorders>
            <w:shd w:val="clear" w:color="auto" w:fill="auto"/>
            <w:vAlign w:val="center"/>
          </w:tcPr>
          <w:p w14:paraId="10E68F7C"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781B3646"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46FE1E67"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1DE142BE"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65CA2706"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1747ED45"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3D662C9C"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13CA2D86" w14:textId="77777777" w:rsidR="00CF1059" w:rsidRPr="00E35A60" w:rsidRDefault="00CF1059" w:rsidP="0040594E">
            <w:pPr>
              <w:pStyle w:val="NoSpacing"/>
              <w:ind w:right="144"/>
              <w:jc w:val="right"/>
              <w:rPr>
                <w:rFonts w:asciiTheme="minorHAnsi" w:hAnsiTheme="minorHAnsi"/>
              </w:rPr>
            </w:pPr>
          </w:p>
        </w:tc>
      </w:tr>
      <w:tr w:rsidR="00CF1059" w:rsidRPr="006A2C72" w14:paraId="39D88941" w14:textId="77777777" w:rsidTr="00832728">
        <w:trPr>
          <w:trHeight w:val="302"/>
        </w:trPr>
        <w:tc>
          <w:tcPr>
            <w:tcW w:w="2718" w:type="dxa"/>
            <w:gridSpan w:val="2"/>
            <w:tcBorders>
              <w:top w:val="nil"/>
              <w:left w:val="nil"/>
              <w:bottom w:val="nil"/>
              <w:right w:val="nil"/>
            </w:tcBorders>
            <w:shd w:val="clear" w:color="auto" w:fill="auto"/>
            <w:vAlign w:val="center"/>
          </w:tcPr>
          <w:p w14:paraId="33936DDA" w14:textId="77777777" w:rsidR="00CF1059" w:rsidRPr="00E35A60" w:rsidRDefault="00CF1059" w:rsidP="0040594E">
            <w:pPr>
              <w:pStyle w:val="NoSpacing"/>
              <w:ind w:left="360"/>
              <w:rPr>
                <w:rFonts w:asciiTheme="minorHAnsi" w:hAnsiTheme="minorHAnsi"/>
                <w:vertAlign w:val="superscript"/>
              </w:rPr>
            </w:pPr>
            <w:r w:rsidRPr="00E35A60">
              <w:rPr>
                <w:rFonts w:asciiTheme="minorHAnsi" w:hAnsiTheme="minorHAnsi"/>
              </w:rPr>
              <w:t>Given oxygen</w:t>
            </w:r>
          </w:p>
        </w:tc>
        <w:tc>
          <w:tcPr>
            <w:tcW w:w="792" w:type="dxa"/>
            <w:gridSpan w:val="2"/>
            <w:tcBorders>
              <w:top w:val="nil"/>
              <w:left w:val="nil"/>
              <w:bottom w:val="nil"/>
              <w:right w:val="nil"/>
            </w:tcBorders>
            <w:shd w:val="clear" w:color="auto" w:fill="auto"/>
            <w:vAlign w:val="center"/>
          </w:tcPr>
          <w:p w14:paraId="39EA0BD4"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3</w:t>
            </w:r>
          </w:p>
        </w:tc>
        <w:tc>
          <w:tcPr>
            <w:tcW w:w="792" w:type="dxa"/>
            <w:gridSpan w:val="2"/>
            <w:tcBorders>
              <w:top w:val="nil"/>
              <w:left w:val="nil"/>
              <w:bottom w:val="nil"/>
              <w:right w:val="nil"/>
            </w:tcBorders>
            <w:shd w:val="clear" w:color="auto" w:fill="auto"/>
            <w:vAlign w:val="center"/>
          </w:tcPr>
          <w:p w14:paraId="62D4905E" w14:textId="77777777" w:rsidR="00CF1059" w:rsidRPr="00E35A60" w:rsidRDefault="00CF1059" w:rsidP="0040594E">
            <w:pPr>
              <w:pStyle w:val="NoSpacing"/>
              <w:jc w:val="right"/>
              <w:rPr>
                <w:rFonts w:asciiTheme="minorHAnsi" w:hAnsiTheme="minorHAnsi"/>
                <w:vertAlign w:val="superscript"/>
              </w:rPr>
            </w:pPr>
            <w:r w:rsidRPr="00E35A60">
              <w:rPr>
                <w:rFonts w:asciiTheme="minorHAnsi" w:hAnsiTheme="minorHAnsi"/>
              </w:rPr>
              <w:t>17%</w:t>
            </w:r>
            <w:r w:rsidRPr="00E35A60">
              <w:rPr>
                <w:rFonts w:asciiTheme="minorHAnsi" w:eastAsiaTheme="minorHAnsi" w:hAnsiTheme="minorHAnsi"/>
                <w:vertAlign w:val="superscript"/>
              </w:rPr>
              <w:t>‡</w:t>
            </w:r>
          </w:p>
        </w:tc>
        <w:tc>
          <w:tcPr>
            <w:tcW w:w="936" w:type="dxa"/>
            <w:gridSpan w:val="2"/>
            <w:tcBorders>
              <w:top w:val="nil"/>
              <w:left w:val="nil"/>
              <w:bottom w:val="nil"/>
              <w:right w:val="nil"/>
            </w:tcBorders>
            <w:shd w:val="clear" w:color="auto" w:fill="auto"/>
            <w:vAlign w:val="center"/>
          </w:tcPr>
          <w:p w14:paraId="0FB34383"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w:t>
            </w:r>
          </w:p>
        </w:tc>
        <w:tc>
          <w:tcPr>
            <w:tcW w:w="930" w:type="dxa"/>
            <w:gridSpan w:val="2"/>
            <w:tcBorders>
              <w:top w:val="nil"/>
              <w:left w:val="nil"/>
              <w:bottom w:val="nil"/>
              <w:right w:val="nil"/>
            </w:tcBorders>
            <w:shd w:val="clear" w:color="auto" w:fill="auto"/>
            <w:vAlign w:val="center"/>
          </w:tcPr>
          <w:p w14:paraId="6B31B880"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4%</w:t>
            </w:r>
            <w:r w:rsidRPr="00E35A60">
              <w:rPr>
                <w:rFonts w:asciiTheme="minorHAnsi" w:eastAsiaTheme="minorHAnsi" w:hAnsiTheme="minorHAnsi"/>
                <w:vertAlign w:val="superscript"/>
              </w:rPr>
              <w:t>‡</w:t>
            </w:r>
          </w:p>
        </w:tc>
        <w:tc>
          <w:tcPr>
            <w:tcW w:w="792" w:type="dxa"/>
            <w:gridSpan w:val="2"/>
            <w:tcBorders>
              <w:top w:val="nil"/>
              <w:left w:val="nil"/>
              <w:bottom w:val="nil"/>
              <w:right w:val="nil"/>
            </w:tcBorders>
            <w:shd w:val="clear" w:color="auto" w:fill="auto"/>
            <w:vAlign w:val="center"/>
          </w:tcPr>
          <w:p w14:paraId="6D800461"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w:t>
            </w:r>
          </w:p>
        </w:tc>
        <w:tc>
          <w:tcPr>
            <w:tcW w:w="790" w:type="dxa"/>
            <w:gridSpan w:val="2"/>
            <w:tcBorders>
              <w:top w:val="nil"/>
              <w:left w:val="nil"/>
              <w:bottom w:val="nil"/>
              <w:right w:val="nil"/>
            </w:tcBorders>
            <w:shd w:val="clear" w:color="auto" w:fill="auto"/>
            <w:vAlign w:val="center"/>
          </w:tcPr>
          <w:p w14:paraId="6334DD12"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18%</w:t>
            </w:r>
            <w:r w:rsidRPr="00E35A60">
              <w:rPr>
                <w:rFonts w:asciiTheme="minorHAnsi" w:hAnsiTheme="minorHAnsi"/>
                <w:vertAlign w:val="superscript"/>
              </w:rPr>
              <w:t>†</w:t>
            </w:r>
          </w:p>
        </w:tc>
        <w:tc>
          <w:tcPr>
            <w:tcW w:w="936" w:type="dxa"/>
            <w:gridSpan w:val="2"/>
            <w:tcBorders>
              <w:top w:val="nil"/>
              <w:left w:val="nil"/>
              <w:bottom w:val="nil"/>
              <w:right w:val="nil"/>
            </w:tcBorders>
            <w:shd w:val="clear" w:color="auto" w:fill="auto"/>
            <w:vAlign w:val="center"/>
          </w:tcPr>
          <w:p w14:paraId="7E11E1AA"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w:t>
            </w:r>
          </w:p>
        </w:tc>
        <w:tc>
          <w:tcPr>
            <w:tcW w:w="938" w:type="dxa"/>
            <w:gridSpan w:val="2"/>
            <w:tcBorders>
              <w:top w:val="nil"/>
              <w:left w:val="nil"/>
              <w:bottom w:val="nil"/>
              <w:right w:val="nil"/>
            </w:tcBorders>
            <w:shd w:val="clear" w:color="auto" w:fill="auto"/>
            <w:vAlign w:val="center"/>
          </w:tcPr>
          <w:p w14:paraId="0F0B26B4"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w:t>
            </w:r>
            <w:r w:rsidRPr="00E35A60">
              <w:rPr>
                <w:rFonts w:asciiTheme="minorHAnsi" w:hAnsiTheme="minorHAnsi"/>
                <w:vertAlign w:val="superscript"/>
              </w:rPr>
              <w:t>†</w:t>
            </w:r>
          </w:p>
        </w:tc>
      </w:tr>
      <w:tr w:rsidR="00CF1059" w:rsidRPr="006A2C72" w14:paraId="1F612B13" w14:textId="77777777" w:rsidTr="00832728">
        <w:trPr>
          <w:trHeight w:val="302"/>
        </w:trPr>
        <w:tc>
          <w:tcPr>
            <w:tcW w:w="2718" w:type="dxa"/>
            <w:gridSpan w:val="2"/>
            <w:tcBorders>
              <w:top w:val="nil"/>
              <w:left w:val="nil"/>
              <w:bottom w:val="nil"/>
              <w:right w:val="nil"/>
            </w:tcBorders>
            <w:shd w:val="clear" w:color="auto" w:fill="auto"/>
            <w:vAlign w:val="center"/>
          </w:tcPr>
          <w:p w14:paraId="43164F7D" w14:textId="77777777" w:rsidR="00CF1059" w:rsidRPr="00E35A60" w:rsidRDefault="00CF1059" w:rsidP="0040594E">
            <w:pPr>
              <w:pStyle w:val="NoSpacing"/>
              <w:ind w:left="360"/>
              <w:rPr>
                <w:rFonts w:asciiTheme="minorHAnsi" w:hAnsiTheme="minorHAnsi"/>
                <w:vertAlign w:val="superscript"/>
              </w:rPr>
            </w:pPr>
            <w:r w:rsidRPr="00E35A60">
              <w:rPr>
                <w:rFonts w:asciiTheme="minorHAnsi" w:hAnsiTheme="minorHAnsi"/>
              </w:rPr>
              <w:t>Placed in incubator</w:t>
            </w:r>
          </w:p>
        </w:tc>
        <w:tc>
          <w:tcPr>
            <w:tcW w:w="792" w:type="dxa"/>
            <w:gridSpan w:val="2"/>
            <w:tcBorders>
              <w:top w:val="nil"/>
              <w:left w:val="nil"/>
              <w:bottom w:val="nil"/>
              <w:right w:val="nil"/>
            </w:tcBorders>
            <w:shd w:val="clear" w:color="auto" w:fill="auto"/>
            <w:vAlign w:val="center"/>
          </w:tcPr>
          <w:p w14:paraId="49F45630"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5</w:t>
            </w:r>
          </w:p>
        </w:tc>
        <w:tc>
          <w:tcPr>
            <w:tcW w:w="792" w:type="dxa"/>
            <w:gridSpan w:val="2"/>
            <w:tcBorders>
              <w:top w:val="nil"/>
              <w:left w:val="nil"/>
              <w:bottom w:val="nil"/>
              <w:right w:val="nil"/>
            </w:tcBorders>
            <w:shd w:val="clear" w:color="auto" w:fill="auto"/>
            <w:vAlign w:val="center"/>
          </w:tcPr>
          <w:p w14:paraId="3D9B38DE"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28%</w:t>
            </w:r>
          </w:p>
        </w:tc>
        <w:tc>
          <w:tcPr>
            <w:tcW w:w="936" w:type="dxa"/>
            <w:gridSpan w:val="2"/>
            <w:tcBorders>
              <w:top w:val="nil"/>
              <w:left w:val="nil"/>
              <w:bottom w:val="nil"/>
              <w:right w:val="nil"/>
            </w:tcBorders>
            <w:shd w:val="clear" w:color="auto" w:fill="auto"/>
            <w:vAlign w:val="center"/>
          </w:tcPr>
          <w:p w14:paraId="06E176CA"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11</w:t>
            </w:r>
          </w:p>
        </w:tc>
        <w:tc>
          <w:tcPr>
            <w:tcW w:w="930" w:type="dxa"/>
            <w:gridSpan w:val="2"/>
            <w:tcBorders>
              <w:top w:val="nil"/>
              <w:left w:val="nil"/>
              <w:bottom w:val="nil"/>
              <w:right w:val="nil"/>
            </w:tcBorders>
            <w:shd w:val="clear" w:color="auto" w:fill="auto"/>
            <w:vAlign w:val="center"/>
          </w:tcPr>
          <w:p w14:paraId="1296EA91"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15%</w:t>
            </w:r>
          </w:p>
        </w:tc>
        <w:tc>
          <w:tcPr>
            <w:tcW w:w="792" w:type="dxa"/>
            <w:gridSpan w:val="2"/>
            <w:tcBorders>
              <w:top w:val="nil"/>
              <w:left w:val="nil"/>
              <w:bottom w:val="nil"/>
              <w:right w:val="nil"/>
            </w:tcBorders>
            <w:shd w:val="clear" w:color="auto" w:fill="auto"/>
            <w:vAlign w:val="center"/>
          </w:tcPr>
          <w:p w14:paraId="42B1859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3</w:t>
            </w:r>
          </w:p>
        </w:tc>
        <w:tc>
          <w:tcPr>
            <w:tcW w:w="790" w:type="dxa"/>
            <w:gridSpan w:val="2"/>
            <w:tcBorders>
              <w:top w:val="nil"/>
              <w:left w:val="nil"/>
              <w:bottom w:val="nil"/>
              <w:right w:val="nil"/>
            </w:tcBorders>
            <w:shd w:val="clear" w:color="auto" w:fill="auto"/>
            <w:vAlign w:val="center"/>
          </w:tcPr>
          <w:p w14:paraId="2F5E74DB"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27%</w:t>
            </w:r>
          </w:p>
        </w:tc>
        <w:tc>
          <w:tcPr>
            <w:tcW w:w="936" w:type="dxa"/>
            <w:gridSpan w:val="2"/>
            <w:tcBorders>
              <w:top w:val="nil"/>
              <w:left w:val="nil"/>
              <w:bottom w:val="nil"/>
              <w:right w:val="nil"/>
            </w:tcBorders>
            <w:shd w:val="clear" w:color="auto" w:fill="auto"/>
            <w:vAlign w:val="center"/>
          </w:tcPr>
          <w:p w14:paraId="55B5B33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7</w:t>
            </w:r>
          </w:p>
        </w:tc>
        <w:tc>
          <w:tcPr>
            <w:tcW w:w="938" w:type="dxa"/>
            <w:gridSpan w:val="2"/>
            <w:tcBorders>
              <w:top w:val="nil"/>
              <w:left w:val="nil"/>
              <w:bottom w:val="nil"/>
              <w:right w:val="nil"/>
            </w:tcBorders>
            <w:shd w:val="clear" w:color="auto" w:fill="auto"/>
            <w:vAlign w:val="center"/>
          </w:tcPr>
          <w:p w14:paraId="36A97E5B"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16%</w:t>
            </w:r>
          </w:p>
        </w:tc>
      </w:tr>
      <w:tr w:rsidR="00CF1059" w:rsidRPr="006A2C72" w14:paraId="3825AB09" w14:textId="77777777" w:rsidTr="00832728">
        <w:trPr>
          <w:trHeight w:val="302"/>
        </w:trPr>
        <w:tc>
          <w:tcPr>
            <w:tcW w:w="2718" w:type="dxa"/>
            <w:gridSpan w:val="2"/>
            <w:tcBorders>
              <w:top w:val="nil"/>
              <w:left w:val="nil"/>
              <w:bottom w:val="nil"/>
              <w:right w:val="nil"/>
            </w:tcBorders>
            <w:shd w:val="clear" w:color="auto" w:fill="auto"/>
            <w:vAlign w:val="center"/>
          </w:tcPr>
          <w:p w14:paraId="6DBE2C5A"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Birth weight</w:t>
            </w:r>
          </w:p>
        </w:tc>
        <w:tc>
          <w:tcPr>
            <w:tcW w:w="792" w:type="dxa"/>
            <w:gridSpan w:val="2"/>
            <w:tcBorders>
              <w:top w:val="nil"/>
              <w:left w:val="nil"/>
              <w:bottom w:val="nil"/>
              <w:right w:val="nil"/>
            </w:tcBorders>
            <w:shd w:val="clear" w:color="auto" w:fill="auto"/>
            <w:vAlign w:val="center"/>
          </w:tcPr>
          <w:p w14:paraId="33B8583B"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421D99B0"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049DCF01"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351B1994"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6BB10FCA"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02B7AE19"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5B9EB658"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72C62FD3" w14:textId="77777777" w:rsidR="00CF1059" w:rsidRPr="00E35A60" w:rsidRDefault="00CF1059" w:rsidP="0040594E">
            <w:pPr>
              <w:pStyle w:val="NoSpacing"/>
              <w:ind w:right="144"/>
              <w:jc w:val="right"/>
              <w:rPr>
                <w:rFonts w:asciiTheme="minorHAnsi" w:hAnsiTheme="minorHAnsi"/>
              </w:rPr>
            </w:pPr>
          </w:p>
        </w:tc>
      </w:tr>
      <w:tr w:rsidR="00CF1059" w:rsidRPr="006A2C72" w14:paraId="46E12641" w14:textId="77777777" w:rsidTr="00832728">
        <w:trPr>
          <w:trHeight w:val="302"/>
        </w:trPr>
        <w:tc>
          <w:tcPr>
            <w:tcW w:w="2718" w:type="dxa"/>
            <w:gridSpan w:val="2"/>
            <w:tcBorders>
              <w:top w:val="nil"/>
              <w:left w:val="nil"/>
              <w:bottom w:val="nil"/>
              <w:right w:val="nil"/>
            </w:tcBorders>
            <w:shd w:val="clear" w:color="auto" w:fill="auto"/>
            <w:vAlign w:val="center"/>
          </w:tcPr>
          <w:p w14:paraId="181F5C00" w14:textId="77777777" w:rsidR="00CF1059" w:rsidRPr="00E35A60" w:rsidRDefault="00CF1059" w:rsidP="0040594E">
            <w:pPr>
              <w:pStyle w:val="NoSpacing"/>
              <w:ind w:left="630"/>
              <w:rPr>
                <w:rFonts w:asciiTheme="minorHAnsi" w:hAnsiTheme="minorHAnsi"/>
              </w:rPr>
            </w:pPr>
            <w:r w:rsidRPr="00E35A60">
              <w:rPr>
                <w:rFonts w:asciiTheme="minorHAnsi" w:hAnsiTheme="minorHAnsi"/>
              </w:rPr>
              <w:t>Low (&lt;2500 g)</w:t>
            </w:r>
          </w:p>
        </w:tc>
        <w:tc>
          <w:tcPr>
            <w:tcW w:w="792" w:type="dxa"/>
            <w:gridSpan w:val="2"/>
            <w:tcBorders>
              <w:top w:val="nil"/>
              <w:left w:val="nil"/>
              <w:bottom w:val="nil"/>
              <w:right w:val="nil"/>
            </w:tcBorders>
            <w:shd w:val="clear" w:color="auto" w:fill="auto"/>
            <w:vAlign w:val="center"/>
          </w:tcPr>
          <w:p w14:paraId="06193CC7"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3</w:t>
            </w:r>
          </w:p>
        </w:tc>
        <w:tc>
          <w:tcPr>
            <w:tcW w:w="792" w:type="dxa"/>
            <w:gridSpan w:val="2"/>
            <w:tcBorders>
              <w:top w:val="nil"/>
              <w:left w:val="nil"/>
              <w:bottom w:val="nil"/>
              <w:right w:val="nil"/>
            </w:tcBorders>
            <w:shd w:val="clear" w:color="auto" w:fill="auto"/>
            <w:vAlign w:val="center"/>
          </w:tcPr>
          <w:p w14:paraId="113D4A6E"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17%</w:t>
            </w:r>
            <w:r w:rsidRPr="00E35A60">
              <w:rPr>
                <w:rFonts w:asciiTheme="minorHAnsi" w:hAnsiTheme="minorHAnsi"/>
                <w:vertAlign w:val="superscript"/>
              </w:rPr>
              <w:t>‡</w:t>
            </w:r>
          </w:p>
        </w:tc>
        <w:tc>
          <w:tcPr>
            <w:tcW w:w="936" w:type="dxa"/>
            <w:gridSpan w:val="2"/>
            <w:tcBorders>
              <w:top w:val="nil"/>
              <w:left w:val="nil"/>
              <w:bottom w:val="nil"/>
              <w:right w:val="nil"/>
            </w:tcBorders>
            <w:shd w:val="clear" w:color="auto" w:fill="auto"/>
            <w:vAlign w:val="center"/>
          </w:tcPr>
          <w:p w14:paraId="775D10E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w:t>
            </w:r>
          </w:p>
        </w:tc>
        <w:tc>
          <w:tcPr>
            <w:tcW w:w="930" w:type="dxa"/>
            <w:gridSpan w:val="2"/>
            <w:tcBorders>
              <w:top w:val="nil"/>
              <w:left w:val="nil"/>
              <w:bottom w:val="nil"/>
              <w:right w:val="nil"/>
            </w:tcBorders>
            <w:shd w:val="clear" w:color="auto" w:fill="auto"/>
            <w:vAlign w:val="center"/>
          </w:tcPr>
          <w:p w14:paraId="485EA844"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4%</w:t>
            </w:r>
            <w:r w:rsidRPr="00E35A60">
              <w:rPr>
                <w:rFonts w:asciiTheme="minorHAnsi" w:hAnsiTheme="minorHAnsi"/>
                <w:vertAlign w:val="superscript"/>
              </w:rPr>
              <w:t>‡</w:t>
            </w:r>
          </w:p>
        </w:tc>
        <w:tc>
          <w:tcPr>
            <w:tcW w:w="792" w:type="dxa"/>
            <w:gridSpan w:val="2"/>
            <w:tcBorders>
              <w:top w:val="nil"/>
              <w:left w:val="nil"/>
              <w:bottom w:val="nil"/>
              <w:right w:val="nil"/>
            </w:tcBorders>
            <w:shd w:val="clear" w:color="auto" w:fill="auto"/>
            <w:vAlign w:val="center"/>
          </w:tcPr>
          <w:p w14:paraId="726A08A6"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w:t>
            </w:r>
          </w:p>
        </w:tc>
        <w:tc>
          <w:tcPr>
            <w:tcW w:w="790" w:type="dxa"/>
            <w:gridSpan w:val="2"/>
            <w:tcBorders>
              <w:top w:val="nil"/>
              <w:left w:val="nil"/>
              <w:bottom w:val="nil"/>
              <w:right w:val="nil"/>
            </w:tcBorders>
            <w:shd w:val="clear" w:color="auto" w:fill="auto"/>
            <w:vAlign w:val="center"/>
          </w:tcPr>
          <w:p w14:paraId="68DAC13D"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18%</w:t>
            </w:r>
          </w:p>
        </w:tc>
        <w:tc>
          <w:tcPr>
            <w:tcW w:w="936" w:type="dxa"/>
            <w:gridSpan w:val="2"/>
            <w:tcBorders>
              <w:top w:val="nil"/>
              <w:left w:val="nil"/>
              <w:bottom w:val="nil"/>
              <w:right w:val="nil"/>
            </w:tcBorders>
            <w:shd w:val="clear" w:color="auto" w:fill="auto"/>
            <w:vAlign w:val="center"/>
          </w:tcPr>
          <w:p w14:paraId="2B342198"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w:t>
            </w:r>
          </w:p>
        </w:tc>
        <w:tc>
          <w:tcPr>
            <w:tcW w:w="938" w:type="dxa"/>
            <w:gridSpan w:val="2"/>
            <w:tcBorders>
              <w:top w:val="nil"/>
              <w:left w:val="nil"/>
              <w:bottom w:val="nil"/>
              <w:right w:val="nil"/>
            </w:tcBorders>
            <w:shd w:val="clear" w:color="auto" w:fill="auto"/>
            <w:vAlign w:val="center"/>
          </w:tcPr>
          <w:p w14:paraId="09F9954B"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4%</w:t>
            </w:r>
          </w:p>
        </w:tc>
      </w:tr>
      <w:tr w:rsidR="00CF1059" w:rsidRPr="006A2C72" w14:paraId="4C964E45" w14:textId="77777777" w:rsidTr="00832728">
        <w:trPr>
          <w:trHeight w:val="302"/>
        </w:trPr>
        <w:tc>
          <w:tcPr>
            <w:tcW w:w="2718" w:type="dxa"/>
            <w:gridSpan w:val="2"/>
            <w:tcBorders>
              <w:top w:val="nil"/>
              <w:left w:val="nil"/>
              <w:bottom w:val="nil"/>
              <w:right w:val="nil"/>
            </w:tcBorders>
            <w:shd w:val="clear" w:color="auto" w:fill="auto"/>
            <w:vAlign w:val="center"/>
          </w:tcPr>
          <w:p w14:paraId="46855472" w14:textId="77777777" w:rsidR="00CF1059" w:rsidRPr="00E35A60" w:rsidRDefault="00CF1059" w:rsidP="0040594E">
            <w:pPr>
              <w:pStyle w:val="NoSpacing"/>
              <w:ind w:left="630"/>
              <w:rPr>
                <w:rFonts w:asciiTheme="minorHAnsi" w:hAnsiTheme="minorHAnsi"/>
              </w:rPr>
            </w:pPr>
            <w:r w:rsidRPr="00E35A60">
              <w:rPr>
                <w:rFonts w:asciiTheme="minorHAnsi" w:hAnsiTheme="minorHAnsi"/>
              </w:rPr>
              <w:t>High (&gt;4,000 g)</w:t>
            </w:r>
          </w:p>
        </w:tc>
        <w:tc>
          <w:tcPr>
            <w:tcW w:w="792" w:type="dxa"/>
            <w:gridSpan w:val="2"/>
            <w:tcBorders>
              <w:top w:val="nil"/>
              <w:left w:val="nil"/>
              <w:bottom w:val="nil"/>
              <w:right w:val="nil"/>
            </w:tcBorders>
            <w:shd w:val="clear" w:color="auto" w:fill="auto"/>
            <w:vAlign w:val="center"/>
          </w:tcPr>
          <w:p w14:paraId="0405622C"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4</w:t>
            </w:r>
          </w:p>
        </w:tc>
        <w:tc>
          <w:tcPr>
            <w:tcW w:w="792" w:type="dxa"/>
            <w:gridSpan w:val="2"/>
            <w:tcBorders>
              <w:top w:val="nil"/>
              <w:left w:val="nil"/>
              <w:bottom w:val="nil"/>
              <w:right w:val="nil"/>
            </w:tcBorders>
            <w:shd w:val="clear" w:color="auto" w:fill="auto"/>
            <w:vAlign w:val="center"/>
          </w:tcPr>
          <w:p w14:paraId="5D93F3C5"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22%</w:t>
            </w:r>
          </w:p>
        </w:tc>
        <w:tc>
          <w:tcPr>
            <w:tcW w:w="936" w:type="dxa"/>
            <w:gridSpan w:val="2"/>
            <w:tcBorders>
              <w:top w:val="nil"/>
              <w:left w:val="nil"/>
              <w:bottom w:val="nil"/>
              <w:right w:val="nil"/>
            </w:tcBorders>
            <w:shd w:val="clear" w:color="auto" w:fill="auto"/>
            <w:vAlign w:val="center"/>
          </w:tcPr>
          <w:p w14:paraId="0FFBB8D7"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14</w:t>
            </w:r>
          </w:p>
        </w:tc>
        <w:tc>
          <w:tcPr>
            <w:tcW w:w="930" w:type="dxa"/>
            <w:gridSpan w:val="2"/>
            <w:tcBorders>
              <w:top w:val="nil"/>
              <w:left w:val="nil"/>
              <w:bottom w:val="nil"/>
              <w:right w:val="nil"/>
            </w:tcBorders>
            <w:shd w:val="clear" w:color="auto" w:fill="auto"/>
            <w:vAlign w:val="center"/>
          </w:tcPr>
          <w:p w14:paraId="46EED5A4"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19%</w:t>
            </w:r>
          </w:p>
        </w:tc>
        <w:tc>
          <w:tcPr>
            <w:tcW w:w="792" w:type="dxa"/>
            <w:gridSpan w:val="2"/>
            <w:tcBorders>
              <w:top w:val="nil"/>
              <w:left w:val="nil"/>
              <w:bottom w:val="nil"/>
              <w:right w:val="nil"/>
            </w:tcBorders>
            <w:shd w:val="clear" w:color="auto" w:fill="auto"/>
            <w:vAlign w:val="center"/>
          </w:tcPr>
          <w:p w14:paraId="5386BDA2"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w:t>
            </w:r>
          </w:p>
        </w:tc>
        <w:tc>
          <w:tcPr>
            <w:tcW w:w="790" w:type="dxa"/>
            <w:gridSpan w:val="2"/>
            <w:tcBorders>
              <w:top w:val="nil"/>
              <w:left w:val="nil"/>
              <w:bottom w:val="nil"/>
              <w:right w:val="nil"/>
            </w:tcBorders>
            <w:shd w:val="clear" w:color="auto" w:fill="auto"/>
            <w:vAlign w:val="center"/>
          </w:tcPr>
          <w:p w14:paraId="7325CD82"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18%</w:t>
            </w:r>
          </w:p>
        </w:tc>
        <w:tc>
          <w:tcPr>
            <w:tcW w:w="936" w:type="dxa"/>
            <w:gridSpan w:val="2"/>
            <w:tcBorders>
              <w:top w:val="nil"/>
              <w:left w:val="nil"/>
              <w:bottom w:val="nil"/>
              <w:right w:val="nil"/>
            </w:tcBorders>
            <w:shd w:val="clear" w:color="auto" w:fill="auto"/>
            <w:vAlign w:val="center"/>
          </w:tcPr>
          <w:p w14:paraId="0C49F661"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11</w:t>
            </w:r>
          </w:p>
        </w:tc>
        <w:tc>
          <w:tcPr>
            <w:tcW w:w="938" w:type="dxa"/>
            <w:gridSpan w:val="2"/>
            <w:tcBorders>
              <w:top w:val="nil"/>
              <w:left w:val="nil"/>
              <w:bottom w:val="nil"/>
              <w:right w:val="nil"/>
            </w:tcBorders>
            <w:shd w:val="clear" w:color="auto" w:fill="auto"/>
            <w:vAlign w:val="center"/>
          </w:tcPr>
          <w:p w14:paraId="0C7DAE59"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24%</w:t>
            </w:r>
          </w:p>
        </w:tc>
      </w:tr>
      <w:tr w:rsidR="00CF1059" w:rsidRPr="006A2C72" w14:paraId="4E730E00" w14:textId="77777777" w:rsidTr="00832728">
        <w:trPr>
          <w:trHeight w:val="302"/>
        </w:trPr>
        <w:tc>
          <w:tcPr>
            <w:tcW w:w="2718" w:type="dxa"/>
            <w:gridSpan w:val="2"/>
            <w:tcBorders>
              <w:top w:val="nil"/>
              <w:left w:val="nil"/>
              <w:bottom w:val="nil"/>
              <w:right w:val="nil"/>
            </w:tcBorders>
            <w:shd w:val="clear" w:color="auto" w:fill="auto"/>
            <w:vAlign w:val="center"/>
          </w:tcPr>
          <w:p w14:paraId="3D4580E9" w14:textId="77777777" w:rsidR="00CF1059" w:rsidRPr="00E35A60" w:rsidRDefault="00CF1059" w:rsidP="0040594E">
            <w:pPr>
              <w:pStyle w:val="NoSpacing"/>
              <w:ind w:left="360"/>
              <w:rPr>
                <w:rFonts w:asciiTheme="minorHAnsi" w:hAnsiTheme="minorHAnsi"/>
              </w:rPr>
            </w:pPr>
            <w:r w:rsidRPr="00E35A60">
              <w:rPr>
                <w:rFonts w:asciiTheme="minorHAnsi" w:hAnsiTheme="minorHAnsi"/>
              </w:rPr>
              <w:lastRenderedPageBreak/>
              <w:t>Adverse birth event</w:t>
            </w:r>
          </w:p>
        </w:tc>
        <w:tc>
          <w:tcPr>
            <w:tcW w:w="792" w:type="dxa"/>
            <w:gridSpan w:val="2"/>
            <w:tcBorders>
              <w:top w:val="nil"/>
              <w:left w:val="nil"/>
              <w:bottom w:val="nil"/>
              <w:right w:val="nil"/>
            </w:tcBorders>
            <w:shd w:val="clear" w:color="auto" w:fill="auto"/>
            <w:vAlign w:val="center"/>
          </w:tcPr>
          <w:p w14:paraId="2E6F4E4D"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8</w:t>
            </w:r>
          </w:p>
        </w:tc>
        <w:tc>
          <w:tcPr>
            <w:tcW w:w="792" w:type="dxa"/>
            <w:gridSpan w:val="2"/>
            <w:tcBorders>
              <w:top w:val="nil"/>
              <w:left w:val="nil"/>
              <w:bottom w:val="nil"/>
              <w:right w:val="nil"/>
            </w:tcBorders>
            <w:shd w:val="clear" w:color="auto" w:fill="auto"/>
            <w:vAlign w:val="center"/>
          </w:tcPr>
          <w:p w14:paraId="7F1BA9C6"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44%</w:t>
            </w:r>
            <w:r w:rsidRPr="00E35A60">
              <w:rPr>
                <w:rFonts w:asciiTheme="minorHAnsi" w:hAnsiTheme="minorHAnsi"/>
                <w:vertAlign w:val="superscript"/>
              </w:rPr>
              <w:t>‡</w:t>
            </w:r>
          </w:p>
        </w:tc>
        <w:tc>
          <w:tcPr>
            <w:tcW w:w="936" w:type="dxa"/>
            <w:gridSpan w:val="2"/>
            <w:tcBorders>
              <w:top w:val="nil"/>
              <w:left w:val="nil"/>
              <w:bottom w:val="nil"/>
              <w:right w:val="nil"/>
            </w:tcBorders>
            <w:shd w:val="clear" w:color="auto" w:fill="auto"/>
            <w:vAlign w:val="center"/>
          </w:tcPr>
          <w:p w14:paraId="634D0DE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11</w:t>
            </w:r>
          </w:p>
        </w:tc>
        <w:tc>
          <w:tcPr>
            <w:tcW w:w="930" w:type="dxa"/>
            <w:gridSpan w:val="2"/>
            <w:tcBorders>
              <w:top w:val="nil"/>
              <w:left w:val="nil"/>
              <w:bottom w:val="nil"/>
              <w:right w:val="nil"/>
            </w:tcBorders>
            <w:shd w:val="clear" w:color="auto" w:fill="auto"/>
            <w:vAlign w:val="center"/>
          </w:tcPr>
          <w:p w14:paraId="1E1B7C96"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15%</w:t>
            </w:r>
            <w:r w:rsidRPr="00E35A60">
              <w:rPr>
                <w:rFonts w:asciiTheme="minorHAnsi" w:hAnsiTheme="minorHAnsi"/>
                <w:vertAlign w:val="superscript"/>
              </w:rPr>
              <w:t>‡</w:t>
            </w:r>
          </w:p>
        </w:tc>
        <w:tc>
          <w:tcPr>
            <w:tcW w:w="792" w:type="dxa"/>
            <w:gridSpan w:val="2"/>
            <w:tcBorders>
              <w:top w:val="nil"/>
              <w:left w:val="nil"/>
              <w:bottom w:val="nil"/>
              <w:right w:val="nil"/>
            </w:tcBorders>
            <w:shd w:val="clear" w:color="auto" w:fill="auto"/>
            <w:vAlign w:val="center"/>
          </w:tcPr>
          <w:p w14:paraId="1F875146"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5</w:t>
            </w:r>
          </w:p>
        </w:tc>
        <w:tc>
          <w:tcPr>
            <w:tcW w:w="790" w:type="dxa"/>
            <w:gridSpan w:val="2"/>
            <w:tcBorders>
              <w:top w:val="nil"/>
              <w:left w:val="nil"/>
              <w:bottom w:val="nil"/>
              <w:right w:val="nil"/>
            </w:tcBorders>
            <w:shd w:val="clear" w:color="auto" w:fill="auto"/>
            <w:vAlign w:val="center"/>
          </w:tcPr>
          <w:p w14:paraId="2545A88C"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46%</w:t>
            </w:r>
            <w:r w:rsidRPr="00E35A60">
              <w:rPr>
                <w:rFonts w:asciiTheme="minorHAnsi" w:hAnsiTheme="minorHAnsi"/>
                <w:vertAlign w:val="superscript"/>
              </w:rPr>
              <w:t>‡</w:t>
            </w:r>
          </w:p>
        </w:tc>
        <w:tc>
          <w:tcPr>
            <w:tcW w:w="936" w:type="dxa"/>
            <w:gridSpan w:val="2"/>
            <w:tcBorders>
              <w:top w:val="nil"/>
              <w:left w:val="nil"/>
              <w:bottom w:val="nil"/>
              <w:right w:val="nil"/>
            </w:tcBorders>
            <w:shd w:val="clear" w:color="auto" w:fill="auto"/>
            <w:vAlign w:val="center"/>
          </w:tcPr>
          <w:p w14:paraId="7C5FCC96"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7</w:t>
            </w:r>
          </w:p>
        </w:tc>
        <w:tc>
          <w:tcPr>
            <w:tcW w:w="938" w:type="dxa"/>
            <w:gridSpan w:val="2"/>
            <w:tcBorders>
              <w:top w:val="nil"/>
              <w:left w:val="nil"/>
              <w:bottom w:val="nil"/>
              <w:right w:val="nil"/>
            </w:tcBorders>
            <w:shd w:val="clear" w:color="auto" w:fill="auto"/>
            <w:vAlign w:val="center"/>
          </w:tcPr>
          <w:p w14:paraId="02388C82"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16%</w:t>
            </w:r>
            <w:r w:rsidRPr="00E35A60">
              <w:rPr>
                <w:rFonts w:asciiTheme="minorHAnsi" w:hAnsiTheme="minorHAnsi"/>
                <w:vertAlign w:val="superscript"/>
              </w:rPr>
              <w:t>‡</w:t>
            </w:r>
          </w:p>
        </w:tc>
      </w:tr>
      <w:tr w:rsidR="00CF1059" w:rsidRPr="006A2C72" w14:paraId="38166ADE"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2EECE760" w14:textId="77777777" w:rsidR="00CF1059" w:rsidRPr="00E35A60" w:rsidRDefault="00CF1059" w:rsidP="0040594E">
            <w:pPr>
              <w:pStyle w:val="NoSpacing"/>
              <w:rPr>
                <w:rFonts w:asciiTheme="minorHAnsi" w:hAnsiTheme="minorHAnsi"/>
              </w:rPr>
            </w:pPr>
            <w:r w:rsidRPr="00E35A60">
              <w:rPr>
                <w:rFonts w:asciiTheme="minorHAnsi" w:hAnsiTheme="minorHAnsi"/>
              </w:rPr>
              <w:t>Other medical history</w:t>
            </w:r>
          </w:p>
        </w:tc>
        <w:tc>
          <w:tcPr>
            <w:tcW w:w="792" w:type="dxa"/>
            <w:gridSpan w:val="2"/>
            <w:tcBorders>
              <w:top w:val="nil"/>
              <w:left w:val="nil"/>
              <w:bottom w:val="nil"/>
              <w:right w:val="nil"/>
            </w:tcBorders>
            <w:shd w:val="clear" w:color="auto" w:fill="D9D9D9" w:themeFill="background1" w:themeFillShade="D9"/>
            <w:vAlign w:val="center"/>
          </w:tcPr>
          <w:p w14:paraId="51752265"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15B55256"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68247851"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D9D9D9" w:themeFill="background1" w:themeFillShade="D9"/>
            <w:vAlign w:val="center"/>
          </w:tcPr>
          <w:p w14:paraId="5A28BBC7"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D9D9D9" w:themeFill="background1" w:themeFillShade="D9"/>
            <w:vAlign w:val="center"/>
          </w:tcPr>
          <w:p w14:paraId="67B8A0E6"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D9D9D9" w:themeFill="background1" w:themeFillShade="D9"/>
            <w:vAlign w:val="center"/>
          </w:tcPr>
          <w:p w14:paraId="31018F11"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D9D9D9" w:themeFill="background1" w:themeFillShade="D9"/>
            <w:vAlign w:val="center"/>
          </w:tcPr>
          <w:p w14:paraId="23DA4E27"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D9D9D9" w:themeFill="background1" w:themeFillShade="D9"/>
            <w:vAlign w:val="center"/>
          </w:tcPr>
          <w:p w14:paraId="08F4F2E2" w14:textId="77777777" w:rsidR="00CF1059" w:rsidRPr="00E35A60" w:rsidRDefault="00CF1059" w:rsidP="0040594E">
            <w:pPr>
              <w:pStyle w:val="NoSpacing"/>
              <w:ind w:right="144"/>
              <w:jc w:val="right"/>
              <w:rPr>
                <w:rFonts w:asciiTheme="minorHAnsi" w:hAnsiTheme="minorHAnsi"/>
              </w:rPr>
            </w:pPr>
          </w:p>
        </w:tc>
      </w:tr>
      <w:tr w:rsidR="00CF1059" w:rsidRPr="006A2C72" w14:paraId="006CEADC"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4F0EAB47" w14:textId="77777777" w:rsidR="00CF1059" w:rsidRPr="00E35A60" w:rsidRDefault="00CF1059" w:rsidP="0040594E">
            <w:pPr>
              <w:pStyle w:val="NoSpacing"/>
              <w:ind w:left="360"/>
              <w:rPr>
                <w:rFonts w:asciiTheme="minorHAnsi" w:hAnsiTheme="minorHAnsi"/>
              </w:rPr>
            </w:pPr>
            <w:proofErr w:type="spellStart"/>
            <w:r w:rsidRPr="00E35A60">
              <w:rPr>
                <w:rFonts w:asciiTheme="minorHAnsi" w:hAnsiTheme="minorHAnsi"/>
              </w:rPr>
              <w:t>Breastfed</w:t>
            </w:r>
            <w:r w:rsidRPr="00E35A60">
              <w:rPr>
                <w:rFonts w:asciiTheme="minorHAnsi" w:hAnsiTheme="minorHAnsi"/>
                <w:vertAlign w:val="superscript"/>
              </w:rPr>
              <w:t>b</w:t>
            </w:r>
            <w:proofErr w:type="spellEnd"/>
          </w:p>
        </w:tc>
        <w:tc>
          <w:tcPr>
            <w:tcW w:w="792" w:type="dxa"/>
            <w:gridSpan w:val="2"/>
            <w:tcBorders>
              <w:top w:val="nil"/>
              <w:left w:val="nil"/>
              <w:bottom w:val="nil"/>
              <w:right w:val="nil"/>
            </w:tcBorders>
            <w:shd w:val="clear" w:color="auto" w:fill="D9D9D9" w:themeFill="background1" w:themeFillShade="D9"/>
            <w:vAlign w:val="center"/>
          </w:tcPr>
          <w:p w14:paraId="00CD9A77"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9</w:t>
            </w:r>
          </w:p>
        </w:tc>
        <w:tc>
          <w:tcPr>
            <w:tcW w:w="792" w:type="dxa"/>
            <w:gridSpan w:val="2"/>
            <w:tcBorders>
              <w:top w:val="nil"/>
              <w:left w:val="nil"/>
              <w:bottom w:val="nil"/>
              <w:right w:val="nil"/>
            </w:tcBorders>
            <w:shd w:val="clear" w:color="auto" w:fill="D9D9D9" w:themeFill="background1" w:themeFillShade="D9"/>
            <w:vAlign w:val="center"/>
          </w:tcPr>
          <w:p w14:paraId="6AAB6846"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50%</w:t>
            </w:r>
          </w:p>
        </w:tc>
        <w:tc>
          <w:tcPr>
            <w:tcW w:w="936" w:type="dxa"/>
            <w:gridSpan w:val="2"/>
            <w:tcBorders>
              <w:top w:val="nil"/>
              <w:left w:val="nil"/>
              <w:bottom w:val="nil"/>
              <w:right w:val="nil"/>
            </w:tcBorders>
            <w:shd w:val="clear" w:color="auto" w:fill="D9D9D9" w:themeFill="background1" w:themeFillShade="D9"/>
            <w:vAlign w:val="center"/>
          </w:tcPr>
          <w:p w14:paraId="4CCC233E"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40</w:t>
            </w:r>
          </w:p>
        </w:tc>
        <w:tc>
          <w:tcPr>
            <w:tcW w:w="930" w:type="dxa"/>
            <w:gridSpan w:val="2"/>
            <w:tcBorders>
              <w:top w:val="nil"/>
              <w:left w:val="nil"/>
              <w:bottom w:val="nil"/>
              <w:right w:val="nil"/>
            </w:tcBorders>
            <w:shd w:val="clear" w:color="auto" w:fill="D9D9D9" w:themeFill="background1" w:themeFillShade="D9"/>
            <w:vAlign w:val="center"/>
          </w:tcPr>
          <w:p w14:paraId="4E70D059"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54%</w:t>
            </w:r>
          </w:p>
        </w:tc>
        <w:tc>
          <w:tcPr>
            <w:tcW w:w="792" w:type="dxa"/>
            <w:gridSpan w:val="2"/>
            <w:tcBorders>
              <w:top w:val="nil"/>
              <w:left w:val="nil"/>
              <w:bottom w:val="nil"/>
              <w:right w:val="nil"/>
            </w:tcBorders>
            <w:shd w:val="clear" w:color="auto" w:fill="D9D9D9" w:themeFill="background1" w:themeFillShade="D9"/>
            <w:vAlign w:val="center"/>
          </w:tcPr>
          <w:p w14:paraId="58F5C377"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5</w:t>
            </w:r>
          </w:p>
        </w:tc>
        <w:tc>
          <w:tcPr>
            <w:tcW w:w="790" w:type="dxa"/>
            <w:gridSpan w:val="2"/>
            <w:tcBorders>
              <w:top w:val="nil"/>
              <w:left w:val="nil"/>
              <w:bottom w:val="nil"/>
              <w:right w:val="nil"/>
            </w:tcBorders>
            <w:shd w:val="clear" w:color="auto" w:fill="D9D9D9" w:themeFill="background1" w:themeFillShade="D9"/>
            <w:vAlign w:val="center"/>
          </w:tcPr>
          <w:p w14:paraId="6758A3F7"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46%</w:t>
            </w:r>
          </w:p>
        </w:tc>
        <w:tc>
          <w:tcPr>
            <w:tcW w:w="936" w:type="dxa"/>
            <w:gridSpan w:val="2"/>
            <w:tcBorders>
              <w:top w:val="nil"/>
              <w:left w:val="nil"/>
              <w:bottom w:val="nil"/>
              <w:right w:val="nil"/>
            </w:tcBorders>
            <w:shd w:val="clear" w:color="auto" w:fill="D9D9D9" w:themeFill="background1" w:themeFillShade="D9"/>
            <w:vAlign w:val="center"/>
          </w:tcPr>
          <w:p w14:paraId="4E971E9C"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24</w:t>
            </w:r>
          </w:p>
        </w:tc>
        <w:tc>
          <w:tcPr>
            <w:tcW w:w="938" w:type="dxa"/>
            <w:gridSpan w:val="2"/>
            <w:tcBorders>
              <w:top w:val="nil"/>
              <w:left w:val="nil"/>
              <w:bottom w:val="nil"/>
              <w:right w:val="nil"/>
            </w:tcBorders>
            <w:shd w:val="clear" w:color="auto" w:fill="D9D9D9" w:themeFill="background1" w:themeFillShade="D9"/>
            <w:vAlign w:val="center"/>
          </w:tcPr>
          <w:p w14:paraId="167E2562"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53%</w:t>
            </w:r>
          </w:p>
        </w:tc>
      </w:tr>
      <w:tr w:rsidR="00CF1059" w:rsidRPr="006A2C72" w14:paraId="0DECA811"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6D7AAD9F"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Mononucleosis</w:t>
            </w:r>
          </w:p>
        </w:tc>
        <w:tc>
          <w:tcPr>
            <w:tcW w:w="792" w:type="dxa"/>
            <w:gridSpan w:val="2"/>
            <w:tcBorders>
              <w:top w:val="nil"/>
              <w:left w:val="nil"/>
              <w:bottom w:val="nil"/>
              <w:right w:val="nil"/>
            </w:tcBorders>
            <w:shd w:val="clear" w:color="auto" w:fill="D9D9D9" w:themeFill="background1" w:themeFillShade="D9"/>
            <w:vAlign w:val="center"/>
          </w:tcPr>
          <w:p w14:paraId="16639358"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w:t>
            </w:r>
          </w:p>
        </w:tc>
        <w:tc>
          <w:tcPr>
            <w:tcW w:w="792" w:type="dxa"/>
            <w:gridSpan w:val="2"/>
            <w:tcBorders>
              <w:top w:val="nil"/>
              <w:left w:val="nil"/>
              <w:bottom w:val="nil"/>
              <w:right w:val="nil"/>
            </w:tcBorders>
            <w:shd w:val="clear" w:color="auto" w:fill="D9D9D9" w:themeFill="background1" w:themeFillShade="D9"/>
            <w:vAlign w:val="center"/>
          </w:tcPr>
          <w:p w14:paraId="05184940"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11%</w:t>
            </w:r>
          </w:p>
        </w:tc>
        <w:tc>
          <w:tcPr>
            <w:tcW w:w="936" w:type="dxa"/>
            <w:gridSpan w:val="2"/>
            <w:tcBorders>
              <w:top w:val="nil"/>
              <w:left w:val="nil"/>
              <w:bottom w:val="nil"/>
              <w:right w:val="nil"/>
            </w:tcBorders>
            <w:shd w:val="clear" w:color="auto" w:fill="D9D9D9" w:themeFill="background1" w:themeFillShade="D9"/>
            <w:vAlign w:val="center"/>
          </w:tcPr>
          <w:p w14:paraId="0FBECB2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4</w:t>
            </w:r>
          </w:p>
        </w:tc>
        <w:tc>
          <w:tcPr>
            <w:tcW w:w="930" w:type="dxa"/>
            <w:gridSpan w:val="2"/>
            <w:tcBorders>
              <w:top w:val="nil"/>
              <w:left w:val="nil"/>
              <w:bottom w:val="nil"/>
              <w:right w:val="nil"/>
            </w:tcBorders>
            <w:shd w:val="clear" w:color="auto" w:fill="D9D9D9" w:themeFill="background1" w:themeFillShade="D9"/>
            <w:vAlign w:val="center"/>
          </w:tcPr>
          <w:p w14:paraId="25848C22"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5%</w:t>
            </w:r>
          </w:p>
        </w:tc>
        <w:tc>
          <w:tcPr>
            <w:tcW w:w="792" w:type="dxa"/>
            <w:gridSpan w:val="2"/>
            <w:tcBorders>
              <w:top w:val="nil"/>
              <w:left w:val="nil"/>
              <w:bottom w:val="nil"/>
              <w:right w:val="nil"/>
            </w:tcBorders>
            <w:shd w:val="clear" w:color="auto" w:fill="D9D9D9" w:themeFill="background1" w:themeFillShade="D9"/>
            <w:vAlign w:val="center"/>
          </w:tcPr>
          <w:p w14:paraId="6900BC9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w:t>
            </w:r>
          </w:p>
        </w:tc>
        <w:tc>
          <w:tcPr>
            <w:tcW w:w="790" w:type="dxa"/>
            <w:gridSpan w:val="2"/>
            <w:tcBorders>
              <w:top w:val="nil"/>
              <w:left w:val="nil"/>
              <w:bottom w:val="nil"/>
              <w:right w:val="nil"/>
            </w:tcBorders>
            <w:shd w:val="clear" w:color="auto" w:fill="D9D9D9" w:themeFill="background1" w:themeFillShade="D9"/>
            <w:vAlign w:val="center"/>
          </w:tcPr>
          <w:p w14:paraId="5C4F7DDD"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9%</w:t>
            </w:r>
          </w:p>
        </w:tc>
        <w:tc>
          <w:tcPr>
            <w:tcW w:w="936" w:type="dxa"/>
            <w:gridSpan w:val="2"/>
            <w:tcBorders>
              <w:top w:val="nil"/>
              <w:left w:val="nil"/>
              <w:bottom w:val="nil"/>
              <w:right w:val="nil"/>
            </w:tcBorders>
            <w:shd w:val="clear" w:color="auto" w:fill="D9D9D9" w:themeFill="background1" w:themeFillShade="D9"/>
            <w:vAlign w:val="center"/>
          </w:tcPr>
          <w:p w14:paraId="709C6A0A"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w:t>
            </w:r>
          </w:p>
        </w:tc>
        <w:tc>
          <w:tcPr>
            <w:tcW w:w="938" w:type="dxa"/>
            <w:gridSpan w:val="2"/>
            <w:tcBorders>
              <w:top w:val="nil"/>
              <w:left w:val="nil"/>
              <w:bottom w:val="nil"/>
              <w:right w:val="nil"/>
            </w:tcBorders>
            <w:shd w:val="clear" w:color="auto" w:fill="D9D9D9" w:themeFill="background1" w:themeFillShade="D9"/>
            <w:vAlign w:val="center"/>
          </w:tcPr>
          <w:p w14:paraId="3B9CEAE8"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w:t>
            </w:r>
          </w:p>
        </w:tc>
      </w:tr>
      <w:tr w:rsidR="00CF1059" w:rsidRPr="006A2C72" w14:paraId="25593F34"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4AF8493A"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Antihistamine use</w:t>
            </w:r>
          </w:p>
        </w:tc>
        <w:tc>
          <w:tcPr>
            <w:tcW w:w="792" w:type="dxa"/>
            <w:gridSpan w:val="2"/>
            <w:tcBorders>
              <w:top w:val="nil"/>
              <w:left w:val="nil"/>
              <w:bottom w:val="nil"/>
              <w:right w:val="nil"/>
            </w:tcBorders>
            <w:shd w:val="clear" w:color="auto" w:fill="D9D9D9" w:themeFill="background1" w:themeFillShade="D9"/>
            <w:vAlign w:val="center"/>
          </w:tcPr>
          <w:p w14:paraId="321E00A0"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10</w:t>
            </w:r>
          </w:p>
        </w:tc>
        <w:tc>
          <w:tcPr>
            <w:tcW w:w="792" w:type="dxa"/>
            <w:gridSpan w:val="2"/>
            <w:tcBorders>
              <w:top w:val="nil"/>
              <w:left w:val="nil"/>
              <w:bottom w:val="nil"/>
              <w:right w:val="nil"/>
            </w:tcBorders>
            <w:shd w:val="clear" w:color="auto" w:fill="D9D9D9" w:themeFill="background1" w:themeFillShade="D9"/>
            <w:vAlign w:val="center"/>
          </w:tcPr>
          <w:p w14:paraId="440AC9B3"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56%</w:t>
            </w:r>
            <w:r w:rsidRPr="00E35A60">
              <w:rPr>
                <w:rFonts w:asciiTheme="minorHAnsi" w:hAnsiTheme="minorHAnsi"/>
                <w:vertAlign w:val="superscript"/>
              </w:rPr>
              <w:t>†</w:t>
            </w:r>
          </w:p>
        </w:tc>
        <w:tc>
          <w:tcPr>
            <w:tcW w:w="936" w:type="dxa"/>
            <w:gridSpan w:val="2"/>
            <w:tcBorders>
              <w:top w:val="nil"/>
              <w:left w:val="nil"/>
              <w:bottom w:val="nil"/>
              <w:right w:val="nil"/>
            </w:tcBorders>
            <w:shd w:val="clear" w:color="auto" w:fill="D9D9D9" w:themeFill="background1" w:themeFillShade="D9"/>
            <w:vAlign w:val="center"/>
          </w:tcPr>
          <w:p w14:paraId="6CE8AE1E"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25</w:t>
            </w:r>
          </w:p>
        </w:tc>
        <w:tc>
          <w:tcPr>
            <w:tcW w:w="930" w:type="dxa"/>
            <w:gridSpan w:val="2"/>
            <w:tcBorders>
              <w:top w:val="nil"/>
              <w:left w:val="nil"/>
              <w:bottom w:val="nil"/>
              <w:right w:val="nil"/>
            </w:tcBorders>
            <w:shd w:val="clear" w:color="auto" w:fill="D9D9D9" w:themeFill="background1" w:themeFillShade="D9"/>
            <w:vAlign w:val="center"/>
          </w:tcPr>
          <w:p w14:paraId="356CA9CA"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34%</w:t>
            </w:r>
            <w:r w:rsidRPr="00E35A60">
              <w:rPr>
                <w:rFonts w:asciiTheme="minorHAnsi" w:hAnsiTheme="minorHAnsi"/>
                <w:vertAlign w:val="superscript"/>
              </w:rPr>
              <w:t>†</w:t>
            </w:r>
          </w:p>
        </w:tc>
        <w:tc>
          <w:tcPr>
            <w:tcW w:w="792" w:type="dxa"/>
            <w:gridSpan w:val="2"/>
            <w:tcBorders>
              <w:top w:val="nil"/>
              <w:left w:val="nil"/>
              <w:bottom w:val="nil"/>
              <w:right w:val="nil"/>
            </w:tcBorders>
            <w:shd w:val="clear" w:color="auto" w:fill="D9D9D9" w:themeFill="background1" w:themeFillShade="D9"/>
            <w:vAlign w:val="center"/>
          </w:tcPr>
          <w:p w14:paraId="24BA6BA6"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5</w:t>
            </w:r>
          </w:p>
        </w:tc>
        <w:tc>
          <w:tcPr>
            <w:tcW w:w="790" w:type="dxa"/>
            <w:gridSpan w:val="2"/>
            <w:tcBorders>
              <w:top w:val="nil"/>
              <w:left w:val="nil"/>
              <w:bottom w:val="nil"/>
              <w:right w:val="nil"/>
            </w:tcBorders>
            <w:shd w:val="clear" w:color="auto" w:fill="D9D9D9" w:themeFill="background1" w:themeFillShade="D9"/>
            <w:vAlign w:val="center"/>
          </w:tcPr>
          <w:p w14:paraId="1EC07ACD"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46%</w:t>
            </w:r>
          </w:p>
        </w:tc>
        <w:tc>
          <w:tcPr>
            <w:tcW w:w="936" w:type="dxa"/>
            <w:gridSpan w:val="2"/>
            <w:tcBorders>
              <w:top w:val="nil"/>
              <w:left w:val="nil"/>
              <w:bottom w:val="nil"/>
              <w:right w:val="nil"/>
            </w:tcBorders>
            <w:shd w:val="clear" w:color="auto" w:fill="D9D9D9" w:themeFill="background1" w:themeFillShade="D9"/>
            <w:vAlign w:val="center"/>
          </w:tcPr>
          <w:p w14:paraId="5933C67D"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14</w:t>
            </w:r>
          </w:p>
        </w:tc>
        <w:tc>
          <w:tcPr>
            <w:tcW w:w="938" w:type="dxa"/>
            <w:gridSpan w:val="2"/>
            <w:tcBorders>
              <w:top w:val="nil"/>
              <w:left w:val="nil"/>
              <w:bottom w:val="nil"/>
              <w:right w:val="nil"/>
            </w:tcBorders>
            <w:shd w:val="clear" w:color="auto" w:fill="D9D9D9" w:themeFill="background1" w:themeFillShade="D9"/>
            <w:vAlign w:val="center"/>
          </w:tcPr>
          <w:p w14:paraId="32529635"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31%</w:t>
            </w:r>
          </w:p>
        </w:tc>
      </w:tr>
      <w:tr w:rsidR="00CF1059" w:rsidRPr="006A2C72" w14:paraId="14EC4E18" w14:textId="77777777" w:rsidTr="00832728">
        <w:trPr>
          <w:trHeight w:val="302"/>
        </w:trPr>
        <w:tc>
          <w:tcPr>
            <w:tcW w:w="2718" w:type="dxa"/>
            <w:gridSpan w:val="2"/>
            <w:tcBorders>
              <w:top w:val="nil"/>
              <w:left w:val="nil"/>
              <w:bottom w:val="nil"/>
              <w:right w:val="nil"/>
            </w:tcBorders>
            <w:shd w:val="clear" w:color="auto" w:fill="auto"/>
            <w:vAlign w:val="center"/>
          </w:tcPr>
          <w:p w14:paraId="6BDA8076" w14:textId="5FB11A4A" w:rsidR="00CF1059" w:rsidRPr="00E35A60" w:rsidRDefault="00CF1059" w:rsidP="0040594E">
            <w:pPr>
              <w:pStyle w:val="NoSpacing"/>
              <w:rPr>
                <w:rFonts w:asciiTheme="minorHAnsi" w:hAnsiTheme="minorHAnsi"/>
              </w:rPr>
            </w:pPr>
            <w:proofErr w:type="spellStart"/>
            <w:r w:rsidRPr="00E35A60">
              <w:rPr>
                <w:rFonts w:asciiTheme="minorHAnsi" w:hAnsiTheme="minorHAnsi"/>
              </w:rPr>
              <w:t>Exposures</w:t>
            </w:r>
            <w:r w:rsidR="000D71E9" w:rsidRPr="00E35A60">
              <w:rPr>
                <w:rFonts w:asciiTheme="minorHAnsi" w:hAnsiTheme="minorHAnsi"/>
                <w:vertAlign w:val="superscript"/>
              </w:rPr>
              <w:t>e</w:t>
            </w:r>
            <w:proofErr w:type="spellEnd"/>
          </w:p>
        </w:tc>
        <w:tc>
          <w:tcPr>
            <w:tcW w:w="792" w:type="dxa"/>
            <w:gridSpan w:val="2"/>
            <w:tcBorders>
              <w:top w:val="nil"/>
              <w:left w:val="nil"/>
              <w:bottom w:val="nil"/>
              <w:right w:val="nil"/>
            </w:tcBorders>
            <w:shd w:val="clear" w:color="auto" w:fill="auto"/>
            <w:vAlign w:val="center"/>
          </w:tcPr>
          <w:p w14:paraId="387F0F27"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7D750E60"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0EB57675"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628E2A76"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02FFE768"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2E5D41E5"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4AB5C21D"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39E4ADCC" w14:textId="77777777" w:rsidR="00CF1059" w:rsidRPr="00E35A60" w:rsidRDefault="00CF1059" w:rsidP="0040594E">
            <w:pPr>
              <w:pStyle w:val="NoSpacing"/>
              <w:ind w:right="144"/>
              <w:jc w:val="right"/>
              <w:rPr>
                <w:rFonts w:asciiTheme="minorHAnsi" w:hAnsiTheme="minorHAnsi"/>
              </w:rPr>
            </w:pPr>
          </w:p>
        </w:tc>
      </w:tr>
      <w:tr w:rsidR="00CF1059" w:rsidRPr="006A2C72" w14:paraId="00E826B7" w14:textId="77777777" w:rsidTr="00832728">
        <w:trPr>
          <w:trHeight w:val="302"/>
        </w:trPr>
        <w:tc>
          <w:tcPr>
            <w:tcW w:w="2718" w:type="dxa"/>
            <w:gridSpan w:val="2"/>
            <w:tcBorders>
              <w:top w:val="nil"/>
              <w:left w:val="nil"/>
              <w:bottom w:val="nil"/>
              <w:right w:val="nil"/>
            </w:tcBorders>
            <w:shd w:val="clear" w:color="auto" w:fill="auto"/>
            <w:vAlign w:val="center"/>
          </w:tcPr>
          <w:p w14:paraId="487CA02C"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Second-hand smoke</w:t>
            </w:r>
          </w:p>
        </w:tc>
        <w:tc>
          <w:tcPr>
            <w:tcW w:w="792" w:type="dxa"/>
            <w:gridSpan w:val="2"/>
            <w:tcBorders>
              <w:top w:val="nil"/>
              <w:left w:val="nil"/>
              <w:bottom w:val="nil"/>
              <w:right w:val="nil"/>
            </w:tcBorders>
            <w:shd w:val="clear" w:color="auto" w:fill="auto"/>
            <w:vAlign w:val="center"/>
          </w:tcPr>
          <w:p w14:paraId="70198D53"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4</w:t>
            </w:r>
          </w:p>
        </w:tc>
        <w:tc>
          <w:tcPr>
            <w:tcW w:w="792" w:type="dxa"/>
            <w:gridSpan w:val="2"/>
            <w:tcBorders>
              <w:top w:val="nil"/>
              <w:left w:val="nil"/>
              <w:bottom w:val="nil"/>
              <w:right w:val="nil"/>
            </w:tcBorders>
            <w:shd w:val="clear" w:color="auto" w:fill="auto"/>
            <w:vAlign w:val="center"/>
          </w:tcPr>
          <w:p w14:paraId="1F4FA516"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22%</w:t>
            </w:r>
            <w:r w:rsidRPr="00E35A60">
              <w:rPr>
                <w:rFonts w:asciiTheme="minorHAnsi" w:hAnsiTheme="minorHAnsi"/>
                <w:vertAlign w:val="superscript"/>
              </w:rPr>
              <w:t>†</w:t>
            </w:r>
          </w:p>
        </w:tc>
        <w:tc>
          <w:tcPr>
            <w:tcW w:w="936" w:type="dxa"/>
            <w:gridSpan w:val="2"/>
            <w:tcBorders>
              <w:top w:val="nil"/>
              <w:left w:val="nil"/>
              <w:bottom w:val="nil"/>
              <w:right w:val="nil"/>
            </w:tcBorders>
            <w:shd w:val="clear" w:color="auto" w:fill="auto"/>
            <w:vAlign w:val="center"/>
          </w:tcPr>
          <w:p w14:paraId="4D7D0140"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36</w:t>
            </w:r>
          </w:p>
        </w:tc>
        <w:tc>
          <w:tcPr>
            <w:tcW w:w="930" w:type="dxa"/>
            <w:gridSpan w:val="2"/>
            <w:tcBorders>
              <w:top w:val="nil"/>
              <w:left w:val="nil"/>
              <w:bottom w:val="nil"/>
              <w:right w:val="nil"/>
            </w:tcBorders>
            <w:shd w:val="clear" w:color="auto" w:fill="auto"/>
            <w:vAlign w:val="center"/>
          </w:tcPr>
          <w:p w14:paraId="4FA5E04C"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49%</w:t>
            </w:r>
            <w:r w:rsidRPr="00E35A60">
              <w:rPr>
                <w:rFonts w:asciiTheme="minorHAnsi" w:hAnsiTheme="minorHAnsi"/>
                <w:vertAlign w:val="superscript"/>
              </w:rPr>
              <w:t>†</w:t>
            </w:r>
          </w:p>
        </w:tc>
        <w:tc>
          <w:tcPr>
            <w:tcW w:w="792" w:type="dxa"/>
            <w:gridSpan w:val="2"/>
            <w:tcBorders>
              <w:top w:val="nil"/>
              <w:left w:val="nil"/>
              <w:bottom w:val="nil"/>
              <w:right w:val="nil"/>
            </w:tcBorders>
            <w:shd w:val="clear" w:color="auto" w:fill="auto"/>
            <w:vAlign w:val="center"/>
          </w:tcPr>
          <w:p w14:paraId="299A9A9A"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w:t>
            </w:r>
          </w:p>
        </w:tc>
        <w:tc>
          <w:tcPr>
            <w:tcW w:w="790" w:type="dxa"/>
            <w:gridSpan w:val="2"/>
            <w:tcBorders>
              <w:top w:val="nil"/>
              <w:left w:val="nil"/>
              <w:bottom w:val="nil"/>
              <w:right w:val="nil"/>
            </w:tcBorders>
            <w:shd w:val="clear" w:color="auto" w:fill="auto"/>
            <w:vAlign w:val="center"/>
          </w:tcPr>
          <w:p w14:paraId="2B29DB5D"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9%</w:t>
            </w:r>
          </w:p>
        </w:tc>
        <w:tc>
          <w:tcPr>
            <w:tcW w:w="936" w:type="dxa"/>
            <w:gridSpan w:val="2"/>
            <w:tcBorders>
              <w:top w:val="nil"/>
              <w:left w:val="nil"/>
              <w:bottom w:val="nil"/>
              <w:right w:val="nil"/>
            </w:tcBorders>
            <w:shd w:val="clear" w:color="auto" w:fill="auto"/>
            <w:vAlign w:val="center"/>
          </w:tcPr>
          <w:p w14:paraId="7FD15B51"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21</w:t>
            </w:r>
          </w:p>
        </w:tc>
        <w:tc>
          <w:tcPr>
            <w:tcW w:w="938" w:type="dxa"/>
            <w:gridSpan w:val="2"/>
            <w:tcBorders>
              <w:top w:val="nil"/>
              <w:left w:val="nil"/>
              <w:bottom w:val="nil"/>
              <w:right w:val="nil"/>
            </w:tcBorders>
            <w:shd w:val="clear" w:color="auto" w:fill="auto"/>
            <w:vAlign w:val="center"/>
          </w:tcPr>
          <w:p w14:paraId="1DA93F25"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47%</w:t>
            </w:r>
          </w:p>
        </w:tc>
      </w:tr>
      <w:tr w:rsidR="00CF1059" w:rsidRPr="006A2C72" w14:paraId="1592D9E5" w14:textId="77777777" w:rsidTr="00832728">
        <w:trPr>
          <w:trHeight w:val="302"/>
        </w:trPr>
        <w:tc>
          <w:tcPr>
            <w:tcW w:w="2718" w:type="dxa"/>
            <w:gridSpan w:val="2"/>
            <w:tcBorders>
              <w:top w:val="nil"/>
              <w:left w:val="nil"/>
              <w:bottom w:val="nil"/>
              <w:right w:val="nil"/>
            </w:tcBorders>
            <w:shd w:val="clear" w:color="auto" w:fill="auto"/>
            <w:vAlign w:val="center"/>
          </w:tcPr>
          <w:p w14:paraId="6521FDC4" w14:textId="77777777" w:rsidR="00CF1059" w:rsidRPr="00E35A60" w:rsidRDefault="00CF1059" w:rsidP="0040594E">
            <w:pPr>
              <w:pStyle w:val="NoSpacing"/>
              <w:ind w:left="360"/>
              <w:rPr>
                <w:rFonts w:asciiTheme="minorHAnsi" w:hAnsiTheme="minorHAnsi"/>
              </w:rPr>
            </w:pPr>
            <w:r w:rsidRPr="00E35A60">
              <w:rPr>
                <w:rFonts w:asciiTheme="minorHAnsi" w:hAnsiTheme="minorHAnsi"/>
              </w:rPr>
              <w:t>Bug repellent or pesticides</w:t>
            </w:r>
          </w:p>
        </w:tc>
        <w:tc>
          <w:tcPr>
            <w:tcW w:w="792" w:type="dxa"/>
            <w:gridSpan w:val="2"/>
            <w:tcBorders>
              <w:top w:val="nil"/>
              <w:left w:val="nil"/>
              <w:bottom w:val="nil"/>
              <w:right w:val="nil"/>
            </w:tcBorders>
            <w:shd w:val="clear" w:color="auto" w:fill="auto"/>
            <w:vAlign w:val="center"/>
          </w:tcPr>
          <w:p w14:paraId="64112663"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13</w:t>
            </w:r>
          </w:p>
        </w:tc>
        <w:tc>
          <w:tcPr>
            <w:tcW w:w="792" w:type="dxa"/>
            <w:gridSpan w:val="2"/>
            <w:tcBorders>
              <w:top w:val="nil"/>
              <w:left w:val="nil"/>
              <w:bottom w:val="nil"/>
              <w:right w:val="nil"/>
            </w:tcBorders>
            <w:shd w:val="clear" w:color="auto" w:fill="auto"/>
            <w:vAlign w:val="center"/>
          </w:tcPr>
          <w:p w14:paraId="00FA95A3"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72%</w:t>
            </w:r>
          </w:p>
        </w:tc>
        <w:tc>
          <w:tcPr>
            <w:tcW w:w="936" w:type="dxa"/>
            <w:gridSpan w:val="2"/>
            <w:tcBorders>
              <w:top w:val="nil"/>
              <w:left w:val="nil"/>
              <w:bottom w:val="nil"/>
              <w:right w:val="nil"/>
            </w:tcBorders>
            <w:shd w:val="clear" w:color="auto" w:fill="auto"/>
            <w:vAlign w:val="center"/>
          </w:tcPr>
          <w:p w14:paraId="284B3062"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58</w:t>
            </w:r>
          </w:p>
        </w:tc>
        <w:tc>
          <w:tcPr>
            <w:tcW w:w="930" w:type="dxa"/>
            <w:gridSpan w:val="2"/>
            <w:tcBorders>
              <w:top w:val="nil"/>
              <w:left w:val="nil"/>
              <w:bottom w:val="nil"/>
              <w:right w:val="nil"/>
            </w:tcBorders>
            <w:shd w:val="clear" w:color="auto" w:fill="auto"/>
            <w:vAlign w:val="center"/>
          </w:tcPr>
          <w:p w14:paraId="678BF2D9"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78%</w:t>
            </w:r>
          </w:p>
        </w:tc>
        <w:tc>
          <w:tcPr>
            <w:tcW w:w="792" w:type="dxa"/>
            <w:gridSpan w:val="2"/>
            <w:tcBorders>
              <w:top w:val="nil"/>
              <w:left w:val="nil"/>
              <w:bottom w:val="nil"/>
              <w:right w:val="nil"/>
            </w:tcBorders>
            <w:shd w:val="clear" w:color="auto" w:fill="auto"/>
            <w:vAlign w:val="center"/>
          </w:tcPr>
          <w:p w14:paraId="7EF04C9A"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9</w:t>
            </w:r>
          </w:p>
        </w:tc>
        <w:tc>
          <w:tcPr>
            <w:tcW w:w="790" w:type="dxa"/>
            <w:gridSpan w:val="2"/>
            <w:tcBorders>
              <w:top w:val="nil"/>
              <w:left w:val="nil"/>
              <w:bottom w:val="nil"/>
              <w:right w:val="nil"/>
            </w:tcBorders>
            <w:shd w:val="clear" w:color="auto" w:fill="auto"/>
            <w:vAlign w:val="center"/>
          </w:tcPr>
          <w:p w14:paraId="63B7A954"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82%</w:t>
            </w:r>
          </w:p>
        </w:tc>
        <w:tc>
          <w:tcPr>
            <w:tcW w:w="936" w:type="dxa"/>
            <w:gridSpan w:val="2"/>
            <w:tcBorders>
              <w:top w:val="nil"/>
              <w:left w:val="nil"/>
              <w:bottom w:val="nil"/>
              <w:right w:val="nil"/>
            </w:tcBorders>
            <w:shd w:val="clear" w:color="auto" w:fill="auto"/>
            <w:vAlign w:val="center"/>
          </w:tcPr>
          <w:p w14:paraId="17E7DF3F"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32</w:t>
            </w:r>
          </w:p>
        </w:tc>
        <w:tc>
          <w:tcPr>
            <w:tcW w:w="938" w:type="dxa"/>
            <w:gridSpan w:val="2"/>
            <w:tcBorders>
              <w:top w:val="nil"/>
              <w:left w:val="nil"/>
              <w:bottom w:val="nil"/>
              <w:right w:val="nil"/>
            </w:tcBorders>
            <w:shd w:val="clear" w:color="auto" w:fill="auto"/>
            <w:vAlign w:val="center"/>
          </w:tcPr>
          <w:p w14:paraId="356C44A9"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71%</w:t>
            </w:r>
          </w:p>
        </w:tc>
      </w:tr>
      <w:tr w:rsidR="00CF1059" w:rsidRPr="006A2C72" w14:paraId="3FA86DB7" w14:textId="77777777" w:rsidTr="00203936">
        <w:trPr>
          <w:trHeight w:val="302"/>
        </w:trPr>
        <w:tc>
          <w:tcPr>
            <w:tcW w:w="2718" w:type="dxa"/>
            <w:gridSpan w:val="2"/>
            <w:tcBorders>
              <w:top w:val="nil"/>
              <w:left w:val="nil"/>
              <w:bottom w:val="nil"/>
              <w:right w:val="nil"/>
            </w:tcBorders>
            <w:shd w:val="clear" w:color="auto" w:fill="auto"/>
            <w:vAlign w:val="center"/>
          </w:tcPr>
          <w:p w14:paraId="3DBDD925" w14:textId="2BB1FE7A" w:rsidR="00CF1059" w:rsidRPr="00E35A60" w:rsidRDefault="00CF1059" w:rsidP="0040594E">
            <w:pPr>
              <w:pStyle w:val="NoSpacing"/>
              <w:rPr>
                <w:rFonts w:asciiTheme="minorHAnsi" w:hAnsiTheme="minorHAnsi"/>
                <w:b/>
                <w:vertAlign w:val="superscript"/>
              </w:rPr>
            </w:pPr>
            <w:r w:rsidRPr="00E35A60">
              <w:rPr>
                <w:rFonts w:asciiTheme="minorHAnsi" w:hAnsiTheme="minorHAnsi"/>
                <w:b/>
              </w:rPr>
              <w:t xml:space="preserve">Household </w:t>
            </w:r>
            <w:proofErr w:type="spellStart"/>
            <w:r w:rsidR="00600AD5" w:rsidRPr="00E35A60">
              <w:rPr>
                <w:rFonts w:asciiTheme="minorHAnsi" w:hAnsiTheme="minorHAnsi"/>
                <w:b/>
              </w:rPr>
              <w:t>Exposures</w:t>
            </w:r>
            <w:r w:rsidR="00600AD5" w:rsidRPr="00E35A60">
              <w:rPr>
                <w:rFonts w:asciiTheme="minorHAnsi" w:hAnsiTheme="minorHAnsi"/>
                <w:b/>
                <w:vertAlign w:val="superscript"/>
              </w:rPr>
              <w:t>f</w:t>
            </w:r>
            <w:proofErr w:type="spellEnd"/>
          </w:p>
        </w:tc>
        <w:tc>
          <w:tcPr>
            <w:tcW w:w="792" w:type="dxa"/>
            <w:gridSpan w:val="2"/>
            <w:tcBorders>
              <w:top w:val="nil"/>
              <w:left w:val="nil"/>
              <w:bottom w:val="nil"/>
              <w:right w:val="nil"/>
            </w:tcBorders>
            <w:shd w:val="clear" w:color="auto" w:fill="auto"/>
            <w:vAlign w:val="center"/>
          </w:tcPr>
          <w:p w14:paraId="374027B3" w14:textId="77777777" w:rsidR="00CF1059" w:rsidRPr="00E35A60" w:rsidRDefault="00CF1059" w:rsidP="0040594E">
            <w:pPr>
              <w:pStyle w:val="NoSpacing"/>
              <w:ind w:right="9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333FCDE7"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31CAE286" w14:textId="77777777" w:rsidR="00CF1059" w:rsidRPr="00E35A60" w:rsidRDefault="00CF1059" w:rsidP="0040594E">
            <w:pPr>
              <w:pStyle w:val="NoSpacing"/>
              <w:ind w:right="245"/>
              <w:jc w:val="right"/>
              <w:rPr>
                <w:rFonts w:asciiTheme="minorHAnsi" w:hAnsiTheme="minorHAnsi"/>
              </w:rPr>
            </w:pPr>
          </w:p>
        </w:tc>
        <w:tc>
          <w:tcPr>
            <w:tcW w:w="930" w:type="dxa"/>
            <w:gridSpan w:val="2"/>
            <w:tcBorders>
              <w:top w:val="nil"/>
              <w:left w:val="nil"/>
              <w:bottom w:val="nil"/>
              <w:right w:val="nil"/>
            </w:tcBorders>
            <w:shd w:val="clear" w:color="auto" w:fill="auto"/>
            <w:vAlign w:val="center"/>
          </w:tcPr>
          <w:p w14:paraId="4F60ECB8" w14:textId="77777777" w:rsidR="00CF1059" w:rsidRPr="00E35A60" w:rsidRDefault="00CF1059" w:rsidP="0040594E">
            <w:pPr>
              <w:pStyle w:val="NoSpacing"/>
              <w:ind w:right="144"/>
              <w:jc w:val="right"/>
              <w:rPr>
                <w:rFonts w:asciiTheme="minorHAnsi" w:hAnsiTheme="minorHAnsi"/>
              </w:rPr>
            </w:pPr>
          </w:p>
        </w:tc>
        <w:tc>
          <w:tcPr>
            <w:tcW w:w="792" w:type="dxa"/>
            <w:gridSpan w:val="2"/>
            <w:tcBorders>
              <w:top w:val="nil"/>
              <w:left w:val="nil"/>
              <w:bottom w:val="nil"/>
              <w:right w:val="nil"/>
            </w:tcBorders>
            <w:shd w:val="clear" w:color="auto" w:fill="auto"/>
            <w:vAlign w:val="center"/>
          </w:tcPr>
          <w:p w14:paraId="546637F8" w14:textId="77777777" w:rsidR="00CF1059" w:rsidRPr="00E35A60" w:rsidRDefault="00CF1059" w:rsidP="0040594E">
            <w:pPr>
              <w:pStyle w:val="NoSpacing"/>
              <w:ind w:right="94"/>
              <w:jc w:val="right"/>
              <w:rPr>
                <w:rFonts w:asciiTheme="minorHAnsi" w:hAnsiTheme="minorHAnsi"/>
              </w:rPr>
            </w:pPr>
          </w:p>
        </w:tc>
        <w:tc>
          <w:tcPr>
            <w:tcW w:w="790" w:type="dxa"/>
            <w:gridSpan w:val="2"/>
            <w:tcBorders>
              <w:top w:val="nil"/>
              <w:left w:val="nil"/>
              <w:bottom w:val="nil"/>
              <w:right w:val="nil"/>
            </w:tcBorders>
            <w:shd w:val="clear" w:color="auto" w:fill="auto"/>
            <w:vAlign w:val="center"/>
          </w:tcPr>
          <w:p w14:paraId="707DF8DC" w14:textId="77777777" w:rsidR="00CF1059" w:rsidRPr="00E35A60" w:rsidRDefault="00CF1059" w:rsidP="0040594E">
            <w:pPr>
              <w:pStyle w:val="NoSpacing"/>
              <w:jc w:val="right"/>
              <w:rPr>
                <w:rFonts w:asciiTheme="minorHAnsi" w:hAnsiTheme="minorHAnsi"/>
              </w:rPr>
            </w:pPr>
          </w:p>
        </w:tc>
        <w:tc>
          <w:tcPr>
            <w:tcW w:w="936" w:type="dxa"/>
            <w:gridSpan w:val="2"/>
            <w:tcBorders>
              <w:top w:val="nil"/>
              <w:left w:val="nil"/>
              <w:bottom w:val="nil"/>
              <w:right w:val="nil"/>
            </w:tcBorders>
            <w:shd w:val="clear" w:color="auto" w:fill="auto"/>
            <w:vAlign w:val="center"/>
          </w:tcPr>
          <w:p w14:paraId="2BC112F9" w14:textId="77777777" w:rsidR="00CF1059" w:rsidRPr="00E35A60" w:rsidRDefault="00CF1059" w:rsidP="0040594E">
            <w:pPr>
              <w:pStyle w:val="NoSpacing"/>
              <w:ind w:right="245"/>
              <w:jc w:val="right"/>
              <w:rPr>
                <w:rFonts w:asciiTheme="minorHAnsi" w:hAnsiTheme="minorHAnsi"/>
              </w:rPr>
            </w:pPr>
          </w:p>
        </w:tc>
        <w:tc>
          <w:tcPr>
            <w:tcW w:w="938" w:type="dxa"/>
            <w:gridSpan w:val="2"/>
            <w:tcBorders>
              <w:top w:val="nil"/>
              <w:left w:val="nil"/>
              <w:bottom w:val="nil"/>
              <w:right w:val="nil"/>
            </w:tcBorders>
            <w:shd w:val="clear" w:color="auto" w:fill="auto"/>
            <w:vAlign w:val="center"/>
          </w:tcPr>
          <w:p w14:paraId="2901A876" w14:textId="77777777" w:rsidR="00CF1059" w:rsidRPr="00E35A60" w:rsidRDefault="00CF1059" w:rsidP="0040594E">
            <w:pPr>
              <w:pStyle w:val="NoSpacing"/>
              <w:ind w:right="144"/>
              <w:jc w:val="right"/>
              <w:rPr>
                <w:rFonts w:asciiTheme="minorHAnsi" w:hAnsiTheme="minorHAnsi"/>
              </w:rPr>
            </w:pPr>
          </w:p>
        </w:tc>
      </w:tr>
      <w:tr w:rsidR="00CF1059" w:rsidRPr="006A2C72" w14:paraId="38D15C7D"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3B85DDD2" w14:textId="77777777" w:rsidR="00CF1059" w:rsidRPr="00E35A60" w:rsidRDefault="00CF1059" w:rsidP="0040594E">
            <w:pPr>
              <w:pStyle w:val="NoSpacing"/>
              <w:rPr>
                <w:rFonts w:asciiTheme="minorHAnsi" w:hAnsiTheme="minorHAnsi"/>
              </w:rPr>
            </w:pPr>
            <w:r w:rsidRPr="00E35A60">
              <w:rPr>
                <w:rFonts w:asciiTheme="minorHAnsi" w:hAnsiTheme="minorHAnsi"/>
              </w:rPr>
              <w:t>Metals, alloys, solders</w:t>
            </w:r>
          </w:p>
        </w:tc>
        <w:tc>
          <w:tcPr>
            <w:tcW w:w="792" w:type="dxa"/>
            <w:gridSpan w:val="2"/>
            <w:tcBorders>
              <w:top w:val="nil"/>
              <w:left w:val="nil"/>
              <w:bottom w:val="nil"/>
              <w:right w:val="nil"/>
            </w:tcBorders>
            <w:shd w:val="clear" w:color="auto" w:fill="D9D9D9" w:themeFill="background1" w:themeFillShade="D9"/>
            <w:vAlign w:val="center"/>
          </w:tcPr>
          <w:p w14:paraId="199BA10D"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5</w:t>
            </w:r>
          </w:p>
        </w:tc>
        <w:tc>
          <w:tcPr>
            <w:tcW w:w="792" w:type="dxa"/>
            <w:gridSpan w:val="2"/>
            <w:tcBorders>
              <w:top w:val="nil"/>
              <w:left w:val="nil"/>
              <w:bottom w:val="nil"/>
              <w:right w:val="nil"/>
            </w:tcBorders>
            <w:shd w:val="clear" w:color="auto" w:fill="D9D9D9" w:themeFill="background1" w:themeFillShade="D9"/>
            <w:vAlign w:val="center"/>
          </w:tcPr>
          <w:p w14:paraId="027E2873"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28%</w:t>
            </w:r>
          </w:p>
        </w:tc>
        <w:tc>
          <w:tcPr>
            <w:tcW w:w="936" w:type="dxa"/>
            <w:gridSpan w:val="2"/>
            <w:tcBorders>
              <w:top w:val="nil"/>
              <w:left w:val="nil"/>
              <w:bottom w:val="nil"/>
              <w:right w:val="nil"/>
            </w:tcBorders>
            <w:shd w:val="clear" w:color="auto" w:fill="D9D9D9" w:themeFill="background1" w:themeFillShade="D9"/>
            <w:vAlign w:val="center"/>
          </w:tcPr>
          <w:p w14:paraId="3CE26426"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10</w:t>
            </w:r>
          </w:p>
        </w:tc>
        <w:tc>
          <w:tcPr>
            <w:tcW w:w="930" w:type="dxa"/>
            <w:gridSpan w:val="2"/>
            <w:tcBorders>
              <w:top w:val="nil"/>
              <w:left w:val="nil"/>
              <w:bottom w:val="nil"/>
              <w:right w:val="nil"/>
            </w:tcBorders>
            <w:shd w:val="clear" w:color="auto" w:fill="D9D9D9" w:themeFill="background1" w:themeFillShade="D9"/>
            <w:vAlign w:val="center"/>
          </w:tcPr>
          <w:p w14:paraId="5428CB44"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14%</w:t>
            </w:r>
          </w:p>
        </w:tc>
        <w:tc>
          <w:tcPr>
            <w:tcW w:w="792" w:type="dxa"/>
            <w:gridSpan w:val="2"/>
            <w:tcBorders>
              <w:top w:val="nil"/>
              <w:left w:val="nil"/>
              <w:bottom w:val="nil"/>
              <w:right w:val="nil"/>
            </w:tcBorders>
            <w:shd w:val="clear" w:color="auto" w:fill="D9D9D9" w:themeFill="background1" w:themeFillShade="D9"/>
            <w:vAlign w:val="center"/>
          </w:tcPr>
          <w:p w14:paraId="3C0AC8CB"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5</w:t>
            </w:r>
          </w:p>
        </w:tc>
        <w:tc>
          <w:tcPr>
            <w:tcW w:w="790" w:type="dxa"/>
            <w:gridSpan w:val="2"/>
            <w:tcBorders>
              <w:top w:val="nil"/>
              <w:left w:val="nil"/>
              <w:bottom w:val="nil"/>
              <w:right w:val="nil"/>
            </w:tcBorders>
            <w:shd w:val="clear" w:color="auto" w:fill="D9D9D9" w:themeFill="background1" w:themeFillShade="D9"/>
            <w:vAlign w:val="center"/>
          </w:tcPr>
          <w:p w14:paraId="04C5EC77"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46%</w:t>
            </w:r>
          </w:p>
        </w:tc>
        <w:tc>
          <w:tcPr>
            <w:tcW w:w="936" w:type="dxa"/>
            <w:gridSpan w:val="2"/>
            <w:tcBorders>
              <w:top w:val="nil"/>
              <w:left w:val="nil"/>
              <w:bottom w:val="nil"/>
              <w:right w:val="nil"/>
            </w:tcBorders>
            <w:shd w:val="clear" w:color="auto" w:fill="D9D9D9" w:themeFill="background1" w:themeFillShade="D9"/>
            <w:vAlign w:val="center"/>
          </w:tcPr>
          <w:p w14:paraId="380D471B"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4</w:t>
            </w:r>
          </w:p>
        </w:tc>
        <w:tc>
          <w:tcPr>
            <w:tcW w:w="938" w:type="dxa"/>
            <w:gridSpan w:val="2"/>
            <w:tcBorders>
              <w:top w:val="nil"/>
              <w:left w:val="nil"/>
              <w:bottom w:val="nil"/>
              <w:right w:val="nil"/>
            </w:tcBorders>
            <w:shd w:val="clear" w:color="auto" w:fill="D9D9D9" w:themeFill="background1" w:themeFillShade="D9"/>
            <w:vAlign w:val="center"/>
          </w:tcPr>
          <w:p w14:paraId="706DA149"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9%</w:t>
            </w:r>
          </w:p>
        </w:tc>
      </w:tr>
      <w:tr w:rsidR="00CF1059" w:rsidRPr="006A2C72" w14:paraId="41567BEF" w14:textId="77777777" w:rsidTr="00832728">
        <w:trPr>
          <w:trHeight w:val="302"/>
        </w:trPr>
        <w:tc>
          <w:tcPr>
            <w:tcW w:w="2718" w:type="dxa"/>
            <w:gridSpan w:val="2"/>
            <w:tcBorders>
              <w:top w:val="nil"/>
              <w:left w:val="nil"/>
              <w:bottom w:val="nil"/>
              <w:right w:val="nil"/>
            </w:tcBorders>
            <w:shd w:val="clear" w:color="auto" w:fill="auto"/>
            <w:vAlign w:val="center"/>
          </w:tcPr>
          <w:p w14:paraId="52D601B3" w14:textId="77777777" w:rsidR="00CF1059" w:rsidRPr="00E35A60" w:rsidRDefault="00CF1059" w:rsidP="0040594E">
            <w:pPr>
              <w:pStyle w:val="NoSpacing"/>
              <w:rPr>
                <w:rFonts w:asciiTheme="minorHAnsi" w:hAnsiTheme="minorHAnsi"/>
              </w:rPr>
            </w:pPr>
            <w:r w:rsidRPr="00E35A60">
              <w:rPr>
                <w:rFonts w:asciiTheme="minorHAnsi" w:hAnsiTheme="minorHAnsi"/>
              </w:rPr>
              <w:t>Plastics, synthetics,  resins</w:t>
            </w:r>
          </w:p>
        </w:tc>
        <w:tc>
          <w:tcPr>
            <w:tcW w:w="792" w:type="dxa"/>
            <w:gridSpan w:val="2"/>
            <w:tcBorders>
              <w:top w:val="nil"/>
              <w:left w:val="nil"/>
              <w:bottom w:val="nil"/>
              <w:right w:val="nil"/>
            </w:tcBorders>
            <w:shd w:val="clear" w:color="auto" w:fill="auto"/>
            <w:vAlign w:val="center"/>
          </w:tcPr>
          <w:p w14:paraId="770C052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7</w:t>
            </w:r>
          </w:p>
        </w:tc>
        <w:tc>
          <w:tcPr>
            <w:tcW w:w="792" w:type="dxa"/>
            <w:gridSpan w:val="2"/>
            <w:tcBorders>
              <w:top w:val="nil"/>
              <w:left w:val="nil"/>
              <w:bottom w:val="nil"/>
              <w:right w:val="nil"/>
            </w:tcBorders>
            <w:shd w:val="clear" w:color="auto" w:fill="auto"/>
            <w:vAlign w:val="center"/>
          </w:tcPr>
          <w:p w14:paraId="232E4378"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39%</w:t>
            </w:r>
          </w:p>
        </w:tc>
        <w:tc>
          <w:tcPr>
            <w:tcW w:w="936" w:type="dxa"/>
            <w:gridSpan w:val="2"/>
            <w:tcBorders>
              <w:top w:val="nil"/>
              <w:left w:val="nil"/>
              <w:bottom w:val="nil"/>
              <w:right w:val="nil"/>
            </w:tcBorders>
            <w:shd w:val="clear" w:color="auto" w:fill="auto"/>
            <w:vAlign w:val="center"/>
          </w:tcPr>
          <w:p w14:paraId="40DF2324"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17</w:t>
            </w:r>
          </w:p>
        </w:tc>
        <w:tc>
          <w:tcPr>
            <w:tcW w:w="930" w:type="dxa"/>
            <w:gridSpan w:val="2"/>
            <w:tcBorders>
              <w:top w:val="nil"/>
              <w:left w:val="nil"/>
              <w:bottom w:val="nil"/>
              <w:right w:val="nil"/>
            </w:tcBorders>
            <w:shd w:val="clear" w:color="auto" w:fill="auto"/>
            <w:vAlign w:val="center"/>
          </w:tcPr>
          <w:p w14:paraId="4B540008"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23%</w:t>
            </w:r>
          </w:p>
        </w:tc>
        <w:tc>
          <w:tcPr>
            <w:tcW w:w="792" w:type="dxa"/>
            <w:gridSpan w:val="2"/>
            <w:tcBorders>
              <w:top w:val="nil"/>
              <w:left w:val="nil"/>
              <w:bottom w:val="nil"/>
              <w:right w:val="nil"/>
            </w:tcBorders>
            <w:shd w:val="clear" w:color="auto" w:fill="auto"/>
            <w:vAlign w:val="center"/>
          </w:tcPr>
          <w:p w14:paraId="70921895"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5</w:t>
            </w:r>
          </w:p>
        </w:tc>
        <w:tc>
          <w:tcPr>
            <w:tcW w:w="790" w:type="dxa"/>
            <w:gridSpan w:val="2"/>
            <w:tcBorders>
              <w:top w:val="nil"/>
              <w:left w:val="nil"/>
              <w:bottom w:val="nil"/>
              <w:right w:val="nil"/>
            </w:tcBorders>
            <w:shd w:val="clear" w:color="auto" w:fill="auto"/>
            <w:vAlign w:val="center"/>
          </w:tcPr>
          <w:p w14:paraId="2FC5F8A0"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46%</w:t>
            </w:r>
            <w:r w:rsidRPr="00E35A60">
              <w:rPr>
                <w:rFonts w:asciiTheme="minorHAnsi" w:hAnsiTheme="minorHAnsi"/>
                <w:vertAlign w:val="superscript"/>
              </w:rPr>
              <w:t>†</w:t>
            </w:r>
          </w:p>
        </w:tc>
        <w:tc>
          <w:tcPr>
            <w:tcW w:w="936" w:type="dxa"/>
            <w:gridSpan w:val="2"/>
            <w:tcBorders>
              <w:top w:val="nil"/>
              <w:left w:val="nil"/>
              <w:bottom w:val="nil"/>
              <w:right w:val="nil"/>
            </w:tcBorders>
            <w:shd w:val="clear" w:color="auto" w:fill="auto"/>
            <w:vAlign w:val="center"/>
          </w:tcPr>
          <w:p w14:paraId="58DFEC90"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8</w:t>
            </w:r>
          </w:p>
        </w:tc>
        <w:tc>
          <w:tcPr>
            <w:tcW w:w="938" w:type="dxa"/>
            <w:gridSpan w:val="2"/>
            <w:tcBorders>
              <w:top w:val="nil"/>
              <w:left w:val="nil"/>
              <w:bottom w:val="nil"/>
              <w:right w:val="nil"/>
            </w:tcBorders>
            <w:shd w:val="clear" w:color="auto" w:fill="auto"/>
            <w:vAlign w:val="center"/>
          </w:tcPr>
          <w:p w14:paraId="2183335F"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18%</w:t>
            </w:r>
            <w:r w:rsidRPr="00E35A60">
              <w:rPr>
                <w:rFonts w:asciiTheme="minorHAnsi" w:hAnsiTheme="minorHAnsi"/>
                <w:vertAlign w:val="superscript"/>
              </w:rPr>
              <w:t>†</w:t>
            </w:r>
          </w:p>
        </w:tc>
      </w:tr>
      <w:tr w:rsidR="00CF1059" w:rsidRPr="006A2C72" w14:paraId="0F2DDED0" w14:textId="77777777" w:rsidTr="00832728">
        <w:trPr>
          <w:trHeight w:val="302"/>
        </w:trPr>
        <w:tc>
          <w:tcPr>
            <w:tcW w:w="2718" w:type="dxa"/>
            <w:gridSpan w:val="2"/>
            <w:tcBorders>
              <w:top w:val="nil"/>
              <w:left w:val="nil"/>
              <w:bottom w:val="nil"/>
              <w:right w:val="nil"/>
            </w:tcBorders>
            <w:shd w:val="clear" w:color="auto" w:fill="D9D9D9" w:themeFill="background1" w:themeFillShade="D9"/>
            <w:vAlign w:val="center"/>
          </w:tcPr>
          <w:p w14:paraId="2DDD510C" w14:textId="77777777" w:rsidR="00CF1059" w:rsidRPr="00E35A60" w:rsidRDefault="00CF1059" w:rsidP="0040594E">
            <w:pPr>
              <w:pStyle w:val="NoSpacing"/>
              <w:rPr>
                <w:rFonts w:asciiTheme="minorHAnsi" w:hAnsiTheme="minorHAnsi"/>
              </w:rPr>
            </w:pPr>
            <w:r w:rsidRPr="00E35A60">
              <w:rPr>
                <w:rFonts w:asciiTheme="minorHAnsi" w:hAnsiTheme="minorHAnsi"/>
              </w:rPr>
              <w:t>Exhaust fumes</w:t>
            </w:r>
          </w:p>
        </w:tc>
        <w:tc>
          <w:tcPr>
            <w:tcW w:w="792" w:type="dxa"/>
            <w:gridSpan w:val="2"/>
            <w:tcBorders>
              <w:top w:val="nil"/>
              <w:left w:val="nil"/>
              <w:bottom w:val="nil"/>
              <w:right w:val="nil"/>
            </w:tcBorders>
            <w:shd w:val="clear" w:color="auto" w:fill="D9D9D9" w:themeFill="background1" w:themeFillShade="D9"/>
            <w:vAlign w:val="center"/>
          </w:tcPr>
          <w:p w14:paraId="1E7B0F4E"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3</w:t>
            </w:r>
          </w:p>
        </w:tc>
        <w:tc>
          <w:tcPr>
            <w:tcW w:w="792" w:type="dxa"/>
            <w:gridSpan w:val="2"/>
            <w:tcBorders>
              <w:top w:val="nil"/>
              <w:left w:val="nil"/>
              <w:bottom w:val="nil"/>
              <w:right w:val="nil"/>
            </w:tcBorders>
            <w:shd w:val="clear" w:color="auto" w:fill="D9D9D9" w:themeFill="background1" w:themeFillShade="D9"/>
            <w:vAlign w:val="center"/>
          </w:tcPr>
          <w:p w14:paraId="7206E3EC"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17%</w:t>
            </w:r>
          </w:p>
        </w:tc>
        <w:tc>
          <w:tcPr>
            <w:tcW w:w="936" w:type="dxa"/>
            <w:gridSpan w:val="2"/>
            <w:tcBorders>
              <w:top w:val="nil"/>
              <w:left w:val="nil"/>
              <w:bottom w:val="nil"/>
              <w:right w:val="nil"/>
            </w:tcBorders>
            <w:shd w:val="clear" w:color="auto" w:fill="D9D9D9" w:themeFill="background1" w:themeFillShade="D9"/>
            <w:vAlign w:val="center"/>
          </w:tcPr>
          <w:p w14:paraId="0D62C49B"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6</w:t>
            </w:r>
          </w:p>
        </w:tc>
        <w:tc>
          <w:tcPr>
            <w:tcW w:w="930" w:type="dxa"/>
            <w:gridSpan w:val="2"/>
            <w:tcBorders>
              <w:top w:val="nil"/>
              <w:left w:val="nil"/>
              <w:bottom w:val="nil"/>
              <w:right w:val="nil"/>
            </w:tcBorders>
            <w:shd w:val="clear" w:color="auto" w:fill="D9D9D9" w:themeFill="background1" w:themeFillShade="D9"/>
            <w:vAlign w:val="center"/>
          </w:tcPr>
          <w:p w14:paraId="211D2921"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8%</w:t>
            </w:r>
          </w:p>
        </w:tc>
        <w:tc>
          <w:tcPr>
            <w:tcW w:w="792" w:type="dxa"/>
            <w:gridSpan w:val="2"/>
            <w:tcBorders>
              <w:top w:val="nil"/>
              <w:left w:val="nil"/>
              <w:bottom w:val="nil"/>
              <w:right w:val="nil"/>
            </w:tcBorders>
            <w:shd w:val="clear" w:color="auto" w:fill="D9D9D9" w:themeFill="background1" w:themeFillShade="D9"/>
            <w:vAlign w:val="center"/>
          </w:tcPr>
          <w:p w14:paraId="76BFA104"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2</w:t>
            </w:r>
          </w:p>
        </w:tc>
        <w:tc>
          <w:tcPr>
            <w:tcW w:w="790" w:type="dxa"/>
            <w:gridSpan w:val="2"/>
            <w:tcBorders>
              <w:top w:val="nil"/>
              <w:left w:val="nil"/>
              <w:bottom w:val="nil"/>
              <w:right w:val="nil"/>
            </w:tcBorders>
            <w:shd w:val="clear" w:color="auto" w:fill="D9D9D9" w:themeFill="background1" w:themeFillShade="D9"/>
            <w:vAlign w:val="center"/>
          </w:tcPr>
          <w:p w14:paraId="309101FA"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18%</w:t>
            </w:r>
          </w:p>
        </w:tc>
        <w:tc>
          <w:tcPr>
            <w:tcW w:w="936" w:type="dxa"/>
            <w:gridSpan w:val="2"/>
            <w:tcBorders>
              <w:top w:val="nil"/>
              <w:left w:val="nil"/>
              <w:bottom w:val="nil"/>
              <w:right w:val="nil"/>
            </w:tcBorders>
            <w:shd w:val="clear" w:color="auto" w:fill="D9D9D9" w:themeFill="background1" w:themeFillShade="D9"/>
            <w:vAlign w:val="center"/>
          </w:tcPr>
          <w:p w14:paraId="4605A079"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w:t>
            </w:r>
          </w:p>
        </w:tc>
        <w:tc>
          <w:tcPr>
            <w:tcW w:w="938" w:type="dxa"/>
            <w:gridSpan w:val="2"/>
            <w:tcBorders>
              <w:top w:val="nil"/>
              <w:left w:val="nil"/>
              <w:bottom w:val="nil"/>
              <w:right w:val="nil"/>
            </w:tcBorders>
            <w:shd w:val="clear" w:color="auto" w:fill="D9D9D9" w:themeFill="background1" w:themeFillShade="D9"/>
            <w:vAlign w:val="center"/>
          </w:tcPr>
          <w:p w14:paraId="60EA14D3"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4%</w:t>
            </w:r>
          </w:p>
        </w:tc>
      </w:tr>
      <w:tr w:rsidR="00CF1059" w:rsidRPr="006A2C72" w14:paraId="6A13DDFE" w14:textId="77777777" w:rsidTr="00832728">
        <w:trPr>
          <w:trHeight w:val="302"/>
        </w:trPr>
        <w:tc>
          <w:tcPr>
            <w:tcW w:w="2718" w:type="dxa"/>
            <w:gridSpan w:val="2"/>
            <w:tcBorders>
              <w:top w:val="nil"/>
              <w:left w:val="nil"/>
              <w:bottom w:val="single" w:sz="4" w:space="0" w:color="auto"/>
              <w:right w:val="nil"/>
            </w:tcBorders>
            <w:shd w:val="clear" w:color="auto" w:fill="auto"/>
            <w:vAlign w:val="center"/>
          </w:tcPr>
          <w:p w14:paraId="6DC98436" w14:textId="77777777" w:rsidR="00CF1059" w:rsidRPr="00E35A60" w:rsidRDefault="00CF1059" w:rsidP="0040594E">
            <w:pPr>
              <w:pStyle w:val="NoSpacing"/>
              <w:rPr>
                <w:rFonts w:asciiTheme="minorHAnsi" w:hAnsiTheme="minorHAnsi"/>
              </w:rPr>
            </w:pPr>
            <w:r w:rsidRPr="00E35A60">
              <w:rPr>
                <w:rFonts w:asciiTheme="minorHAnsi" w:hAnsiTheme="minorHAnsi"/>
              </w:rPr>
              <w:t>Herbicides</w:t>
            </w:r>
          </w:p>
        </w:tc>
        <w:tc>
          <w:tcPr>
            <w:tcW w:w="792" w:type="dxa"/>
            <w:gridSpan w:val="2"/>
            <w:tcBorders>
              <w:top w:val="nil"/>
              <w:left w:val="nil"/>
              <w:bottom w:val="single" w:sz="4" w:space="0" w:color="auto"/>
              <w:right w:val="nil"/>
            </w:tcBorders>
            <w:shd w:val="clear" w:color="auto" w:fill="auto"/>
            <w:vAlign w:val="center"/>
          </w:tcPr>
          <w:p w14:paraId="66E203BA"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12</w:t>
            </w:r>
          </w:p>
        </w:tc>
        <w:tc>
          <w:tcPr>
            <w:tcW w:w="792" w:type="dxa"/>
            <w:gridSpan w:val="2"/>
            <w:tcBorders>
              <w:top w:val="nil"/>
              <w:left w:val="nil"/>
              <w:bottom w:val="single" w:sz="4" w:space="0" w:color="auto"/>
              <w:right w:val="nil"/>
            </w:tcBorders>
            <w:shd w:val="clear" w:color="auto" w:fill="auto"/>
            <w:vAlign w:val="center"/>
          </w:tcPr>
          <w:p w14:paraId="07B5D702"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67%</w:t>
            </w:r>
          </w:p>
        </w:tc>
        <w:tc>
          <w:tcPr>
            <w:tcW w:w="936" w:type="dxa"/>
            <w:gridSpan w:val="2"/>
            <w:tcBorders>
              <w:top w:val="nil"/>
              <w:left w:val="nil"/>
              <w:bottom w:val="single" w:sz="4" w:space="0" w:color="auto"/>
              <w:right w:val="nil"/>
            </w:tcBorders>
            <w:shd w:val="clear" w:color="auto" w:fill="auto"/>
            <w:vAlign w:val="center"/>
          </w:tcPr>
          <w:p w14:paraId="6606126F"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40</w:t>
            </w:r>
          </w:p>
        </w:tc>
        <w:tc>
          <w:tcPr>
            <w:tcW w:w="930" w:type="dxa"/>
            <w:gridSpan w:val="2"/>
            <w:tcBorders>
              <w:top w:val="nil"/>
              <w:left w:val="nil"/>
              <w:bottom w:val="single" w:sz="4" w:space="0" w:color="auto"/>
              <w:right w:val="nil"/>
            </w:tcBorders>
            <w:shd w:val="clear" w:color="auto" w:fill="auto"/>
            <w:vAlign w:val="center"/>
          </w:tcPr>
          <w:p w14:paraId="11FE1AB2"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54%</w:t>
            </w:r>
          </w:p>
        </w:tc>
        <w:tc>
          <w:tcPr>
            <w:tcW w:w="792" w:type="dxa"/>
            <w:gridSpan w:val="2"/>
            <w:tcBorders>
              <w:top w:val="nil"/>
              <w:left w:val="nil"/>
              <w:bottom w:val="single" w:sz="4" w:space="0" w:color="auto"/>
              <w:right w:val="nil"/>
            </w:tcBorders>
            <w:shd w:val="clear" w:color="auto" w:fill="auto"/>
            <w:vAlign w:val="center"/>
          </w:tcPr>
          <w:p w14:paraId="5C52E77E" w14:textId="77777777" w:rsidR="00CF1059" w:rsidRPr="00E35A60" w:rsidRDefault="00CF1059" w:rsidP="0040594E">
            <w:pPr>
              <w:pStyle w:val="NoSpacing"/>
              <w:ind w:right="94"/>
              <w:jc w:val="right"/>
              <w:rPr>
                <w:rFonts w:asciiTheme="minorHAnsi" w:hAnsiTheme="minorHAnsi"/>
              </w:rPr>
            </w:pPr>
            <w:r w:rsidRPr="00E35A60">
              <w:rPr>
                <w:rFonts w:asciiTheme="minorHAnsi" w:hAnsiTheme="minorHAnsi"/>
              </w:rPr>
              <w:t>8</w:t>
            </w:r>
          </w:p>
        </w:tc>
        <w:tc>
          <w:tcPr>
            <w:tcW w:w="790" w:type="dxa"/>
            <w:gridSpan w:val="2"/>
            <w:tcBorders>
              <w:top w:val="nil"/>
              <w:left w:val="nil"/>
              <w:bottom w:val="single" w:sz="4" w:space="0" w:color="auto"/>
              <w:right w:val="nil"/>
            </w:tcBorders>
            <w:shd w:val="clear" w:color="auto" w:fill="auto"/>
            <w:vAlign w:val="center"/>
          </w:tcPr>
          <w:p w14:paraId="7387BBE4" w14:textId="77777777" w:rsidR="00CF1059" w:rsidRPr="00E35A60" w:rsidRDefault="00CF1059" w:rsidP="0040594E">
            <w:pPr>
              <w:pStyle w:val="NoSpacing"/>
              <w:jc w:val="right"/>
              <w:rPr>
                <w:rFonts w:asciiTheme="minorHAnsi" w:hAnsiTheme="minorHAnsi"/>
              </w:rPr>
            </w:pPr>
            <w:r w:rsidRPr="00E35A60">
              <w:rPr>
                <w:rFonts w:asciiTheme="minorHAnsi" w:hAnsiTheme="minorHAnsi"/>
              </w:rPr>
              <w:t>73%</w:t>
            </w:r>
          </w:p>
        </w:tc>
        <w:tc>
          <w:tcPr>
            <w:tcW w:w="936" w:type="dxa"/>
            <w:gridSpan w:val="2"/>
            <w:tcBorders>
              <w:top w:val="nil"/>
              <w:left w:val="nil"/>
              <w:bottom w:val="single" w:sz="4" w:space="0" w:color="auto"/>
              <w:right w:val="nil"/>
            </w:tcBorders>
            <w:shd w:val="clear" w:color="auto" w:fill="auto"/>
            <w:vAlign w:val="center"/>
          </w:tcPr>
          <w:p w14:paraId="394001FB" w14:textId="77777777" w:rsidR="00CF1059" w:rsidRPr="00E35A60" w:rsidRDefault="00CF1059" w:rsidP="0040594E">
            <w:pPr>
              <w:pStyle w:val="NoSpacing"/>
              <w:ind w:right="245"/>
              <w:jc w:val="right"/>
              <w:rPr>
                <w:rFonts w:asciiTheme="minorHAnsi" w:hAnsiTheme="minorHAnsi"/>
              </w:rPr>
            </w:pPr>
            <w:r w:rsidRPr="00E35A60">
              <w:rPr>
                <w:rFonts w:asciiTheme="minorHAnsi" w:hAnsiTheme="minorHAnsi"/>
              </w:rPr>
              <w:t>21</w:t>
            </w:r>
          </w:p>
        </w:tc>
        <w:tc>
          <w:tcPr>
            <w:tcW w:w="938" w:type="dxa"/>
            <w:gridSpan w:val="2"/>
            <w:tcBorders>
              <w:top w:val="nil"/>
              <w:left w:val="nil"/>
              <w:bottom w:val="single" w:sz="4" w:space="0" w:color="auto"/>
              <w:right w:val="nil"/>
            </w:tcBorders>
            <w:shd w:val="clear" w:color="auto" w:fill="auto"/>
            <w:vAlign w:val="center"/>
          </w:tcPr>
          <w:p w14:paraId="6798C03D" w14:textId="77777777" w:rsidR="00CF1059" w:rsidRPr="00E35A60" w:rsidRDefault="00CF1059" w:rsidP="0040594E">
            <w:pPr>
              <w:pStyle w:val="NoSpacing"/>
              <w:ind w:right="144"/>
              <w:jc w:val="right"/>
              <w:rPr>
                <w:rFonts w:asciiTheme="minorHAnsi" w:hAnsiTheme="minorHAnsi"/>
              </w:rPr>
            </w:pPr>
            <w:r w:rsidRPr="00E35A60">
              <w:rPr>
                <w:rFonts w:asciiTheme="minorHAnsi" w:hAnsiTheme="minorHAnsi"/>
              </w:rPr>
              <w:t>47%</w:t>
            </w:r>
          </w:p>
        </w:tc>
      </w:tr>
    </w:tbl>
    <w:p w14:paraId="17384074" w14:textId="77777777" w:rsidR="004D728F" w:rsidRPr="005330DE" w:rsidRDefault="004D728F" w:rsidP="0040594E">
      <w:pPr>
        <w:pStyle w:val="NoSpacing"/>
        <w:rPr>
          <w:rFonts w:eastAsiaTheme="minorHAnsi"/>
          <w:sz w:val="22"/>
          <w:szCs w:val="22"/>
        </w:rPr>
      </w:pPr>
      <w:proofErr w:type="spellStart"/>
      <w:r w:rsidRPr="005330DE">
        <w:rPr>
          <w:rFonts w:eastAsiaTheme="minorHAnsi"/>
          <w:sz w:val="22"/>
          <w:szCs w:val="22"/>
          <w:vertAlign w:val="superscript"/>
        </w:rPr>
        <w:t>a</w:t>
      </w:r>
      <w:r w:rsidRPr="005330DE">
        <w:rPr>
          <w:rFonts w:eastAsiaTheme="minorHAnsi"/>
          <w:sz w:val="22"/>
          <w:szCs w:val="22"/>
        </w:rPr>
        <w:t>Excludes</w:t>
      </w:r>
      <w:proofErr w:type="spellEnd"/>
      <w:r w:rsidRPr="005330DE">
        <w:rPr>
          <w:rFonts w:eastAsiaTheme="minorHAnsi"/>
          <w:sz w:val="22"/>
          <w:szCs w:val="22"/>
        </w:rPr>
        <w:t xml:space="preserve"> one control mother whose child was </w:t>
      </w:r>
      <w:proofErr w:type="gramStart"/>
      <w:r w:rsidRPr="005330DE">
        <w:rPr>
          <w:rFonts w:eastAsiaTheme="minorHAnsi"/>
          <w:sz w:val="22"/>
          <w:szCs w:val="22"/>
        </w:rPr>
        <w:t>adopted</w:t>
      </w:r>
      <w:proofErr w:type="gramEnd"/>
    </w:p>
    <w:p w14:paraId="640D5A2F" w14:textId="77777777" w:rsidR="004D728F" w:rsidRPr="005330DE" w:rsidRDefault="004D728F" w:rsidP="0040594E">
      <w:pPr>
        <w:pStyle w:val="NoSpacing"/>
        <w:rPr>
          <w:rFonts w:eastAsiaTheme="minorHAnsi"/>
          <w:sz w:val="22"/>
          <w:szCs w:val="22"/>
        </w:rPr>
      </w:pPr>
      <w:proofErr w:type="spellStart"/>
      <w:r w:rsidRPr="005330DE">
        <w:rPr>
          <w:rFonts w:eastAsiaTheme="minorHAnsi"/>
          <w:sz w:val="22"/>
          <w:szCs w:val="22"/>
          <w:vertAlign w:val="superscript"/>
        </w:rPr>
        <w:t>b</w:t>
      </w:r>
      <w:r w:rsidRPr="005330DE">
        <w:rPr>
          <w:rFonts w:eastAsiaTheme="minorHAnsi"/>
          <w:sz w:val="22"/>
          <w:szCs w:val="22"/>
        </w:rPr>
        <w:t>Includes</w:t>
      </w:r>
      <w:proofErr w:type="spellEnd"/>
      <w:r w:rsidRPr="005330DE">
        <w:rPr>
          <w:rFonts w:eastAsiaTheme="minorHAnsi"/>
          <w:sz w:val="22"/>
          <w:szCs w:val="22"/>
        </w:rPr>
        <w:t xml:space="preserve"> responses from biological mothers only</w:t>
      </w:r>
    </w:p>
    <w:p w14:paraId="6F49B82E" w14:textId="77777777" w:rsidR="004D728F" w:rsidRPr="005330DE" w:rsidRDefault="004D728F" w:rsidP="0040594E">
      <w:pPr>
        <w:pStyle w:val="NoSpacing"/>
        <w:rPr>
          <w:rFonts w:eastAsiaTheme="minorHAnsi"/>
          <w:sz w:val="22"/>
          <w:szCs w:val="22"/>
        </w:rPr>
      </w:pPr>
      <w:proofErr w:type="spellStart"/>
      <w:r w:rsidRPr="005330DE">
        <w:rPr>
          <w:rFonts w:eastAsiaTheme="minorHAnsi"/>
          <w:sz w:val="22"/>
          <w:szCs w:val="22"/>
          <w:vertAlign w:val="superscript"/>
        </w:rPr>
        <w:t>c</w:t>
      </w:r>
      <w:r w:rsidRPr="005330DE">
        <w:rPr>
          <w:rFonts w:eastAsiaTheme="minorHAnsi"/>
          <w:sz w:val="22"/>
          <w:szCs w:val="22"/>
        </w:rPr>
        <w:t>During</w:t>
      </w:r>
      <w:proofErr w:type="spellEnd"/>
      <w:r w:rsidRPr="005330DE">
        <w:rPr>
          <w:rFonts w:eastAsiaTheme="minorHAnsi"/>
          <w:sz w:val="22"/>
          <w:szCs w:val="22"/>
        </w:rPr>
        <w:t xml:space="preserve"> year before birth </w:t>
      </w:r>
    </w:p>
    <w:p w14:paraId="7A2BA741" w14:textId="77777777" w:rsidR="004D728F" w:rsidRPr="005330DE" w:rsidRDefault="004D728F" w:rsidP="0040594E">
      <w:pPr>
        <w:pStyle w:val="NoSpacing"/>
        <w:rPr>
          <w:rFonts w:eastAsiaTheme="minorHAnsi"/>
          <w:sz w:val="22"/>
          <w:szCs w:val="22"/>
        </w:rPr>
      </w:pPr>
      <w:proofErr w:type="spellStart"/>
      <w:r w:rsidRPr="005330DE">
        <w:rPr>
          <w:rFonts w:eastAsiaTheme="minorHAnsi"/>
          <w:sz w:val="22"/>
          <w:szCs w:val="22"/>
          <w:vertAlign w:val="superscript"/>
        </w:rPr>
        <w:t>d</w:t>
      </w:r>
      <w:r w:rsidRPr="005330DE">
        <w:rPr>
          <w:rFonts w:eastAsiaTheme="minorHAnsi"/>
          <w:sz w:val="22"/>
          <w:szCs w:val="22"/>
        </w:rPr>
        <w:t>During</w:t>
      </w:r>
      <w:proofErr w:type="spellEnd"/>
      <w:r w:rsidRPr="005330DE">
        <w:rPr>
          <w:rFonts w:eastAsiaTheme="minorHAnsi"/>
          <w:sz w:val="22"/>
          <w:szCs w:val="22"/>
        </w:rPr>
        <w:t xml:space="preserve"> two years before birth through </w:t>
      </w:r>
      <w:r w:rsidR="006C32AE" w:rsidRPr="005330DE">
        <w:rPr>
          <w:rFonts w:eastAsiaTheme="minorHAnsi"/>
          <w:sz w:val="22"/>
          <w:szCs w:val="22"/>
        </w:rPr>
        <w:t>diagnosis/</w:t>
      </w:r>
      <w:r w:rsidRPr="005330DE">
        <w:rPr>
          <w:rFonts w:eastAsiaTheme="minorHAnsi"/>
          <w:sz w:val="22"/>
          <w:szCs w:val="22"/>
        </w:rPr>
        <w:t xml:space="preserve">reference date </w:t>
      </w:r>
    </w:p>
    <w:p w14:paraId="2E6551EB" w14:textId="0A571A4C" w:rsidR="003E6E89" w:rsidRPr="005330DE" w:rsidRDefault="003E6E89" w:rsidP="0040594E">
      <w:pPr>
        <w:pStyle w:val="NoSpacing"/>
        <w:rPr>
          <w:rFonts w:eastAsiaTheme="minorHAnsi"/>
          <w:sz w:val="22"/>
          <w:szCs w:val="22"/>
        </w:rPr>
      </w:pPr>
      <w:proofErr w:type="spellStart"/>
      <w:r w:rsidRPr="005330DE">
        <w:rPr>
          <w:rFonts w:eastAsiaTheme="minorHAnsi"/>
          <w:sz w:val="22"/>
          <w:szCs w:val="22"/>
          <w:vertAlign w:val="superscript"/>
        </w:rPr>
        <w:t>e</w:t>
      </w:r>
      <w:r w:rsidRPr="005330DE">
        <w:rPr>
          <w:rFonts w:eastAsiaTheme="minorHAnsi"/>
          <w:sz w:val="22"/>
          <w:szCs w:val="22"/>
        </w:rPr>
        <w:t>Child</w:t>
      </w:r>
      <w:proofErr w:type="spellEnd"/>
      <w:r w:rsidRPr="005330DE">
        <w:rPr>
          <w:rFonts w:eastAsiaTheme="minorHAnsi"/>
          <w:sz w:val="22"/>
          <w:szCs w:val="22"/>
        </w:rPr>
        <w:t xml:space="preserve"> </w:t>
      </w:r>
      <w:r w:rsidR="005266DC" w:rsidRPr="005330DE">
        <w:rPr>
          <w:rFonts w:eastAsiaTheme="minorHAnsi"/>
          <w:sz w:val="22"/>
          <w:szCs w:val="22"/>
        </w:rPr>
        <w:t xml:space="preserve">exposed </w:t>
      </w:r>
      <w:r w:rsidR="00F14468" w:rsidRPr="005330DE">
        <w:rPr>
          <w:rFonts w:eastAsiaTheme="minorHAnsi"/>
          <w:sz w:val="22"/>
          <w:szCs w:val="22"/>
        </w:rPr>
        <w:t xml:space="preserve">at home or during activities </w:t>
      </w:r>
      <w:r w:rsidRPr="005330DE">
        <w:rPr>
          <w:rFonts w:eastAsiaTheme="minorHAnsi"/>
          <w:sz w:val="22"/>
          <w:szCs w:val="22"/>
        </w:rPr>
        <w:t xml:space="preserve">from birth through diagnosis/reference </w:t>
      </w:r>
      <w:proofErr w:type="gramStart"/>
      <w:r w:rsidRPr="005330DE">
        <w:rPr>
          <w:rFonts w:eastAsiaTheme="minorHAnsi"/>
          <w:sz w:val="22"/>
          <w:szCs w:val="22"/>
        </w:rPr>
        <w:t>date</w:t>
      </w:r>
      <w:proofErr w:type="gramEnd"/>
    </w:p>
    <w:p w14:paraId="77BC7434" w14:textId="3BD75AA0" w:rsidR="004D728F" w:rsidRPr="005330DE" w:rsidRDefault="003E6E89" w:rsidP="0040594E">
      <w:pPr>
        <w:pStyle w:val="NoSpacing"/>
        <w:rPr>
          <w:rFonts w:eastAsiaTheme="minorHAnsi"/>
          <w:sz w:val="22"/>
          <w:szCs w:val="22"/>
        </w:rPr>
      </w:pPr>
      <w:proofErr w:type="spellStart"/>
      <w:r w:rsidRPr="005330DE">
        <w:rPr>
          <w:rFonts w:eastAsiaTheme="minorHAnsi"/>
          <w:sz w:val="22"/>
          <w:szCs w:val="22"/>
          <w:vertAlign w:val="superscript"/>
        </w:rPr>
        <w:t>f</w:t>
      </w:r>
      <w:r w:rsidRPr="005330DE">
        <w:rPr>
          <w:rFonts w:eastAsiaTheme="minorHAnsi"/>
          <w:sz w:val="22"/>
          <w:szCs w:val="22"/>
        </w:rPr>
        <w:t>Products</w:t>
      </w:r>
      <w:proofErr w:type="spellEnd"/>
      <w:r w:rsidRPr="005330DE">
        <w:rPr>
          <w:rFonts w:eastAsiaTheme="minorHAnsi"/>
          <w:sz w:val="22"/>
          <w:szCs w:val="22"/>
        </w:rPr>
        <w:t xml:space="preserve"> used by </w:t>
      </w:r>
      <w:r w:rsidR="00F14468" w:rsidRPr="005330DE">
        <w:rPr>
          <w:rFonts w:eastAsiaTheme="minorHAnsi"/>
          <w:sz w:val="22"/>
          <w:szCs w:val="22"/>
        </w:rPr>
        <w:t xml:space="preserve">child or </w:t>
      </w:r>
      <w:r w:rsidRPr="005330DE">
        <w:rPr>
          <w:rFonts w:eastAsiaTheme="minorHAnsi"/>
          <w:sz w:val="22"/>
          <w:szCs w:val="22"/>
        </w:rPr>
        <w:t>anyone living with the child, or applied in or around the home</w:t>
      </w:r>
      <w:r w:rsidR="00F14468" w:rsidRPr="005330DE">
        <w:rPr>
          <w:rFonts w:eastAsiaTheme="minorHAnsi"/>
          <w:sz w:val="22"/>
          <w:szCs w:val="22"/>
        </w:rPr>
        <w:t xml:space="preserve"> at </w:t>
      </w:r>
      <w:r w:rsidRPr="005330DE">
        <w:rPr>
          <w:rFonts w:eastAsiaTheme="minorHAnsi"/>
          <w:sz w:val="22"/>
          <w:szCs w:val="22"/>
        </w:rPr>
        <w:t xml:space="preserve">any time from </w:t>
      </w:r>
      <w:r w:rsidR="004D728F" w:rsidRPr="005330DE">
        <w:rPr>
          <w:rFonts w:eastAsiaTheme="minorHAnsi"/>
          <w:sz w:val="22"/>
          <w:szCs w:val="22"/>
        </w:rPr>
        <w:t xml:space="preserve">one month before pregnancy through </w:t>
      </w:r>
      <w:r w:rsidR="006C32AE" w:rsidRPr="005330DE">
        <w:rPr>
          <w:rFonts w:eastAsiaTheme="minorHAnsi"/>
          <w:sz w:val="22"/>
          <w:szCs w:val="22"/>
        </w:rPr>
        <w:t>diagnosis/</w:t>
      </w:r>
      <w:r w:rsidR="004D728F" w:rsidRPr="005330DE">
        <w:rPr>
          <w:rFonts w:eastAsiaTheme="minorHAnsi"/>
          <w:sz w:val="22"/>
          <w:szCs w:val="22"/>
        </w:rPr>
        <w:t xml:space="preserve">reference </w:t>
      </w:r>
      <w:proofErr w:type="gramStart"/>
      <w:r w:rsidR="004D728F" w:rsidRPr="005330DE">
        <w:rPr>
          <w:rFonts w:eastAsiaTheme="minorHAnsi"/>
          <w:sz w:val="22"/>
          <w:szCs w:val="22"/>
        </w:rPr>
        <w:t>date</w:t>
      </w:r>
      <w:proofErr w:type="gramEnd"/>
    </w:p>
    <w:p w14:paraId="13C2D805" w14:textId="77777777" w:rsidR="007342D3" w:rsidRPr="005330DE" w:rsidRDefault="007342D3" w:rsidP="0040594E">
      <w:pPr>
        <w:pStyle w:val="NoSpacing"/>
        <w:rPr>
          <w:rFonts w:eastAsiaTheme="minorHAnsi"/>
          <w:sz w:val="22"/>
          <w:szCs w:val="22"/>
        </w:rPr>
      </w:pPr>
      <w:r w:rsidRPr="005330DE">
        <w:rPr>
          <w:rFonts w:eastAsiaTheme="minorHAnsi"/>
          <w:sz w:val="22"/>
          <w:szCs w:val="22"/>
        </w:rPr>
        <w:t>†Marginally significant association with the odds of childhood cancer (</w:t>
      </w:r>
      <w:r w:rsidRPr="005330DE">
        <w:rPr>
          <w:i/>
          <w:sz w:val="22"/>
          <w:szCs w:val="22"/>
        </w:rPr>
        <w:t>p</w:t>
      </w:r>
      <w:r w:rsidRPr="005330DE">
        <w:rPr>
          <w:rFonts w:eastAsiaTheme="minorHAnsi"/>
          <w:sz w:val="22"/>
          <w:szCs w:val="22"/>
        </w:rPr>
        <w:t xml:space="preserve"> &lt;0.10)</w:t>
      </w:r>
    </w:p>
    <w:p w14:paraId="34E5E54D" w14:textId="77777777" w:rsidR="007342D3" w:rsidRPr="005330DE" w:rsidRDefault="007342D3" w:rsidP="000C4868">
      <w:pPr>
        <w:pStyle w:val="NoSpacing"/>
        <w:spacing w:after="360"/>
        <w:rPr>
          <w:rFonts w:eastAsiaTheme="minorHAnsi"/>
          <w:sz w:val="22"/>
          <w:szCs w:val="22"/>
        </w:rPr>
      </w:pPr>
      <w:r w:rsidRPr="005330DE">
        <w:rPr>
          <w:rFonts w:eastAsiaTheme="minorHAnsi"/>
          <w:sz w:val="22"/>
          <w:szCs w:val="22"/>
        </w:rPr>
        <w:t>‡Statistically significant association with the odds of childhood cancer (</w:t>
      </w:r>
      <w:r w:rsidRPr="005330DE">
        <w:rPr>
          <w:i/>
          <w:sz w:val="22"/>
          <w:szCs w:val="22"/>
        </w:rPr>
        <w:t>p</w:t>
      </w:r>
      <w:r w:rsidRPr="005330DE">
        <w:rPr>
          <w:rFonts w:eastAsiaTheme="minorHAnsi"/>
          <w:sz w:val="22"/>
          <w:szCs w:val="22"/>
        </w:rPr>
        <w:t xml:space="preserve"> &lt;0.05)</w:t>
      </w:r>
    </w:p>
    <w:p w14:paraId="2B049282" w14:textId="77777777" w:rsidR="00854331" w:rsidRPr="002F5F38" w:rsidRDefault="00854331" w:rsidP="0010161F">
      <w:pPr>
        <w:pStyle w:val="Heading3"/>
      </w:pPr>
      <w:r>
        <w:t>Demographics</w:t>
      </w:r>
    </w:p>
    <w:p w14:paraId="69755BEB" w14:textId="29D1EFE4" w:rsidR="00854331" w:rsidRDefault="00854331" w:rsidP="006C3ED9">
      <w:r>
        <w:t xml:space="preserve">Demographic characteristics of cases and controls are summarized in </w:t>
      </w:r>
      <w:r w:rsidR="00361166">
        <w:fldChar w:fldCharType="begin"/>
      </w:r>
      <w:r w:rsidR="00361166">
        <w:instrText xml:space="preserve"> REF  Table7 \h </w:instrText>
      </w:r>
      <w:r w:rsidR="006C3ED9">
        <w:instrText xml:space="preserve"> \* MERGEFORMAT </w:instrText>
      </w:r>
      <w:r w:rsidR="00361166">
        <w:fldChar w:fldCharType="separate"/>
      </w:r>
      <w:r w:rsidR="00977423">
        <w:rPr>
          <w:noProof/>
        </w:rPr>
        <w:t>Table</w:t>
      </w:r>
      <w:r w:rsidR="00977423">
        <w:t xml:space="preserve"> </w:t>
      </w:r>
      <w:r w:rsidR="00977423">
        <w:rPr>
          <w:noProof/>
        </w:rPr>
        <w:t>7</w:t>
      </w:r>
      <w:r w:rsidR="00361166">
        <w:fldChar w:fldCharType="end"/>
      </w:r>
      <w:r w:rsidR="00716072">
        <w:t xml:space="preserve">. </w:t>
      </w:r>
      <w:r w:rsidRPr="00F80B1F">
        <w:t xml:space="preserve">Because controls were matched to cases based on age and sex, the distribution of these variables for controls was </w:t>
      </w:r>
      <w:r>
        <w:t>nearly identical to those of the</w:t>
      </w:r>
      <w:r w:rsidRPr="00F80B1F">
        <w:t xml:space="preserve"> cases</w:t>
      </w:r>
      <w:r>
        <w:t xml:space="preserve"> in both cancer groups</w:t>
      </w:r>
      <w:r w:rsidR="00716072">
        <w:t xml:space="preserve">. </w:t>
      </w:r>
      <w:r>
        <w:t>Controls were found to have spent about 20% more time as residents of Wilmington as children—93.9 months</w:t>
      </w:r>
      <w:r w:rsidR="00371BD3">
        <w:t xml:space="preserve"> (standard deviation = 67.5)</w:t>
      </w:r>
      <w:r>
        <w:t>, on average, versus 78.2 months for cases</w:t>
      </w:r>
      <w:r w:rsidR="00371BD3">
        <w:t xml:space="preserve"> (standard deviation = 60.6)</w:t>
      </w:r>
      <w:r w:rsidR="00716072">
        <w:t xml:space="preserve">. </w:t>
      </w:r>
      <w:r>
        <w:t>A similarly sized difference was observed among the Leukemia/Lymphoma subgroup</w:t>
      </w:r>
      <w:r w:rsidR="00716072">
        <w:t xml:space="preserve">. </w:t>
      </w:r>
      <w:r>
        <w:t>These differences were not statistically significant for either group</w:t>
      </w:r>
      <w:r w:rsidR="00716072">
        <w:t xml:space="preserve">. </w:t>
      </w:r>
      <w:r w:rsidRPr="00BB3FD0">
        <w:t xml:space="preserve">The minimum and maximum </w:t>
      </w:r>
      <w:r>
        <w:t xml:space="preserve">time of </w:t>
      </w:r>
      <w:r w:rsidRPr="00BB3FD0">
        <w:t>residen</w:t>
      </w:r>
      <w:r>
        <w:t>ce</w:t>
      </w:r>
      <w:r w:rsidRPr="00BB3FD0">
        <w:t xml:space="preserve"> was approximately</w:t>
      </w:r>
      <w:r>
        <w:t xml:space="preserve"> </w:t>
      </w:r>
      <w:r w:rsidRPr="00BB3FD0">
        <w:t xml:space="preserve">1.5 years and 15.5 years for </w:t>
      </w:r>
      <w:r>
        <w:t>all cases and for the Leukemia/Lymphoma subgroup</w:t>
      </w:r>
      <w:r w:rsidR="00716072">
        <w:t xml:space="preserve">. </w:t>
      </w:r>
      <w:r>
        <w:t>For all controls, it was 6 months and 19 years and, for the Leukemia/Lymphoma subgroup controls, the minimum was 6 months and the maximum was 15.5 years.</w:t>
      </w:r>
    </w:p>
    <w:p w14:paraId="56542647" w14:textId="4E0F5A9B" w:rsidR="00854331" w:rsidRPr="00854331" w:rsidRDefault="00854331" w:rsidP="006C3ED9">
      <w:r>
        <w:t xml:space="preserve">The average maternal residence in Wilmington during the year before birth </w:t>
      </w:r>
      <w:r w:rsidR="00371BD3">
        <w:t xml:space="preserve">for cases </w:t>
      </w:r>
      <w:r>
        <w:t>was 6.1</w:t>
      </w:r>
      <w:r w:rsidR="00371BD3">
        <w:t xml:space="preserve"> months (standard deviation = 5.8)</w:t>
      </w:r>
      <w:r>
        <w:t xml:space="preserve"> </w:t>
      </w:r>
      <w:r w:rsidR="00371BD3">
        <w:t xml:space="preserve">and </w:t>
      </w:r>
      <w:r>
        <w:t>for c</w:t>
      </w:r>
      <w:r w:rsidR="00371BD3">
        <w:t xml:space="preserve">ontrols was </w:t>
      </w:r>
      <w:r>
        <w:t>6.7 months</w:t>
      </w:r>
      <w:r w:rsidR="00371BD3">
        <w:t xml:space="preserve"> (standard </w:t>
      </w:r>
      <w:r w:rsidR="00371BD3">
        <w:lastRenderedPageBreak/>
        <w:t>deviation =</w:t>
      </w:r>
      <w:r>
        <w:t xml:space="preserve"> </w:t>
      </w:r>
      <w:r w:rsidR="00371BD3">
        <w:t>5.7)</w:t>
      </w:r>
      <w:r w:rsidR="00716072">
        <w:t xml:space="preserve">. </w:t>
      </w:r>
      <w:r>
        <w:t>About one third of mothers, both cases and controls, did not reside in Wilmington until after their child was born</w:t>
      </w:r>
      <w:r w:rsidR="00716072">
        <w:t xml:space="preserve">. </w:t>
      </w:r>
      <w:r>
        <w:t>Approximately two-thirds of both cases and controls were born as residents of Wilmington</w:t>
      </w:r>
      <w:r w:rsidR="00716072">
        <w:t xml:space="preserve">. </w:t>
      </w:r>
      <w:r>
        <w:t>Similar residential history was observed among the Leukemia/Lymphoma subgroup</w:t>
      </w:r>
      <w:r w:rsidR="00716072">
        <w:t xml:space="preserve">. </w:t>
      </w:r>
      <w:r>
        <w:t>All study mothers completed at least high school or received a General Equivalency Diploma (GED)</w:t>
      </w:r>
      <w:r w:rsidR="00716072">
        <w:t xml:space="preserve">. </w:t>
      </w:r>
      <w:r>
        <w:t xml:space="preserve">Similar educational achievement was reported for mothers of cases and controls, although a </w:t>
      </w:r>
      <w:r w:rsidRPr="00854331">
        <w:t>slightly higher percentage of case mothers completed only high school or a GED.</w:t>
      </w:r>
    </w:p>
    <w:p w14:paraId="754D5ED0" w14:textId="77777777" w:rsidR="00854331" w:rsidRPr="00854331" w:rsidRDefault="00854331" w:rsidP="006C3ED9">
      <w:r w:rsidRPr="00854331">
        <w:t>Information on the health history of blood relatives was obtained with specific interest in cancer, chromosomal abnormalities, and hereditary conditions</w:t>
      </w:r>
      <w:r w:rsidR="00716072">
        <w:t xml:space="preserve">. </w:t>
      </w:r>
      <w:r w:rsidRPr="00854331">
        <w:t>Only one participant reported a blood relative (defined as a child’s sibling, half-sibling, parent, or grandparent) with a history of childhood cancer, a control's father who was diagnosed at the age of 19</w:t>
      </w:r>
      <w:r w:rsidR="00716072">
        <w:t xml:space="preserve">. </w:t>
      </w:r>
      <w:r w:rsidRPr="00854331">
        <w:t>Cancer in adult blood relatives before the age of 50 was reported by four cases (22%) and fourteen controls (19%); the Leukemia/Lymphoma subgroup reported similar proportions</w:t>
      </w:r>
      <w:r w:rsidR="00716072">
        <w:t xml:space="preserve">. </w:t>
      </w:r>
      <w:r w:rsidRPr="00854331">
        <w:t>Among those, three controls reported multiple blood relatives with cancer prior to age 50, one of whom is part of the Leukemia/Lymphoma subgroup</w:t>
      </w:r>
      <w:r w:rsidR="00716072">
        <w:t xml:space="preserve">. </w:t>
      </w:r>
      <w:r w:rsidRPr="00854331">
        <w:t>No cases reported multiple cancers in relatives prior to the age of 50.</w:t>
      </w:r>
    </w:p>
    <w:p w14:paraId="343B366B" w14:textId="77777777" w:rsidR="004D728F" w:rsidRDefault="004D728F" w:rsidP="0010161F">
      <w:pPr>
        <w:pStyle w:val="Heading3"/>
      </w:pPr>
      <w:r>
        <w:t>Prenatal Risk</w:t>
      </w:r>
      <w:r w:rsidR="00854331">
        <w:t xml:space="preserve"> Factor</w:t>
      </w:r>
      <w:r>
        <w:t>s</w:t>
      </w:r>
    </w:p>
    <w:p w14:paraId="5EA36D3A" w14:textId="3374EC44" w:rsidR="004D728F" w:rsidRPr="007463B4" w:rsidRDefault="00361166" w:rsidP="006C3ED9">
      <w:r>
        <w:fldChar w:fldCharType="begin"/>
      </w:r>
      <w:r>
        <w:instrText xml:space="preserve"> REF  Table7 \h </w:instrText>
      </w:r>
      <w:r w:rsidR="006C3ED9">
        <w:instrText xml:space="preserve"> \* MERGEFORMAT </w:instrText>
      </w:r>
      <w:r>
        <w:fldChar w:fldCharType="separate"/>
      </w:r>
      <w:r w:rsidR="00977423">
        <w:rPr>
          <w:noProof/>
        </w:rPr>
        <w:t>Table</w:t>
      </w:r>
      <w:r w:rsidR="00977423">
        <w:t xml:space="preserve"> </w:t>
      </w:r>
      <w:r w:rsidR="00977423">
        <w:rPr>
          <w:noProof/>
        </w:rPr>
        <w:t>7</w:t>
      </w:r>
      <w:r>
        <w:fldChar w:fldCharType="end"/>
      </w:r>
      <w:r w:rsidR="004D728F" w:rsidRPr="00ED4205">
        <w:t xml:space="preserve"> presents</w:t>
      </w:r>
      <w:r w:rsidR="004D728F">
        <w:t xml:space="preserve"> a summary of</w:t>
      </w:r>
      <w:r w:rsidR="004D728F" w:rsidRPr="00A93D8B">
        <w:t xml:space="preserve"> the major maternal pregnancy </w:t>
      </w:r>
      <w:r w:rsidR="004D728F">
        <w:t xml:space="preserve">behaviors </w:t>
      </w:r>
      <w:r w:rsidR="004D728F" w:rsidRPr="00A93D8B">
        <w:t>and exposure characteristics</w:t>
      </w:r>
      <w:r w:rsidR="004D728F">
        <w:t xml:space="preserve"> obtained during informational interviews</w:t>
      </w:r>
      <w:r w:rsidR="004D728F" w:rsidRPr="00A93D8B">
        <w:t xml:space="preserve"> </w:t>
      </w:r>
      <w:r w:rsidR="004D728F">
        <w:t>for</w:t>
      </w:r>
      <w:r w:rsidR="004D728F" w:rsidRPr="00A93D8B">
        <w:t xml:space="preserve"> cases and controls </w:t>
      </w:r>
      <w:r w:rsidR="004D728F">
        <w:t>in both the</w:t>
      </w:r>
      <w:r w:rsidR="004D728F" w:rsidRPr="00A93D8B">
        <w:t xml:space="preserve"> All Cancers and Leukemia/Lymphoma groups</w:t>
      </w:r>
      <w:r w:rsidR="00F22914">
        <w:t>.</w:t>
      </w:r>
    </w:p>
    <w:p w14:paraId="3EA2396A" w14:textId="77777777" w:rsidR="004D728F" w:rsidRDefault="004D728F" w:rsidP="006C3ED9">
      <w:r w:rsidRPr="007463B4">
        <w:t xml:space="preserve">A detailed reproductive medical history </w:t>
      </w:r>
      <w:r>
        <w:t xml:space="preserve">was </w:t>
      </w:r>
      <w:r w:rsidRPr="007463B4">
        <w:t>sought for each of the biological mothers (n=16 for cases and n=70 for controls)</w:t>
      </w:r>
      <w:r w:rsidR="00716072">
        <w:t xml:space="preserve">. </w:t>
      </w:r>
      <w:r w:rsidRPr="007463B4">
        <w:t>For six children (2 cases and 4 controls), the biological mother was not available for interview</w:t>
      </w:r>
      <w:r w:rsidR="00716072">
        <w:t xml:space="preserve">. </w:t>
      </w:r>
      <w:r>
        <w:t>This resulted in some missing maternal</w:t>
      </w:r>
      <w:r w:rsidRPr="007463B4">
        <w:t xml:space="preserve"> </w:t>
      </w:r>
      <w:r>
        <w:t>medical history during pregnancy and some</w:t>
      </w:r>
      <w:r w:rsidRPr="007463B4">
        <w:t xml:space="preserve"> </w:t>
      </w:r>
      <w:r>
        <w:t>missing maternal behavioral and exposure</w:t>
      </w:r>
      <w:r w:rsidRPr="007463B4">
        <w:t xml:space="preserve"> characteristics</w:t>
      </w:r>
      <w:r>
        <w:t xml:space="preserve"> for those six children</w:t>
      </w:r>
      <w:r w:rsidR="00716072">
        <w:t xml:space="preserve">. </w:t>
      </w:r>
      <w:r w:rsidRPr="007463B4">
        <w:t>Unless noted as pertaining to biological mothers only, the data presented refers to all mothers</w:t>
      </w:r>
      <w:r w:rsidR="00716072">
        <w:t xml:space="preserve">. </w:t>
      </w:r>
    </w:p>
    <w:p w14:paraId="70816E32" w14:textId="77777777" w:rsidR="004D728F" w:rsidRPr="00663639" w:rsidRDefault="00AC2005" w:rsidP="0063071E">
      <w:pPr>
        <w:pStyle w:val="StyleHeading4Linespacingsingle"/>
      </w:pPr>
      <w:r>
        <w:t xml:space="preserve">Maternal </w:t>
      </w:r>
      <w:r w:rsidR="004D728F" w:rsidRPr="00663639">
        <w:t>Age at Birth</w:t>
      </w:r>
    </w:p>
    <w:p w14:paraId="306D7A70" w14:textId="77777777" w:rsidR="004D728F" w:rsidRDefault="004D728F" w:rsidP="006C3ED9">
      <w:r>
        <w:t>Maternal age at birth was similar between cases and controls</w:t>
      </w:r>
      <w:r w:rsidR="00716072">
        <w:t xml:space="preserve">. </w:t>
      </w:r>
      <w:r>
        <w:t>T</w:t>
      </w:r>
      <w:r w:rsidRPr="00F80B1F">
        <w:t xml:space="preserve">he proportion of mothers who were 35 </w:t>
      </w:r>
      <w:r>
        <w:t xml:space="preserve">or older </w:t>
      </w:r>
      <w:r w:rsidRPr="00F80B1F">
        <w:t xml:space="preserve">at the time of their child’s birth was </w:t>
      </w:r>
      <w:r>
        <w:t xml:space="preserve">somewhat </w:t>
      </w:r>
      <w:r w:rsidRPr="00F80B1F">
        <w:t>higher among control mothers (1</w:t>
      </w:r>
      <w:r>
        <w:t>1</w:t>
      </w:r>
      <w:r w:rsidRPr="00F80B1F">
        <w:t>%) compared with case mothers (</w:t>
      </w:r>
      <w:r>
        <w:t>6</w:t>
      </w:r>
      <w:r w:rsidRPr="00F80B1F">
        <w:t>%)</w:t>
      </w:r>
      <w:r w:rsidR="00716072">
        <w:t xml:space="preserve">. </w:t>
      </w:r>
      <w:r>
        <w:t>This difference was not statistically significant (</w:t>
      </w:r>
      <w:r w:rsidR="009D21C6" w:rsidRPr="00C67EB4">
        <w:rPr>
          <w:i/>
        </w:rPr>
        <w:t>p</w:t>
      </w:r>
      <w:r w:rsidR="009D21C6">
        <w:t xml:space="preserve"> </w:t>
      </w:r>
      <w:r>
        <w:t>=</w:t>
      </w:r>
      <w:r w:rsidR="009D21C6">
        <w:t xml:space="preserve"> </w:t>
      </w:r>
      <w:r>
        <w:t>0.52)</w:t>
      </w:r>
      <w:r w:rsidR="00716072">
        <w:t xml:space="preserve">. </w:t>
      </w:r>
      <w:r>
        <w:t>Results for maternal age were similar for the Leukemia/Lymphoma sub</w:t>
      </w:r>
      <w:r w:rsidR="00AC2005">
        <w:t>group.</w:t>
      </w:r>
    </w:p>
    <w:p w14:paraId="72FEE158" w14:textId="77777777" w:rsidR="004D728F" w:rsidRPr="00663639" w:rsidRDefault="004D728F" w:rsidP="0063071E">
      <w:pPr>
        <w:pStyle w:val="StyleHeading4Linespacingsingle"/>
      </w:pPr>
      <w:r w:rsidRPr="00663639">
        <w:t>Pregnancy Behaviors</w:t>
      </w:r>
    </w:p>
    <w:p w14:paraId="3717D1D3" w14:textId="77777777" w:rsidR="004D728F" w:rsidRDefault="004D728F" w:rsidP="006C3ED9">
      <w:r>
        <w:t>Information on mother</w:t>
      </w:r>
      <w:r w:rsidR="000C7EDC">
        <w:t>s</w:t>
      </w:r>
      <w:r>
        <w:t>' behaviors during pregnancy was obtained when the biological mothers were available for interview</w:t>
      </w:r>
      <w:r w:rsidR="00716072">
        <w:t xml:space="preserve">. </w:t>
      </w:r>
      <w:r>
        <w:t xml:space="preserve">Smoking exposure was defined as ‘yes’ if a mother </w:t>
      </w:r>
      <w:r>
        <w:lastRenderedPageBreak/>
        <w:t>smoked every day for 3 months or longer</w:t>
      </w:r>
      <w:r w:rsidR="00AC2005">
        <w:t xml:space="preserve"> during the year before the child’s birth</w:t>
      </w:r>
      <w:r w:rsidR="00716072">
        <w:t xml:space="preserve">. </w:t>
      </w:r>
      <w:r>
        <w:t>In the All Cancers group, only one case mother (6%) reported smoking during this period compared to 20 control mothers (27%)</w:t>
      </w:r>
      <w:r w:rsidR="00716072">
        <w:t xml:space="preserve">. </w:t>
      </w:r>
      <w:r>
        <w:t xml:space="preserve">Findings were similar in the Leukemia/Lymphoma subgroup (9% </w:t>
      </w:r>
      <w:r w:rsidR="00FF7171">
        <w:t>vs.</w:t>
      </w:r>
      <w:r>
        <w:t xml:space="preserve"> 24%)</w:t>
      </w:r>
      <w:r w:rsidR="00716072">
        <w:t xml:space="preserve">. </w:t>
      </w:r>
      <w:r>
        <w:t xml:space="preserve">These findings were not statistically significant (All Cancers </w:t>
      </w:r>
      <w:r w:rsidR="009D21C6" w:rsidRPr="00C67EB4">
        <w:rPr>
          <w:i/>
        </w:rPr>
        <w:t>p</w:t>
      </w:r>
      <w:r w:rsidR="009D21C6">
        <w:t xml:space="preserve"> = </w:t>
      </w:r>
      <w:r>
        <w:t xml:space="preserve">0.17; Leukemia/Lymphoma </w:t>
      </w:r>
      <w:r w:rsidR="009D21C6" w:rsidRPr="00C67EB4">
        <w:rPr>
          <w:i/>
        </w:rPr>
        <w:t>p</w:t>
      </w:r>
      <w:r w:rsidR="009D21C6">
        <w:t xml:space="preserve"> = </w:t>
      </w:r>
      <w:r>
        <w:t>0.33)</w:t>
      </w:r>
      <w:r w:rsidR="00716072">
        <w:t xml:space="preserve">. </w:t>
      </w:r>
      <w:r>
        <w:t xml:space="preserve">Similarly, alcohol consumption during pregnancy was somewhat less common among case mothers compared to control mothers in the All Cancers group (22% </w:t>
      </w:r>
      <w:r w:rsidR="00FF7171">
        <w:t>vs.</w:t>
      </w:r>
      <w:r>
        <w:t xml:space="preserve"> 3</w:t>
      </w:r>
      <w:r w:rsidR="00AC2005">
        <w:t>7</w:t>
      </w:r>
      <w:r>
        <w:t>%), though the finding was not statistically significant</w:t>
      </w:r>
      <w:r w:rsidR="00716072">
        <w:t xml:space="preserve">. </w:t>
      </w:r>
      <w:r>
        <w:t>W</w:t>
      </w:r>
      <w:r w:rsidR="00AC2005">
        <w:t>ithin the Leukemia/Lymphoma sub</w:t>
      </w:r>
      <w:r>
        <w:t>group, a similar proportion of case and control mothers consumed alcohol dur</w:t>
      </w:r>
      <w:r w:rsidR="00AC2005">
        <w:t xml:space="preserve">ing pregnancy (27% </w:t>
      </w:r>
      <w:r w:rsidR="00FF7171">
        <w:t>vs.</w:t>
      </w:r>
      <w:r w:rsidR="00AC2005">
        <w:t xml:space="preserve"> 33%)</w:t>
      </w:r>
      <w:r w:rsidR="00716072">
        <w:t xml:space="preserve">. </w:t>
      </w:r>
      <w:r w:rsidR="00402ED2">
        <w:t xml:space="preserve">Finally, prenatal vitamin use during pregnancy was fairly similar between cases and controls in the All Cancers group (83% </w:t>
      </w:r>
      <w:r w:rsidR="00FF7171">
        <w:t>vs.</w:t>
      </w:r>
      <w:r w:rsidR="00402ED2">
        <w:t xml:space="preserve"> 88%), but was somewhat lower among cases compared to controls within the Leukemia/Lymphoma subgroup (82% </w:t>
      </w:r>
      <w:r w:rsidR="00FF7171">
        <w:t>vs.</w:t>
      </w:r>
      <w:r w:rsidR="00402ED2">
        <w:t xml:space="preserve"> 92%)</w:t>
      </w:r>
      <w:r w:rsidR="00716072">
        <w:t xml:space="preserve">. </w:t>
      </w:r>
      <w:r w:rsidR="00402ED2">
        <w:t>This difference was not statistically significant.</w:t>
      </w:r>
    </w:p>
    <w:p w14:paraId="27D95203" w14:textId="77777777" w:rsidR="004D728F" w:rsidRPr="00663639" w:rsidRDefault="004D728F" w:rsidP="0063071E">
      <w:pPr>
        <w:pStyle w:val="StyleHeading4Linespacingsingle"/>
      </w:pPr>
      <w:r>
        <w:t>Pregnancy</w:t>
      </w:r>
      <w:r w:rsidRPr="00663639">
        <w:t xml:space="preserve"> Exposures</w:t>
      </w:r>
    </w:p>
    <w:p w14:paraId="572C0612" w14:textId="77777777" w:rsidR="004D728F" w:rsidRDefault="004D728F" w:rsidP="006C3ED9">
      <w:r w:rsidRPr="001C21B9">
        <w:t>Mothers were also asked about any potential occupational exposure to ionizing radiation while they were pregnant</w:t>
      </w:r>
      <w:r w:rsidR="00716072">
        <w:t xml:space="preserve">. </w:t>
      </w:r>
      <w:r>
        <w:t>O</w:t>
      </w:r>
      <w:r w:rsidRPr="001C21B9">
        <w:t xml:space="preserve">verall, mothers of cases in both cancer groups were more often occupationally exposed to ionizing radiation while pregnant </w:t>
      </w:r>
      <w:r>
        <w:t>compared to</w:t>
      </w:r>
      <w:r w:rsidRPr="001C21B9">
        <w:t xml:space="preserve"> mothers of controls (All Cancers 22% </w:t>
      </w:r>
      <w:r w:rsidR="00FF7171">
        <w:t>vs.</w:t>
      </w:r>
      <w:r w:rsidRPr="001C21B9">
        <w:t xml:space="preserve"> </w:t>
      </w:r>
      <w:r w:rsidR="00DD73B8">
        <w:t>8</w:t>
      </w:r>
      <w:r w:rsidRPr="001C21B9">
        <w:t xml:space="preserve">%; Leukemia/Lymphoma 27% </w:t>
      </w:r>
      <w:r w:rsidR="00FF7171">
        <w:t>vs.</w:t>
      </w:r>
      <w:r w:rsidRPr="001C21B9">
        <w:t xml:space="preserve"> 7%)</w:t>
      </w:r>
      <w:r w:rsidR="003F1F68">
        <w:t>, but</w:t>
      </w:r>
      <w:r>
        <w:t xml:space="preserve"> these</w:t>
      </w:r>
      <w:r w:rsidRPr="001C21B9">
        <w:t xml:space="preserve"> differences </w:t>
      </w:r>
      <w:r>
        <w:t>are</w:t>
      </w:r>
      <w:r w:rsidRPr="001C21B9">
        <w:t xml:space="preserve"> not statistically significant (All Cancers </w:t>
      </w:r>
      <w:r w:rsidR="009D21C6" w:rsidRPr="00C67EB4">
        <w:rPr>
          <w:i/>
        </w:rPr>
        <w:t>p</w:t>
      </w:r>
      <w:r w:rsidR="009D21C6">
        <w:t xml:space="preserve"> = </w:t>
      </w:r>
      <w:r w:rsidRPr="001C21B9">
        <w:t xml:space="preserve">0.14; Leukemia/Lymphoma </w:t>
      </w:r>
      <w:r w:rsidR="009D21C6" w:rsidRPr="00C67EB4">
        <w:rPr>
          <w:i/>
        </w:rPr>
        <w:t>p</w:t>
      </w:r>
      <w:r w:rsidR="009D21C6">
        <w:t xml:space="preserve"> = </w:t>
      </w:r>
      <w:r w:rsidRPr="001C21B9">
        <w:t>0.10</w:t>
      </w:r>
      <w:r w:rsidR="003F1F68">
        <w:t>2</w:t>
      </w:r>
      <w:r w:rsidRPr="001C21B9">
        <w:t>)</w:t>
      </w:r>
      <w:r w:rsidR="00716072">
        <w:t xml:space="preserve">. </w:t>
      </w:r>
      <w:r w:rsidR="00CD1960">
        <w:t>Among those who reported occupational ionizing radiation exposure, o</w:t>
      </w:r>
      <w:r w:rsidRPr="001C21B9">
        <w:t>nly one case mother and two control mothers reported having worked within 20 feet of an active ionizing radiation source for any length of time during pregnancy</w:t>
      </w:r>
      <w:r w:rsidR="00716072">
        <w:t xml:space="preserve">. </w:t>
      </w:r>
      <w:r w:rsidRPr="001C21B9">
        <w:t>In all three instances</w:t>
      </w:r>
      <w:r>
        <w:t>,</w:t>
      </w:r>
      <w:r w:rsidRPr="001C21B9">
        <w:t xml:space="preserve"> the women worked near an x-ray device in a healthcare setting.</w:t>
      </w:r>
    </w:p>
    <w:p w14:paraId="4EF1B73B" w14:textId="2FCFD999" w:rsidR="00542826" w:rsidRDefault="004D728F" w:rsidP="006C3ED9">
      <w:r w:rsidRPr="009E49FD">
        <w:t>Diagnostic x-ray exposure was re</w:t>
      </w:r>
      <w:r>
        <w:t>ported</w:t>
      </w:r>
      <w:r w:rsidRPr="009E49FD">
        <w:t xml:space="preserve"> during pregnancy by eight (11%) control mothers</w:t>
      </w:r>
      <w:r w:rsidR="00854331">
        <w:t xml:space="preserve"> (6 of whom are in the </w:t>
      </w:r>
      <w:r w:rsidR="007F74B7">
        <w:t>Leukemia/Lymphoma</w:t>
      </w:r>
      <w:r w:rsidR="00854331">
        <w:t xml:space="preserve"> subgroup)</w:t>
      </w:r>
      <w:r w:rsidRPr="009E49FD">
        <w:t xml:space="preserve"> but no case </w:t>
      </w:r>
      <w:r w:rsidR="00854331">
        <w:t>mothers</w:t>
      </w:r>
      <w:r>
        <w:t>.</w:t>
      </w:r>
      <w:r w:rsidR="00931FF5" w:rsidRPr="00931FF5">
        <w:t xml:space="preserve"> </w:t>
      </w:r>
      <w:r w:rsidR="00931FF5">
        <w:t xml:space="preserve">Among the All Cancers group, there was a somewhat higher proportion of case mothers (78%) who had any </w:t>
      </w:r>
      <w:r w:rsidR="00B92738">
        <w:t xml:space="preserve">prenatal </w:t>
      </w:r>
      <w:r w:rsidR="00931FF5">
        <w:t>ultrasound examinations compared to control mothers (70%), though these results were not statistically significant (</w:t>
      </w:r>
      <w:r w:rsidR="00931FF5" w:rsidRPr="00931FF5">
        <w:rPr>
          <w:i/>
        </w:rPr>
        <w:t>p</w:t>
      </w:r>
      <w:r w:rsidR="00931FF5">
        <w:t xml:space="preserve"> = 0.11). The comparison between case and control mothers was similar among the Leukemia/Lymphoma subgroup (82% vs. 76%), however statistical significance could not be calculated for this comparison because there were no discordant pairs.</w:t>
      </w:r>
    </w:p>
    <w:p w14:paraId="13CCA60C" w14:textId="2A215B23" w:rsidR="005330DE" w:rsidRDefault="00542826" w:rsidP="006C3ED9">
      <w:r>
        <w:t>No mothers reported having monon</w:t>
      </w:r>
      <w:r w:rsidR="00931FF5">
        <w:t>ucleosis during pregnancy.</w:t>
      </w:r>
    </w:p>
    <w:p w14:paraId="240B20A1" w14:textId="77777777" w:rsidR="004D728F" w:rsidRDefault="00854331" w:rsidP="0010161F">
      <w:pPr>
        <w:pStyle w:val="Heading3"/>
      </w:pPr>
      <w:r>
        <w:t>Childhood Risk Factors</w:t>
      </w:r>
    </w:p>
    <w:p w14:paraId="59EF7EFA" w14:textId="77777777" w:rsidR="004D728F" w:rsidRDefault="004D728F" w:rsidP="006C3ED9">
      <w:r>
        <w:t xml:space="preserve">This section describes major findings observed for risk factors </w:t>
      </w:r>
      <w:r w:rsidR="00854331">
        <w:t>experienced during childhood</w:t>
      </w:r>
      <w:r>
        <w:t xml:space="preserve"> including adverse birth events, other childhood medical history</w:t>
      </w:r>
      <w:r w:rsidR="00854331">
        <w:t>,</w:t>
      </w:r>
      <w:r>
        <w:t xml:space="preserve"> and </w:t>
      </w:r>
      <w:r>
        <w:lastRenderedPageBreak/>
        <w:t xml:space="preserve">childhood </w:t>
      </w:r>
      <w:r w:rsidR="00854331">
        <w:t>exposures</w:t>
      </w:r>
      <w:r w:rsidR="00716072">
        <w:t xml:space="preserve">. </w:t>
      </w:r>
      <w:r w:rsidRPr="006706CD">
        <w:t>Detail</w:t>
      </w:r>
      <w:r>
        <w:t>ed</w:t>
      </w:r>
      <w:r w:rsidRPr="006706CD">
        <w:t xml:space="preserve"> </w:t>
      </w:r>
      <w:r>
        <w:t xml:space="preserve">results of all analyses of childhood </w:t>
      </w:r>
      <w:r w:rsidRPr="006706CD">
        <w:t xml:space="preserve">medical events </w:t>
      </w:r>
      <w:r>
        <w:t>at</w:t>
      </w:r>
      <w:r w:rsidRPr="006706CD">
        <w:t xml:space="preserve"> birth</w:t>
      </w:r>
      <w:r>
        <w:t>, medical history, and environmental exposures can be found in Appendix D.</w:t>
      </w:r>
    </w:p>
    <w:p w14:paraId="53E72964" w14:textId="77777777" w:rsidR="004D728F" w:rsidRPr="00711C21" w:rsidRDefault="004D728F" w:rsidP="0063071E">
      <w:pPr>
        <w:pStyle w:val="StyleHeading4Linespacingsingle"/>
      </w:pPr>
      <w:r>
        <w:t>Birth events</w:t>
      </w:r>
    </w:p>
    <w:p w14:paraId="662BC2BC" w14:textId="77777777" w:rsidR="004D728F" w:rsidRDefault="004D728F" w:rsidP="006C3ED9">
      <w:r w:rsidRPr="00854331">
        <w:t>There were proportionally more cases born with low birth weight (17%) compared to controls (4%) within the All Cancers group, and this difference was statistically significant (</w:t>
      </w:r>
      <w:r w:rsidR="009D21C6" w:rsidRPr="00C67EB4">
        <w:rPr>
          <w:i/>
        </w:rPr>
        <w:t>p</w:t>
      </w:r>
      <w:r w:rsidR="009D21C6">
        <w:t xml:space="preserve"> = </w:t>
      </w:r>
      <w:r w:rsidRPr="00854331">
        <w:t>0.03)</w:t>
      </w:r>
      <w:r w:rsidR="00716072">
        <w:t xml:space="preserve">. </w:t>
      </w:r>
      <w:r w:rsidRPr="00854331">
        <w:t>The corresponding odds ratio was substantially elevated</w:t>
      </w:r>
      <w:r w:rsidR="00854331">
        <w:t xml:space="preserve">, but </w:t>
      </w:r>
      <w:r w:rsidRPr="00854331">
        <w:t xml:space="preserve">the confidence interval was </w:t>
      </w:r>
      <w:r w:rsidR="000C7EDC">
        <w:t>very</w:t>
      </w:r>
      <w:r w:rsidRPr="00854331">
        <w:t xml:space="preserve"> wide, indicating imprecision in the estimate due to small numbers (OR</w:t>
      </w:r>
      <w:r w:rsidR="006D56C5">
        <w:t xml:space="preserve"> </w:t>
      </w:r>
      <w:r w:rsidRPr="00854331">
        <w:t>=</w:t>
      </w:r>
      <w:r w:rsidR="006D56C5">
        <w:t xml:space="preserve"> </w:t>
      </w:r>
      <w:r w:rsidRPr="00854331">
        <w:t>1</w:t>
      </w:r>
      <w:r w:rsidR="00854331">
        <w:t>3</w:t>
      </w:r>
      <w:r w:rsidRPr="00663639">
        <w:t>, 95% CI: 1.3-12</w:t>
      </w:r>
      <w:r w:rsidR="00854331">
        <w:t>3</w:t>
      </w:r>
      <w:r w:rsidRPr="00663639">
        <w:t>)</w:t>
      </w:r>
      <w:r w:rsidR="00716072">
        <w:t xml:space="preserve">. </w:t>
      </w:r>
      <w:r w:rsidRPr="00951BA4">
        <w:t>The OR for the Leukemia</w:t>
      </w:r>
      <w:r>
        <w:t>/Lymphoma subgroup could not be calculated because all cases and their matched controls gave the same response to this question (i.e., t</w:t>
      </w:r>
      <w:r w:rsidR="00854331">
        <w:t>here were no discordant pairs).</w:t>
      </w:r>
      <w:r w:rsidR="00931FF5">
        <w:t xml:space="preserve"> The proportion of high birth weight case and control children was similar within both the All Cancers group (22% vs. 19%) and the Leukemia/Lymphoma subgroup (18% vs. 24%).</w:t>
      </w:r>
    </w:p>
    <w:p w14:paraId="37DA853B" w14:textId="77777777" w:rsidR="004D728F" w:rsidRDefault="004D728F" w:rsidP="006C3ED9">
      <w:r>
        <w:t>A similarly statistically significant result in the All Cancers group was found for children immediately given oxygen after birth (OR = 1</w:t>
      </w:r>
      <w:r w:rsidR="00CD1960">
        <w:t>4</w:t>
      </w:r>
      <w:r>
        <w:t>; 95% CI: 1.4-1</w:t>
      </w:r>
      <w:r w:rsidR="00CD1960">
        <w:t>30</w:t>
      </w:r>
      <w:r>
        <w:t>)</w:t>
      </w:r>
      <w:r w:rsidR="00716072">
        <w:t xml:space="preserve">. </w:t>
      </w:r>
      <w:r>
        <w:t>Again, the confidence interval was very wide due to the small number</w:t>
      </w:r>
      <w:r w:rsidR="00CD1960">
        <w:t>s</w:t>
      </w:r>
      <w:r>
        <w:t xml:space="preserve"> of cases (n=3) and controls (n=3)</w:t>
      </w:r>
      <w:r w:rsidR="00716072">
        <w:t xml:space="preserve">. </w:t>
      </w:r>
      <w:r>
        <w:t xml:space="preserve">The estimated OR for the Leukemia/Lymphoma subgroup was also elevated but was </w:t>
      </w:r>
      <w:r w:rsidR="00FC32C1">
        <w:t>only marginally</w:t>
      </w:r>
      <w:r>
        <w:t xml:space="preserve"> significant</w:t>
      </w:r>
      <w:r w:rsidR="00FC32C1">
        <w:t xml:space="preserve"> with a </w:t>
      </w:r>
      <w:r w:rsidR="00C67EB4" w:rsidRPr="00372442">
        <w:rPr>
          <w:i/>
        </w:rPr>
        <w:t>p</w:t>
      </w:r>
      <w:r w:rsidR="00C67EB4">
        <w:t>-value</w:t>
      </w:r>
      <w:r w:rsidR="00FC32C1">
        <w:t xml:space="preserve"> of 0.08</w:t>
      </w:r>
      <w:r>
        <w:t xml:space="preserve"> (OR</w:t>
      </w:r>
      <w:r w:rsidR="006D56C5">
        <w:t xml:space="preserve"> </w:t>
      </w:r>
      <w:r>
        <w:t>=</w:t>
      </w:r>
      <w:r w:rsidR="006D56C5">
        <w:t xml:space="preserve"> </w:t>
      </w:r>
      <w:r>
        <w:t>8.6; 95%CI: 0.8-9</w:t>
      </w:r>
      <w:r w:rsidR="00CD1960">
        <w:t>6</w:t>
      </w:r>
      <w:r>
        <w:t>) and the number of cases and controls affected was small (cases</w:t>
      </w:r>
      <w:r w:rsidR="006D56C5">
        <w:t xml:space="preserve"> </w:t>
      </w:r>
      <w:r>
        <w:t>=</w:t>
      </w:r>
      <w:r w:rsidR="006D56C5">
        <w:t xml:space="preserve"> </w:t>
      </w:r>
      <w:r>
        <w:t>2; controls</w:t>
      </w:r>
      <w:r w:rsidR="006D56C5">
        <w:t xml:space="preserve"> </w:t>
      </w:r>
      <w:r>
        <w:t>=</w:t>
      </w:r>
      <w:r w:rsidR="006D56C5">
        <w:t xml:space="preserve"> </w:t>
      </w:r>
      <w:r>
        <w:t>3).</w:t>
      </w:r>
    </w:p>
    <w:p w14:paraId="55360797" w14:textId="77777777" w:rsidR="004D728F" w:rsidRDefault="004D728F" w:rsidP="006C3ED9">
      <w:r>
        <w:t>Case c</w:t>
      </w:r>
      <w:r w:rsidRPr="00737469">
        <w:t xml:space="preserve">hildren </w:t>
      </w:r>
      <w:r>
        <w:t xml:space="preserve">were also found to be more often </w:t>
      </w:r>
      <w:r w:rsidRPr="00737469">
        <w:t xml:space="preserve">placed in an incubator immediately after birth </w:t>
      </w:r>
      <w:r>
        <w:t xml:space="preserve">(All Cancers: 28% of cases </w:t>
      </w:r>
      <w:r w:rsidR="00FF7171">
        <w:t>vs.</w:t>
      </w:r>
      <w:r>
        <w:t xml:space="preserve"> 15% of controls; Leukemia/Lymphoma: 27% of cases </w:t>
      </w:r>
      <w:r w:rsidR="00FF7171">
        <w:t>vs.</w:t>
      </w:r>
      <w:r>
        <w:t xml:space="preserve"> 16% of controls</w:t>
      </w:r>
      <w:r w:rsidR="00716072">
        <w:t xml:space="preserve">. </w:t>
      </w:r>
      <w:r>
        <w:t xml:space="preserve">The odds of cancer following this event were elevated but were not statistically significant </w:t>
      </w:r>
      <w:r w:rsidRPr="003E647B">
        <w:t>(</w:t>
      </w:r>
      <w:r>
        <w:t xml:space="preserve">All Cancers </w:t>
      </w:r>
      <w:r w:rsidRPr="003E647B">
        <w:t>OR</w:t>
      </w:r>
      <w:r w:rsidR="006D56C5">
        <w:t xml:space="preserve"> </w:t>
      </w:r>
      <w:r w:rsidRPr="003E647B">
        <w:t>=</w:t>
      </w:r>
      <w:r w:rsidR="006D56C5">
        <w:t xml:space="preserve"> </w:t>
      </w:r>
      <w:r w:rsidRPr="003E647B">
        <w:t>2.8</w:t>
      </w:r>
      <w:r>
        <w:t>,</w:t>
      </w:r>
      <w:r w:rsidRPr="003E647B">
        <w:t xml:space="preserve"> 95%CI 0.8-10</w:t>
      </w:r>
      <w:r>
        <w:t>; Leukemia/Lymphoma OR</w:t>
      </w:r>
      <w:r w:rsidR="006D56C5">
        <w:t xml:space="preserve"> </w:t>
      </w:r>
      <w:r>
        <w:t>=</w:t>
      </w:r>
      <w:r w:rsidR="006D56C5">
        <w:t xml:space="preserve"> </w:t>
      </w:r>
      <w:r>
        <w:t>4.3, 95%CI: 0.7-27).</w:t>
      </w:r>
    </w:p>
    <w:p w14:paraId="14CE1FEC" w14:textId="64565902" w:rsidR="004D728F" w:rsidRDefault="00CD1960" w:rsidP="006C3ED9">
      <w:r w:rsidRPr="00284403">
        <w:t>Since there was overlap among children who were reported to have received oxygen at birth, been placed in an incubator immediately following birth, or been born with low birth weight, a composite variable named “adverse birth event” was created to assess these events together as one risk factor</w:t>
      </w:r>
      <w:r w:rsidR="00716072">
        <w:t xml:space="preserve">. </w:t>
      </w:r>
      <w:r w:rsidR="004D728F">
        <w:t>When evaluated collectively as a single risk factor, more cases than controls had</w:t>
      </w:r>
      <w:r w:rsidR="004D728F" w:rsidRPr="00284403">
        <w:t xml:space="preserve"> a history of any of the</w:t>
      </w:r>
      <w:r w:rsidR="004D728F">
        <w:t>se</w:t>
      </w:r>
      <w:r w:rsidR="004D728F" w:rsidRPr="00284403">
        <w:t xml:space="preserve"> three </w:t>
      </w:r>
      <w:r w:rsidR="004D728F">
        <w:t>"</w:t>
      </w:r>
      <w:r w:rsidR="004D728F" w:rsidRPr="00284403">
        <w:t>adverse birth events</w:t>
      </w:r>
      <w:r w:rsidR="004D728F">
        <w:t>,"</w:t>
      </w:r>
      <w:r w:rsidR="004D728F" w:rsidRPr="00284403">
        <w:t xml:space="preserve"> </w:t>
      </w:r>
      <w:r w:rsidR="004D728F">
        <w:t xml:space="preserve">and the differences in both cancer groups was </w:t>
      </w:r>
      <w:r w:rsidR="004D728F" w:rsidRPr="00284403">
        <w:t>statistically significant</w:t>
      </w:r>
      <w:r w:rsidR="00716072">
        <w:t xml:space="preserve">. </w:t>
      </w:r>
      <w:r w:rsidR="004D728F">
        <w:t>These children were</w:t>
      </w:r>
      <w:r w:rsidR="004D728F" w:rsidRPr="00284403">
        <w:t xml:space="preserve"> more likely</w:t>
      </w:r>
      <w:r w:rsidR="004D728F">
        <w:t xml:space="preserve"> </w:t>
      </w:r>
      <w:r w:rsidR="004D728F" w:rsidRPr="00284403">
        <w:t>to be diagnosed with cancer (</w:t>
      </w:r>
      <w:r w:rsidR="004D728F">
        <w:t xml:space="preserve">All Cancers </w:t>
      </w:r>
      <w:r w:rsidR="004D728F" w:rsidRPr="00284403">
        <w:t>OR</w:t>
      </w:r>
      <w:r w:rsidR="006D56C5">
        <w:t xml:space="preserve"> </w:t>
      </w:r>
      <w:r w:rsidR="004D728F" w:rsidRPr="00284403">
        <w:t>=</w:t>
      </w:r>
      <w:r w:rsidR="006D56C5">
        <w:t xml:space="preserve"> </w:t>
      </w:r>
      <w:r w:rsidR="004D728F">
        <w:t>6.0,</w:t>
      </w:r>
      <w:r w:rsidR="004D728F" w:rsidRPr="00284403">
        <w:t xml:space="preserve"> 95%</w:t>
      </w:r>
      <w:r w:rsidR="004D728F">
        <w:t xml:space="preserve"> </w:t>
      </w:r>
      <w:r w:rsidR="004D728F" w:rsidRPr="00284403">
        <w:t>CI: 1.7-</w:t>
      </w:r>
      <w:r w:rsidR="004D728F">
        <w:t>21; Leukemia/Lymphoma OR</w:t>
      </w:r>
      <w:r w:rsidR="006D56C5">
        <w:t xml:space="preserve"> </w:t>
      </w:r>
      <w:r w:rsidR="004D728F">
        <w:t>=</w:t>
      </w:r>
      <w:r w:rsidR="006D56C5">
        <w:t xml:space="preserve"> </w:t>
      </w:r>
      <w:r w:rsidR="004D728F">
        <w:t>1</w:t>
      </w:r>
      <w:r>
        <w:t>6</w:t>
      </w:r>
      <w:r w:rsidR="004D728F" w:rsidRPr="006706CD">
        <w:t>; 95%</w:t>
      </w:r>
      <w:r w:rsidR="004D728F">
        <w:t xml:space="preserve"> CI: 1.8-140</w:t>
      </w:r>
      <w:r w:rsidR="004D728F" w:rsidRPr="00284403">
        <w:t>)</w:t>
      </w:r>
      <w:r w:rsidR="00716072">
        <w:t xml:space="preserve">. </w:t>
      </w:r>
      <w:r w:rsidR="004D728F">
        <w:t>As with the three birth risk factors evaluated individually</w:t>
      </w:r>
      <w:r w:rsidR="004D728F" w:rsidRPr="00284403">
        <w:t xml:space="preserve">, the </w:t>
      </w:r>
      <w:r w:rsidR="004D728F">
        <w:t xml:space="preserve">wide </w:t>
      </w:r>
      <w:r w:rsidR="004D728F" w:rsidRPr="00284403">
        <w:t xml:space="preserve">confidence intervals </w:t>
      </w:r>
      <w:r w:rsidR="004D728F">
        <w:t xml:space="preserve">indicate </w:t>
      </w:r>
      <w:r w:rsidR="004D728F" w:rsidRPr="00284403">
        <w:t>that the OR</w:t>
      </w:r>
      <w:r w:rsidR="004D728F">
        <w:t>s</w:t>
      </w:r>
      <w:r w:rsidR="004D728F" w:rsidRPr="00284403">
        <w:t xml:space="preserve"> </w:t>
      </w:r>
      <w:r w:rsidR="004D728F">
        <w:t>are</w:t>
      </w:r>
      <w:r w:rsidR="004D728F" w:rsidRPr="00284403">
        <w:t xml:space="preserve"> very imprecise, particularly for the </w:t>
      </w:r>
      <w:r w:rsidR="004D728F">
        <w:t>L</w:t>
      </w:r>
      <w:r w:rsidR="004D728F" w:rsidRPr="00284403">
        <w:t>eukemia/</w:t>
      </w:r>
      <w:r w:rsidR="004D728F">
        <w:t>L</w:t>
      </w:r>
      <w:r w:rsidR="004D728F" w:rsidRPr="00284403">
        <w:t xml:space="preserve">ymphoma </w:t>
      </w:r>
      <w:r w:rsidR="004D728F">
        <w:t>subgroup</w:t>
      </w:r>
      <w:r w:rsidR="004D728F" w:rsidRPr="00284403">
        <w:t>.</w:t>
      </w:r>
    </w:p>
    <w:p w14:paraId="5FA19FC1" w14:textId="77777777" w:rsidR="000C4868" w:rsidRPr="00284403" w:rsidRDefault="000C4868" w:rsidP="006C3ED9"/>
    <w:p w14:paraId="42AB6212" w14:textId="77777777" w:rsidR="004D728F" w:rsidRPr="004D2084" w:rsidRDefault="004D728F" w:rsidP="0063071E">
      <w:pPr>
        <w:pStyle w:val="StyleHeading4Linespacingsingle"/>
      </w:pPr>
      <w:r>
        <w:lastRenderedPageBreak/>
        <w:t>Other Childhood Medical History</w:t>
      </w:r>
    </w:p>
    <w:p w14:paraId="43DE355D" w14:textId="77777777" w:rsidR="004D728F" w:rsidRDefault="00402ED2" w:rsidP="00FB6843">
      <w:pPr>
        <w:keepNext/>
      </w:pPr>
      <w:r>
        <w:t xml:space="preserve">The proportion of breastfed case and control children was fairly similar within both the All Cancers group (50% </w:t>
      </w:r>
      <w:r w:rsidR="00FF7171">
        <w:t>vs.</w:t>
      </w:r>
      <w:r>
        <w:t xml:space="preserve"> 54%) and the Leukemia/Lymphoma subgroup (46% </w:t>
      </w:r>
      <w:r w:rsidR="00FF7171">
        <w:t>vs.</w:t>
      </w:r>
      <w:r>
        <w:t xml:space="preserve"> 53%)</w:t>
      </w:r>
      <w:r w:rsidR="00716072">
        <w:t xml:space="preserve">. </w:t>
      </w:r>
      <w:r w:rsidR="004D728F" w:rsidRPr="004E7832">
        <w:t xml:space="preserve">A higher proportion of cases had </w:t>
      </w:r>
      <w:r w:rsidR="004D728F">
        <w:t xml:space="preserve">a history of </w:t>
      </w:r>
      <w:r w:rsidR="004D728F" w:rsidRPr="004E7832">
        <w:t xml:space="preserve">mononucleosis </w:t>
      </w:r>
      <w:r w:rsidR="004D728F">
        <w:t>compared to</w:t>
      </w:r>
      <w:r w:rsidR="004D728F" w:rsidRPr="004E7832">
        <w:t xml:space="preserve"> controls (11% </w:t>
      </w:r>
      <w:r w:rsidR="00FF7171">
        <w:t>vs.</w:t>
      </w:r>
      <w:r w:rsidR="004D728F" w:rsidRPr="004E7832">
        <w:t xml:space="preserve"> 5%), but the difference was not statistically significant</w:t>
      </w:r>
      <w:r w:rsidR="00716072">
        <w:t xml:space="preserve">. </w:t>
      </w:r>
      <w:r w:rsidR="004D728F" w:rsidRPr="004E7832">
        <w:t>There were no reported instances of autoimmune disorders, HIV infection, cytomegalovirus infection, organ transplant, hypogammaglobinemia, or use of antiepileptic drugs or chemotherapy drugs among cases or controls.</w:t>
      </w:r>
    </w:p>
    <w:p w14:paraId="3EB20F0C" w14:textId="77777777" w:rsidR="004D728F" w:rsidRPr="00F80B1F" w:rsidRDefault="004D728F" w:rsidP="006C3ED9">
      <w:r>
        <w:t xml:space="preserve">The only medicinal exposure that appeared to be potentially associated with cancer diagnosis was </w:t>
      </w:r>
      <w:r w:rsidR="00CD1960">
        <w:t>a</w:t>
      </w:r>
      <w:r w:rsidRPr="00F80B1F">
        <w:t>n</w:t>
      </w:r>
      <w:r>
        <w:t>tihistamine use</w:t>
      </w:r>
      <w:r w:rsidR="00716072">
        <w:t xml:space="preserve">. </w:t>
      </w:r>
      <w:r>
        <w:t xml:space="preserve">Antihistamine use </w:t>
      </w:r>
      <w:r w:rsidRPr="00F80B1F">
        <w:t>was reported more frequently among cases (5</w:t>
      </w:r>
      <w:r>
        <w:t xml:space="preserve">6%) </w:t>
      </w:r>
      <w:r w:rsidRPr="00F80B1F">
        <w:t>than controls (3</w:t>
      </w:r>
      <w:r>
        <w:t>4</w:t>
      </w:r>
      <w:r w:rsidRPr="00F80B1F">
        <w:t>%)</w:t>
      </w:r>
      <w:r w:rsidR="00716072">
        <w:t xml:space="preserve">. </w:t>
      </w:r>
      <w:r w:rsidRPr="00F80B1F">
        <w:t>The result</w:t>
      </w:r>
      <w:r>
        <w:t>ing</w:t>
      </w:r>
      <w:r w:rsidRPr="00F80B1F">
        <w:t xml:space="preserve"> OR for all cancers combined was elevated but </w:t>
      </w:r>
      <w:r>
        <w:t>was</w:t>
      </w:r>
      <w:r w:rsidR="00CD1960">
        <w:t xml:space="preserve"> only</w:t>
      </w:r>
      <w:r>
        <w:t xml:space="preserve"> marginally</w:t>
      </w:r>
      <w:r w:rsidRPr="00F80B1F">
        <w:t xml:space="preserve"> significant (OR 2.</w:t>
      </w:r>
      <w:r>
        <w:t>7</w:t>
      </w:r>
      <w:r w:rsidRPr="00F80B1F">
        <w:t>; 95% CI 0.8-8.</w:t>
      </w:r>
      <w:r>
        <w:t xml:space="preserve">7; </w:t>
      </w:r>
      <w:r w:rsidR="009D21C6" w:rsidRPr="00C67EB4">
        <w:rPr>
          <w:i/>
        </w:rPr>
        <w:t>p</w:t>
      </w:r>
      <w:r w:rsidR="009D21C6">
        <w:t xml:space="preserve"> = </w:t>
      </w:r>
      <w:r>
        <w:t>0.</w:t>
      </w:r>
      <w:r w:rsidR="003F1F68">
        <w:t>0954</w:t>
      </w:r>
      <w:r w:rsidRPr="00F80B1F">
        <w:t>)</w:t>
      </w:r>
      <w:r w:rsidR="00716072">
        <w:t xml:space="preserve">. </w:t>
      </w:r>
      <w:r w:rsidR="00CD1960">
        <w:t>The</w:t>
      </w:r>
      <w:r>
        <w:t xml:space="preserve"> L</w:t>
      </w:r>
      <w:r w:rsidRPr="0027079B">
        <w:t>eukemia/</w:t>
      </w:r>
      <w:r>
        <w:t>L</w:t>
      </w:r>
      <w:r w:rsidRPr="0027079B">
        <w:t xml:space="preserve">ymphoma </w:t>
      </w:r>
      <w:r>
        <w:t>sub</w:t>
      </w:r>
      <w:r w:rsidRPr="0027079B">
        <w:t xml:space="preserve">group </w:t>
      </w:r>
      <w:r>
        <w:t>resulted in</w:t>
      </w:r>
      <w:r w:rsidRPr="00F80B1F">
        <w:t xml:space="preserve"> a</w:t>
      </w:r>
      <w:r>
        <w:t xml:space="preserve"> </w:t>
      </w:r>
      <w:r w:rsidRPr="00F80B1F">
        <w:t>n</w:t>
      </w:r>
      <w:r>
        <w:t>on-significant</w:t>
      </w:r>
      <w:r w:rsidRPr="00F80B1F">
        <w:t xml:space="preserve"> OR of 1.9 (95% CI 0.</w:t>
      </w:r>
      <w:r>
        <w:t>5</w:t>
      </w:r>
      <w:r w:rsidRPr="00F80B1F">
        <w:t>-7.</w:t>
      </w:r>
      <w:r>
        <w:t xml:space="preserve">9, </w:t>
      </w:r>
      <w:r w:rsidR="009D21C6" w:rsidRPr="00C67EB4">
        <w:rPr>
          <w:i/>
        </w:rPr>
        <w:t>p</w:t>
      </w:r>
      <w:r w:rsidR="009D21C6">
        <w:t xml:space="preserve"> = </w:t>
      </w:r>
      <w:r>
        <w:t>0.37</w:t>
      </w:r>
      <w:r w:rsidRPr="00F80B1F">
        <w:t>).</w:t>
      </w:r>
    </w:p>
    <w:p w14:paraId="4FF8062A" w14:textId="77777777" w:rsidR="004D728F" w:rsidRPr="004D6FF8" w:rsidRDefault="004D728F" w:rsidP="0063071E">
      <w:pPr>
        <w:pStyle w:val="StyleHeading4Linespacingsingle"/>
      </w:pPr>
      <w:r>
        <w:t>Childhood Exposures</w:t>
      </w:r>
    </w:p>
    <w:p w14:paraId="79116C0B" w14:textId="77777777" w:rsidR="004D728F" w:rsidRDefault="004D728F" w:rsidP="006C3ED9">
      <w:r>
        <w:t xml:space="preserve">Similar to the findings for smoking during pregnancy, more control children were reported to have been exposed to second-hand smoke than were case children (All Cancers: 22% of cases </w:t>
      </w:r>
      <w:r w:rsidR="00FF7171">
        <w:t>vs.</w:t>
      </w:r>
      <w:r>
        <w:t xml:space="preserve"> 49% of controls; Leukemia/Lymphoma: 9% of cases </w:t>
      </w:r>
      <w:r w:rsidR="00FF7171">
        <w:t>vs.</w:t>
      </w:r>
      <w:r>
        <w:t xml:space="preserve"> 47% of controls)</w:t>
      </w:r>
      <w:r w:rsidR="00716072">
        <w:t xml:space="preserve">. </w:t>
      </w:r>
      <w:r w:rsidR="00C5625E">
        <w:t xml:space="preserve">The odds ratio </w:t>
      </w:r>
      <w:r w:rsidR="00083B82">
        <w:t xml:space="preserve">for this association </w:t>
      </w:r>
      <w:r w:rsidR="00C5625E">
        <w:t xml:space="preserve">in the All Cancers analysis </w:t>
      </w:r>
      <w:r w:rsidR="00083B82">
        <w:t xml:space="preserve">(OR: 0.3; 95% CI 0.1-1.02) </w:t>
      </w:r>
      <w:r w:rsidR="00C5625E">
        <w:t xml:space="preserve">was </w:t>
      </w:r>
      <w:r w:rsidR="003F1F68">
        <w:t xml:space="preserve">marginally </w:t>
      </w:r>
      <w:r w:rsidR="00083B82">
        <w:t>statistical</w:t>
      </w:r>
      <w:r w:rsidR="00195D2B">
        <w:t>ly</w:t>
      </w:r>
      <w:r w:rsidR="00083B82">
        <w:t xml:space="preserve"> </w:t>
      </w:r>
      <w:r w:rsidR="00C5625E">
        <w:t>significan</w:t>
      </w:r>
      <w:r w:rsidR="00195D2B">
        <w:t>t</w:t>
      </w:r>
      <w:r w:rsidR="008C1C36">
        <w:t xml:space="preserve"> with a </w:t>
      </w:r>
      <w:r w:rsidR="00C67EB4" w:rsidRPr="00372442">
        <w:rPr>
          <w:i/>
        </w:rPr>
        <w:t>p</w:t>
      </w:r>
      <w:r w:rsidR="00C67EB4">
        <w:t>-value</w:t>
      </w:r>
      <w:r w:rsidR="008C1C36">
        <w:t xml:space="preserve"> of 0.05</w:t>
      </w:r>
      <w:r w:rsidR="003F1F68">
        <w:t>3</w:t>
      </w:r>
      <w:r w:rsidR="008C1C36">
        <w:t>, but the OR for the Leukemia/Lymphoma subgroup could not be calculated (Appendix D).</w:t>
      </w:r>
    </w:p>
    <w:p w14:paraId="2C6AECB1" w14:textId="77777777" w:rsidR="004D728F" w:rsidRDefault="004D728F" w:rsidP="006C3ED9">
      <w:r>
        <w:t>Exposure to bug repellants or pesticides was somewhat similar among cases and controls</w:t>
      </w:r>
      <w:r w:rsidR="000F7931">
        <w:t xml:space="preserve"> in</w:t>
      </w:r>
      <w:r>
        <w:t xml:space="preserve"> the All Cancers group (72% </w:t>
      </w:r>
      <w:r w:rsidR="00FF7171">
        <w:t>vs.</w:t>
      </w:r>
      <w:r>
        <w:t xml:space="preserve"> 78%)</w:t>
      </w:r>
      <w:r w:rsidR="00716072">
        <w:t xml:space="preserve">. </w:t>
      </w:r>
      <w:r>
        <w:t xml:space="preserve">In the Leukemia/Lymphoma subgroup, there was a slightly larger difference between cases and controls in the use of these products (82% </w:t>
      </w:r>
      <w:r w:rsidR="00FF7171">
        <w:t>vs.</w:t>
      </w:r>
      <w:r>
        <w:t xml:space="preserve"> 71%)</w:t>
      </w:r>
      <w:r w:rsidR="00716072">
        <w:t xml:space="preserve">. </w:t>
      </w:r>
      <w:r>
        <w:t>The small differences in both groups were not statistically significant</w:t>
      </w:r>
      <w:r w:rsidR="005F29F1">
        <w:t>.</w:t>
      </w:r>
    </w:p>
    <w:p w14:paraId="1D06FE2C" w14:textId="77777777" w:rsidR="00083B82" w:rsidRDefault="00083B82" w:rsidP="0010161F">
      <w:pPr>
        <w:pStyle w:val="Heading3"/>
      </w:pPr>
      <w:r>
        <w:t>Household Exposures</w:t>
      </w:r>
    </w:p>
    <w:p w14:paraId="059E4597" w14:textId="77777777" w:rsidR="00977423" w:rsidRDefault="004D728F" w:rsidP="00977423">
      <w:r w:rsidRPr="00E875A8">
        <w:t xml:space="preserve">It was not always possible to separate </w:t>
      </w:r>
      <w:r>
        <w:t xml:space="preserve">household </w:t>
      </w:r>
      <w:r w:rsidRPr="00E875A8">
        <w:t xml:space="preserve">exposures </w:t>
      </w:r>
      <w:r>
        <w:t>between</w:t>
      </w:r>
      <w:r w:rsidRPr="00E875A8">
        <w:t xml:space="preserve"> the prenatal or post birth periods</w:t>
      </w:r>
      <w:r>
        <w:t xml:space="preserve"> because of the nature of the question asked or the response provided</w:t>
      </w:r>
      <w:r w:rsidR="00716072">
        <w:t xml:space="preserve">. </w:t>
      </w:r>
      <w:r w:rsidR="00944B1E">
        <w:t>For example, e</w:t>
      </w:r>
      <w:r>
        <w:t xml:space="preserve">xposure </w:t>
      </w:r>
      <w:r w:rsidR="00083B82">
        <w:t xml:space="preserve">by a child </w:t>
      </w:r>
      <w:r>
        <w:t>to various chemicals was determined by</w:t>
      </w:r>
      <w:r w:rsidR="00944B1E">
        <w:t xml:space="preserve"> asking</w:t>
      </w:r>
      <w:r>
        <w:t xml:space="preserve"> if </w:t>
      </w:r>
      <w:r w:rsidR="00944B1E">
        <w:t>any</w:t>
      </w:r>
      <w:r>
        <w:t xml:space="preserve">one living in the house worked with </w:t>
      </w:r>
      <w:r w:rsidR="00944B1E">
        <w:t>the</w:t>
      </w:r>
      <w:r>
        <w:t xml:space="preserve"> chemical in or around the home </w:t>
      </w:r>
      <w:r w:rsidR="00944B1E">
        <w:t xml:space="preserve">at any time from one </w:t>
      </w:r>
      <w:r>
        <w:t xml:space="preserve">month prior to conception </w:t>
      </w:r>
      <w:r w:rsidR="00944B1E">
        <w:t xml:space="preserve">to the child’s diagnosis/reference date </w:t>
      </w:r>
      <w:r>
        <w:t>or if the child her/himself used the chemical</w:t>
      </w:r>
      <w:r w:rsidR="00716072">
        <w:t xml:space="preserve">. </w:t>
      </w:r>
      <w:r>
        <w:t xml:space="preserve">For the household exposure variables presented in </w:t>
      </w:r>
      <w:r w:rsidR="003363B8">
        <w:fldChar w:fldCharType="begin"/>
      </w:r>
      <w:r w:rsidR="003363B8">
        <w:instrText xml:space="preserve"> REF  Table7 \h </w:instrText>
      </w:r>
      <w:r w:rsidR="0040594E">
        <w:instrText xml:space="preserve"> \* MERGEFORMAT </w:instrText>
      </w:r>
      <w:r w:rsidR="003363B8">
        <w:fldChar w:fldCharType="separate"/>
      </w:r>
      <w:r w:rsidR="00977423">
        <w:br w:type="page"/>
      </w:r>
    </w:p>
    <w:p w14:paraId="3051967B" w14:textId="208DDE55" w:rsidR="00083B82" w:rsidRDefault="00977423" w:rsidP="006C3ED9">
      <w:r>
        <w:rPr>
          <w:noProof/>
        </w:rPr>
        <w:lastRenderedPageBreak/>
        <w:t>Table</w:t>
      </w:r>
      <w:r>
        <w:t xml:space="preserve"> </w:t>
      </w:r>
      <w:r>
        <w:rPr>
          <w:noProof/>
        </w:rPr>
        <w:t>7</w:t>
      </w:r>
      <w:r w:rsidR="003363B8">
        <w:fldChar w:fldCharType="end"/>
      </w:r>
      <w:r w:rsidR="004D728F">
        <w:t>, m</w:t>
      </w:r>
      <w:r w:rsidR="004D728F" w:rsidRPr="008752ED">
        <w:t>ost mothers who reported prenatal exposure also reported child exposures after birth</w:t>
      </w:r>
      <w:r w:rsidR="00716072">
        <w:t xml:space="preserve">. </w:t>
      </w:r>
      <w:r w:rsidR="004D728F">
        <w:t>However, s</w:t>
      </w:r>
      <w:r w:rsidR="004D728F" w:rsidRPr="008752ED">
        <w:t>ome exposures may</w:t>
      </w:r>
      <w:r w:rsidR="00944B1E">
        <w:t xml:space="preserve"> have occurred only after birth and interview data did not always enable differentiation of the exposure period.</w:t>
      </w:r>
    </w:p>
    <w:p w14:paraId="4506C4E0" w14:textId="77777777" w:rsidR="00944B1E" w:rsidRDefault="00944B1E" w:rsidP="0063071E">
      <w:pPr>
        <w:pStyle w:val="StyleHeading4Linespacingsingle"/>
      </w:pPr>
      <w:r>
        <w:t>Plastics, synthetics, or resins</w:t>
      </w:r>
    </w:p>
    <w:p w14:paraId="1278FD10" w14:textId="5CB2078F" w:rsidR="005330DE" w:rsidRDefault="006F620D" w:rsidP="006C3ED9">
      <w:r>
        <w:t>Potential e</w:t>
      </w:r>
      <w:r w:rsidR="004D728F" w:rsidRPr="00F272B8">
        <w:t>xposure to plastics</w:t>
      </w:r>
      <w:r w:rsidR="00944B1E">
        <w:t>, synthetics,</w:t>
      </w:r>
      <w:r w:rsidR="004D728F" w:rsidRPr="00F272B8">
        <w:t xml:space="preserve"> or resins </w:t>
      </w:r>
      <w:r w:rsidR="004D728F">
        <w:t xml:space="preserve">was found to be more common among cases than among controls (All Cancers: 39% </w:t>
      </w:r>
      <w:r w:rsidR="00FF7171">
        <w:t>vs.</w:t>
      </w:r>
      <w:r w:rsidR="004D728F">
        <w:t xml:space="preserve"> 23%; Leukemia/Lymphoma: 46% </w:t>
      </w:r>
      <w:r w:rsidR="00FF7171">
        <w:t>vs.</w:t>
      </w:r>
      <w:r w:rsidR="004D728F">
        <w:t xml:space="preserve"> 18%) and </w:t>
      </w:r>
      <w:r w:rsidR="004D728F" w:rsidRPr="00F272B8">
        <w:t>resulted in elevated ORs for both the All Cance</w:t>
      </w:r>
      <w:r w:rsidR="004D728F">
        <w:t>rs and Leukemia/Lymphoma groups</w:t>
      </w:r>
      <w:r w:rsidR="00716072">
        <w:t xml:space="preserve">. </w:t>
      </w:r>
      <w:r w:rsidR="004D728F" w:rsidRPr="00F272B8">
        <w:t xml:space="preserve">The OR for </w:t>
      </w:r>
      <w:r w:rsidR="008C1C36">
        <w:t>the association between this exposure</w:t>
      </w:r>
      <w:r w:rsidR="004D728F" w:rsidRPr="00F272B8">
        <w:t xml:space="preserve"> </w:t>
      </w:r>
      <w:r w:rsidR="008C1C36">
        <w:t xml:space="preserve">and All Cancers </w:t>
      </w:r>
      <w:r w:rsidR="004D728F" w:rsidRPr="00F272B8">
        <w:t>was 2.</w:t>
      </w:r>
      <w:r w:rsidR="004D728F">
        <w:t>3</w:t>
      </w:r>
      <w:r w:rsidR="004D728F" w:rsidRPr="00F272B8">
        <w:t xml:space="preserve"> (95% CI 0.</w:t>
      </w:r>
      <w:r w:rsidR="004D728F">
        <w:t>71</w:t>
      </w:r>
      <w:r w:rsidR="004D728F" w:rsidRPr="00F272B8">
        <w:t>-</w:t>
      </w:r>
      <w:r w:rsidR="004D728F">
        <w:t>7</w:t>
      </w:r>
      <w:r w:rsidR="004D728F" w:rsidRPr="00F272B8">
        <w:t xml:space="preserve">.4) </w:t>
      </w:r>
      <w:r w:rsidR="008C1C36">
        <w:t>and not statistically significant,</w:t>
      </w:r>
      <w:r w:rsidR="004D728F" w:rsidRPr="00F272B8">
        <w:t xml:space="preserve"> </w:t>
      </w:r>
      <w:r w:rsidR="008C1C36">
        <w:t xml:space="preserve">but a marginally significant OR of </w:t>
      </w:r>
      <w:r w:rsidR="004D728F" w:rsidRPr="00F272B8">
        <w:t xml:space="preserve">4.2 (95% CI 0.96-18) </w:t>
      </w:r>
      <w:r w:rsidR="008C1C36">
        <w:t xml:space="preserve">was observed </w:t>
      </w:r>
      <w:r w:rsidR="004D728F" w:rsidRPr="00F272B8">
        <w:t>for Leukemia/Lymphoma</w:t>
      </w:r>
      <w:r w:rsidR="008C1C36">
        <w:t xml:space="preserve"> (</w:t>
      </w:r>
      <w:r w:rsidR="009D21C6" w:rsidRPr="00C67EB4">
        <w:rPr>
          <w:i/>
        </w:rPr>
        <w:t>p</w:t>
      </w:r>
      <w:r w:rsidR="009D21C6">
        <w:t xml:space="preserve"> = </w:t>
      </w:r>
      <w:r w:rsidR="008C1C36">
        <w:t>0.06)</w:t>
      </w:r>
      <w:r w:rsidR="004D728F" w:rsidRPr="00F272B8">
        <w:t>.</w:t>
      </w:r>
    </w:p>
    <w:p w14:paraId="4AA4407D" w14:textId="77777777" w:rsidR="008C1C36" w:rsidRDefault="008C1C36" w:rsidP="0063071E">
      <w:pPr>
        <w:pStyle w:val="StyleHeading4Linespacingsingle"/>
      </w:pPr>
      <w:r>
        <w:t>Metals, alloys, solders</w:t>
      </w:r>
    </w:p>
    <w:p w14:paraId="1A4AE7C2" w14:textId="77777777" w:rsidR="00FF7171" w:rsidRDefault="004D728F" w:rsidP="006C3ED9">
      <w:r>
        <w:t xml:space="preserve">For use of </w:t>
      </w:r>
      <w:r w:rsidRPr="00F272B8">
        <w:t>metals, alloys, or solders in and around the household</w:t>
      </w:r>
      <w:r>
        <w:t xml:space="preserve">, </w:t>
      </w:r>
      <w:r w:rsidRPr="00F272B8">
        <w:t>an elevated but non-statistically significant OR of 2.8 (95% CI 0.7-10)</w:t>
      </w:r>
      <w:r>
        <w:t xml:space="preserve"> was found in the All Cancers group (the OR could not be calculated for the Leukemia/Lymphoma subgroup – see Appendix D)</w:t>
      </w:r>
      <w:r w:rsidR="00716072">
        <w:t xml:space="preserve">. </w:t>
      </w:r>
      <w:r w:rsidRPr="00F272B8">
        <w:t xml:space="preserve">In almost all instances, the father of the </w:t>
      </w:r>
      <w:r>
        <w:t xml:space="preserve">case or control </w:t>
      </w:r>
      <w:r w:rsidRPr="00F272B8">
        <w:t>child was the individual using these materials.</w:t>
      </w:r>
    </w:p>
    <w:p w14:paraId="46A9C9FA" w14:textId="77777777" w:rsidR="00FF7171" w:rsidRDefault="00FF7171" w:rsidP="0063071E">
      <w:pPr>
        <w:pStyle w:val="StyleHeading4Linespacingsingle"/>
      </w:pPr>
      <w:r>
        <w:t>Exhaust fumes</w:t>
      </w:r>
    </w:p>
    <w:p w14:paraId="7AB6671D" w14:textId="59C26820" w:rsidR="00FF7171" w:rsidRPr="00FF7171" w:rsidRDefault="00FF7171" w:rsidP="006C3ED9">
      <w:r w:rsidRPr="00FF7171">
        <w:t>A slightly higher proportion of case respondents reported exposure to exhaust fumes compared to controls within both the All Cancers group and Leukemia/Lymphoma sub group (17% vs</w:t>
      </w:r>
      <w:r>
        <w:t>.</w:t>
      </w:r>
      <w:r w:rsidRPr="00FF7171">
        <w:t xml:space="preserve"> 8% and 18% vs</w:t>
      </w:r>
      <w:r>
        <w:t>.</w:t>
      </w:r>
      <w:r w:rsidRPr="00FF7171">
        <w:t xml:space="preserve"> 4%, respectively). The corresponding ORs were elevated, but neither difference was statistically significant (All Cancers OR</w:t>
      </w:r>
      <w:r>
        <w:t xml:space="preserve"> </w:t>
      </w:r>
      <w:r w:rsidRPr="00FF7171">
        <w:t>=</w:t>
      </w:r>
      <w:r>
        <w:t xml:space="preserve"> </w:t>
      </w:r>
      <w:r w:rsidRPr="00FF7171">
        <w:t xml:space="preserve">2.0, </w:t>
      </w:r>
      <w:r w:rsidR="000F144A">
        <w:t>95% CI 0.5-8.9</w:t>
      </w:r>
      <w:r w:rsidRPr="00FF7171">
        <w:t xml:space="preserve">; LL </w:t>
      </w:r>
      <w:r>
        <w:t xml:space="preserve">OR = </w:t>
      </w:r>
      <w:r w:rsidRPr="00FF7171">
        <w:t>3.9,</w:t>
      </w:r>
      <w:r w:rsidR="000F144A">
        <w:t xml:space="preserve"> 95% CI 0.6-28</w:t>
      </w:r>
      <w:r w:rsidRPr="00FF7171">
        <w:t>).</w:t>
      </w:r>
    </w:p>
    <w:p w14:paraId="429EC7EF" w14:textId="77777777" w:rsidR="008C1C36" w:rsidRDefault="008C1C36" w:rsidP="0063071E">
      <w:pPr>
        <w:pStyle w:val="StyleHeading4Linespacingsingle"/>
      </w:pPr>
      <w:r>
        <w:t>Herbicides</w:t>
      </w:r>
    </w:p>
    <w:p w14:paraId="6068F42A" w14:textId="77777777" w:rsidR="00621986" w:rsidRPr="00F80B1F" w:rsidRDefault="004D728F" w:rsidP="006C3ED9">
      <w:r w:rsidRPr="0014542F">
        <w:t>Similar</w:t>
      </w:r>
      <w:r>
        <w:t>ly,</w:t>
      </w:r>
      <w:r w:rsidRPr="0014542F">
        <w:t xml:space="preserve"> </w:t>
      </w:r>
      <w:r>
        <w:t xml:space="preserve">there were </w:t>
      </w:r>
      <w:r w:rsidRPr="0014542F">
        <w:t xml:space="preserve">non-statistically significant </w:t>
      </w:r>
      <w:r w:rsidR="008C1C36">
        <w:t>association</w:t>
      </w:r>
      <w:r>
        <w:t>s</w:t>
      </w:r>
      <w:r w:rsidRPr="0014542F">
        <w:t xml:space="preserve"> </w:t>
      </w:r>
      <w:r>
        <w:t xml:space="preserve">between </w:t>
      </w:r>
      <w:r w:rsidRPr="0014542F">
        <w:t xml:space="preserve">herbicide exposure </w:t>
      </w:r>
      <w:r w:rsidR="008C1C36">
        <w:t xml:space="preserve">and case/control status </w:t>
      </w:r>
      <w:r>
        <w:t>(All Cancers: 67% of cases versus 54% of controls; Leukemia/Lymphoma: 73% of</w:t>
      </w:r>
      <w:r w:rsidR="008C1C36">
        <w:t xml:space="preserve"> cases versus 47% of controls)</w:t>
      </w:r>
      <w:r w:rsidR="00716072">
        <w:t xml:space="preserve">. </w:t>
      </w:r>
      <w:r w:rsidR="008C1C36">
        <w:t xml:space="preserve">The </w:t>
      </w:r>
      <w:r w:rsidR="00C67EB4" w:rsidRPr="00372442">
        <w:rPr>
          <w:i/>
        </w:rPr>
        <w:t>p</w:t>
      </w:r>
      <w:r w:rsidR="00C67EB4">
        <w:t>-value</w:t>
      </w:r>
      <w:r w:rsidR="008C1C36">
        <w:t xml:space="preserve"> for the All Cancers analysis was 0.40, and for the Leukemia/Lymphoma analysis the </w:t>
      </w:r>
      <w:r w:rsidR="00C67EB4" w:rsidRPr="00372442">
        <w:rPr>
          <w:i/>
        </w:rPr>
        <w:t>p</w:t>
      </w:r>
      <w:r w:rsidR="00C67EB4">
        <w:t>-value</w:t>
      </w:r>
      <w:r w:rsidR="008C1C36">
        <w:t xml:space="preserve"> was 0.12 (OR</w:t>
      </w:r>
      <w:r w:rsidR="006D56C5">
        <w:t xml:space="preserve"> </w:t>
      </w:r>
      <w:r w:rsidR="008C1C36">
        <w:t>=</w:t>
      </w:r>
      <w:r w:rsidR="006D56C5">
        <w:t xml:space="preserve"> </w:t>
      </w:r>
      <w:r w:rsidR="008C1C36">
        <w:t>3.6; 95% CI: 0.7-18).</w:t>
      </w:r>
    </w:p>
    <w:p w14:paraId="356BCF04" w14:textId="06D558BE" w:rsidR="00946899" w:rsidRDefault="00946899" w:rsidP="009B5DA2">
      <w:pPr>
        <w:pStyle w:val="Heading2"/>
      </w:pPr>
      <w:bookmarkStart w:id="120" w:name="_Toc67488286"/>
      <w:r w:rsidRPr="00946899">
        <w:t>DRINKING WATER CONTAMINANTS</w:t>
      </w:r>
      <w:bookmarkEnd w:id="120"/>
    </w:p>
    <w:p w14:paraId="03F1AB8B" w14:textId="77777777" w:rsidR="006A2C72" w:rsidRDefault="001D5169" w:rsidP="0010161F">
      <w:pPr>
        <w:pStyle w:val="Heading3"/>
      </w:pPr>
      <w:r w:rsidRPr="001D5169">
        <w:t>N-</w:t>
      </w:r>
      <w:r>
        <w:t>N</w:t>
      </w:r>
      <w:proofErr w:type="spellStart"/>
      <w:r w:rsidRPr="001D5169">
        <w:rPr>
          <w:lang w:val="en"/>
        </w:rPr>
        <w:t>itrosodimethylamine</w:t>
      </w:r>
      <w:proofErr w:type="spellEnd"/>
      <w:r w:rsidRPr="006073BD">
        <w:rPr>
          <w:lang w:val="en"/>
        </w:rPr>
        <w:t xml:space="preserve"> </w:t>
      </w:r>
      <w:r>
        <w:rPr>
          <w:lang w:val="en"/>
        </w:rPr>
        <w:t>(</w:t>
      </w:r>
      <w:r w:rsidR="006A2C72">
        <w:t>NDMA</w:t>
      </w:r>
      <w:r>
        <w:t>)</w:t>
      </w:r>
    </w:p>
    <w:p w14:paraId="694E93DD" w14:textId="77777777" w:rsidR="00ED296E" w:rsidRPr="00946899" w:rsidRDefault="006A2C72" w:rsidP="0063071E">
      <w:pPr>
        <w:pStyle w:val="StyleHeading4Linespacingsingle"/>
      </w:pPr>
      <w:r>
        <w:t xml:space="preserve">Summary of Modeled Average NDMA </w:t>
      </w:r>
      <w:r w:rsidR="00ED296E" w:rsidRPr="00946899">
        <w:t>Concentrations</w:t>
      </w:r>
    </w:p>
    <w:p w14:paraId="665DDEDC" w14:textId="091DDD1C" w:rsidR="005F6C24" w:rsidRPr="005F6C24" w:rsidRDefault="003363B8" w:rsidP="006C3ED9">
      <w:r>
        <w:fldChar w:fldCharType="begin"/>
      </w:r>
      <w:r>
        <w:instrText xml:space="preserve"> REF  Figure10 \h </w:instrText>
      </w:r>
      <w:r w:rsidR="0040594E">
        <w:instrText xml:space="preserve"> \* MERGEFORMAT </w:instrText>
      </w:r>
      <w:r>
        <w:fldChar w:fldCharType="separate"/>
      </w:r>
      <w:r w:rsidR="00977423">
        <w:t xml:space="preserve">Figure </w:t>
      </w:r>
      <w:r w:rsidR="00977423">
        <w:rPr>
          <w:noProof/>
        </w:rPr>
        <w:t>10.</w:t>
      </w:r>
      <w:r w:rsidR="00977423">
        <w:t xml:space="preserve"> </w:t>
      </w:r>
      <w:r w:rsidR="00977423" w:rsidRPr="00BD3FB6">
        <w:t>A</w:t>
      </w:r>
      <w:r>
        <w:fldChar w:fldCharType="end"/>
      </w:r>
      <w:r w:rsidR="00903D9C">
        <w:t xml:space="preserve"> and </w:t>
      </w:r>
      <w:r>
        <w:fldChar w:fldCharType="begin"/>
      </w:r>
      <w:r>
        <w:instrText xml:space="preserve"> REF  Figure11 \h </w:instrText>
      </w:r>
      <w:r w:rsidR="0040594E">
        <w:instrText xml:space="preserve"> \* MERGEFORMAT </w:instrText>
      </w:r>
      <w:r>
        <w:fldChar w:fldCharType="separate"/>
      </w:r>
      <w:r w:rsidR="00977423">
        <w:t xml:space="preserve">Figure </w:t>
      </w:r>
      <w:r w:rsidR="00977423">
        <w:rPr>
          <w:noProof/>
        </w:rPr>
        <w:t>11</w:t>
      </w:r>
      <w:r>
        <w:fldChar w:fldCharType="end"/>
      </w:r>
      <w:r>
        <w:t xml:space="preserve"> </w:t>
      </w:r>
      <w:r w:rsidR="0099466E" w:rsidRPr="002B1EB6">
        <w:t>show the distribution</w:t>
      </w:r>
      <w:r w:rsidR="0099466E">
        <w:t xml:space="preserve"> of the average modeled monthly NDMA concentration for the entire study population for the maternal and childhood exposure </w:t>
      </w:r>
      <w:r w:rsidR="0099466E">
        <w:lastRenderedPageBreak/>
        <w:t>periods, respectively</w:t>
      </w:r>
      <w:r w:rsidR="00716072">
        <w:t xml:space="preserve">. </w:t>
      </w:r>
      <w:r w:rsidR="00BA78B0">
        <w:t xml:space="preserve">Fifty-eight </w:t>
      </w:r>
      <w:r w:rsidR="0099466E">
        <w:t xml:space="preserve">(63%) </w:t>
      </w:r>
      <w:r w:rsidR="0099466E" w:rsidRPr="002B1EB6">
        <w:t xml:space="preserve">of the </w:t>
      </w:r>
      <w:r w:rsidR="0099466E">
        <w:t>mothers</w:t>
      </w:r>
      <w:r w:rsidR="0099466E" w:rsidRPr="002B1EB6">
        <w:t xml:space="preserve"> in the study are estimated to have had no NDMA in the</w:t>
      </w:r>
      <w:r w:rsidR="0099466E">
        <w:t>ir</w:t>
      </w:r>
      <w:r w:rsidR="0099466E" w:rsidRPr="002B1EB6">
        <w:t xml:space="preserve"> </w:t>
      </w:r>
      <w:r w:rsidR="0099466E">
        <w:t xml:space="preserve">residential </w:t>
      </w:r>
      <w:r w:rsidR="0099466E" w:rsidRPr="002B1EB6">
        <w:t xml:space="preserve">drinking water during the year before </w:t>
      </w:r>
      <w:r w:rsidR="0099466E">
        <w:t xml:space="preserve">their child was born, </w:t>
      </w:r>
      <w:r w:rsidR="0099466E" w:rsidRPr="002B1EB6">
        <w:t xml:space="preserve">and </w:t>
      </w:r>
      <w:r w:rsidR="00BA78B0">
        <w:t>16 (</w:t>
      </w:r>
      <w:r w:rsidR="0099466E">
        <w:t>17</w:t>
      </w:r>
      <w:r w:rsidR="0099466E" w:rsidRPr="002B1EB6">
        <w:t>%</w:t>
      </w:r>
      <w:r w:rsidR="00BA78B0">
        <w:t>)</w:t>
      </w:r>
      <w:r w:rsidR="0099466E" w:rsidRPr="002B1EB6">
        <w:t xml:space="preserve"> of </w:t>
      </w:r>
      <w:r w:rsidR="00BA78B0">
        <w:t xml:space="preserve">the </w:t>
      </w:r>
      <w:r w:rsidR="0099466E" w:rsidRPr="002B1EB6">
        <w:t xml:space="preserve">children are estimated to have </w:t>
      </w:r>
      <w:r w:rsidR="0099466E">
        <w:t>had</w:t>
      </w:r>
      <w:r w:rsidR="0099466E" w:rsidRPr="002B1EB6">
        <w:t xml:space="preserve"> no </w:t>
      </w:r>
      <w:r w:rsidR="0099466E">
        <w:t>childhood residence with NDMA contaminated drinking water</w:t>
      </w:r>
      <w:r w:rsidR="00716072">
        <w:t xml:space="preserve">. </w:t>
      </w:r>
      <w:r w:rsidR="00ED296E">
        <w:t>The remaining non-zero concentration estimates are roughly normally distributed with a few high and low values and more frequent values in the middle of the range.</w:t>
      </w:r>
    </w:p>
    <w:p w14:paraId="2E7F0143" w14:textId="57DBEE3F" w:rsidR="00965D65" w:rsidRDefault="005330DE" w:rsidP="005330DE">
      <w:pPr>
        <w:pStyle w:val="Caption"/>
        <w:keepNext/>
        <w:spacing w:before="240" w:after="0"/>
      </w:pPr>
      <w:bookmarkStart w:id="121" w:name="_Ref13219619"/>
      <w:bookmarkStart w:id="122" w:name="Figure10"/>
      <w:bookmarkStart w:id="123" w:name="_Toc45717785"/>
      <w:r>
        <w:rPr>
          <w:noProof/>
        </w:rPr>
        <w:drawing>
          <wp:anchor distT="0" distB="0" distL="114300" distR="114300" simplePos="0" relativeHeight="251673600" behindDoc="0" locked="0" layoutInCell="1" allowOverlap="1" wp14:anchorId="21AE2ABB" wp14:editId="363ECBF2">
            <wp:simplePos x="0" y="0"/>
            <wp:positionH relativeFrom="margin">
              <wp:align>right</wp:align>
            </wp:positionH>
            <wp:positionV relativeFrom="paragraph">
              <wp:posOffset>581150</wp:posOffset>
            </wp:positionV>
            <wp:extent cx="5929630" cy="3041650"/>
            <wp:effectExtent l="0" t="0" r="13970" b="635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965D65">
        <w:t xml:space="preserve">Figure </w:t>
      </w:r>
      <w:fldSimple w:instr=" SEQ Figure \* ARABIC ">
        <w:r w:rsidR="00977423">
          <w:rPr>
            <w:noProof/>
          </w:rPr>
          <w:t>10</w:t>
        </w:r>
      </w:fldSimple>
      <w:bookmarkEnd w:id="121"/>
      <w:r w:rsidR="00965D65">
        <w:t xml:space="preserve">. </w:t>
      </w:r>
      <w:r w:rsidR="00965D65" w:rsidRPr="00BD3FB6">
        <w:t>A</w:t>
      </w:r>
      <w:bookmarkEnd w:id="122"/>
      <w:r w:rsidR="00965D65" w:rsidRPr="00BD3FB6">
        <w:t>verage</w:t>
      </w:r>
      <w:r w:rsidR="00965D65">
        <w:t xml:space="preserve"> </w:t>
      </w:r>
      <w:r w:rsidR="00965D65" w:rsidRPr="00BD3FB6">
        <w:t>modeled monthly NDMA concentrations (ng/L) in drinking water during the 12 months before birth for mothers in the Wilmington Childhood Cancer Study (n=92)</w:t>
      </w:r>
      <w:bookmarkEnd w:id="123"/>
    </w:p>
    <w:p w14:paraId="2160BE7C" w14:textId="4E2341F3" w:rsidR="00105BF8" w:rsidRPr="006C3ED9" w:rsidRDefault="003E73B8" w:rsidP="0040594E">
      <w:pPr>
        <w:spacing w:after="0" w:line="240" w:lineRule="auto"/>
        <w:rPr>
          <w:rFonts w:asciiTheme="majorHAnsi" w:hAnsiTheme="majorHAnsi"/>
          <w:bCs/>
          <w:sz w:val="20"/>
          <w:szCs w:val="22"/>
        </w:rPr>
      </w:pPr>
      <w:r w:rsidRPr="006C3ED9">
        <w:rPr>
          <w:rFonts w:asciiTheme="majorHAnsi" w:hAnsiTheme="majorHAnsi"/>
          <w:bCs/>
          <w:sz w:val="20"/>
          <w:szCs w:val="22"/>
        </w:rPr>
        <w:t xml:space="preserve">NOTE: Except </w:t>
      </w:r>
      <w:r w:rsidR="002C3432" w:rsidRPr="006C3ED9">
        <w:rPr>
          <w:rFonts w:asciiTheme="majorHAnsi" w:hAnsiTheme="majorHAnsi"/>
          <w:bCs/>
          <w:sz w:val="20"/>
          <w:szCs w:val="22"/>
        </w:rPr>
        <w:t>where all monthly</w:t>
      </w:r>
      <w:r w:rsidRPr="006C3ED9">
        <w:rPr>
          <w:rFonts w:asciiTheme="majorHAnsi" w:hAnsiTheme="majorHAnsi"/>
          <w:bCs/>
          <w:sz w:val="20"/>
          <w:szCs w:val="22"/>
        </w:rPr>
        <w:t xml:space="preserve"> NDMA concentration</w:t>
      </w:r>
      <w:r w:rsidR="002C3432" w:rsidRPr="006C3ED9">
        <w:rPr>
          <w:rFonts w:asciiTheme="majorHAnsi" w:hAnsiTheme="majorHAnsi"/>
          <w:bCs/>
          <w:sz w:val="20"/>
          <w:szCs w:val="22"/>
        </w:rPr>
        <w:t xml:space="preserve"> estimate</w:t>
      </w:r>
      <w:r w:rsidRPr="006C3ED9">
        <w:rPr>
          <w:rFonts w:asciiTheme="majorHAnsi" w:hAnsiTheme="majorHAnsi"/>
          <w:bCs/>
          <w:sz w:val="20"/>
          <w:szCs w:val="22"/>
        </w:rPr>
        <w:t>s</w:t>
      </w:r>
      <w:r w:rsidR="002C3432" w:rsidRPr="006C3ED9">
        <w:rPr>
          <w:rFonts w:asciiTheme="majorHAnsi" w:hAnsiTheme="majorHAnsi"/>
          <w:bCs/>
          <w:sz w:val="20"/>
          <w:szCs w:val="22"/>
        </w:rPr>
        <w:t xml:space="preserve"> were zero</w:t>
      </w:r>
      <w:r w:rsidRPr="006C3ED9">
        <w:rPr>
          <w:rFonts w:asciiTheme="majorHAnsi" w:hAnsiTheme="majorHAnsi"/>
          <w:bCs/>
          <w:sz w:val="20"/>
          <w:szCs w:val="22"/>
        </w:rPr>
        <w:t>, averages include non-zero values only</w:t>
      </w:r>
      <w:r w:rsidR="002C3432" w:rsidRPr="006C3ED9">
        <w:rPr>
          <w:rFonts w:asciiTheme="majorHAnsi" w:hAnsiTheme="majorHAnsi"/>
          <w:bCs/>
          <w:sz w:val="20"/>
          <w:szCs w:val="22"/>
        </w:rPr>
        <w:t>.</w:t>
      </w:r>
      <w:bookmarkStart w:id="124" w:name="_Ref13219657"/>
    </w:p>
    <w:p w14:paraId="39A5F340" w14:textId="7E2BC2C3" w:rsidR="00FB6843" w:rsidRDefault="00FB6843" w:rsidP="0040594E">
      <w:pPr>
        <w:spacing w:after="0" w:line="240" w:lineRule="auto"/>
        <w:rPr>
          <w:rFonts w:asciiTheme="majorHAnsi" w:hAnsiTheme="majorHAnsi"/>
          <w:b/>
          <w:sz w:val="20"/>
          <w:szCs w:val="22"/>
        </w:rPr>
      </w:pPr>
      <w:r>
        <w:rPr>
          <w:rFonts w:asciiTheme="majorHAnsi" w:hAnsiTheme="majorHAnsi"/>
          <w:b/>
          <w:sz w:val="20"/>
          <w:szCs w:val="22"/>
        </w:rPr>
        <w:br w:type="page"/>
      </w:r>
    </w:p>
    <w:p w14:paraId="362CC062" w14:textId="7E8C2742" w:rsidR="00965D65" w:rsidRDefault="00105BF8" w:rsidP="0040594E">
      <w:pPr>
        <w:spacing w:line="240" w:lineRule="auto"/>
      </w:pPr>
      <w:bookmarkStart w:id="125" w:name="Figure11"/>
      <w:bookmarkStart w:id="126" w:name="_Toc45717786"/>
      <w:r>
        <w:rPr>
          <w:noProof/>
        </w:rPr>
        <w:lastRenderedPageBreak/>
        <w:drawing>
          <wp:anchor distT="0" distB="0" distL="114300" distR="114300" simplePos="0" relativeHeight="251674624" behindDoc="0" locked="0" layoutInCell="1" allowOverlap="1" wp14:anchorId="64B3B38F" wp14:editId="267F018F">
            <wp:simplePos x="0" y="0"/>
            <wp:positionH relativeFrom="margin">
              <wp:posOffset>0</wp:posOffset>
            </wp:positionH>
            <wp:positionV relativeFrom="paragraph">
              <wp:posOffset>596265</wp:posOffset>
            </wp:positionV>
            <wp:extent cx="5929630" cy="3267710"/>
            <wp:effectExtent l="0" t="0" r="13970" b="889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965D65">
        <w:t xml:space="preserve">Figure </w:t>
      </w:r>
      <w:fldSimple w:instr=" SEQ Figure \* ARABIC ">
        <w:r w:rsidR="00977423">
          <w:rPr>
            <w:noProof/>
          </w:rPr>
          <w:t>11</w:t>
        </w:r>
      </w:fldSimple>
      <w:bookmarkEnd w:id="124"/>
      <w:bookmarkEnd w:id="125"/>
      <w:r w:rsidR="00965D65">
        <w:t xml:space="preserve">. </w:t>
      </w:r>
      <w:r w:rsidR="00965D65" w:rsidRPr="00C0303E">
        <w:t>Average modeled monthly NDMA concentrations (ng/L) in drinking water for children in the Wilmington Childhood Cancer Study (n=92)</w:t>
      </w:r>
      <w:bookmarkEnd w:id="126"/>
    </w:p>
    <w:p w14:paraId="52406207" w14:textId="630899AB" w:rsidR="002C3432" w:rsidRPr="006C3ED9" w:rsidRDefault="002C3432" w:rsidP="000C4868">
      <w:pPr>
        <w:spacing w:line="240" w:lineRule="auto"/>
        <w:rPr>
          <w:rFonts w:asciiTheme="majorHAnsi" w:hAnsiTheme="majorHAnsi"/>
          <w:bCs/>
          <w:sz w:val="20"/>
          <w:szCs w:val="20"/>
        </w:rPr>
      </w:pPr>
      <w:r w:rsidRPr="006C3ED9">
        <w:rPr>
          <w:rFonts w:asciiTheme="majorHAnsi" w:hAnsiTheme="majorHAnsi"/>
          <w:bCs/>
          <w:sz w:val="20"/>
          <w:szCs w:val="20"/>
        </w:rPr>
        <w:t>NOTE: Except where all monthly NDMA concentration estimates were zero, averages include non-zero values only.</w:t>
      </w:r>
    </w:p>
    <w:p w14:paraId="5BCD7770" w14:textId="0C489561" w:rsidR="00400377" w:rsidRPr="00946899" w:rsidRDefault="00400377" w:rsidP="0063071E">
      <w:pPr>
        <w:pStyle w:val="StyleHeading4Linespacingsingle"/>
      </w:pPr>
      <w:r w:rsidRPr="00946899">
        <w:t>NDMA Concentrations: Case</w:t>
      </w:r>
      <w:r w:rsidR="006A2C72">
        <w:t>s versus</w:t>
      </w:r>
      <w:r w:rsidRPr="00946899">
        <w:t xml:space="preserve"> Controls</w:t>
      </w:r>
    </w:p>
    <w:p w14:paraId="746BF8A6" w14:textId="67371B39" w:rsidR="002B1EB6" w:rsidRDefault="003363B8" w:rsidP="006C3ED9">
      <w:r>
        <w:fldChar w:fldCharType="begin"/>
      </w:r>
      <w:r>
        <w:instrText xml:space="preserve"> REF  Table8 \h </w:instrText>
      </w:r>
      <w:r w:rsidR="0040594E">
        <w:instrText xml:space="preserve"> \* MERGEFORMAT </w:instrText>
      </w:r>
      <w:r>
        <w:fldChar w:fldCharType="separate"/>
      </w:r>
      <w:r w:rsidR="00977423">
        <w:t xml:space="preserve">Table </w:t>
      </w:r>
      <w:r w:rsidR="00977423">
        <w:rPr>
          <w:noProof/>
        </w:rPr>
        <w:t>8</w:t>
      </w:r>
      <w:r>
        <w:fldChar w:fldCharType="end"/>
      </w:r>
      <w:r w:rsidR="00DE5178">
        <w:t xml:space="preserve"> summarizes the estimated residential NDMA concentrations separately for cases and controls for the maternal and childhood exposure periods</w:t>
      </w:r>
      <w:r w:rsidR="00716072">
        <w:t xml:space="preserve">. </w:t>
      </w:r>
      <w:r w:rsidR="00DE5178">
        <w:t>During the maternal exposure period, mothers of cases were more likely to have had any NDMA in their residential tap water and had greater estimated concentrations of NDMA compared to mothers of controls</w:t>
      </w:r>
      <w:r w:rsidR="00716072">
        <w:t xml:space="preserve">. </w:t>
      </w:r>
      <w:r w:rsidR="00DE5178">
        <w:t>Specifically, 50% of case mothers were estimated to have had NDMA present in their tap water during at least one month in the year prior to the child’s birth compared to 34% of control mothers, and the median non-zero monthly concentration estimated at the tap of case mothers was 52 ng/L compared to 4</w:t>
      </w:r>
      <w:r w:rsidR="002A4701">
        <w:t>7</w:t>
      </w:r>
      <w:r w:rsidR="00DE5178">
        <w:t xml:space="preserve"> ng/</w:t>
      </w:r>
      <w:r w:rsidR="00D62E59">
        <w:t>L</w:t>
      </w:r>
      <w:r w:rsidR="00DE5178">
        <w:t xml:space="preserve"> for control mothers</w:t>
      </w:r>
      <w:r w:rsidR="00716072">
        <w:t xml:space="preserve">. </w:t>
      </w:r>
      <w:r w:rsidR="00DE5178">
        <w:t>Similar results are seen in the Leukemia/Lymphoma subgroup</w:t>
      </w:r>
      <w:r w:rsidR="00716072">
        <w:t xml:space="preserve">. </w:t>
      </w:r>
      <w:r w:rsidR="00DE5178">
        <w:t>Estimated median non-zero concentrations during the childhood period were also higher for cases compared to controls (5</w:t>
      </w:r>
      <w:r w:rsidR="002A4701">
        <w:t>1</w:t>
      </w:r>
      <w:r w:rsidR="00DE5178">
        <w:t xml:space="preserve"> ng/L versus 39 ng/L)</w:t>
      </w:r>
      <w:r w:rsidR="00716072">
        <w:t xml:space="preserve">. </w:t>
      </w:r>
      <w:r w:rsidR="00DE5178">
        <w:t xml:space="preserve">However, the likelihood of having had any NDMA in residential tap water during childhood was similar for cases and controls (78% </w:t>
      </w:r>
      <w:r w:rsidR="00FF7171">
        <w:t>vs.</w:t>
      </w:r>
      <w:r w:rsidR="00DE5178">
        <w:t xml:space="preserve"> 84%)</w:t>
      </w:r>
      <w:r w:rsidR="00716072">
        <w:t xml:space="preserve">. </w:t>
      </w:r>
      <w:r w:rsidR="00DE5178">
        <w:t>Similar results are seen in the Leukemia/Lymphoma subgroup</w:t>
      </w:r>
      <w:r w:rsidR="00716072">
        <w:t xml:space="preserve">. </w:t>
      </w:r>
      <w:r w:rsidR="00DE5178">
        <w:t>In all comparisons, controls had a somewhat lower minimum non-zero monthly NDMA concentration and a slightly higher maximum monthly NDMA concentration compared to cases.</w:t>
      </w:r>
    </w:p>
    <w:p w14:paraId="6D2EE6E5" w14:textId="160B01A3" w:rsidR="00903D9C" w:rsidRDefault="00903D9C" w:rsidP="0040594E">
      <w:pPr>
        <w:pStyle w:val="Caption"/>
        <w:keepNext/>
      </w:pPr>
      <w:bookmarkStart w:id="127" w:name="_Ref12009906"/>
      <w:bookmarkStart w:id="128" w:name="Table8"/>
      <w:bookmarkStart w:id="129" w:name="_Toc12012872"/>
      <w:bookmarkStart w:id="130" w:name="_Toc12013066"/>
      <w:bookmarkStart w:id="131" w:name="_Toc45714887"/>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8</w:t>
      </w:r>
      <w:r w:rsidR="00D616DB">
        <w:rPr>
          <w:noProof/>
        </w:rPr>
        <w:fldChar w:fldCharType="end"/>
      </w:r>
      <w:bookmarkEnd w:id="127"/>
      <w:bookmarkEnd w:id="128"/>
      <w:r w:rsidR="00716072">
        <w:t xml:space="preserve">. </w:t>
      </w:r>
      <w:r w:rsidRPr="00DD7F61">
        <w:t xml:space="preserve">Estimated residential NDMA concentrations among the Wilmington study population for </w:t>
      </w:r>
      <w:proofErr w:type="spellStart"/>
      <w:r w:rsidRPr="00DD7F61">
        <w:t>maternal</w:t>
      </w:r>
      <w:r w:rsidR="001D4918">
        <w:rPr>
          <w:vertAlign w:val="superscript"/>
        </w:rPr>
        <w:t>a</w:t>
      </w:r>
      <w:proofErr w:type="spellEnd"/>
      <w:r w:rsidR="001D4918">
        <w:rPr>
          <w:vertAlign w:val="superscript"/>
        </w:rPr>
        <w:t xml:space="preserve"> </w:t>
      </w:r>
      <w:r w:rsidRPr="00DD7F61">
        <w:t xml:space="preserve">and </w:t>
      </w:r>
      <w:proofErr w:type="spellStart"/>
      <w:r w:rsidRPr="00DD7F61">
        <w:t>childhood</w:t>
      </w:r>
      <w:r w:rsidR="001D4918">
        <w:rPr>
          <w:vertAlign w:val="superscript"/>
        </w:rPr>
        <w:t>b</w:t>
      </w:r>
      <w:proofErr w:type="spellEnd"/>
      <w:r w:rsidRPr="00DD7F61">
        <w:t xml:space="preserve"> exposure periods</w:t>
      </w:r>
      <w:bookmarkEnd w:id="129"/>
      <w:bookmarkEnd w:id="130"/>
      <w:bookmarkEnd w:id="131"/>
    </w:p>
    <w:tbl>
      <w:tblPr>
        <w:tblStyle w:val="TableGrid"/>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1958"/>
        <w:gridCol w:w="1526"/>
        <w:gridCol w:w="1530"/>
        <w:gridCol w:w="1526"/>
      </w:tblGrid>
      <w:tr w:rsidR="00B01CAE" w:rsidRPr="006436A7" w14:paraId="038A3529" w14:textId="77777777" w:rsidTr="0067445F">
        <w:tc>
          <w:tcPr>
            <w:tcW w:w="3150" w:type="dxa"/>
            <w:tcBorders>
              <w:top w:val="single" w:sz="4" w:space="0" w:color="auto"/>
            </w:tcBorders>
          </w:tcPr>
          <w:p w14:paraId="3B5CE34A" w14:textId="77777777" w:rsidR="00B01CAE" w:rsidRPr="0067445F" w:rsidRDefault="00B01CAE" w:rsidP="006312FD">
            <w:pPr>
              <w:pStyle w:val="Tableheaders"/>
            </w:pPr>
          </w:p>
        </w:tc>
        <w:tc>
          <w:tcPr>
            <w:tcW w:w="1958" w:type="dxa"/>
            <w:tcBorders>
              <w:top w:val="single" w:sz="4" w:space="0" w:color="auto"/>
            </w:tcBorders>
            <w:vAlign w:val="center"/>
          </w:tcPr>
          <w:p w14:paraId="758870B6" w14:textId="77777777" w:rsidR="00B01CAE" w:rsidRPr="0067445F" w:rsidRDefault="00B01CAE" w:rsidP="006312FD">
            <w:pPr>
              <w:pStyle w:val="Tableheaders"/>
            </w:pPr>
          </w:p>
        </w:tc>
        <w:tc>
          <w:tcPr>
            <w:tcW w:w="4582" w:type="dxa"/>
            <w:gridSpan w:val="3"/>
            <w:tcBorders>
              <w:top w:val="single" w:sz="4" w:space="0" w:color="auto"/>
              <w:bottom w:val="single" w:sz="4" w:space="0" w:color="auto"/>
            </w:tcBorders>
            <w:vAlign w:val="center"/>
          </w:tcPr>
          <w:p w14:paraId="0E58E65D" w14:textId="77777777" w:rsidR="00B01CAE" w:rsidRPr="0067445F" w:rsidRDefault="00B01CAE" w:rsidP="006312FD">
            <w:pPr>
              <w:pStyle w:val="Tableheaders"/>
            </w:pPr>
            <w:r w:rsidRPr="0067445F">
              <w:t>Estimated NDMA Concentration (ng/L)</w:t>
            </w:r>
          </w:p>
        </w:tc>
      </w:tr>
      <w:tr w:rsidR="00B01CAE" w:rsidRPr="006436A7" w14:paraId="485E4FD2" w14:textId="77777777" w:rsidTr="0067445F">
        <w:trPr>
          <w:trHeight w:val="1268"/>
        </w:trPr>
        <w:tc>
          <w:tcPr>
            <w:tcW w:w="3150" w:type="dxa"/>
            <w:tcBorders>
              <w:bottom w:val="single" w:sz="4" w:space="0" w:color="auto"/>
            </w:tcBorders>
            <w:vAlign w:val="bottom"/>
          </w:tcPr>
          <w:p w14:paraId="68262249" w14:textId="77777777" w:rsidR="00B01CAE" w:rsidRPr="0067445F" w:rsidRDefault="00B01CAE" w:rsidP="006312FD">
            <w:pPr>
              <w:pStyle w:val="Tableheaders"/>
            </w:pPr>
            <w:r w:rsidRPr="0067445F">
              <w:t>Study Group</w:t>
            </w:r>
          </w:p>
        </w:tc>
        <w:tc>
          <w:tcPr>
            <w:tcW w:w="1958" w:type="dxa"/>
            <w:tcBorders>
              <w:bottom w:val="single" w:sz="4" w:space="0" w:color="auto"/>
            </w:tcBorders>
            <w:vAlign w:val="bottom"/>
          </w:tcPr>
          <w:p w14:paraId="19FE33CC" w14:textId="77777777" w:rsidR="00B01CAE" w:rsidRPr="0067445F" w:rsidRDefault="00B01CAE" w:rsidP="0040594E">
            <w:pPr>
              <w:spacing w:after="0" w:line="240" w:lineRule="auto"/>
              <w:rPr>
                <w:rFonts w:asciiTheme="minorHAnsi" w:eastAsiaTheme="minorHAnsi" w:hAnsiTheme="minorHAnsi" w:cstheme="minorBidi"/>
                <w:b/>
                <w:bCs/>
              </w:rPr>
            </w:pPr>
            <w:r w:rsidRPr="0067445F">
              <w:rPr>
                <w:rFonts w:asciiTheme="minorHAnsi" w:eastAsiaTheme="minorHAnsi" w:hAnsiTheme="minorHAnsi" w:cstheme="minorBidi"/>
                <w:b/>
                <w:bCs/>
              </w:rPr>
              <w:t>Participants with Any Non-Zero Value (%)</w:t>
            </w:r>
          </w:p>
        </w:tc>
        <w:tc>
          <w:tcPr>
            <w:tcW w:w="1526" w:type="dxa"/>
            <w:tcBorders>
              <w:top w:val="single" w:sz="4" w:space="0" w:color="auto"/>
              <w:bottom w:val="single" w:sz="4" w:space="0" w:color="auto"/>
            </w:tcBorders>
            <w:vAlign w:val="bottom"/>
          </w:tcPr>
          <w:p w14:paraId="4815D474" w14:textId="77777777" w:rsidR="00B01CAE" w:rsidRPr="0067445F" w:rsidRDefault="00B01CAE" w:rsidP="006312FD">
            <w:pPr>
              <w:pStyle w:val="Tableheaders"/>
            </w:pPr>
            <w:r w:rsidRPr="0067445F">
              <w:t>Median Non-Zero Monthly Value</w:t>
            </w:r>
          </w:p>
        </w:tc>
        <w:tc>
          <w:tcPr>
            <w:tcW w:w="1530" w:type="dxa"/>
            <w:tcBorders>
              <w:top w:val="single" w:sz="4" w:space="0" w:color="auto"/>
              <w:bottom w:val="single" w:sz="4" w:space="0" w:color="auto"/>
            </w:tcBorders>
            <w:vAlign w:val="bottom"/>
          </w:tcPr>
          <w:p w14:paraId="08843A97" w14:textId="77777777" w:rsidR="00B01CAE" w:rsidRPr="0067445F" w:rsidRDefault="00B01CAE" w:rsidP="006312FD">
            <w:pPr>
              <w:pStyle w:val="Tableheaders"/>
            </w:pPr>
            <w:r w:rsidRPr="0067445F">
              <w:t>Minimum Non-Zero Monthly Value</w:t>
            </w:r>
          </w:p>
        </w:tc>
        <w:tc>
          <w:tcPr>
            <w:tcW w:w="1526" w:type="dxa"/>
            <w:tcBorders>
              <w:top w:val="single" w:sz="4" w:space="0" w:color="auto"/>
              <w:bottom w:val="single" w:sz="4" w:space="0" w:color="auto"/>
            </w:tcBorders>
            <w:vAlign w:val="bottom"/>
          </w:tcPr>
          <w:p w14:paraId="53C85B2A" w14:textId="77777777" w:rsidR="00B01CAE" w:rsidRPr="0067445F" w:rsidRDefault="00B01CAE" w:rsidP="006312FD">
            <w:pPr>
              <w:pStyle w:val="Tableheaders"/>
            </w:pPr>
            <w:r w:rsidRPr="0067445F">
              <w:t>Maximum Monthly Value</w:t>
            </w:r>
          </w:p>
        </w:tc>
      </w:tr>
      <w:tr w:rsidR="002A4701" w:rsidRPr="006436A7" w14:paraId="3771A353" w14:textId="77777777" w:rsidTr="0067445F">
        <w:tc>
          <w:tcPr>
            <w:tcW w:w="3150" w:type="dxa"/>
            <w:tcBorders>
              <w:top w:val="single" w:sz="4" w:space="0" w:color="auto"/>
            </w:tcBorders>
            <w:vAlign w:val="center"/>
          </w:tcPr>
          <w:p w14:paraId="652904E7" w14:textId="77777777" w:rsidR="002A4701" w:rsidRPr="0067445F" w:rsidRDefault="002A4701" w:rsidP="0040594E">
            <w:pPr>
              <w:pStyle w:val="NoSpacing"/>
              <w:rPr>
                <w:rFonts w:asciiTheme="minorHAnsi" w:hAnsiTheme="minorHAnsi"/>
                <w:b/>
              </w:rPr>
            </w:pPr>
            <w:r w:rsidRPr="0067445F">
              <w:rPr>
                <w:rFonts w:asciiTheme="minorHAnsi" w:hAnsiTheme="minorHAnsi"/>
                <w:b/>
              </w:rPr>
              <w:t>All Cancers</w:t>
            </w:r>
          </w:p>
          <w:p w14:paraId="71ADF50C" w14:textId="77777777" w:rsidR="002A4701" w:rsidRPr="0067445F" w:rsidRDefault="002A4701" w:rsidP="0040594E">
            <w:pPr>
              <w:pStyle w:val="NoSpacing"/>
              <w:rPr>
                <w:rFonts w:asciiTheme="minorHAnsi" w:hAnsiTheme="minorHAnsi"/>
              </w:rPr>
            </w:pPr>
            <w:r w:rsidRPr="0067445F">
              <w:rPr>
                <w:rFonts w:asciiTheme="minorHAnsi" w:hAnsiTheme="minorHAnsi"/>
              </w:rPr>
              <w:t>Maternal</w:t>
            </w:r>
          </w:p>
          <w:p w14:paraId="399EB31D"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Cases (n=18)</w:t>
            </w:r>
          </w:p>
          <w:p w14:paraId="184A2CCA"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Controls (n=74)</w:t>
            </w:r>
          </w:p>
        </w:tc>
        <w:tc>
          <w:tcPr>
            <w:tcW w:w="1958" w:type="dxa"/>
            <w:tcBorders>
              <w:top w:val="single" w:sz="4" w:space="0" w:color="auto"/>
            </w:tcBorders>
            <w:vAlign w:val="center"/>
          </w:tcPr>
          <w:p w14:paraId="70A4FF45" w14:textId="77777777" w:rsidR="002A4701" w:rsidRPr="0067445F" w:rsidRDefault="002A4701" w:rsidP="0040594E">
            <w:pPr>
              <w:pStyle w:val="NoSpacing"/>
              <w:ind w:right="720"/>
              <w:jc w:val="right"/>
              <w:rPr>
                <w:rFonts w:asciiTheme="minorHAnsi" w:hAnsiTheme="minorHAnsi"/>
              </w:rPr>
            </w:pPr>
          </w:p>
          <w:p w14:paraId="04E1FB9F" w14:textId="77777777" w:rsidR="002A4701" w:rsidRPr="0067445F" w:rsidRDefault="002A4701" w:rsidP="0040594E">
            <w:pPr>
              <w:pStyle w:val="NoSpacing"/>
              <w:ind w:right="720"/>
              <w:jc w:val="right"/>
              <w:rPr>
                <w:rFonts w:asciiTheme="minorHAnsi" w:hAnsiTheme="minorHAnsi"/>
              </w:rPr>
            </w:pPr>
          </w:p>
          <w:p w14:paraId="6C7EB87C"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50%</w:t>
            </w:r>
          </w:p>
          <w:p w14:paraId="54784FF4"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34%</w:t>
            </w:r>
          </w:p>
        </w:tc>
        <w:tc>
          <w:tcPr>
            <w:tcW w:w="1526" w:type="dxa"/>
            <w:tcBorders>
              <w:top w:val="single" w:sz="4" w:space="0" w:color="auto"/>
            </w:tcBorders>
            <w:vAlign w:val="center"/>
          </w:tcPr>
          <w:p w14:paraId="5B272785" w14:textId="77777777" w:rsidR="002A4701" w:rsidRPr="0067445F" w:rsidRDefault="002A4701" w:rsidP="0040594E">
            <w:pPr>
              <w:pStyle w:val="NoSpacing"/>
              <w:ind w:right="720"/>
              <w:jc w:val="right"/>
              <w:rPr>
                <w:rFonts w:asciiTheme="minorHAnsi" w:hAnsiTheme="minorHAnsi"/>
              </w:rPr>
            </w:pPr>
          </w:p>
          <w:p w14:paraId="08240A3D" w14:textId="77777777" w:rsidR="002A4701" w:rsidRPr="0067445F" w:rsidRDefault="002A4701" w:rsidP="0040594E">
            <w:pPr>
              <w:pStyle w:val="NoSpacing"/>
              <w:ind w:right="720"/>
              <w:jc w:val="right"/>
              <w:rPr>
                <w:rFonts w:asciiTheme="minorHAnsi" w:hAnsiTheme="minorHAnsi"/>
              </w:rPr>
            </w:pPr>
          </w:p>
          <w:p w14:paraId="69A96F5E"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52</w:t>
            </w:r>
          </w:p>
          <w:p w14:paraId="32F14EAC" w14:textId="2422659B" w:rsidR="002A4701" w:rsidRPr="0067445F" w:rsidRDefault="002A4701" w:rsidP="0040594E">
            <w:pPr>
              <w:pStyle w:val="NoSpacing"/>
              <w:ind w:right="720"/>
              <w:jc w:val="right"/>
              <w:rPr>
                <w:rFonts w:asciiTheme="minorHAnsi" w:hAnsiTheme="minorHAnsi"/>
              </w:rPr>
            </w:pPr>
            <w:r w:rsidRPr="0067445F">
              <w:rPr>
                <w:rFonts w:asciiTheme="minorHAnsi" w:hAnsiTheme="minorHAnsi"/>
              </w:rPr>
              <w:t>47</w:t>
            </w:r>
          </w:p>
        </w:tc>
        <w:tc>
          <w:tcPr>
            <w:tcW w:w="1530" w:type="dxa"/>
            <w:tcBorders>
              <w:top w:val="single" w:sz="4" w:space="0" w:color="auto"/>
            </w:tcBorders>
            <w:vAlign w:val="center"/>
          </w:tcPr>
          <w:p w14:paraId="6F060801" w14:textId="77777777" w:rsidR="002A4701" w:rsidRPr="0067445F" w:rsidRDefault="002A4701" w:rsidP="0040594E">
            <w:pPr>
              <w:pStyle w:val="NoSpacing"/>
              <w:ind w:right="720"/>
              <w:jc w:val="right"/>
              <w:rPr>
                <w:rFonts w:asciiTheme="minorHAnsi" w:hAnsiTheme="minorHAnsi"/>
              </w:rPr>
            </w:pPr>
          </w:p>
          <w:p w14:paraId="556DF038" w14:textId="77777777" w:rsidR="002A4701" w:rsidRPr="0067445F" w:rsidRDefault="002A4701" w:rsidP="0040594E">
            <w:pPr>
              <w:pStyle w:val="NoSpacing"/>
              <w:ind w:right="720"/>
              <w:jc w:val="right"/>
              <w:rPr>
                <w:rFonts w:asciiTheme="minorHAnsi" w:hAnsiTheme="minorHAnsi"/>
              </w:rPr>
            </w:pPr>
          </w:p>
          <w:p w14:paraId="75A576B9"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25</w:t>
            </w:r>
          </w:p>
          <w:p w14:paraId="2F583E77" w14:textId="67C88400" w:rsidR="002A4701" w:rsidRPr="0067445F" w:rsidRDefault="002A4701" w:rsidP="0040594E">
            <w:pPr>
              <w:pStyle w:val="NoSpacing"/>
              <w:ind w:right="720"/>
              <w:jc w:val="right"/>
              <w:rPr>
                <w:rFonts w:asciiTheme="minorHAnsi" w:hAnsiTheme="minorHAnsi"/>
              </w:rPr>
            </w:pPr>
            <w:r w:rsidRPr="0067445F">
              <w:rPr>
                <w:rFonts w:asciiTheme="minorHAnsi" w:hAnsiTheme="minorHAnsi"/>
              </w:rPr>
              <w:t>12</w:t>
            </w:r>
          </w:p>
        </w:tc>
        <w:tc>
          <w:tcPr>
            <w:tcW w:w="1526" w:type="dxa"/>
            <w:tcBorders>
              <w:top w:val="single" w:sz="4" w:space="0" w:color="auto"/>
            </w:tcBorders>
            <w:vAlign w:val="center"/>
          </w:tcPr>
          <w:p w14:paraId="5D35D1A2" w14:textId="77777777" w:rsidR="002A4701" w:rsidRPr="0067445F" w:rsidRDefault="002A4701" w:rsidP="0040594E">
            <w:pPr>
              <w:pStyle w:val="NoSpacing"/>
              <w:ind w:right="720"/>
              <w:jc w:val="right"/>
              <w:rPr>
                <w:rFonts w:asciiTheme="minorHAnsi" w:hAnsiTheme="minorHAnsi"/>
              </w:rPr>
            </w:pPr>
          </w:p>
          <w:p w14:paraId="74B81422" w14:textId="77777777" w:rsidR="002A4701" w:rsidRPr="0067445F" w:rsidRDefault="002A4701" w:rsidP="0040594E">
            <w:pPr>
              <w:pStyle w:val="NoSpacing"/>
              <w:ind w:right="720"/>
              <w:jc w:val="right"/>
              <w:rPr>
                <w:rFonts w:asciiTheme="minorHAnsi" w:hAnsiTheme="minorHAnsi"/>
              </w:rPr>
            </w:pPr>
          </w:p>
          <w:p w14:paraId="54E945DA"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62</w:t>
            </w:r>
          </w:p>
          <w:p w14:paraId="7F6DEEDD" w14:textId="14298C72" w:rsidR="002A4701" w:rsidRPr="0067445F" w:rsidRDefault="002A4701" w:rsidP="0040594E">
            <w:pPr>
              <w:pStyle w:val="NoSpacing"/>
              <w:ind w:right="720"/>
              <w:jc w:val="right"/>
              <w:rPr>
                <w:rFonts w:asciiTheme="minorHAnsi" w:hAnsiTheme="minorHAnsi"/>
              </w:rPr>
            </w:pPr>
            <w:r w:rsidRPr="0067445F">
              <w:rPr>
                <w:rFonts w:asciiTheme="minorHAnsi" w:hAnsiTheme="minorHAnsi"/>
              </w:rPr>
              <w:t>73</w:t>
            </w:r>
          </w:p>
        </w:tc>
      </w:tr>
      <w:tr w:rsidR="002A4701" w:rsidRPr="006436A7" w14:paraId="485F691C" w14:textId="77777777" w:rsidTr="0067445F">
        <w:tc>
          <w:tcPr>
            <w:tcW w:w="3150" w:type="dxa"/>
            <w:shd w:val="clear" w:color="auto" w:fill="D9D9D9" w:themeFill="background1" w:themeFillShade="D9"/>
            <w:vAlign w:val="center"/>
          </w:tcPr>
          <w:p w14:paraId="1D93778E"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Childhood </w:t>
            </w:r>
          </w:p>
          <w:p w14:paraId="3D5E323E"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Cases (n=18)</w:t>
            </w:r>
          </w:p>
          <w:p w14:paraId="61BA3C14"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Controls (n=74)</w:t>
            </w:r>
          </w:p>
        </w:tc>
        <w:tc>
          <w:tcPr>
            <w:tcW w:w="1958" w:type="dxa"/>
            <w:shd w:val="clear" w:color="auto" w:fill="D9D9D9" w:themeFill="background1" w:themeFillShade="D9"/>
            <w:vAlign w:val="center"/>
          </w:tcPr>
          <w:p w14:paraId="409FB703" w14:textId="77777777" w:rsidR="002A4701" w:rsidRPr="0067445F" w:rsidRDefault="002A4701" w:rsidP="0040594E">
            <w:pPr>
              <w:pStyle w:val="NoSpacing"/>
              <w:ind w:right="720"/>
              <w:jc w:val="right"/>
              <w:rPr>
                <w:rFonts w:asciiTheme="minorHAnsi" w:hAnsiTheme="minorHAnsi"/>
              </w:rPr>
            </w:pPr>
          </w:p>
          <w:p w14:paraId="4A3CCF92"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78%</w:t>
            </w:r>
          </w:p>
          <w:p w14:paraId="19F3F9F2"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84%</w:t>
            </w:r>
          </w:p>
        </w:tc>
        <w:tc>
          <w:tcPr>
            <w:tcW w:w="1526" w:type="dxa"/>
            <w:shd w:val="clear" w:color="auto" w:fill="D9D9D9" w:themeFill="background1" w:themeFillShade="D9"/>
            <w:vAlign w:val="center"/>
          </w:tcPr>
          <w:p w14:paraId="58C20CEF" w14:textId="77777777" w:rsidR="002A4701" w:rsidRPr="0067445F" w:rsidRDefault="002A4701" w:rsidP="0040594E">
            <w:pPr>
              <w:pStyle w:val="NoSpacing"/>
              <w:ind w:right="720"/>
              <w:jc w:val="right"/>
              <w:rPr>
                <w:rFonts w:asciiTheme="minorHAnsi" w:hAnsiTheme="minorHAnsi"/>
              </w:rPr>
            </w:pPr>
          </w:p>
          <w:p w14:paraId="277717D3"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51</w:t>
            </w:r>
          </w:p>
          <w:p w14:paraId="193A19A5" w14:textId="1ED9BBD1" w:rsidR="002A4701" w:rsidRPr="0067445F" w:rsidRDefault="002A4701" w:rsidP="0040594E">
            <w:pPr>
              <w:pStyle w:val="NoSpacing"/>
              <w:ind w:right="720"/>
              <w:jc w:val="right"/>
              <w:rPr>
                <w:rFonts w:asciiTheme="minorHAnsi" w:hAnsiTheme="minorHAnsi"/>
              </w:rPr>
            </w:pPr>
            <w:r w:rsidRPr="0067445F">
              <w:rPr>
                <w:rFonts w:asciiTheme="minorHAnsi" w:hAnsiTheme="minorHAnsi"/>
              </w:rPr>
              <w:t>39</w:t>
            </w:r>
          </w:p>
        </w:tc>
        <w:tc>
          <w:tcPr>
            <w:tcW w:w="1530" w:type="dxa"/>
            <w:shd w:val="clear" w:color="auto" w:fill="D9D9D9" w:themeFill="background1" w:themeFillShade="D9"/>
            <w:vAlign w:val="center"/>
          </w:tcPr>
          <w:p w14:paraId="0216EB5C" w14:textId="77777777" w:rsidR="002A4701" w:rsidRPr="0067445F" w:rsidRDefault="002A4701" w:rsidP="0040594E">
            <w:pPr>
              <w:pStyle w:val="NoSpacing"/>
              <w:ind w:right="720"/>
              <w:jc w:val="right"/>
              <w:rPr>
                <w:rFonts w:asciiTheme="minorHAnsi" w:hAnsiTheme="minorHAnsi"/>
              </w:rPr>
            </w:pPr>
          </w:p>
          <w:p w14:paraId="444FCCFD"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11</w:t>
            </w:r>
          </w:p>
          <w:p w14:paraId="2FDDEC16" w14:textId="4477D1F7" w:rsidR="002A4701" w:rsidRPr="0067445F" w:rsidRDefault="002A4701" w:rsidP="0040594E">
            <w:pPr>
              <w:pStyle w:val="NoSpacing"/>
              <w:ind w:right="720"/>
              <w:jc w:val="right"/>
              <w:rPr>
                <w:rFonts w:asciiTheme="minorHAnsi" w:hAnsiTheme="minorHAnsi"/>
              </w:rPr>
            </w:pPr>
            <w:r w:rsidRPr="0067445F">
              <w:rPr>
                <w:rFonts w:asciiTheme="minorHAnsi" w:hAnsiTheme="minorHAnsi"/>
              </w:rPr>
              <w:t>6.8</w:t>
            </w:r>
          </w:p>
        </w:tc>
        <w:tc>
          <w:tcPr>
            <w:tcW w:w="1526" w:type="dxa"/>
            <w:shd w:val="clear" w:color="auto" w:fill="D9D9D9" w:themeFill="background1" w:themeFillShade="D9"/>
            <w:vAlign w:val="center"/>
          </w:tcPr>
          <w:p w14:paraId="093A570B" w14:textId="77777777" w:rsidR="002A4701" w:rsidRPr="0067445F" w:rsidRDefault="002A4701" w:rsidP="0040594E">
            <w:pPr>
              <w:pStyle w:val="NoSpacing"/>
              <w:ind w:right="720"/>
              <w:jc w:val="right"/>
              <w:rPr>
                <w:rFonts w:asciiTheme="minorHAnsi" w:hAnsiTheme="minorHAnsi"/>
              </w:rPr>
            </w:pPr>
          </w:p>
          <w:p w14:paraId="1E29F17A"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67</w:t>
            </w:r>
          </w:p>
          <w:p w14:paraId="771DAC14" w14:textId="4A219CCD" w:rsidR="002A4701" w:rsidRPr="0067445F" w:rsidRDefault="002A4701" w:rsidP="0040594E">
            <w:pPr>
              <w:pStyle w:val="NoSpacing"/>
              <w:ind w:right="720"/>
              <w:jc w:val="right"/>
              <w:rPr>
                <w:rFonts w:asciiTheme="minorHAnsi" w:hAnsiTheme="minorHAnsi"/>
              </w:rPr>
            </w:pPr>
            <w:r w:rsidRPr="0067445F">
              <w:rPr>
                <w:rFonts w:asciiTheme="minorHAnsi" w:hAnsiTheme="minorHAnsi"/>
              </w:rPr>
              <w:t>76</w:t>
            </w:r>
          </w:p>
        </w:tc>
      </w:tr>
      <w:tr w:rsidR="002A4701" w:rsidRPr="006436A7" w14:paraId="3081AACD" w14:textId="77777777" w:rsidTr="0067445F">
        <w:tc>
          <w:tcPr>
            <w:tcW w:w="3150" w:type="dxa"/>
            <w:vAlign w:val="center"/>
          </w:tcPr>
          <w:p w14:paraId="0F503C1B" w14:textId="77777777" w:rsidR="002A4701" w:rsidRPr="0067445F" w:rsidRDefault="002A4701" w:rsidP="0040594E">
            <w:pPr>
              <w:pStyle w:val="NoSpacing"/>
              <w:rPr>
                <w:rFonts w:asciiTheme="minorHAnsi" w:hAnsiTheme="minorHAnsi"/>
                <w:b/>
              </w:rPr>
            </w:pPr>
            <w:r w:rsidRPr="0067445F">
              <w:rPr>
                <w:rFonts w:asciiTheme="minorHAnsi" w:hAnsiTheme="minorHAnsi"/>
                <w:b/>
              </w:rPr>
              <w:t>Leukemia/Lymphoma</w:t>
            </w:r>
          </w:p>
          <w:p w14:paraId="141E7EA0" w14:textId="77777777" w:rsidR="002A4701" w:rsidRPr="0067445F" w:rsidRDefault="002A4701" w:rsidP="0040594E">
            <w:pPr>
              <w:pStyle w:val="NoSpacing"/>
              <w:rPr>
                <w:rFonts w:asciiTheme="minorHAnsi" w:hAnsiTheme="minorHAnsi"/>
              </w:rPr>
            </w:pPr>
            <w:r w:rsidRPr="0067445F">
              <w:rPr>
                <w:rFonts w:asciiTheme="minorHAnsi" w:hAnsiTheme="minorHAnsi"/>
              </w:rPr>
              <w:t>Maternal</w:t>
            </w:r>
          </w:p>
          <w:p w14:paraId="70EC770B"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Cases (n=11)</w:t>
            </w:r>
          </w:p>
          <w:p w14:paraId="3A9FE6AB"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Controls (n=45)</w:t>
            </w:r>
          </w:p>
        </w:tc>
        <w:tc>
          <w:tcPr>
            <w:tcW w:w="1958" w:type="dxa"/>
            <w:vAlign w:val="center"/>
          </w:tcPr>
          <w:p w14:paraId="236109C3" w14:textId="77777777" w:rsidR="002A4701" w:rsidRPr="0067445F" w:rsidRDefault="002A4701" w:rsidP="0040594E">
            <w:pPr>
              <w:pStyle w:val="NoSpacing"/>
              <w:ind w:right="720"/>
              <w:jc w:val="right"/>
              <w:rPr>
                <w:rFonts w:asciiTheme="minorHAnsi" w:hAnsiTheme="minorHAnsi"/>
              </w:rPr>
            </w:pPr>
          </w:p>
          <w:p w14:paraId="5CC036EF" w14:textId="77777777" w:rsidR="002A4701" w:rsidRPr="0067445F" w:rsidRDefault="002A4701" w:rsidP="0040594E">
            <w:pPr>
              <w:pStyle w:val="NoSpacing"/>
              <w:ind w:right="720"/>
              <w:jc w:val="right"/>
              <w:rPr>
                <w:rFonts w:asciiTheme="minorHAnsi" w:hAnsiTheme="minorHAnsi"/>
              </w:rPr>
            </w:pPr>
          </w:p>
          <w:p w14:paraId="55085866"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64%</w:t>
            </w:r>
          </w:p>
          <w:p w14:paraId="3C341846"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36%</w:t>
            </w:r>
          </w:p>
        </w:tc>
        <w:tc>
          <w:tcPr>
            <w:tcW w:w="1526" w:type="dxa"/>
            <w:vAlign w:val="center"/>
          </w:tcPr>
          <w:p w14:paraId="5BCC01DA" w14:textId="77777777" w:rsidR="002A4701" w:rsidRPr="0067445F" w:rsidRDefault="002A4701" w:rsidP="0040594E">
            <w:pPr>
              <w:pStyle w:val="NoSpacing"/>
              <w:ind w:right="720"/>
              <w:jc w:val="right"/>
              <w:rPr>
                <w:rFonts w:asciiTheme="minorHAnsi" w:hAnsiTheme="minorHAnsi"/>
              </w:rPr>
            </w:pPr>
          </w:p>
          <w:p w14:paraId="3C6FEDB9" w14:textId="77777777" w:rsidR="002A4701" w:rsidRPr="0067445F" w:rsidRDefault="002A4701" w:rsidP="0040594E">
            <w:pPr>
              <w:pStyle w:val="NoSpacing"/>
              <w:ind w:right="720"/>
              <w:jc w:val="right"/>
              <w:rPr>
                <w:rFonts w:asciiTheme="minorHAnsi" w:hAnsiTheme="minorHAnsi"/>
              </w:rPr>
            </w:pPr>
          </w:p>
          <w:p w14:paraId="2CFFB0C5"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53</w:t>
            </w:r>
          </w:p>
          <w:p w14:paraId="1CD2F4BE" w14:textId="682D31E2" w:rsidR="002A4701" w:rsidRPr="0067445F" w:rsidRDefault="002A4701" w:rsidP="0040594E">
            <w:pPr>
              <w:pStyle w:val="NoSpacing"/>
              <w:ind w:right="720"/>
              <w:jc w:val="right"/>
              <w:rPr>
                <w:rFonts w:asciiTheme="minorHAnsi" w:hAnsiTheme="minorHAnsi"/>
              </w:rPr>
            </w:pPr>
            <w:r w:rsidRPr="0067445F">
              <w:rPr>
                <w:rFonts w:asciiTheme="minorHAnsi" w:hAnsiTheme="minorHAnsi"/>
              </w:rPr>
              <w:t>45</w:t>
            </w:r>
          </w:p>
        </w:tc>
        <w:tc>
          <w:tcPr>
            <w:tcW w:w="1530" w:type="dxa"/>
            <w:vAlign w:val="center"/>
          </w:tcPr>
          <w:p w14:paraId="2340B49C" w14:textId="77777777" w:rsidR="002A4701" w:rsidRPr="0067445F" w:rsidRDefault="002A4701" w:rsidP="0040594E">
            <w:pPr>
              <w:pStyle w:val="NoSpacing"/>
              <w:ind w:right="720"/>
              <w:jc w:val="right"/>
              <w:rPr>
                <w:rFonts w:asciiTheme="minorHAnsi" w:hAnsiTheme="minorHAnsi"/>
              </w:rPr>
            </w:pPr>
          </w:p>
          <w:p w14:paraId="045D98BF" w14:textId="77777777" w:rsidR="002A4701" w:rsidRPr="0067445F" w:rsidRDefault="002A4701" w:rsidP="0040594E">
            <w:pPr>
              <w:pStyle w:val="NoSpacing"/>
              <w:ind w:right="720"/>
              <w:jc w:val="right"/>
              <w:rPr>
                <w:rFonts w:asciiTheme="minorHAnsi" w:hAnsiTheme="minorHAnsi"/>
              </w:rPr>
            </w:pPr>
          </w:p>
          <w:p w14:paraId="15B98339"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25</w:t>
            </w:r>
          </w:p>
          <w:p w14:paraId="016A7B86" w14:textId="08EBDF27" w:rsidR="002A4701" w:rsidRPr="0067445F" w:rsidRDefault="002A4701" w:rsidP="0040594E">
            <w:pPr>
              <w:pStyle w:val="NoSpacing"/>
              <w:ind w:right="720"/>
              <w:jc w:val="right"/>
              <w:rPr>
                <w:rFonts w:asciiTheme="minorHAnsi" w:hAnsiTheme="minorHAnsi"/>
              </w:rPr>
            </w:pPr>
            <w:r w:rsidRPr="0067445F">
              <w:rPr>
                <w:rFonts w:asciiTheme="minorHAnsi" w:hAnsiTheme="minorHAnsi"/>
              </w:rPr>
              <w:t>19</w:t>
            </w:r>
          </w:p>
        </w:tc>
        <w:tc>
          <w:tcPr>
            <w:tcW w:w="1526" w:type="dxa"/>
            <w:vAlign w:val="center"/>
          </w:tcPr>
          <w:p w14:paraId="3708A53C" w14:textId="77777777" w:rsidR="002A4701" w:rsidRPr="0067445F" w:rsidRDefault="002A4701" w:rsidP="0040594E">
            <w:pPr>
              <w:pStyle w:val="NoSpacing"/>
              <w:ind w:right="720"/>
              <w:jc w:val="right"/>
              <w:rPr>
                <w:rFonts w:asciiTheme="minorHAnsi" w:hAnsiTheme="minorHAnsi"/>
              </w:rPr>
            </w:pPr>
          </w:p>
          <w:p w14:paraId="61B7C87C" w14:textId="77777777" w:rsidR="002A4701" w:rsidRPr="0067445F" w:rsidRDefault="002A4701" w:rsidP="0040594E">
            <w:pPr>
              <w:pStyle w:val="NoSpacing"/>
              <w:ind w:right="720"/>
              <w:jc w:val="right"/>
              <w:rPr>
                <w:rFonts w:asciiTheme="minorHAnsi" w:hAnsiTheme="minorHAnsi"/>
              </w:rPr>
            </w:pPr>
          </w:p>
          <w:p w14:paraId="62932725"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62</w:t>
            </w:r>
          </w:p>
          <w:p w14:paraId="2B09C2C4" w14:textId="42519813" w:rsidR="002A4701" w:rsidRPr="0067445F" w:rsidRDefault="002A4701" w:rsidP="0040594E">
            <w:pPr>
              <w:pStyle w:val="NoSpacing"/>
              <w:ind w:right="720"/>
              <w:jc w:val="right"/>
              <w:rPr>
                <w:rFonts w:asciiTheme="minorHAnsi" w:hAnsiTheme="minorHAnsi"/>
              </w:rPr>
            </w:pPr>
            <w:r w:rsidRPr="0067445F">
              <w:rPr>
                <w:rFonts w:asciiTheme="minorHAnsi" w:hAnsiTheme="minorHAnsi"/>
              </w:rPr>
              <w:t>73</w:t>
            </w:r>
          </w:p>
        </w:tc>
      </w:tr>
      <w:tr w:rsidR="002A4701" w:rsidRPr="006436A7" w14:paraId="75AB3D11" w14:textId="77777777" w:rsidTr="0067445F">
        <w:tc>
          <w:tcPr>
            <w:tcW w:w="3150" w:type="dxa"/>
            <w:tcBorders>
              <w:bottom w:val="single" w:sz="4" w:space="0" w:color="auto"/>
            </w:tcBorders>
            <w:shd w:val="clear" w:color="auto" w:fill="D9D9D9" w:themeFill="background1" w:themeFillShade="D9"/>
            <w:vAlign w:val="center"/>
          </w:tcPr>
          <w:p w14:paraId="79824CE4" w14:textId="77777777" w:rsidR="002A4701" w:rsidRPr="0067445F" w:rsidRDefault="002A4701" w:rsidP="0040594E">
            <w:pPr>
              <w:pStyle w:val="NoSpacing"/>
              <w:rPr>
                <w:rFonts w:asciiTheme="minorHAnsi" w:hAnsiTheme="minorHAnsi"/>
                <w:vertAlign w:val="superscript"/>
              </w:rPr>
            </w:pPr>
            <w:r w:rsidRPr="0067445F">
              <w:rPr>
                <w:rFonts w:asciiTheme="minorHAnsi" w:hAnsiTheme="minorHAnsi"/>
              </w:rPr>
              <w:t>Childhood</w:t>
            </w:r>
          </w:p>
          <w:p w14:paraId="16CCBF8A"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Cases (n=11)</w:t>
            </w:r>
          </w:p>
          <w:p w14:paraId="47DCDC96" w14:textId="77777777" w:rsidR="002A4701" w:rsidRPr="0067445F" w:rsidRDefault="002A4701" w:rsidP="0040594E">
            <w:pPr>
              <w:pStyle w:val="NoSpacing"/>
              <w:rPr>
                <w:rFonts w:asciiTheme="minorHAnsi" w:hAnsiTheme="minorHAnsi"/>
              </w:rPr>
            </w:pPr>
            <w:r w:rsidRPr="0067445F">
              <w:rPr>
                <w:rFonts w:asciiTheme="minorHAnsi" w:hAnsiTheme="minorHAnsi"/>
              </w:rPr>
              <w:t xml:space="preserve">     Controls (n=45)</w:t>
            </w:r>
          </w:p>
        </w:tc>
        <w:tc>
          <w:tcPr>
            <w:tcW w:w="1958" w:type="dxa"/>
            <w:tcBorders>
              <w:bottom w:val="single" w:sz="4" w:space="0" w:color="auto"/>
            </w:tcBorders>
            <w:shd w:val="clear" w:color="auto" w:fill="D9D9D9" w:themeFill="background1" w:themeFillShade="D9"/>
            <w:vAlign w:val="center"/>
          </w:tcPr>
          <w:p w14:paraId="7F073CF5" w14:textId="77777777" w:rsidR="002A4701" w:rsidRPr="0067445F" w:rsidRDefault="002A4701" w:rsidP="0040594E">
            <w:pPr>
              <w:pStyle w:val="NoSpacing"/>
              <w:ind w:right="720"/>
              <w:jc w:val="right"/>
              <w:rPr>
                <w:rFonts w:asciiTheme="minorHAnsi" w:hAnsiTheme="minorHAnsi"/>
              </w:rPr>
            </w:pPr>
          </w:p>
          <w:p w14:paraId="53BA745F"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73%</w:t>
            </w:r>
          </w:p>
          <w:p w14:paraId="330F339C"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84%</w:t>
            </w:r>
          </w:p>
        </w:tc>
        <w:tc>
          <w:tcPr>
            <w:tcW w:w="1526" w:type="dxa"/>
            <w:tcBorders>
              <w:bottom w:val="single" w:sz="4" w:space="0" w:color="auto"/>
            </w:tcBorders>
            <w:shd w:val="clear" w:color="auto" w:fill="D9D9D9" w:themeFill="background1" w:themeFillShade="D9"/>
            <w:vAlign w:val="center"/>
          </w:tcPr>
          <w:p w14:paraId="79B70208" w14:textId="77777777" w:rsidR="002A4701" w:rsidRPr="0067445F" w:rsidRDefault="002A4701" w:rsidP="0040594E">
            <w:pPr>
              <w:pStyle w:val="NoSpacing"/>
              <w:ind w:right="720"/>
              <w:jc w:val="right"/>
              <w:rPr>
                <w:rFonts w:asciiTheme="minorHAnsi" w:hAnsiTheme="minorHAnsi"/>
              </w:rPr>
            </w:pPr>
          </w:p>
          <w:p w14:paraId="7CD5E217"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55</w:t>
            </w:r>
          </w:p>
          <w:p w14:paraId="62697D1B" w14:textId="344F8FDB" w:rsidR="002A4701" w:rsidRPr="0067445F" w:rsidRDefault="002A4701" w:rsidP="0040594E">
            <w:pPr>
              <w:pStyle w:val="NoSpacing"/>
              <w:ind w:right="720"/>
              <w:jc w:val="right"/>
              <w:rPr>
                <w:rFonts w:asciiTheme="minorHAnsi" w:hAnsiTheme="minorHAnsi"/>
              </w:rPr>
            </w:pPr>
            <w:r w:rsidRPr="0067445F">
              <w:rPr>
                <w:rFonts w:asciiTheme="minorHAnsi" w:hAnsiTheme="minorHAnsi"/>
              </w:rPr>
              <w:t>42</w:t>
            </w:r>
          </w:p>
        </w:tc>
        <w:tc>
          <w:tcPr>
            <w:tcW w:w="1530" w:type="dxa"/>
            <w:tcBorders>
              <w:bottom w:val="single" w:sz="4" w:space="0" w:color="auto"/>
            </w:tcBorders>
            <w:shd w:val="clear" w:color="auto" w:fill="D9D9D9" w:themeFill="background1" w:themeFillShade="D9"/>
            <w:vAlign w:val="center"/>
          </w:tcPr>
          <w:p w14:paraId="40DD8F36" w14:textId="77777777" w:rsidR="002A4701" w:rsidRPr="0067445F" w:rsidRDefault="002A4701" w:rsidP="0040594E">
            <w:pPr>
              <w:pStyle w:val="NoSpacing"/>
              <w:ind w:right="720"/>
              <w:jc w:val="right"/>
              <w:rPr>
                <w:rFonts w:asciiTheme="minorHAnsi" w:hAnsiTheme="minorHAnsi"/>
              </w:rPr>
            </w:pPr>
          </w:p>
          <w:p w14:paraId="0ECBE535"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28</w:t>
            </w:r>
          </w:p>
          <w:p w14:paraId="4B2F4D22" w14:textId="3F24ECE2" w:rsidR="002A4701" w:rsidRPr="0067445F" w:rsidRDefault="002A4701" w:rsidP="0040594E">
            <w:pPr>
              <w:pStyle w:val="NoSpacing"/>
              <w:ind w:right="720"/>
              <w:jc w:val="right"/>
              <w:rPr>
                <w:rFonts w:asciiTheme="minorHAnsi" w:hAnsiTheme="minorHAnsi"/>
              </w:rPr>
            </w:pPr>
            <w:r w:rsidRPr="0067445F">
              <w:rPr>
                <w:rFonts w:asciiTheme="minorHAnsi" w:hAnsiTheme="minorHAnsi"/>
              </w:rPr>
              <w:t>6.9</w:t>
            </w:r>
          </w:p>
        </w:tc>
        <w:tc>
          <w:tcPr>
            <w:tcW w:w="1526" w:type="dxa"/>
            <w:tcBorders>
              <w:bottom w:val="single" w:sz="4" w:space="0" w:color="auto"/>
            </w:tcBorders>
            <w:shd w:val="clear" w:color="auto" w:fill="D9D9D9" w:themeFill="background1" w:themeFillShade="D9"/>
            <w:vAlign w:val="center"/>
          </w:tcPr>
          <w:p w14:paraId="540E3BE9" w14:textId="77777777" w:rsidR="002A4701" w:rsidRPr="0067445F" w:rsidRDefault="002A4701" w:rsidP="0040594E">
            <w:pPr>
              <w:pStyle w:val="NoSpacing"/>
              <w:ind w:right="720"/>
              <w:jc w:val="right"/>
              <w:rPr>
                <w:rFonts w:asciiTheme="minorHAnsi" w:hAnsiTheme="minorHAnsi"/>
              </w:rPr>
            </w:pPr>
          </w:p>
          <w:p w14:paraId="411D4EE8" w14:textId="77777777" w:rsidR="002A4701" w:rsidRPr="0067445F" w:rsidRDefault="002A4701" w:rsidP="0040594E">
            <w:pPr>
              <w:pStyle w:val="NoSpacing"/>
              <w:ind w:right="720"/>
              <w:jc w:val="right"/>
              <w:rPr>
                <w:rFonts w:asciiTheme="minorHAnsi" w:hAnsiTheme="minorHAnsi"/>
              </w:rPr>
            </w:pPr>
            <w:r w:rsidRPr="0067445F">
              <w:rPr>
                <w:rFonts w:asciiTheme="minorHAnsi" w:hAnsiTheme="minorHAnsi"/>
              </w:rPr>
              <w:t>67</w:t>
            </w:r>
          </w:p>
          <w:p w14:paraId="5B4B5FE8" w14:textId="1C68FE63" w:rsidR="002A4701" w:rsidRPr="0067445F" w:rsidRDefault="002A4701" w:rsidP="0040594E">
            <w:pPr>
              <w:pStyle w:val="NoSpacing"/>
              <w:ind w:right="720"/>
              <w:jc w:val="right"/>
              <w:rPr>
                <w:rFonts w:asciiTheme="minorHAnsi" w:hAnsiTheme="minorHAnsi"/>
              </w:rPr>
            </w:pPr>
            <w:r w:rsidRPr="0067445F">
              <w:rPr>
                <w:rFonts w:asciiTheme="minorHAnsi" w:hAnsiTheme="minorHAnsi"/>
              </w:rPr>
              <w:t>70</w:t>
            </w:r>
          </w:p>
        </w:tc>
      </w:tr>
    </w:tbl>
    <w:p w14:paraId="4552BAB3" w14:textId="77777777" w:rsidR="006436A7" w:rsidRPr="006436A7" w:rsidRDefault="005107FA" w:rsidP="0040594E">
      <w:pPr>
        <w:pStyle w:val="NoSpacing"/>
      </w:pPr>
      <w:proofErr w:type="spellStart"/>
      <w:r w:rsidRPr="005107FA">
        <w:rPr>
          <w:vertAlign w:val="superscript"/>
        </w:rPr>
        <w:t>a</w:t>
      </w:r>
      <w:r w:rsidR="006436A7" w:rsidRPr="006436A7">
        <w:t>M</w:t>
      </w:r>
      <w:r>
        <w:t>aternal</w:t>
      </w:r>
      <w:proofErr w:type="spellEnd"/>
      <w:r>
        <w:t xml:space="preserve"> period includes the 12 months</w:t>
      </w:r>
      <w:r w:rsidR="006436A7" w:rsidRPr="006436A7">
        <w:t xml:space="preserve"> prior to child’s birth</w:t>
      </w:r>
      <w:r>
        <w:t>.</w:t>
      </w:r>
    </w:p>
    <w:p w14:paraId="10D71661" w14:textId="58E4E07E" w:rsidR="00B85973" w:rsidRPr="006C3ED9" w:rsidRDefault="005107FA" w:rsidP="000C4868">
      <w:pPr>
        <w:pStyle w:val="NoSpacing"/>
        <w:spacing w:after="360"/>
      </w:pPr>
      <w:proofErr w:type="spellStart"/>
      <w:r w:rsidRPr="005107FA">
        <w:rPr>
          <w:vertAlign w:val="superscript"/>
        </w:rPr>
        <w:t>b</w:t>
      </w:r>
      <w:r w:rsidR="006436A7" w:rsidRPr="006436A7">
        <w:t>Child</w:t>
      </w:r>
      <w:r>
        <w:t>hood</w:t>
      </w:r>
      <w:proofErr w:type="spellEnd"/>
      <w:r>
        <w:t xml:space="preserve"> period extends from </w:t>
      </w:r>
      <w:r w:rsidR="006436A7" w:rsidRPr="006436A7">
        <w:t>birth</w:t>
      </w:r>
      <w:r>
        <w:t xml:space="preserve"> to diagnosis/reference date.</w:t>
      </w:r>
    </w:p>
    <w:p w14:paraId="2199B104" w14:textId="77777777" w:rsidR="00C67849" w:rsidRDefault="00C67849" w:rsidP="0063071E">
      <w:pPr>
        <w:pStyle w:val="StyleHeading4Linespacingsingle"/>
      </w:pPr>
      <w:r w:rsidRPr="00FD17FB">
        <w:t>NDMA in Drinking Water and Childhood Cancer</w:t>
      </w:r>
    </w:p>
    <w:p w14:paraId="2028A0AD" w14:textId="77777777" w:rsidR="00AD7871" w:rsidRPr="00AD7871" w:rsidRDefault="00AD7871" w:rsidP="00B26D34">
      <w:pPr>
        <w:pStyle w:val="Heading5"/>
      </w:pPr>
      <w:r>
        <w:t>Dichotomous (</w:t>
      </w:r>
      <w:r w:rsidR="00DE4B16">
        <w:t>e</w:t>
      </w:r>
      <w:r>
        <w:t>ver/</w:t>
      </w:r>
      <w:r w:rsidR="00DE4B16">
        <w:t>n</w:t>
      </w:r>
      <w:r>
        <w:t xml:space="preserve">ever) </w:t>
      </w:r>
      <w:r w:rsidR="00DE4B16">
        <w:t>e</w:t>
      </w:r>
      <w:r>
        <w:t xml:space="preserve">xposure </w:t>
      </w:r>
      <w:r w:rsidR="00DE4B16">
        <w:t>p</w:t>
      </w:r>
      <w:r>
        <w:t>otential</w:t>
      </w:r>
    </w:p>
    <w:p w14:paraId="51A8C57E" w14:textId="26AD2638" w:rsidR="00096D00" w:rsidRDefault="003363B8" w:rsidP="006C3ED9">
      <w:r>
        <w:fldChar w:fldCharType="begin"/>
      </w:r>
      <w:r>
        <w:instrText xml:space="preserve"> REF  Table9 \h </w:instrText>
      </w:r>
      <w:r w:rsidR="0040594E">
        <w:instrText xml:space="preserve"> \* MERGEFORMAT </w:instrText>
      </w:r>
      <w:r>
        <w:fldChar w:fldCharType="separate"/>
      </w:r>
      <w:r w:rsidR="00977423">
        <w:t xml:space="preserve">Table </w:t>
      </w:r>
      <w:r w:rsidR="00977423">
        <w:rPr>
          <w:noProof/>
        </w:rPr>
        <w:t>9</w:t>
      </w:r>
      <w:r>
        <w:fldChar w:fldCharType="end"/>
      </w:r>
      <w:r w:rsidR="00C67849" w:rsidRPr="00F80B1F">
        <w:t xml:space="preserve"> presents results of conditional logistic regression models evaluating the association between development of childhood cancer and dichotomous (ever/never) </w:t>
      </w:r>
      <w:r w:rsidR="00C67849">
        <w:t xml:space="preserve">presence of </w:t>
      </w:r>
      <w:r w:rsidR="00C67849" w:rsidRPr="00F80B1F">
        <w:t>NDMA in drinking water</w:t>
      </w:r>
      <w:r w:rsidR="00716072">
        <w:t xml:space="preserve">. </w:t>
      </w:r>
      <w:r w:rsidR="00C67849">
        <w:t xml:space="preserve">When evaluating maternal exposure, </w:t>
      </w:r>
      <w:r w:rsidR="00C54F46">
        <w:t xml:space="preserve">the </w:t>
      </w:r>
      <w:r w:rsidR="00C67849">
        <w:t>o</w:t>
      </w:r>
      <w:r w:rsidR="00C67849" w:rsidRPr="00F80B1F">
        <w:t xml:space="preserve">dds of childhood cancer (all cancers and leukemia/lymphoma only) were higher for children whose mothers ever </w:t>
      </w:r>
      <w:r w:rsidR="00C67849">
        <w:t>lived in a home estimated to have</w:t>
      </w:r>
      <w:r w:rsidR="00C67849" w:rsidRPr="00F80B1F">
        <w:t xml:space="preserve"> NDMA </w:t>
      </w:r>
      <w:r w:rsidR="00C67849">
        <w:t xml:space="preserve">contaminated </w:t>
      </w:r>
      <w:r w:rsidR="00C67849" w:rsidRPr="00F80B1F">
        <w:t>drinking water during the year prior to birth</w:t>
      </w:r>
      <w:r w:rsidR="00C67849">
        <w:t>, but these results did not reach statistical significance</w:t>
      </w:r>
      <w:r w:rsidR="00716072">
        <w:t xml:space="preserve">. </w:t>
      </w:r>
      <w:r w:rsidR="00C67849" w:rsidRPr="00F80B1F">
        <w:t xml:space="preserve">There was no </w:t>
      </w:r>
      <w:r w:rsidR="00C67849">
        <w:t>elevation</w:t>
      </w:r>
      <w:r w:rsidR="00C67849" w:rsidRPr="00F80B1F">
        <w:t xml:space="preserve"> in the odds of childhood cancer </w:t>
      </w:r>
      <w:r w:rsidR="00C67849">
        <w:t>for those</w:t>
      </w:r>
      <w:r w:rsidR="00C67849" w:rsidRPr="00F80B1F">
        <w:t xml:space="preserve"> who lived in homes estimated to have had NDMA contamination </w:t>
      </w:r>
      <w:r w:rsidR="00C67849">
        <w:t xml:space="preserve">as children </w:t>
      </w:r>
      <w:r w:rsidR="00C67849" w:rsidRPr="00F80B1F">
        <w:t>compared to those who did not (OR</w:t>
      </w:r>
      <w:r w:rsidR="006D56C5">
        <w:t xml:space="preserve"> </w:t>
      </w:r>
      <w:r w:rsidR="00C67849" w:rsidRPr="00F80B1F">
        <w:t>=</w:t>
      </w:r>
      <w:r w:rsidR="006D56C5">
        <w:t xml:space="preserve"> </w:t>
      </w:r>
      <w:r w:rsidR="00C67849" w:rsidRPr="00F80B1F">
        <w:t>0.</w:t>
      </w:r>
      <w:r w:rsidR="00C67849">
        <w:t>7</w:t>
      </w:r>
      <w:r w:rsidR="00C67849" w:rsidRPr="00F80B1F">
        <w:t>; 95% CI: 0.2-</w:t>
      </w:r>
      <w:r w:rsidR="00C67849">
        <w:t>2</w:t>
      </w:r>
      <w:r w:rsidR="00C67849" w:rsidRPr="00F80B1F">
        <w:t>.</w:t>
      </w:r>
      <w:r w:rsidR="00C67849">
        <w:t>5</w:t>
      </w:r>
      <w:r w:rsidR="00C67849" w:rsidRPr="00F80B1F">
        <w:t>)</w:t>
      </w:r>
      <w:r w:rsidR="00716072">
        <w:t xml:space="preserve">. </w:t>
      </w:r>
      <w:r w:rsidR="00C67849" w:rsidRPr="00F80B1F">
        <w:t xml:space="preserve">When restricting the analysis to leukemia or lymphoma only, the odds were </w:t>
      </w:r>
      <w:r w:rsidR="00C67849">
        <w:t>even lower</w:t>
      </w:r>
      <w:r w:rsidR="00C67849" w:rsidRPr="00F80B1F">
        <w:t xml:space="preserve"> among children ever </w:t>
      </w:r>
      <w:r w:rsidR="00C67849">
        <w:t>to have NDMA present in their home drinking water</w:t>
      </w:r>
      <w:r w:rsidR="00C67849" w:rsidRPr="00F80B1F">
        <w:t xml:space="preserve"> (OR</w:t>
      </w:r>
      <w:r w:rsidR="006D56C5">
        <w:t xml:space="preserve"> </w:t>
      </w:r>
      <w:r w:rsidR="00C67849" w:rsidRPr="00F80B1F">
        <w:t>=</w:t>
      </w:r>
      <w:r w:rsidR="006D56C5">
        <w:t xml:space="preserve"> </w:t>
      </w:r>
      <w:r w:rsidR="00C67849">
        <w:t>0.</w:t>
      </w:r>
      <w:r w:rsidR="00236663">
        <w:t>5</w:t>
      </w:r>
      <w:r w:rsidR="00C67849" w:rsidRPr="00F80B1F">
        <w:t>)</w:t>
      </w:r>
      <w:r w:rsidR="00C67849">
        <w:t xml:space="preserve"> and</w:t>
      </w:r>
      <w:r w:rsidR="00C67849" w:rsidRPr="00F80B1F">
        <w:t xml:space="preserve"> the result was </w:t>
      </w:r>
      <w:r w:rsidR="00C67849">
        <w:t xml:space="preserve">not statistically </w:t>
      </w:r>
      <w:r w:rsidR="00C54F46">
        <w:t>significant</w:t>
      </w:r>
      <w:r w:rsidR="00C67849" w:rsidRPr="00F80B1F">
        <w:t xml:space="preserve"> (</w:t>
      </w:r>
      <w:r w:rsidR="009D21C6" w:rsidRPr="00C67EB4">
        <w:rPr>
          <w:i/>
        </w:rPr>
        <w:t>p</w:t>
      </w:r>
      <w:r w:rsidR="009D21C6">
        <w:t xml:space="preserve"> = </w:t>
      </w:r>
      <w:r w:rsidR="00C67849" w:rsidRPr="00F80B1F">
        <w:t>0.</w:t>
      </w:r>
      <w:r w:rsidR="00C67849">
        <w:t>38</w:t>
      </w:r>
      <w:r w:rsidR="00C67849" w:rsidRPr="00F80B1F">
        <w:t>)</w:t>
      </w:r>
      <w:r w:rsidR="00716072">
        <w:t xml:space="preserve">. </w:t>
      </w:r>
    </w:p>
    <w:p w14:paraId="52AD58E6" w14:textId="64D95AD2" w:rsidR="00903D9C" w:rsidRDefault="00903D9C" w:rsidP="00903D9C">
      <w:pPr>
        <w:pStyle w:val="Caption"/>
        <w:keepNext/>
      </w:pPr>
      <w:bookmarkStart w:id="132" w:name="_Ref12009962"/>
      <w:bookmarkStart w:id="133" w:name="Table9"/>
      <w:bookmarkStart w:id="134" w:name="_Toc12012873"/>
      <w:bookmarkStart w:id="135" w:name="_Toc12013067"/>
      <w:bookmarkStart w:id="136" w:name="_Toc45714888"/>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9</w:t>
      </w:r>
      <w:r w:rsidR="00D616DB">
        <w:rPr>
          <w:noProof/>
        </w:rPr>
        <w:fldChar w:fldCharType="end"/>
      </w:r>
      <w:bookmarkEnd w:id="132"/>
      <w:r w:rsidR="00716072">
        <w:t xml:space="preserve">. </w:t>
      </w:r>
      <w:bookmarkEnd w:id="133"/>
      <w:r w:rsidRPr="003427D9">
        <w:t>Presence of NDMA in drinking water and odds of childhood cancer among children living in Wilmington, MA, 1974-2000</w:t>
      </w:r>
      <w:bookmarkEnd w:id="134"/>
      <w:bookmarkEnd w:id="135"/>
      <w:bookmarkEnd w:id="136"/>
    </w:p>
    <w:tbl>
      <w:tblPr>
        <w:tblW w:w="9560" w:type="dxa"/>
        <w:tblLook w:val="04A0" w:firstRow="1" w:lastRow="0" w:firstColumn="1" w:lastColumn="0" w:noHBand="0" w:noVBand="1"/>
      </w:tblPr>
      <w:tblGrid>
        <w:gridCol w:w="2790"/>
        <w:gridCol w:w="105"/>
        <w:gridCol w:w="720"/>
        <w:gridCol w:w="981"/>
        <w:gridCol w:w="720"/>
        <w:gridCol w:w="1152"/>
        <w:gridCol w:w="662"/>
        <w:gridCol w:w="1260"/>
        <w:gridCol w:w="7"/>
        <w:gridCol w:w="1073"/>
        <w:gridCol w:w="90"/>
      </w:tblGrid>
      <w:tr w:rsidR="00C67849" w:rsidRPr="001E7E4A" w14:paraId="03B59E75" w14:textId="77777777" w:rsidTr="000C4868">
        <w:trPr>
          <w:gridAfter w:val="1"/>
          <w:wAfter w:w="90" w:type="dxa"/>
          <w:trHeight w:val="300"/>
        </w:trPr>
        <w:tc>
          <w:tcPr>
            <w:tcW w:w="2790" w:type="dxa"/>
            <w:tcBorders>
              <w:top w:val="single" w:sz="4" w:space="0" w:color="auto"/>
              <w:bottom w:val="nil"/>
              <w:right w:val="nil"/>
            </w:tcBorders>
            <w:shd w:val="clear" w:color="auto" w:fill="auto"/>
            <w:noWrap/>
            <w:vAlign w:val="center"/>
            <w:hideMark/>
          </w:tcPr>
          <w:p w14:paraId="5F385F7F" w14:textId="77777777" w:rsidR="00C67849" w:rsidRPr="0067445F" w:rsidRDefault="00C67849" w:rsidP="00C4624F">
            <w:pPr>
              <w:spacing w:after="0" w:line="240" w:lineRule="auto"/>
              <w:rPr>
                <w:rFonts w:asciiTheme="minorHAnsi" w:hAnsiTheme="minorHAnsi"/>
              </w:rPr>
            </w:pPr>
          </w:p>
        </w:tc>
        <w:tc>
          <w:tcPr>
            <w:tcW w:w="1806" w:type="dxa"/>
            <w:gridSpan w:val="3"/>
            <w:tcBorders>
              <w:top w:val="single" w:sz="4" w:space="0" w:color="auto"/>
              <w:left w:val="nil"/>
              <w:right w:val="nil"/>
            </w:tcBorders>
            <w:shd w:val="clear" w:color="auto" w:fill="auto"/>
            <w:noWrap/>
            <w:vAlign w:val="center"/>
            <w:hideMark/>
          </w:tcPr>
          <w:p w14:paraId="75B4C3EB" w14:textId="08E51A20" w:rsidR="00C67849" w:rsidRPr="001E7E4A" w:rsidRDefault="00C67849" w:rsidP="000C4868">
            <w:pPr>
              <w:pStyle w:val="Tablebody"/>
              <w:rPr>
                <w:b/>
                <w:bCs/>
                <w:sz w:val="24"/>
                <w:szCs w:val="24"/>
              </w:rPr>
            </w:pPr>
            <w:r w:rsidRPr="001E7E4A">
              <w:rPr>
                <w:b/>
                <w:bCs/>
                <w:sz w:val="24"/>
                <w:szCs w:val="24"/>
              </w:rPr>
              <w:t>Cases (n=18)</w:t>
            </w:r>
          </w:p>
        </w:tc>
        <w:tc>
          <w:tcPr>
            <w:tcW w:w="1872" w:type="dxa"/>
            <w:gridSpan w:val="2"/>
            <w:tcBorders>
              <w:top w:val="single" w:sz="4" w:space="0" w:color="auto"/>
              <w:left w:val="nil"/>
              <w:right w:val="nil"/>
            </w:tcBorders>
            <w:shd w:val="clear" w:color="auto" w:fill="auto"/>
            <w:noWrap/>
            <w:vAlign w:val="center"/>
            <w:hideMark/>
          </w:tcPr>
          <w:p w14:paraId="7D480B15" w14:textId="7B29AD2A" w:rsidR="00C67849" w:rsidRPr="001E7E4A" w:rsidRDefault="00C67849" w:rsidP="000C4868">
            <w:pPr>
              <w:pStyle w:val="Tablebody"/>
              <w:rPr>
                <w:b/>
                <w:bCs/>
                <w:sz w:val="24"/>
                <w:szCs w:val="24"/>
              </w:rPr>
            </w:pPr>
            <w:r w:rsidRPr="001E7E4A">
              <w:rPr>
                <w:b/>
                <w:bCs/>
                <w:sz w:val="24"/>
                <w:szCs w:val="24"/>
              </w:rPr>
              <w:t>Controls (n=74)</w:t>
            </w:r>
          </w:p>
        </w:tc>
        <w:tc>
          <w:tcPr>
            <w:tcW w:w="662" w:type="dxa"/>
            <w:tcBorders>
              <w:top w:val="single" w:sz="4" w:space="0" w:color="auto"/>
              <w:left w:val="nil"/>
            </w:tcBorders>
            <w:shd w:val="clear" w:color="auto" w:fill="auto"/>
            <w:noWrap/>
            <w:vAlign w:val="center"/>
          </w:tcPr>
          <w:p w14:paraId="4FDE0CC7" w14:textId="77777777" w:rsidR="00C67849" w:rsidRPr="001E7E4A" w:rsidRDefault="00C67849" w:rsidP="005B69ED">
            <w:pPr>
              <w:pStyle w:val="Tablebody"/>
              <w:rPr>
                <w:b/>
                <w:bCs/>
                <w:sz w:val="24"/>
                <w:szCs w:val="24"/>
              </w:rPr>
            </w:pPr>
          </w:p>
        </w:tc>
        <w:tc>
          <w:tcPr>
            <w:tcW w:w="1260" w:type="dxa"/>
            <w:tcBorders>
              <w:top w:val="single" w:sz="4" w:space="0" w:color="auto"/>
            </w:tcBorders>
            <w:vAlign w:val="center"/>
          </w:tcPr>
          <w:p w14:paraId="149D1AB8" w14:textId="77777777" w:rsidR="00C67849" w:rsidRPr="001E7E4A" w:rsidRDefault="00C67849" w:rsidP="005B69ED">
            <w:pPr>
              <w:pStyle w:val="Tablebody"/>
              <w:rPr>
                <w:b/>
                <w:bCs/>
                <w:sz w:val="24"/>
                <w:szCs w:val="24"/>
              </w:rPr>
            </w:pPr>
          </w:p>
        </w:tc>
        <w:tc>
          <w:tcPr>
            <w:tcW w:w="1080" w:type="dxa"/>
            <w:gridSpan w:val="2"/>
            <w:tcBorders>
              <w:top w:val="single" w:sz="4" w:space="0" w:color="auto"/>
            </w:tcBorders>
            <w:shd w:val="clear" w:color="auto" w:fill="auto"/>
            <w:vAlign w:val="center"/>
          </w:tcPr>
          <w:p w14:paraId="6A16B1F3" w14:textId="77777777" w:rsidR="00C67849" w:rsidRPr="001E7E4A" w:rsidRDefault="00C67849" w:rsidP="005B69ED">
            <w:pPr>
              <w:pStyle w:val="Tablebody"/>
              <w:rPr>
                <w:b/>
                <w:bCs/>
                <w:sz w:val="24"/>
                <w:szCs w:val="24"/>
              </w:rPr>
            </w:pPr>
          </w:p>
        </w:tc>
      </w:tr>
      <w:tr w:rsidR="00C67849" w14:paraId="7B93ECAF" w14:textId="77777777" w:rsidTr="00C4624F">
        <w:trPr>
          <w:trHeight w:val="300"/>
        </w:trPr>
        <w:tc>
          <w:tcPr>
            <w:tcW w:w="2895" w:type="dxa"/>
            <w:gridSpan w:val="2"/>
            <w:tcBorders>
              <w:top w:val="nil"/>
              <w:right w:val="nil"/>
            </w:tcBorders>
            <w:shd w:val="clear" w:color="auto" w:fill="auto"/>
            <w:noWrap/>
            <w:vAlign w:val="center"/>
            <w:hideMark/>
          </w:tcPr>
          <w:p w14:paraId="698CA68C" w14:textId="77777777" w:rsidR="00C67849" w:rsidRPr="0067445F" w:rsidRDefault="00CB576C" w:rsidP="00C4624F">
            <w:pPr>
              <w:spacing w:after="0" w:line="240" w:lineRule="auto"/>
              <w:rPr>
                <w:rFonts w:asciiTheme="minorHAnsi" w:hAnsiTheme="minorHAnsi"/>
              </w:rPr>
            </w:pPr>
            <w:r w:rsidRPr="0067445F">
              <w:rPr>
                <w:rFonts w:asciiTheme="minorHAnsi" w:hAnsiTheme="minorHAnsi"/>
                <w:b/>
                <w:bCs/>
              </w:rPr>
              <w:t>All Cancers</w:t>
            </w:r>
          </w:p>
        </w:tc>
        <w:tc>
          <w:tcPr>
            <w:tcW w:w="720" w:type="dxa"/>
            <w:tcBorders>
              <w:top w:val="nil"/>
              <w:left w:val="nil"/>
              <w:bottom w:val="single" w:sz="4" w:space="0" w:color="auto"/>
              <w:right w:val="nil"/>
            </w:tcBorders>
            <w:shd w:val="clear" w:color="auto" w:fill="auto"/>
            <w:noWrap/>
            <w:vAlign w:val="center"/>
            <w:hideMark/>
          </w:tcPr>
          <w:p w14:paraId="53DE43F7" w14:textId="77777777" w:rsidR="00C67849" w:rsidRPr="001E7E4A" w:rsidRDefault="00C67849" w:rsidP="005B69ED">
            <w:pPr>
              <w:pStyle w:val="Tablebody"/>
              <w:rPr>
                <w:b/>
                <w:bCs/>
                <w:sz w:val="24"/>
                <w:szCs w:val="24"/>
              </w:rPr>
            </w:pPr>
            <w:r w:rsidRPr="001E7E4A">
              <w:rPr>
                <w:b/>
                <w:bCs/>
                <w:sz w:val="24"/>
                <w:szCs w:val="24"/>
              </w:rPr>
              <w:t>n</w:t>
            </w:r>
          </w:p>
        </w:tc>
        <w:tc>
          <w:tcPr>
            <w:tcW w:w="981" w:type="dxa"/>
            <w:tcBorders>
              <w:top w:val="nil"/>
              <w:left w:val="nil"/>
              <w:bottom w:val="single" w:sz="4" w:space="0" w:color="auto"/>
              <w:right w:val="nil"/>
            </w:tcBorders>
            <w:shd w:val="clear" w:color="auto" w:fill="auto"/>
            <w:noWrap/>
            <w:vAlign w:val="center"/>
            <w:hideMark/>
          </w:tcPr>
          <w:p w14:paraId="10E24548" w14:textId="77777777" w:rsidR="00C67849" w:rsidRPr="001E7E4A" w:rsidRDefault="00C67849" w:rsidP="005B69ED">
            <w:pPr>
              <w:pStyle w:val="Tablebody"/>
              <w:rPr>
                <w:b/>
                <w:bCs/>
                <w:sz w:val="24"/>
                <w:szCs w:val="24"/>
              </w:rPr>
            </w:pPr>
            <w:r w:rsidRPr="001E7E4A">
              <w:rPr>
                <w:b/>
                <w:bCs/>
                <w:sz w:val="24"/>
                <w:szCs w:val="24"/>
              </w:rPr>
              <w:t>(%)</w:t>
            </w:r>
          </w:p>
        </w:tc>
        <w:tc>
          <w:tcPr>
            <w:tcW w:w="720" w:type="dxa"/>
            <w:tcBorders>
              <w:top w:val="nil"/>
              <w:left w:val="nil"/>
              <w:bottom w:val="single" w:sz="4" w:space="0" w:color="auto"/>
              <w:right w:val="nil"/>
            </w:tcBorders>
            <w:shd w:val="clear" w:color="auto" w:fill="auto"/>
            <w:noWrap/>
            <w:vAlign w:val="center"/>
            <w:hideMark/>
          </w:tcPr>
          <w:p w14:paraId="538899DF" w14:textId="77777777" w:rsidR="00C67849" w:rsidRPr="001E7E4A" w:rsidRDefault="00C67849" w:rsidP="005B69ED">
            <w:pPr>
              <w:pStyle w:val="Tablebody"/>
              <w:rPr>
                <w:b/>
                <w:bCs/>
                <w:sz w:val="24"/>
                <w:szCs w:val="24"/>
              </w:rPr>
            </w:pPr>
            <w:r w:rsidRPr="001E7E4A">
              <w:rPr>
                <w:b/>
                <w:bCs/>
                <w:sz w:val="24"/>
                <w:szCs w:val="24"/>
              </w:rPr>
              <w:t>n</w:t>
            </w:r>
          </w:p>
        </w:tc>
        <w:tc>
          <w:tcPr>
            <w:tcW w:w="1152" w:type="dxa"/>
            <w:tcBorders>
              <w:top w:val="nil"/>
              <w:left w:val="nil"/>
              <w:bottom w:val="single" w:sz="4" w:space="0" w:color="auto"/>
              <w:right w:val="nil"/>
            </w:tcBorders>
            <w:shd w:val="clear" w:color="auto" w:fill="auto"/>
            <w:noWrap/>
            <w:vAlign w:val="center"/>
            <w:hideMark/>
          </w:tcPr>
          <w:p w14:paraId="3A83DB20" w14:textId="77777777" w:rsidR="00C67849" w:rsidRPr="001E7E4A" w:rsidRDefault="00C67849" w:rsidP="005B69ED">
            <w:pPr>
              <w:pStyle w:val="Tablebody"/>
              <w:rPr>
                <w:b/>
                <w:bCs/>
                <w:sz w:val="24"/>
                <w:szCs w:val="24"/>
              </w:rPr>
            </w:pPr>
            <w:r w:rsidRPr="001E7E4A">
              <w:rPr>
                <w:b/>
                <w:bCs/>
                <w:sz w:val="24"/>
                <w:szCs w:val="24"/>
              </w:rPr>
              <w:t>(%)</w:t>
            </w:r>
          </w:p>
        </w:tc>
        <w:tc>
          <w:tcPr>
            <w:tcW w:w="662" w:type="dxa"/>
            <w:tcBorders>
              <w:left w:val="nil"/>
              <w:bottom w:val="single" w:sz="4" w:space="0" w:color="auto"/>
            </w:tcBorders>
            <w:shd w:val="clear" w:color="auto" w:fill="auto"/>
            <w:vAlign w:val="center"/>
            <w:hideMark/>
          </w:tcPr>
          <w:p w14:paraId="6F7A2FAB" w14:textId="77777777" w:rsidR="00C67849" w:rsidRPr="001E7E4A" w:rsidRDefault="00C67849" w:rsidP="005B69ED">
            <w:pPr>
              <w:pStyle w:val="Tablebody"/>
              <w:rPr>
                <w:b/>
                <w:bCs/>
                <w:sz w:val="24"/>
                <w:szCs w:val="24"/>
              </w:rPr>
            </w:pPr>
            <w:proofErr w:type="spellStart"/>
            <w:r w:rsidRPr="001E7E4A">
              <w:rPr>
                <w:b/>
                <w:bCs/>
                <w:sz w:val="24"/>
                <w:szCs w:val="24"/>
              </w:rPr>
              <w:t>OR</w:t>
            </w:r>
            <w:r w:rsidRPr="001E7E4A">
              <w:rPr>
                <w:b/>
                <w:bCs/>
                <w:sz w:val="24"/>
                <w:szCs w:val="24"/>
                <w:vertAlign w:val="superscript"/>
              </w:rPr>
              <w:t>a</w:t>
            </w:r>
            <w:proofErr w:type="spellEnd"/>
          </w:p>
        </w:tc>
        <w:tc>
          <w:tcPr>
            <w:tcW w:w="1260" w:type="dxa"/>
            <w:tcBorders>
              <w:bottom w:val="single" w:sz="4" w:space="0" w:color="auto"/>
            </w:tcBorders>
            <w:shd w:val="clear" w:color="auto" w:fill="auto"/>
            <w:vAlign w:val="center"/>
          </w:tcPr>
          <w:p w14:paraId="3D83932E" w14:textId="77777777" w:rsidR="00C67849" w:rsidRPr="001E7E4A" w:rsidRDefault="00C67849" w:rsidP="005B69ED">
            <w:pPr>
              <w:pStyle w:val="Tablebody"/>
              <w:rPr>
                <w:b/>
                <w:bCs/>
                <w:sz w:val="24"/>
                <w:szCs w:val="24"/>
              </w:rPr>
            </w:pPr>
            <w:r w:rsidRPr="001E7E4A">
              <w:rPr>
                <w:b/>
                <w:bCs/>
                <w:sz w:val="24"/>
                <w:szCs w:val="24"/>
              </w:rPr>
              <w:t xml:space="preserve">95% </w:t>
            </w:r>
            <w:proofErr w:type="spellStart"/>
            <w:r w:rsidRPr="001E7E4A">
              <w:rPr>
                <w:b/>
                <w:bCs/>
                <w:sz w:val="24"/>
                <w:szCs w:val="24"/>
              </w:rPr>
              <w:t>CI</w:t>
            </w:r>
            <w:r w:rsidRPr="001E7E4A">
              <w:rPr>
                <w:b/>
                <w:bCs/>
                <w:sz w:val="24"/>
                <w:szCs w:val="24"/>
                <w:vertAlign w:val="superscript"/>
              </w:rPr>
              <w:t>b</w:t>
            </w:r>
            <w:proofErr w:type="spellEnd"/>
          </w:p>
        </w:tc>
        <w:tc>
          <w:tcPr>
            <w:tcW w:w="1170" w:type="dxa"/>
            <w:gridSpan w:val="3"/>
            <w:tcBorders>
              <w:bottom w:val="single" w:sz="4" w:space="0" w:color="auto"/>
            </w:tcBorders>
            <w:shd w:val="clear" w:color="auto" w:fill="auto"/>
            <w:vAlign w:val="center"/>
          </w:tcPr>
          <w:p w14:paraId="7BB22074" w14:textId="77777777" w:rsidR="00C67849" w:rsidRPr="001E7E4A" w:rsidRDefault="00C67EB4" w:rsidP="005B69ED">
            <w:pPr>
              <w:pStyle w:val="Tablebody"/>
              <w:rPr>
                <w:b/>
                <w:bCs/>
                <w:sz w:val="24"/>
                <w:szCs w:val="24"/>
              </w:rPr>
            </w:pPr>
            <w:r w:rsidRPr="001E7E4A">
              <w:rPr>
                <w:b/>
                <w:bCs/>
                <w:i/>
                <w:sz w:val="24"/>
                <w:szCs w:val="24"/>
              </w:rPr>
              <w:t>p</w:t>
            </w:r>
            <w:r w:rsidRPr="001E7E4A">
              <w:rPr>
                <w:b/>
                <w:bCs/>
                <w:sz w:val="24"/>
                <w:szCs w:val="24"/>
              </w:rPr>
              <w:t>-value</w:t>
            </w:r>
          </w:p>
        </w:tc>
      </w:tr>
      <w:tr w:rsidR="00C67849" w14:paraId="564EFCDE" w14:textId="77777777" w:rsidTr="00C4624F">
        <w:trPr>
          <w:trHeight w:val="300"/>
        </w:trPr>
        <w:tc>
          <w:tcPr>
            <w:tcW w:w="2895" w:type="dxa"/>
            <w:gridSpan w:val="2"/>
            <w:tcBorders>
              <w:top w:val="nil"/>
              <w:right w:val="nil"/>
            </w:tcBorders>
            <w:shd w:val="clear" w:color="auto" w:fill="auto"/>
            <w:noWrap/>
            <w:vAlign w:val="center"/>
            <w:hideMark/>
          </w:tcPr>
          <w:p w14:paraId="74EC012A" w14:textId="77777777" w:rsidR="00C67849" w:rsidRPr="0067445F" w:rsidRDefault="00C67849" w:rsidP="00C4624F">
            <w:pPr>
              <w:pStyle w:val="NoSpacing"/>
              <w:spacing w:before="120"/>
              <w:rPr>
                <w:rFonts w:asciiTheme="minorHAnsi" w:hAnsiTheme="minorHAnsi"/>
              </w:rPr>
            </w:pPr>
            <w:r w:rsidRPr="0067445F">
              <w:rPr>
                <w:rFonts w:asciiTheme="minorHAnsi" w:hAnsiTheme="minorHAnsi"/>
              </w:rPr>
              <w:t xml:space="preserve">Maternal, Ever NDMA </w:t>
            </w:r>
          </w:p>
        </w:tc>
        <w:tc>
          <w:tcPr>
            <w:tcW w:w="720" w:type="dxa"/>
            <w:tcBorders>
              <w:top w:val="single" w:sz="4" w:space="0" w:color="auto"/>
              <w:left w:val="nil"/>
              <w:right w:val="nil"/>
            </w:tcBorders>
            <w:shd w:val="clear" w:color="auto" w:fill="auto"/>
            <w:noWrap/>
            <w:vAlign w:val="center"/>
            <w:hideMark/>
          </w:tcPr>
          <w:p w14:paraId="1CF59162" w14:textId="77777777" w:rsidR="00C67849" w:rsidRPr="001E7E4A" w:rsidRDefault="00C67849" w:rsidP="005B69ED">
            <w:pPr>
              <w:pStyle w:val="Tablebody"/>
              <w:rPr>
                <w:sz w:val="24"/>
                <w:szCs w:val="24"/>
              </w:rPr>
            </w:pPr>
            <w:r w:rsidRPr="001E7E4A">
              <w:rPr>
                <w:sz w:val="24"/>
                <w:szCs w:val="24"/>
              </w:rPr>
              <w:t>9</w:t>
            </w:r>
          </w:p>
        </w:tc>
        <w:tc>
          <w:tcPr>
            <w:tcW w:w="981" w:type="dxa"/>
            <w:tcBorders>
              <w:top w:val="single" w:sz="4" w:space="0" w:color="auto"/>
              <w:left w:val="nil"/>
              <w:right w:val="nil"/>
            </w:tcBorders>
            <w:shd w:val="clear" w:color="auto" w:fill="auto"/>
            <w:noWrap/>
            <w:vAlign w:val="center"/>
            <w:hideMark/>
          </w:tcPr>
          <w:p w14:paraId="13D73073" w14:textId="77777777" w:rsidR="00C67849" w:rsidRPr="001E7E4A" w:rsidRDefault="00C67849" w:rsidP="005B69ED">
            <w:pPr>
              <w:pStyle w:val="Tablebody"/>
              <w:rPr>
                <w:sz w:val="24"/>
                <w:szCs w:val="24"/>
              </w:rPr>
            </w:pPr>
            <w:r w:rsidRPr="001E7E4A">
              <w:rPr>
                <w:sz w:val="24"/>
                <w:szCs w:val="24"/>
              </w:rPr>
              <w:t>(50)</w:t>
            </w:r>
          </w:p>
        </w:tc>
        <w:tc>
          <w:tcPr>
            <w:tcW w:w="720" w:type="dxa"/>
            <w:tcBorders>
              <w:top w:val="single" w:sz="4" w:space="0" w:color="auto"/>
              <w:left w:val="nil"/>
              <w:right w:val="nil"/>
            </w:tcBorders>
            <w:shd w:val="clear" w:color="auto" w:fill="auto"/>
            <w:noWrap/>
            <w:vAlign w:val="center"/>
            <w:hideMark/>
          </w:tcPr>
          <w:p w14:paraId="416A6912" w14:textId="77777777" w:rsidR="00C67849" w:rsidRPr="001E7E4A" w:rsidRDefault="00C67849" w:rsidP="005B69ED">
            <w:pPr>
              <w:pStyle w:val="Tablebody"/>
              <w:rPr>
                <w:sz w:val="24"/>
                <w:szCs w:val="24"/>
              </w:rPr>
            </w:pPr>
            <w:r w:rsidRPr="001E7E4A">
              <w:rPr>
                <w:sz w:val="24"/>
                <w:szCs w:val="24"/>
              </w:rPr>
              <w:t>25</w:t>
            </w:r>
          </w:p>
        </w:tc>
        <w:tc>
          <w:tcPr>
            <w:tcW w:w="1152" w:type="dxa"/>
            <w:tcBorders>
              <w:top w:val="single" w:sz="4" w:space="0" w:color="auto"/>
              <w:left w:val="nil"/>
              <w:right w:val="nil"/>
            </w:tcBorders>
            <w:shd w:val="clear" w:color="auto" w:fill="auto"/>
            <w:noWrap/>
            <w:vAlign w:val="center"/>
            <w:hideMark/>
          </w:tcPr>
          <w:p w14:paraId="2A4DA158" w14:textId="77777777" w:rsidR="00C67849" w:rsidRPr="001E7E4A" w:rsidRDefault="00C67849" w:rsidP="005B69ED">
            <w:pPr>
              <w:pStyle w:val="Tablebody"/>
              <w:rPr>
                <w:sz w:val="24"/>
                <w:szCs w:val="24"/>
              </w:rPr>
            </w:pPr>
            <w:r w:rsidRPr="001E7E4A">
              <w:rPr>
                <w:sz w:val="24"/>
                <w:szCs w:val="24"/>
              </w:rPr>
              <w:t>(34)</w:t>
            </w:r>
          </w:p>
        </w:tc>
        <w:tc>
          <w:tcPr>
            <w:tcW w:w="662" w:type="dxa"/>
            <w:tcBorders>
              <w:top w:val="single" w:sz="4" w:space="0" w:color="auto"/>
              <w:left w:val="nil"/>
              <w:right w:val="nil"/>
            </w:tcBorders>
            <w:shd w:val="clear" w:color="auto" w:fill="auto"/>
            <w:noWrap/>
            <w:vAlign w:val="center"/>
            <w:hideMark/>
          </w:tcPr>
          <w:p w14:paraId="7F338395" w14:textId="77777777" w:rsidR="00C67849" w:rsidRPr="001E7E4A" w:rsidRDefault="00C67849" w:rsidP="005B69ED">
            <w:pPr>
              <w:pStyle w:val="Tablebody"/>
              <w:rPr>
                <w:sz w:val="24"/>
                <w:szCs w:val="24"/>
              </w:rPr>
            </w:pPr>
            <w:r w:rsidRPr="001E7E4A">
              <w:rPr>
                <w:sz w:val="24"/>
                <w:szCs w:val="24"/>
              </w:rPr>
              <w:t>2.2</w:t>
            </w:r>
          </w:p>
        </w:tc>
        <w:tc>
          <w:tcPr>
            <w:tcW w:w="1260" w:type="dxa"/>
            <w:tcBorders>
              <w:top w:val="single" w:sz="4" w:space="0" w:color="auto"/>
              <w:left w:val="nil"/>
              <w:right w:val="nil"/>
            </w:tcBorders>
            <w:shd w:val="clear" w:color="auto" w:fill="auto"/>
            <w:noWrap/>
            <w:vAlign w:val="center"/>
            <w:hideMark/>
          </w:tcPr>
          <w:p w14:paraId="764BEA6E" w14:textId="77777777" w:rsidR="00C67849" w:rsidRPr="001E7E4A" w:rsidRDefault="00C67849" w:rsidP="005B69ED">
            <w:pPr>
              <w:pStyle w:val="Tablebody"/>
              <w:rPr>
                <w:sz w:val="24"/>
                <w:szCs w:val="24"/>
              </w:rPr>
            </w:pPr>
            <w:r w:rsidRPr="001E7E4A">
              <w:rPr>
                <w:sz w:val="24"/>
                <w:szCs w:val="24"/>
              </w:rPr>
              <w:t>(0.7, 7.0)</w:t>
            </w:r>
          </w:p>
        </w:tc>
        <w:tc>
          <w:tcPr>
            <w:tcW w:w="1170" w:type="dxa"/>
            <w:gridSpan w:val="3"/>
            <w:tcBorders>
              <w:top w:val="single" w:sz="4" w:space="0" w:color="auto"/>
              <w:left w:val="nil"/>
            </w:tcBorders>
            <w:shd w:val="clear" w:color="auto" w:fill="auto"/>
            <w:noWrap/>
            <w:vAlign w:val="center"/>
            <w:hideMark/>
          </w:tcPr>
          <w:p w14:paraId="596D6F2D" w14:textId="77777777" w:rsidR="00C67849" w:rsidRPr="001E7E4A" w:rsidRDefault="00C67849" w:rsidP="005B69ED">
            <w:pPr>
              <w:pStyle w:val="Tablebody"/>
              <w:rPr>
                <w:sz w:val="24"/>
                <w:szCs w:val="24"/>
              </w:rPr>
            </w:pPr>
            <w:r w:rsidRPr="001E7E4A">
              <w:rPr>
                <w:sz w:val="24"/>
                <w:szCs w:val="24"/>
              </w:rPr>
              <w:t>0.18</w:t>
            </w:r>
          </w:p>
        </w:tc>
      </w:tr>
      <w:tr w:rsidR="00C67849" w14:paraId="76074402" w14:textId="77777777" w:rsidTr="00C4624F">
        <w:trPr>
          <w:trHeight w:val="300"/>
        </w:trPr>
        <w:tc>
          <w:tcPr>
            <w:tcW w:w="2895" w:type="dxa"/>
            <w:gridSpan w:val="2"/>
            <w:tcBorders>
              <w:right w:val="nil"/>
            </w:tcBorders>
            <w:shd w:val="clear" w:color="auto" w:fill="auto"/>
            <w:noWrap/>
            <w:vAlign w:val="center"/>
            <w:hideMark/>
          </w:tcPr>
          <w:p w14:paraId="2F47C397" w14:textId="77777777" w:rsidR="00C67849" w:rsidRPr="0067445F" w:rsidRDefault="00C67849" w:rsidP="004F0C5E">
            <w:pPr>
              <w:pStyle w:val="NoSpacing"/>
              <w:spacing w:after="120"/>
              <w:rPr>
                <w:rFonts w:asciiTheme="minorHAnsi" w:hAnsiTheme="minorHAnsi"/>
              </w:rPr>
            </w:pPr>
            <w:r w:rsidRPr="0067445F">
              <w:rPr>
                <w:rFonts w:asciiTheme="minorHAnsi" w:hAnsiTheme="minorHAnsi"/>
              </w:rPr>
              <w:t>Childhood, Ever NDMA</w:t>
            </w:r>
          </w:p>
        </w:tc>
        <w:tc>
          <w:tcPr>
            <w:tcW w:w="720" w:type="dxa"/>
            <w:tcBorders>
              <w:left w:val="nil"/>
              <w:right w:val="nil"/>
            </w:tcBorders>
            <w:shd w:val="clear" w:color="auto" w:fill="auto"/>
            <w:noWrap/>
            <w:vAlign w:val="center"/>
            <w:hideMark/>
          </w:tcPr>
          <w:p w14:paraId="6F2743C1" w14:textId="77777777" w:rsidR="00C67849" w:rsidRPr="001E7E4A" w:rsidRDefault="00C67849" w:rsidP="005B69ED">
            <w:pPr>
              <w:pStyle w:val="Tablebody"/>
              <w:rPr>
                <w:sz w:val="24"/>
                <w:szCs w:val="24"/>
              </w:rPr>
            </w:pPr>
            <w:r w:rsidRPr="001E7E4A">
              <w:rPr>
                <w:sz w:val="24"/>
                <w:szCs w:val="24"/>
              </w:rPr>
              <w:t>14</w:t>
            </w:r>
          </w:p>
        </w:tc>
        <w:tc>
          <w:tcPr>
            <w:tcW w:w="981" w:type="dxa"/>
            <w:tcBorders>
              <w:left w:val="nil"/>
              <w:right w:val="nil"/>
            </w:tcBorders>
            <w:shd w:val="clear" w:color="auto" w:fill="auto"/>
            <w:noWrap/>
            <w:vAlign w:val="center"/>
            <w:hideMark/>
          </w:tcPr>
          <w:p w14:paraId="505F4364" w14:textId="77777777" w:rsidR="00C67849" w:rsidRPr="001E7E4A" w:rsidRDefault="00C67849" w:rsidP="005B69ED">
            <w:pPr>
              <w:pStyle w:val="Tablebody"/>
              <w:rPr>
                <w:sz w:val="24"/>
                <w:szCs w:val="24"/>
              </w:rPr>
            </w:pPr>
            <w:r w:rsidRPr="001E7E4A">
              <w:rPr>
                <w:sz w:val="24"/>
                <w:szCs w:val="24"/>
              </w:rPr>
              <w:t>(78)</w:t>
            </w:r>
          </w:p>
        </w:tc>
        <w:tc>
          <w:tcPr>
            <w:tcW w:w="720" w:type="dxa"/>
            <w:tcBorders>
              <w:left w:val="nil"/>
              <w:right w:val="nil"/>
            </w:tcBorders>
            <w:shd w:val="clear" w:color="auto" w:fill="auto"/>
            <w:noWrap/>
            <w:vAlign w:val="center"/>
            <w:hideMark/>
          </w:tcPr>
          <w:p w14:paraId="71A92BF7" w14:textId="77777777" w:rsidR="00C67849" w:rsidRPr="001E7E4A" w:rsidRDefault="00C67849" w:rsidP="005B69ED">
            <w:pPr>
              <w:pStyle w:val="Tablebody"/>
              <w:rPr>
                <w:sz w:val="24"/>
                <w:szCs w:val="24"/>
              </w:rPr>
            </w:pPr>
            <w:r w:rsidRPr="001E7E4A">
              <w:rPr>
                <w:sz w:val="24"/>
                <w:szCs w:val="24"/>
              </w:rPr>
              <w:t>62</w:t>
            </w:r>
          </w:p>
        </w:tc>
        <w:tc>
          <w:tcPr>
            <w:tcW w:w="1152" w:type="dxa"/>
            <w:tcBorders>
              <w:left w:val="nil"/>
              <w:right w:val="nil"/>
            </w:tcBorders>
            <w:shd w:val="clear" w:color="auto" w:fill="auto"/>
            <w:noWrap/>
            <w:vAlign w:val="center"/>
            <w:hideMark/>
          </w:tcPr>
          <w:p w14:paraId="02089E5E" w14:textId="77777777" w:rsidR="00C67849" w:rsidRPr="001E7E4A" w:rsidRDefault="00C67849" w:rsidP="005B69ED">
            <w:pPr>
              <w:pStyle w:val="Tablebody"/>
              <w:rPr>
                <w:sz w:val="24"/>
                <w:szCs w:val="24"/>
              </w:rPr>
            </w:pPr>
            <w:r w:rsidRPr="001E7E4A">
              <w:rPr>
                <w:sz w:val="24"/>
                <w:szCs w:val="24"/>
              </w:rPr>
              <w:t>(84)</w:t>
            </w:r>
          </w:p>
        </w:tc>
        <w:tc>
          <w:tcPr>
            <w:tcW w:w="662" w:type="dxa"/>
            <w:tcBorders>
              <w:left w:val="nil"/>
              <w:right w:val="nil"/>
            </w:tcBorders>
            <w:shd w:val="clear" w:color="auto" w:fill="auto"/>
            <w:noWrap/>
            <w:vAlign w:val="center"/>
            <w:hideMark/>
          </w:tcPr>
          <w:p w14:paraId="1FB02489" w14:textId="77777777" w:rsidR="00C67849" w:rsidRPr="001E7E4A" w:rsidRDefault="00C67849" w:rsidP="005B69ED">
            <w:pPr>
              <w:pStyle w:val="Tablebody"/>
              <w:rPr>
                <w:sz w:val="24"/>
                <w:szCs w:val="24"/>
              </w:rPr>
            </w:pPr>
            <w:r w:rsidRPr="001E7E4A">
              <w:rPr>
                <w:sz w:val="24"/>
                <w:szCs w:val="24"/>
              </w:rPr>
              <w:t>0.7</w:t>
            </w:r>
          </w:p>
        </w:tc>
        <w:tc>
          <w:tcPr>
            <w:tcW w:w="1260" w:type="dxa"/>
            <w:tcBorders>
              <w:left w:val="nil"/>
              <w:right w:val="nil"/>
            </w:tcBorders>
            <w:shd w:val="clear" w:color="auto" w:fill="auto"/>
            <w:noWrap/>
            <w:vAlign w:val="center"/>
            <w:hideMark/>
          </w:tcPr>
          <w:p w14:paraId="437671F1" w14:textId="77777777" w:rsidR="00C67849" w:rsidRPr="001E7E4A" w:rsidRDefault="00C67849" w:rsidP="005B69ED">
            <w:pPr>
              <w:pStyle w:val="Tablebody"/>
              <w:rPr>
                <w:sz w:val="24"/>
                <w:szCs w:val="24"/>
              </w:rPr>
            </w:pPr>
            <w:r w:rsidRPr="001E7E4A">
              <w:rPr>
                <w:sz w:val="24"/>
                <w:szCs w:val="24"/>
              </w:rPr>
              <w:t>(0.2, 2.5)</w:t>
            </w:r>
          </w:p>
        </w:tc>
        <w:tc>
          <w:tcPr>
            <w:tcW w:w="1170" w:type="dxa"/>
            <w:gridSpan w:val="3"/>
            <w:tcBorders>
              <w:left w:val="nil"/>
            </w:tcBorders>
            <w:shd w:val="clear" w:color="auto" w:fill="auto"/>
            <w:noWrap/>
            <w:vAlign w:val="center"/>
            <w:hideMark/>
          </w:tcPr>
          <w:p w14:paraId="31FDF0AF" w14:textId="77777777" w:rsidR="00C67849" w:rsidRPr="001E7E4A" w:rsidRDefault="00C67849" w:rsidP="005B69ED">
            <w:pPr>
              <w:pStyle w:val="Tablebody"/>
              <w:rPr>
                <w:sz w:val="24"/>
                <w:szCs w:val="24"/>
              </w:rPr>
            </w:pPr>
            <w:r w:rsidRPr="001E7E4A">
              <w:rPr>
                <w:sz w:val="24"/>
                <w:szCs w:val="24"/>
              </w:rPr>
              <w:t>0.55</w:t>
            </w:r>
          </w:p>
        </w:tc>
      </w:tr>
      <w:tr w:rsidR="00C67849" w:rsidRPr="00C4624F" w14:paraId="6A60A452" w14:textId="77777777" w:rsidTr="000C4868">
        <w:trPr>
          <w:trHeight w:val="300"/>
        </w:trPr>
        <w:tc>
          <w:tcPr>
            <w:tcW w:w="2790" w:type="dxa"/>
            <w:tcBorders>
              <w:top w:val="nil"/>
              <w:bottom w:val="nil"/>
              <w:right w:val="nil"/>
            </w:tcBorders>
            <w:shd w:val="clear" w:color="auto" w:fill="D9D9D9" w:themeFill="background1" w:themeFillShade="D9"/>
            <w:noWrap/>
            <w:vAlign w:val="center"/>
            <w:hideMark/>
          </w:tcPr>
          <w:p w14:paraId="0FC90A26" w14:textId="77777777" w:rsidR="00C67849" w:rsidRPr="0067445F" w:rsidRDefault="00C67849" w:rsidP="006312FD">
            <w:pPr>
              <w:pStyle w:val="Tableheaders"/>
            </w:pPr>
          </w:p>
        </w:tc>
        <w:tc>
          <w:tcPr>
            <w:tcW w:w="1806" w:type="dxa"/>
            <w:gridSpan w:val="3"/>
            <w:tcBorders>
              <w:left w:val="nil"/>
              <w:right w:val="nil"/>
            </w:tcBorders>
            <w:shd w:val="clear" w:color="auto" w:fill="D9D9D9" w:themeFill="background1" w:themeFillShade="D9"/>
            <w:noWrap/>
            <w:vAlign w:val="center"/>
            <w:hideMark/>
          </w:tcPr>
          <w:p w14:paraId="73C29E08" w14:textId="5827E676" w:rsidR="00C67849" w:rsidRPr="00FA77A6" w:rsidRDefault="00C67849" w:rsidP="000C4868">
            <w:pPr>
              <w:pStyle w:val="Tablebody"/>
              <w:rPr>
                <w:b/>
                <w:bCs/>
                <w:sz w:val="24"/>
                <w:szCs w:val="24"/>
              </w:rPr>
            </w:pPr>
            <w:r w:rsidRPr="00FA77A6">
              <w:rPr>
                <w:b/>
                <w:bCs/>
                <w:sz w:val="24"/>
                <w:szCs w:val="24"/>
              </w:rPr>
              <w:t>Cases (n=11)</w:t>
            </w:r>
          </w:p>
        </w:tc>
        <w:tc>
          <w:tcPr>
            <w:tcW w:w="1872" w:type="dxa"/>
            <w:gridSpan w:val="2"/>
            <w:tcBorders>
              <w:left w:val="nil"/>
              <w:right w:val="nil"/>
            </w:tcBorders>
            <w:shd w:val="clear" w:color="auto" w:fill="D9D9D9" w:themeFill="background1" w:themeFillShade="D9"/>
            <w:noWrap/>
            <w:vAlign w:val="center"/>
            <w:hideMark/>
          </w:tcPr>
          <w:p w14:paraId="7D6DEDDE" w14:textId="0DC1167C" w:rsidR="00C67849" w:rsidRPr="00FA77A6" w:rsidRDefault="00C67849" w:rsidP="000C4868">
            <w:pPr>
              <w:pStyle w:val="Tablebody"/>
              <w:rPr>
                <w:b/>
                <w:bCs/>
                <w:sz w:val="24"/>
                <w:szCs w:val="24"/>
              </w:rPr>
            </w:pPr>
            <w:r w:rsidRPr="00FA77A6">
              <w:rPr>
                <w:b/>
                <w:bCs/>
                <w:sz w:val="24"/>
                <w:szCs w:val="24"/>
              </w:rPr>
              <w:t>Controls (n=45)</w:t>
            </w:r>
          </w:p>
        </w:tc>
        <w:tc>
          <w:tcPr>
            <w:tcW w:w="662" w:type="dxa"/>
            <w:tcBorders>
              <w:left w:val="nil"/>
              <w:right w:val="nil"/>
            </w:tcBorders>
            <w:shd w:val="clear" w:color="auto" w:fill="D9D9D9" w:themeFill="background1" w:themeFillShade="D9"/>
            <w:noWrap/>
            <w:vAlign w:val="center"/>
          </w:tcPr>
          <w:p w14:paraId="7D4B4D70" w14:textId="77777777" w:rsidR="00C67849" w:rsidRPr="00FA77A6" w:rsidRDefault="00C67849" w:rsidP="005B69ED">
            <w:pPr>
              <w:pStyle w:val="Tablebody"/>
              <w:rPr>
                <w:b/>
                <w:bCs/>
                <w:sz w:val="24"/>
                <w:szCs w:val="24"/>
              </w:rPr>
            </w:pPr>
          </w:p>
        </w:tc>
        <w:tc>
          <w:tcPr>
            <w:tcW w:w="1267" w:type="dxa"/>
            <w:gridSpan w:val="2"/>
            <w:tcBorders>
              <w:left w:val="nil"/>
              <w:right w:val="nil"/>
            </w:tcBorders>
            <w:shd w:val="clear" w:color="auto" w:fill="D9D9D9" w:themeFill="background1" w:themeFillShade="D9"/>
            <w:noWrap/>
            <w:vAlign w:val="center"/>
          </w:tcPr>
          <w:p w14:paraId="4CE6C230" w14:textId="77777777" w:rsidR="00C67849" w:rsidRPr="00FA77A6" w:rsidRDefault="00C67849" w:rsidP="005B69ED">
            <w:pPr>
              <w:pStyle w:val="Tablebody"/>
              <w:rPr>
                <w:b/>
                <w:bCs/>
                <w:sz w:val="24"/>
                <w:szCs w:val="24"/>
              </w:rPr>
            </w:pPr>
          </w:p>
        </w:tc>
        <w:tc>
          <w:tcPr>
            <w:tcW w:w="1163" w:type="dxa"/>
            <w:gridSpan w:val="2"/>
            <w:tcBorders>
              <w:left w:val="nil"/>
            </w:tcBorders>
            <w:shd w:val="clear" w:color="auto" w:fill="D9D9D9" w:themeFill="background1" w:themeFillShade="D9"/>
            <w:noWrap/>
            <w:vAlign w:val="center"/>
          </w:tcPr>
          <w:p w14:paraId="4BB4990F" w14:textId="77777777" w:rsidR="00C67849" w:rsidRPr="00FA77A6" w:rsidRDefault="00C67849" w:rsidP="005B69ED">
            <w:pPr>
              <w:pStyle w:val="Tablebody"/>
              <w:rPr>
                <w:b/>
                <w:bCs/>
                <w:sz w:val="24"/>
                <w:szCs w:val="24"/>
              </w:rPr>
            </w:pPr>
          </w:p>
        </w:tc>
      </w:tr>
      <w:tr w:rsidR="00C67849" w:rsidRPr="00C4624F" w14:paraId="4AF8D060" w14:textId="77777777" w:rsidTr="00CB576C">
        <w:trPr>
          <w:trHeight w:val="300"/>
        </w:trPr>
        <w:tc>
          <w:tcPr>
            <w:tcW w:w="2895" w:type="dxa"/>
            <w:gridSpan w:val="2"/>
            <w:tcBorders>
              <w:top w:val="nil"/>
              <w:right w:val="nil"/>
            </w:tcBorders>
            <w:shd w:val="clear" w:color="auto" w:fill="D9D9D9" w:themeFill="background1" w:themeFillShade="D9"/>
            <w:noWrap/>
            <w:vAlign w:val="center"/>
            <w:hideMark/>
          </w:tcPr>
          <w:p w14:paraId="188CCFC2" w14:textId="77777777" w:rsidR="00C67849" w:rsidRPr="0067445F" w:rsidRDefault="00CB576C" w:rsidP="00CB576C">
            <w:pPr>
              <w:spacing w:after="0" w:line="240" w:lineRule="auto"/>
              <w:rPr>
                <w:rFonts w:asciiTheme="minorHAnsi" w:hAnsiTheme="minorHAnsi"/>
                <w:b/>
              </w:rPr>
            </w:pPr>
            <w:r w:rsidRPr="0067445F">
              <w:rPr>
                <w:rFonts w:asciiTheme="minorHAnsi" w:hAnsiTheme="minorHAnsi"/>
                <w:b/>
                <w:bCs/>
              </w:rPr>
              <w:t>Leukemia</w:t>
            </w:r>
            <w:r w:rsidRPr="0067445F">
              <w:rPr>
                <w:rFonts w:asciiTheme="minorHAnsi" w:hAnsiTheme="minorHAnsi"/>
                <w:b/>
              </w:rPr>
              <w:t>/Lymphoma  </w:t>
            </w:r>
          </w:p>
        </w:tc>
        <w:tc>
          <w:tcPr>
            <w:tcW w:w="720" w:type="dxa"/>
            <w:tcBorders>
              <w:top w:val="nil"/>
              <w:left w:val="nil"/>
              <w:bottom w:val="single" w:sz="4" w:space="0" w:color="auto"/>
              <w:right w:val="nil"/>
            </w:tcBorders>
            <w:shd w:val="clear" w:color="auto" w:fill="D9D9D9" w:themeFill="background1" w:themeFillShade="D9"/>
            <w:noWrap/>
            <w:vAlign w:val="center"/>
            <w:hideMark/>
          </w:tcPr>
          <w:p w14:paraId="6D0B0384" w14:textId="77777777" w:rsidR="00C67849" w:rsidRPr="00FA77A6" w:rsidRDefault="00C67849" w:rsidP="005B69ED">
            <w:pPr>
              <w:pStyle w:val="Tablebody"/>
              <w:rPr>
                <w:b/>
                <w:bCs/>
                <w:sz w:val="24"/>
                <w:szCs w:val="24"/>
              </w:rPr>
            </w:pPr>
            <w:r w:rsidRPr="00FA77A6">
              <w:rPr>
                <w:b/>
                <w:bCs/>
                <w:sz w:val="24"/>
                <w:szCs w:val="24"/>
              </w:rPr>
              <w:t>n</w:t>
            </w:r>
          </w:p>
        </w:tc>
        <w:tc>
          <w:tcPr>
            <w:tcW w:w="981" w:type="dxa"/>
            <w:tcBorders>
              <w:top w:val="nil"/>
              <w:left w:val="nil"/>
              <w:bottom w:val="single" w:sz="4" w:space="0" w:color="auto"/>
              <w:right w:val="nil"/>
            </w:tcBorders>
            <w:shd w:val="clear" w:color="auto" w:fill="D9D9D9" w:themeFill="background1" w:themeFillShade="D9"/>
            <w:noWrap/>
            <w:vAlign w:val="center"/>
            <w:hideMark/>
          </w:tcPr>
          <w:p w14:paraId="5A92C814" w14:textId="77777777" w:rsidR="00C67849" w:rsidRPr="00FA77A6" w:rsidRDefault="00C67849" w:rsidP="005B69ED">
            <w:pPr>
              <w:pStyle w:val="Tablebody"/>
              <w:rPr>
                <w:b/>
                <w:bCs/>
                <w:sz w:val="24"/>
                <w:szCs w:val="24"/>
              </w:rPr>
            </w:pPr>
            <w:r w:rsidRPr="00FA77A6">
              <w:rPr>
                <w:b/>
                <w:bCs/>
                <w:sz w:val="24"/>
                <w:szCs w:val="24"/>
              </w:rPr>
              <w:t>(%)</w:t>
            </w:r>
          </w:p>
        </w:tc>
        <w:tc>
          <w:tcPr>
            <w:tcW w:w="720" w:type="dxa"/>
            <w:tcBorders>
              <w:top w:val="nil"/>
              <w:left w:val="nil"/>
              <w:bottom w:val="single" w:sz="4" w:space="0" w:color="auto"/>
              <w:right w:val="nil"/>
            </w:tcBorders>
            <w:shd w:val="clear" w:color="auto" w:fill="D9D9D9" w:themeFill="background1" w:themeFillShade="D9"/>
            <w:noWrap/>
            <w:vAlign w:val="center"/>
            <w:hideMark/>
          </w:tcPr>
          <w:p w14:paraId="4C127B1C" w14:textId="77777777" w:rsidR="00C67849" w:rsidRPr="00FA77A6" w:rsidRDefault="00C67849" w:rsidP="005B69ED">
            <w:pPr>
              <w:pStyle w:val="Tablebody"/>
              <w:rPr>
                <w:b/>
                <w:bCs/>
                <w:sz w:val="24"/>
                <w:szCs w:val="24"/>
              </w:rPr>
            </w:pPr>
            <w:r w:rsidRPr="00FA77A6">
              <w:rPr>
                <w:b/>
                <w:bCs/>
                <w:sz w:val="24"/>
                <w:szCs w:val="24"/>
              </w:rPr>
              <w:t>n</w:t>
            </w:r>
          </w:p>
        </w:tc>
        <w:tc>
          <w:tcPr>
            <w:tcW w:w="1152" w:type="dxa"/>
            <w:tcBorders>
              <w:top w:val="nil"/>
              <w:left w:val="nil"/>
              <w:bottom w:val="single" w:sz="4" w:space="0" w:color="auto"/>
              <w:right w:val="nil"/>
            </w:tcBorders>
            <w:shd w:val="clear" w:color="auto" w:fill="D9D9D9" w:themeFill="background1" w:themeFillShade="D9"/>
            <w:noWrap/>
            <w:vAlign w:val="center"/>
            <w:hideMark/>
          </w:tcPr>
          <w:p w14:paraId="7C09C4D3" w14:textId="77777777" w:rsidR="00C67849" w:rsidRPr="00FA77A6" w:rsidRDefault="00C67849" w:rsidP="005B69ED">
            <w:pPr>
              <w:pStyle w:val="Tablebody"/>
              <w:rPr>
                <w:b/>
                <w:bCs/>
                <w:sz w:val="24"/>
                <w:szCs w:val="24"/>
              </w:rPr>
            </w:pPr>
            <w:r w:rsidRPr="00FA77A6">
              <w:rPr>
                <w:b/>
                <w:bCs/>
                <w:sz w:val="24"/>
                <w:szCs w:val="24"/>
              </w:rPr>
              <w:t>(%)</w:t>
            </w:r>
          </w:p>
        </w:tc>
        <w:tc>
          <w:tcPr>
            <w:tcW w:w="662" w:type="dxa"/>
            <w:tcBorders>
              <w:top w:val="nil"/>
              <w:left w:val="nil"/>
              <w:bottom w:val="single" w:sz="4" w:space="0" w:color="auto"/>
              <w:right w:val="nil"/>
            </w:tcBorders>
            <w:shd w:val="clear" w:color="auto" w:fill="D9D9D9" w:themeFill="background1" w:themeFillShade="D9"/>
            <w:vAlign w:val="center"/>
            <w:hideMark/>
          </w:tcPr>
          <w:p w14:paraId="1DD0C2D3" w14:textId="77777777" w:rsidR="00C67849" w:rsidRPr="00FA77A6" w:rsidRDefault="00C67849" w:rsidP="005B69ED">
            <w:pPr>
              <w:pStyle w:val="Tablebody"/>
              <w:rPr>
                <w:b/>
                <w:bCs/>
                <w:sz w:val="24"/>
                <w:szCs w:val="24"/>
              </w:rPr>
            </w:pPr>
            <w:proofErr w:type="spellStart"/>
            <w:r w:rsidRPr="00FA77A6">
              <w:rPr>
                <w:b/>
                <w:bCs/>
                <w:sz w:val="24"/>
                <w:szCs w:val="24"/>
              </w:rPr>
              <w:t>OR</w:t>
            </w:r>
            <w:r w:rsidRPr="00FA77A6">
              <w:rPr>
                <w:b/>
                <w:bCs/>
                <w:sz w:val="24"/>
                <w:szCs w:val="24"/>
                <w:vertAlign w:val="superscript"/>
              </w:rPr>
              <w:t>a</w:t>
            </w:r>
            <w:proofErr w:type="spellEnd"/>
          </w:p>
        </w:tc>
        <w:tc>
          <w:tcPr>
            <w:tcW w:w="1260" w:type="dxa"/>
            <w:tcBorders>
              <w:top w:val="nil"/>
              <w:left w:val="nil"/>
              <w:bottom w:val="single" w:sz="4" w:space="0" w:color="auto"/>
              <w:right w:val="nil"/>
            </w:tcBorders>
            <w:shd w:val="clear" w:color="auto" w:fill="D9D9D9" w:themeFill="background1" w:themeFillShade="D9"/>
            <w:vAlign w:val="center"/>
            <w:hideMark/>
          </w:tcPr>
          <w:p w14:paraId="6CCEC8FB" w14:textId="77777777" w:rsidR="00C67849" w:rsidRPr="00FA77A6" w:rsidRDefault="00C67849" w:rsidP="005B69ED">
            <w:pPr>
              <w:pStyle w:val="Tablebody"/>
              <w:rPr>
                <w:b/>
                <w:bCs/>
                <w:sz w:val="24"/>
                <w:szCs w:val="24"/>
              </w:rPr>
            </w:pPr>
            <w:r w:rsidRPr="00FA77A6">
              <w:rPr>
                <w:b/>
                <w:bCs/>
                <w:sz w:val="24"/>
                <w:szCs w:val="24"/>
              </w:rPr>
              <w:t xml:space="preserve">95% </w:t>
            </w:r>
            <w:proofErr w:type="spellStart"/>
            <w:r w:rsidRPr="00FA77A6">
              <w:rPr>
                <w:b/>
                <w:bCs/>
                <w:sz w:val="24"/>
                <w:szCs w:val="24"/>
              </w:rPr>
              <w:t>CI</w:t>
            </w:r>
            <w:r w:rsidRPr="00FA77A6">
              <w:rPr>
                <w:b/>
                <w:bCs/>
                <w:sz w:val="24"/>
                <w:szCs w:val="24"/>
                <w:vertAlign w:val="superscript"/>
              </w:rPr>
              <w:t>b</w:t>
            </w:r>
            <w:proofErr w:type="spellEnd"/>
          </w:p>
        </w:tc>
        <w:tc>
          <w:tcPr>
            <w:tcW w:w="1170" w:type="dxa"/>
            <w:gridSpan w:val="3"/>
            <w:tcBorders>
              <w:top w:val="nil"/>
              <w:left w:val="nil"/>
              <w:bottom w:val="single" w:sz="4" w:space="0" w:color="auto"/>
            </w:tcBorders>
            <w:shd w:val="clear" w:color="auto" w:fill="D9D9D9" w:themeFill="background1" w:themeFillShade="D9"/>
            <w:vAlign w:val="center"/>
            <w:hideMark/>
          </w:tcPr>
          <w:p w14:paraId="54012517" w14:textId="77777777" w:rsidR="00C67849" w:rsidRPr="00FA77A6" w:rsidRDefault="00C67EB4" w:rsidP="005B69ED">
            <w:pPr>
              <w:pStyle w:val="Tablebody"/>
              <w:rPr>
                <w:b/>
                <w:bCs/>
                <w:sz w:val="24"/>
                <w:szCs w:val="24"/>
              </w:rPr>
            </w:pPr>
            <w:r w:rsidRPr="00FA77A6">
              <w:rPr>
                <w:b/>
                <w:bCs/>
                <w:i/>
                <w:sz w:val="24"/>
                <w:szCs w:val="24"/>
              </w:rPr>
              <w:t>p</w:t>
            </w:r>
            <w:r w:rsidRPr="00FA77A6">
              <w:rPr>
                <w:b/>
                <w:bCs/>
                <w:sz w:val="24"/>
                <w:szCs w:val="24"/>
              </w:rPr>
              <w:t>-value</w:t>
            </w:r>
          </w:p>
        </w:tc>
      </w:tr>
      <w:tr w:rsidR="00C67849" w14:paraId="04F38048" w14:textId="77777777" w:rsidTr="00C4624F">
        <w:trPr>
          <w:trHeight w:val="300"/>
        </w:trPr>
        <w:tc>
          <w:tcPr>
            <w:tcW w:w="2895" w:type="dxa"/>
            <w:gridSpan w:val="2"/>
            <w:tcBorders>
              <w:top w:val="nil"/>
              <w:right w:val="nil"/>
            </w:tcBorders>
            <w:shd w:val="clear" w:color="auto" w:fill="D9D9D9" w:themeFill="background1" w:themeFillShade="D9"/>
            <w:noWrap/>
            <w:vAlign w:val="center"/>
            <w:hideMark/>
          </w:tcPr>
          <w:p w14:paraId="465ED7BA" w14:textId="77777777" w:rsidR="00C67849" w:rsidRPr="0067445F" w:rsidRDefault="00C67849" w:rsidP="004F0C5E">
            <w:pPr>
              <w:pStyle w:val="NoSpacing"/>
              <w:spacing w:before="120"/>
              <w:rPr>
                <w:rFonts w:asciiTheme="minorHAnsi" w:hAnsiTheme="minorHAnsi"/>
              </w:rPr>
            </w:pPr>
            <w:r w:rsidRPr="0067445F">
              <w:rPr>
                <w:rFonts w:asciiTheme="minorHAnsi" w:hAnsiTheme="minorHAnsi"/>
              </w:rPr>
              <w:t xml:space="preserve">Maternal, Ever NDMA </w:t>
            </w:r>
          </w:p>
        </w:tc>
        <w:tc>
          <w:tcPr>
            <w:tcW w:w="720" w:type="dxa"/>
            <w:tcBorders>
              <w:top w:val="single" w:sz="4" w:space="0" w:color="auto"/>
              <w:left w:val="nil"/>
              <w:right w:val="nil"/>
            </w:tcBorders>
            <w:shd w:val="clear" w:color="auto" w:fill="D9D9D9" w:themeFill="background1" w:themeFillShade="D9"/>
            <w:noWrap/>
            <w:vAlign w:val="center"/>
            <w:hideMark/>
          </w:tcPr>
          <w:p w14:paraId="3F86E724" w14:textId="77777777" w:rsidR="00C67849" w:rsidRPr="001E7E4A" w:rsidRDefault="00C67849" w:rsidP="005B69ED">
            <w:pPr>
              <w:pStyle w:val="Tablebody"/>
              <w:rPr>
                <w:sz w:val="24"/>
                <w:szCs w:val="24"/>
              </w:rPr>
            </w:pPr>
            <w:r w:rsidRPr="001E7E4A">
              <w:rPr>
                <w:sz w:val="24"/>
                <w:szCs w:val="24"/>
              </w:rPr>
              <w:t>7</w:t>
            </w:r>
          </w:p>
        </w:tc>
        <w:tc>
          <w:tcPr>
            <w:tcW w:w="981" w:type="dxa"/>
            <w:tcBorders>
              <w:top w:val="single" w:sz="4" w:space="0" w:color="auto"/>
              <w:left w:val="nil"/>
              <w:right w:val="nil"/>
            </w:tcBorders>
            <w:shd w:val="clear" w:color="auto" w:fill="D9D9D9" w:themeFill="background1" w:themeFillShade="D9"/>
            <w:noWrap/>
            <w:vAlign w:val="center"/>
            <w:hideMark/>
          </w:tcPr>
          <w:p w14:paraId="355E317C" w14:textId="77777777" w:rsidR="00C67849" w:rsidRPr="001E7E4A" w:rsidRDefault="00C67849" w:rsidP="005B69ED">
            <w:pPr>
              <w:pStyle w:val="Tablebody"/>
              <w:rPr>
                <w:sz w:val="24"/>
                <w:szCs w:val="24"/>
              </w:rPr>
            </w:pPr>
            <w:r w:rsidRPr="001E7E4A">
              <w:rPr>
                <w:sz w:val="24"/>
                <w:szCs w:val="24"/>
              </w:rPr>
              <w:t>(64)</w:t>
            </w:r>
          </w:p>
        </w:tc>
        <w:tc>
          <w:tcPr>
            <w:tcW w:w="720" w:type="dxa"/>
            <w:tcBorders>
              <w:top w:val="single" w:sz="4" w:space="0" w:color="auto"/>
              <w:left w:val="nil"/>
              <w:right w:val="nil"/>
            </w:tcBorders>
            <w:shd w:val="clear" w:color="auto" w:fill="D9D9D9" w:themeFill="background1" w:themeFillShade="D9"/>
            <w:noWrap/>
            <w:vAlign w:val="center"/>
            <w:hideMark/>
          </w:tcPr>
          <w:p w14:paraId="799D40FA" w14:textId="77777777" w:rsidR="00C67849" w:rsidRPr="001E7E4A" w:rsidRDefault="00C67849" w:rsidP="005B69ED">
            <w:pPr>
              <w:pStyle w:val="Tablebody"/>
              <w:rPr>
                <w:sz w:val="24"/>
                <w:szCs w:val="24"/>
              </w:rPr>
            </w:pPr>
            <w:r w:rsidRPr="001E7E4A">
              <w:rPr>
                <w:sz w:val="24"/>
                <w:szCs w:val="24"/>
              </w:rPr>
              <w:t>16</w:t>
            </w:r>
          </w:p>
        </w:tc>
        <w:tc>
          <w:tcPr>
            <w:tcW w:w="1152" w:type="dxa"/>
            <w:tcBorders>
              <w:top w:val="single" w:sz="4" w:space="0" w:color="auto"/>
              <w:left w:val="nil"/>
              <w:right w:val="nil"/>
            </w:tcBorders>
            <w:shd w:val="clear" w:color="auto" w:fill="D9D9D9" w:themeFill="background1" w:themeFillShade="D9"/>
            <w:noWrap/>
            <w:vAlign w:val="center"/>
            <w:hideMark/>
          </w:tcPr>
          <w:p w14:paraId="20D2BC58" w14:textId="77777777" w:rsidR="00C67849" w:rsidRPr="001E7E4A" w:rsidRDefault="00C67849" w:rsidP="005B69ED">
            <w:pPr>
              <w:pStyle w:val="Tablebody"/>
              <w:rPr>
                <w:sz w:val="24"/>
                <w:szCs w:val="24"/>
              </w:rPr>
            </w:pPr>
            <w:r w:rsidRPr="001E7E4A">
              <w:rPr>
                <w:sz w:val="24"/>
                <w:szCs w:val="24"/>
              </w:rPr>
              <w:t>(36)</w:t>
            </w:r>
          </w:p>
        </w:tc>
        <w:tc>
          <w:tcPr>
            <w:tcW w:w="662" w:type="dxa"/>
            <w:tcBorders>
              <w:top w:val="single" w:sz="4" w:space="0" w:color="auto"/>
              <w:left w:val="nil"/>
              <w:right w:val="nil"/>
            </w:tcBorders>
            <w:shd w:val="clear" w:color="auto" w:fill="D9D9D9" w:themeFill="background1" w:themeFillShade="D9"/>
            <w:noWrap/>
            <w:vAlign w:val="center"/>
            <w:hideMark/>
          </w:tcPr>
          <w:p w14:paraId="4F9049D2" w14:textId="77777777" w:rsidR="00C67849" w:rsidRPr="001E7E4A" w:rsidRDefault="00C67849" w:rsidP="005B69ED">
            <w:pPr>
              <w:pStyle w:val="Tablebody"/>
              <w:rPr>
                <w:sz w:val="24"/>
                <w:szCs w:val="24"/>
              </w:rPr>
            </w:pPr>
            <w:r w:rsidRPr="001E7E4A">
              <w:rPr>
                <w:sz w:val="24"/>
                <w:szCs w:val="24"/>
              </w:rPr>
              <w:t>2.9</w:t>
            </w:r>
          </w:p>
        </w:tc>
        <w:tc>
          <w:tcPr>
            <w:tcW w:w="1260" w:type="dxa"/>
            <w:tcBorders>
              <w:top w:val="single" w:sz="4" w:space="0" w:color="auto"/>
              <w:left w:val="nil"/>
              <w:right w:val="nil"/>
            </w:tcBorders>
            <w:shd w:val="clear" w:color="auto" w:fill="D9D9D9" w:themeFill="background1" w:themeFillShade="D9"/>
            <w:noWrap/>
            <w:vAlign w:val="center"/>
            <w:hideMark/>
          </w:tcPr>
          <w:p w14:paraId="6D6CCC90" w14:textId="77777777" w:rsidR="00C67849" w:rsidRPr="001E7E4A" w:rsidRDefault="00C67849" w:rsidP="005B69ED">
            <w:pPr>
              <w:pStyle w:val="Tablebody"/>
              <w:rPr>
                <w:sz w:val="24"/>
                <w:szCs w:val="24"/>
              </w:rPr>
            </w:pPr>
            <w:r w:rsidRPr="001E7E4A">
              <w:rPr>
                <w:sz w:val="24"/>
                <w:szCs w:val="24"/>
              </w:rPr>
              <w:t>(0.8, 11)</w:t>
            </w:r>
          </w:p>
        </w:tc>
        <w:tc>
          <w:tcPr>
            <w:tcW w:w="1170" w:type="dxa"/>
            <w:gridSpan w:val="3"/>
            <w:tcBorders>
              <w:top w:val="single" w:sz="4" w:space="0" w:color="auto"/>
              <w:left w:val="nil"/>
            </w:tcBorders>
            <w:shd w:val="clear" w:color="auto" w:fill="D9D9D9" w:themeFill="background1" w:themeFillShade="D9"/>
            <w:noWrap/>
            <w:vAlign w:val="center"/>
            <w:hideMark/>
          </w:tcPr>
          <w:p w14:paraId="01F090E6" w14:textId="77777777" w:rsidR="00C67849" w:rsidRPr="001E7E4A" w:rsidRDefault="00C67849" w:rsidP="005B69ED">
            <w:pPr>
              <w:pStyle w:val="Tablebody"/>
              <w:rPr>
                <w:sz w:val="24"/>
                <w:szCs w:val="24"/>
              </w:rPr>
            </w:pPr>
            <w:r w:rsidRPr="001E7E4A">
              <w:rPr>
                <w:sz w:val="24"/>
                <w:szCs w:val="24"/>
              </w:rPr>
              <w:t>0.12</w:t>
            </w:r>
          </w:p>
        </w:tc>
      </w:tr>
      <w:tr w:rsidR="00C67849" w14:paraId="02F74301" w14:textId="77777777" w:rsidTr="00C4624F">
        <w:trPr>
          <w:trHeight w:val="300"/>
        </w:trPr>
        <w:tc>
          <w:tcPr>
            <w:tcW w:w="2895" w:type="dxa"/>
            <w:gridSpan w:val="2"/>
            <w:tcBorders>
              <w:bottom w:val="single" w:sz="4" w:space="0" w:color="auto"/>
              <w:right w:val="nil"/>
            </w:tcBorders>
            <w:shd w:val="clear" w:color="auto" w:fill="D9D9D9" w:themeFill="background1" w:themeFillShade="D9"/>
            <w:noWrap/>
            <w:vAlign w:val="center"/>
            <w:hideMark/>
          </w:tcPr>
          <w:p w14:paraId="0C8CEA88" w14:textId="77777777" w:rsidR="00C67849" w:rsidRPr="0067445F" w:rsidRDefault="00C67849" w:rsidP="004F0C5E">
            <w:pPr>
              <w:pStyle w:val="NoSpacing"/>
              <w:spacing w:after="120"/>
              <w:rPr>
                <w:rFonts w:asciiTheme="minorHAnsi" w:hAnsiTheme="minorHAnsi"/>
              </w:rPr>
            </w:pPr>
            <w:r w:rsidRPr="0067445F">
              <w:rPr>
                <w:rFonts w:asciiTheme="minorHAnsi" w:hAnsiTheme="minorHAnsi"/>
              </w:rPr>
              <w:t>Childhood, Ever NDMA</w:t>
            </w:r>
          </w:p>
        </w:tc>
        <w:tc>
          <w:tcPr>
            <w:tcW w:w="720" w:type="dxa"/>
            <w:tcBorders>
              <w:left w:val="nil"/>
              <w:bottom w:val="single" w:sz="4" w:space="0" w:color="auto"/>
              <w:right w:val="nil"/>
            </w:tcBorders>
            <w:shd w:val="clear" w:color="auto" w:fill="D9D9D9" w:themeFill="background1" w:themeFillShade="D9"/>
            <w:noWrap/>
            <w:vAlign w:val="center"/>
            <w:hideMark/>
          </w:tcPr>
          <w:p w14:paraId="150E1980" w14:textId="77777777" w:rsidR="00C67849" w:rsidRPr="001E7E4A" w:rsidRDefault="00C67849" w:rsidP="005B69ED">
            <w:pPr>
              <w:pStyle w:val="Tablebody"/>
              <w:rPr>
                <w:sz w:val="24"/>
                <w:szCs w:val="24"/>
              </w:rPr>
            </w:pPr>
            <w:r w:rsidRPr="001E7E4A">
              <w:rPr>
                <w:sz w:val="24"/>
                <w:szCs w:val="24"/>
              </w:rPr>
              <w:t>8</w:t>
            </w:r>
          </w:p>
        </w:tc>
        <w:tc>
          <w:tcPr>
            <w:tcW w:w="981" w:type="dxa"/>
            <w:tcBorders>
              <w:left w:val="nil"/>
              <w:bottom w:val="single" w:sz="4" w:space="0" w:color="auto"/>
              <w:right w:val="nil"/>
            </w:tcBorders>
            <w:shd w:val="clear" w:color="auto" w:fill="D9D9D9" w:themeFill="background1" w:themeFillShade="D9"/>
            <w:noWrap/>
            <w:vAlign w:val="center"/>
            <w:hideMark/>
          </w:tcPr>
          <w:p w14:paraId="58F4ED43" w14:textId="77777777" w:rsidR="00C67849" w:rsidRPr="001E7E4A" w:rsidRDefault="00C67849" w:rsidP="005B69ED">
            <w:pPr>
              <w:pStyle w:val="Tablebody"/>
              <w:rPr>
                <w:sz w:val="24"/>
                <w:szCs w:val="24"/>
              </w:rPr>
            </w:pPr>
            <w:r w:rsidRPr="001E7E4A">
              <w:rPr>
                <w:sz w:val="24"/>
                <w:szCs w:val="24"/>
              </w:rPr>
              <w:t>(73)</w:t>
            </w:r>
          </w:p>
        </w:tc>
        <w:tc>
          <w:tcPr>
            <w:tcW w:w="720" w:type="dxa"/>
            <w:tcBorders>
              <w:left w:val="nil"/>
              <w:bottom w:val="single" w:sz="4" w:space="0" w:color="auto"/>
              <w:right w:val="nil"/>
            </w:tcBorders>
            <w:shd w:val="clear" w:color="auto" w:fill="D9D9D9" w:themeFill="background1" w:themeFillShade="D9"/>
            <w:noWrap/>
            <w:vAlign w:val="center"/>
            <w:hideMark/>
          </w:tcPr>
          <w:p w14:paraId="473F0B44" w14:textId="77777777" w:rsidR="00C67849" w:rsidRPr="001E7E4A" w:rsidRDefault="00C67849" w:rsidP="005B69ED">
            <w:pPr>
              <w:pStyle w:val="Tablebody"/>
              <w:rPr>
                <w:sz w:val="24"/>
                <w:szCs w:val="24"/>
              </w:rPr>
            </w:pPr>
            <w:r w:rsidRPr="001E7E4A">
              <w:rPr>
                <w:sz w:val="24"/>
                <w:szCs w:val="24"/>
              </w:rPr>
              <w:t>38</w:t>
            </w:r>
          </w:p>
        </w:tc>
        <w:tc>
          <w:tcPr>
            <w:tcW w:w="1152" w:type="dxa"/>
            <w:tcBorders>
              <w:left w:val="nil"/>
              <w:bottom w:val="single" w:sz="4" w:space="0" w:color="auto"/>
              <w:right w:val="nil"/>
            </w:tcBorders>
            <w:shd w:val="clear" w:color="auto" w:fill="D9D9D9" w:themeFill="background1" w:themeFillShade="D9"/>
            <w:noWrap/>
            <w:vAlign w:val="center"/>
            <w:hideMark/>
          </w:tcPr>
          <w:p w14:paraId="58A00711" w14:textId="77777777" w:rsidR="00C67849" w:rsidRPr="001E7E4A" w:rsidRDefault="00C67849" w:rsidP="005B69ED">
            <w:pPr>
              <w:pStyle w:val="Tablebody"/>
              <w:rPr>
                <w:sz w:val="24"/>
                <w:szCs w:val="24"/>
              </w:rPr>
            </w:pPr>
            <w:r w:rsidRPr="001E7E4A">
              <w:rPr>
                <w:sz w:val="24"/>
                <w:szCs w:val="24"/>
              </w:rPr>
              <w:t>(84)</w:t>
            </w:r>
          </w:p>
        </w:tc>
        <w:tc>
          <w:tcPr>
            <w:tcW w:w="662" w:type="dxa"/>
            <w:tcBorders>
              <w:left w:val="nil"/>
              <w:bottom w:val="single" w:sz="4" w:space="0" w:color="auto"/>
              <w:right w:val="nil"/>
            </w:tcBorders>
            <w:shd w:val="clear" w:color="auto" w:fill="D9D9D9" w:themeFill="background1" w:themeFillShade="D9"/>
            <w:noWrap/>
            <w:vAlign w:val="center"/>
            <w:hideMark/>
          </w:tcPr>
          <w:p w14:paraId="0E3C0F70" w14:textId="77777777" w:rsidR="00C67849" w:rsidRPr="001E7E4A" w:rsidRDefault="00C67849" w:rsidP="005B69ED">
            <w:pPr>
              <w:pStyle w:val="Tablebody"/>
              <w:rPr>
                <w:sz w:val="24"/>
                <w:szCs w:val="24"/>
              </w:rPr>
            </w:pPr>
            <w:r w:rsidRPr="001E7E4A">
              <w:rPr>
                <w:sz w:val="24"/>
                <w:szCs w:val="24"/>
              </w:rPr>
              <w:t>0.5</w:t>
            </w:r>
          </w:p>
        </w:tc>
        <w:tc>
          <w:tcPr>
            <w:tcW w:w="1260" w:type="dxa"/>
            <w:tcBorders>
              <w:left w:val="nil"/>
              <w:bottom w:val="single" w:sz="4" w:space="0" w:color="auto"/>
              <w:right w:val="nil"/>
            </w:tcBorders>
            <w:shd w:val="clear" w:color="auto" w:fill="D9D9D9" w:themeFill="background1" w:themeFillShade="D9"/>
            <w:noWrap/>
            <w:vAlign w:val="center"/>
            <w:hideMark/>
          </w:tcPr>
          <w:p w14:paraId="3129039F" w14:textId="77777777" w:rsidR="00C67849" w:rsidRPr="001E7E4A" w:rsidRDefault="00C67849" w:rsidP="005B69ED">
            <w:pPr>
              <w:pStyle w:val="Tablebody"/>
              <w:rPr>
                <w:sz w:val="24"/>
                <w:szCs w:val="24"/>
              </w:rPr>
            </w:pPr>
            <w:r w:rsidRPr="001E7E4A">
              <w:rPr>
                <w:sz w:val="24"/>
                <w:szCs w:val="24"/>
              </w:rPr>
              <w:t>(0.1, 2.5)</w:t>
            </w:r>
          </w:p>
        </w:tc>
        <w:tc>
          <w:tcPr>
            <w:tcW w:w="1170" w:type="dxa"/>
            <w:gridSpan w:val="3"/>
            <w:tcBorders>
              <w:left w:val="nil"/>
              <w:bottom w:val="single" w:sz="4" w:space="0" w:color="auto"/>
            </w:tcBorders>
            <w:shd w:val="clear" w:color="auto" w:fill="D9D9D9" w:themeFill="background1" w:themeFillShade="D9"/>
            <w:noWrap/>
            <w:vAlign w:val="center"/>
            <w:hideMark/>
          </w:tcPr>
          <w:p w14:paraId="0D7CACA1" w14:textId="77777777" w:rsidR="00C67849" w:rsidRPr="001E7E4A" w:rsidRDefault="00C67849" w:rsidP="005B69ED">
            <w:pPr>
              <w:pStyle w:val="Tablebody"/>
              <w:rPr>
                <w:sz w:val="24"/>
                <w:szCs w:val="24"/>
              </w:rPr>
            </w:pPr>
            <w:r w:rsidRPr="001E7E4A">
              <w:rPr>
                <w:sz w:val="24"/>
                <w:szCs w:val="24"/>
              </w:rPr>
              <w:t>0.38</w:t>
            </w:r>
          </w:p>
        </w:tc>
      </w:tr>
    </w:tbl>
    <w:p w14:paraId="62D23EC6" w14:textId="77777777" w:rsidR="00C67849" w:rsidRPr="00B85973" w:rsidRDefault="00C67849" w:rsidP="00B756AE">
      <w:pPr>
        <w:pStyle w:val="NoSpacing"/>
        <w:rPr>
          <w:sz w:val="22"/>
          <w:szCs w:val="22"/>
        </w:rPr>
      </w:pPr>
      <w:proofErr w:type="spellStart"/>
      <w:r w:rsidRPr="00B85973">
        <w:rPr>
          <w:sz w:val="22"/>
          <w:szCs w:val="22"/>
          <w:vertAlign w:val="superscript"/>
        </w:rPr>
        <w:t>a</w:t>
      </w:r>
      <w:r w:rsidRPr="00B85973">
        <w:rPr>
          <w:sz w:val="22"/>
          <w:szCs w:val="22"/>
        </w:rPr>
        <w:t>OR</w:t>
      </w:r>
      <w:proofErr w:type="spellEnd"/>
      <w:r w:rsidRPr="00B85973">
        <w:rPr>
          <w:sz w:val="22"/>
          <w:szCs w:val="22"/>
        </w:rPr>
        <w:t xml:space="preserve"> = Matched Odds Ratio</w:t>
      </w:r>
    </w:p>
    <w:p w14:paraId="36BF21BA" w14:textId="77777777" w:rsidR="00C67849" w:rsidRPr="00B85973" w:rsidRDefault="00C67849" w:rsidP="00B756AE">
      <w:pPr>
        <w:pStyle w:val="NoSpacing"/>
        <w:rPr>
          <w:sz w:val="22"/>
          <w:szCs w:val="22"/>
        </w:rPr>
      </w:pPr>
      <w:r w:rsidRPr="00B85973">
        <w:rPr>
          <w:sz w:val="22"/>
          <w:szCs w:val="22"/>
          <w:vertAlign w:val="superscript"/>
        </w:rPr>
        <w:t>b</w:t>
      </w:r>
      <w:r w:rsidRPr="00B85973">
        <w:rPr>
          <w:sz w:val="22"/>
          <w:szCs w:val="22"/>
        </w:rPr>
        <w:t>95% CI = 95% Confidence Interval</w:t>
      </w:r>
    </w:p>
    <w:p w14:paraId="5D7DA759" w14:textId="77777777" w:rsidR="00AD7871" w:rsidRDefault="00AD7871" w:rsidP="00B26D34">
      <w:pPr>
        <w:pStyle w:val="Heading5"/>
      </w:pPr>
      <w:r>
        <w:t>Categorical (zero/low/high)</w:t>
      </w:r>
      <w:r w:rsidR="00DE4B16">
        <w:t xml:space="preserve"> e</w:t>
      </w:r>
      <w:r>
        <w:t xml:space="preserve">xposure </w:t>
      </w:r>
      <w:r w:rsidR="00DE4B16">
        <w:t>p</w:t>
      </w:r>
      <w:r>
        <w:t>otential</w:t>
      </w:r>
    </w:p>
    <w:p w14:paraId="3889E5D0" w14:textId="6459DA17" w:rsidR="00C67849" w:rsidRDefault="00C67849" w:rsidP="006C3ED9">
      <w:r>
        <w:t xml:space="preserve">Average </w:t>
      </w:r>
      <w:r w:rsidRPr="00F80B1F">
        <w:t xml:space="preserve">NDMA </w:t>
      </w:r>
      <w:r>
        <w:t>concentrations were</w:t>
      </w:r>
      <w:r w:rsidRPr="00F80B1F">
        <w:t xml:space="preserve"> also categorized into three groups as described in </w:t>
      </w:r>
      <w:r>
        <w:t>the m</w:t>
      </w:r>
      <w:r w:rsidRPr="00F80B1F">
        <w:t>ethods</w:t>
      </w:r>
      <w:r>
        <w:t xml:space="preserve"> section of this report</w:t>
      </w:r>
      <w:r w:rsidR="00716072">
        <w:t>.</w:t>
      </w:r>
      <w:r w:rsidR="000C0EF7">
        <w:t xml:space="preserve"> </w:t>
      </w:r>
      <w:r w:rsidR="000C0EF7">
        <w:fldChar w:fldCharType="begin"/>
      </w:r>
      <w:r w:rsidR="000C0EF7">
        <w:instrText xml:space="preserve"> REF  Table10 \h </w:instrText>
      </w:r>
      <w:r w:rsidR="006C3ED9">
        <w:instrText xml:space="preserve"> \* MERGEFORMAT </w:instrText>
      </w:r>
      <w:r w:rsidR="000C0EF7">
        <w:fldChar w:fldCharType="separate"/>
      </w:r>
      <w:r w:rsidR="00977423">
        <w:t xml:space="preserve">Table </w:t>
      </w:r>
      <w:r w:rsidR="00977423">
        <w:rPr>
          <w:noProof/>
        </w:rPr>
        <w:t>10</w:t>
      </w:r>
      <w:r w:rsidR="000C0EF7">
        <w:fldChar w:fldCharType="end"/>
      </w:r>
      <w:r w:rsidR="002F7137">
        <w:t xml:space="preserve"> </w:t>
      </w:r>
      <w:r>
        <w:t>and</w:t>
      </w:r>
      <w:r w:rsidR="008161F4">
        <w:t xml:space="preserve"> </w:t>
      </w:r>
      <w:r w:rsidR="000C0EF7">
        <w:fldChar w:fldCharType="begin"/>
      </w:r>
      <w:r w:rsidR="000C0EF7">
        <w:instrText xml:space="preserve"> REF  Figure12 \h </w:instrText>
      </w:r>
      <w:r w:rsidR="006C3ED9">
        <w:instrText xml:space="preserve"> \* MERGEFORMAT </w:instrText>
      </w:r>
      <w:r w:rsidR="000C0EF7">
        <w:fldChar w:fldCharType="separate"/>
      </w:r>
      <w:r w:rsidR="00977423">
        <w:t xml:space="preserve">Figure </w:t>
      </w:r>
      <w:r w:rsidR="00977423">
        <w:rPr>
          <w:noProof/>
        </w:rPr>
        <w:t>12.</w:t>
      </w:r>
      <w:r w:rsidR="00977423">
        <w:t xml:space="preserve"> </w:t>
      </w:r>
      <w:r w:rsidR="00977423" w:rsidRPr="0008177C">
        <w:t>O</w:t>
      </w:r>
      <w:r w:rsidR="000C0EF7">
        <w:fldChar w:fldCharType="end"/>
      </w:r>
      <w:r w:rsidR="002F7137">
        <w:t xml:space="preserve"> </w:t>
      </w:r>
      <w:r w:rsidRPr="00F80B1F">
        <w:t xml:space="preserve">present the results of conditional logistic regression models evaluating the association between development of childhood cancer (all cancers and leukemia/lymphoma only) and </w:t>
      </w:r>
      <w:r>
        <w:t>zero</w:t>
      </w:r>
      <w:r w:rsidRPr="00F80B1F">
        <w:t xml:space="preserve">, low, or high </w:t>
      </w:r>
      <w:r>
        <w:t xml:space="preserve">average </w:t>
      </w:r>
      <w:r w:rsidRPr="00F80B1F">
        <w:t>NDMA con</w:t>
      </w:r>
      <w:r>
        <w:t>centra</w:t>
      </w:r>
      <w:r w:rsidRPr="00F80B1F">
        <w:t>tion</w:t>
      </w:r>
      <w:r>
        <w:t>s</w:t>
      </w:r>
      <w:r w:rsidRPr="00F80B1F">
        <w:t xml:space="preserve"> in drinking water</w:t>
      </w:r>
      <w:r w:rsidR="00716072">
        <w:t xml:space="preserve">. </w:t>
      </w:r>
      <w:r>
        <w:t xml:space="preserve">For </w:t>
      </w:r>
      <w:r w:rsidRPr="00F80B1F">
        <w:t xml:space="preserve">the association between maternal </w:t>
      </w:r>
      <w:r>
        <w:t xml:space="preserve">residential </w:t>
      </w:r>
      <w:r w:rsidRPr="00F80B1F">
        <w:t xml:space="preserve">NDMA </w:t>
      </w:r>
      <w:r>
        <w:t xml:space="preserve">concentrations </w:t>
      </w:r>
      <w:r w:rsidRPr="00F80B1F">
        <w:t xml:space="preserve">in drinking water and the development of childhood cancer, a </w:t>
      </w:r>
      <w:r>
        <w:t>positive</w:t>
      </w:r>
      <w:r w:rsidRPr="00F80B1F">
        <w:t xml:space="preserve"> trend was observed for higher odds of any cancer </w:t>
      </w:r>
      <w:r>
        <w:t>(OR</w:t>
      </w:r>
      <w:r w:rsidR="006D56C5">
        <w:t xml:space="preserve">s </w:t>
      </w:r>
      <w:r>
        <w:t>=</w:t>
      </w:r>
      <w:r w:rsidR="006D56C5">
        <w:t xml:space="preserve"> </w:t>
      </w:r>
      <w:r>
        <w:t>1.0</w:t>
      </w:r>
      <w:r w:rsidR="006D56C5">
        <w:t xml:space="preserve">, </w:t>
      </w:r>
      <w:r>
        <w:t>1.3</w:t>
      </w:r>
      <w:r w:rsidR="006D56C5">
        <w:t xml:space="preserve">, </w:t>
      </w:r>
      <w:r>
        <w:t xml:space="preserve">3.0) </w:t>
      </w:r>
      <w:r w:rsidRPr="00F80B1F">
        <w:t xml:space="preserve">and of leukemia/lymphoma alone </w:t>
      </w:r>
      <w:r>
        <w:t>(OR</w:t>
      </w:r>
      <w:r w:rsidR="006D56C5">
        <w:t xml:space="preserve">s </w:t>
      </w:r>
      <w:r>
        <w:t>=</w:t>
      </w:r>
      <w:r w:rsidR="006D56C5">
        <w:t xml:space="preserve"> </w:t>
      </w:r>
      <w:r>
        <w:t>1.0</w:t>
      </w:r>
      <w:r w:rsidR="006D56C5">
        <w:t xml:space="preserve">, </w:t>
      </w:r>
      <w:r>
        <w:t>1.3</w:t>
      </w:r>
      <w:r w:rsidR="006D56C5">
        <w:t>,</w:t>
      </w:r>
      <w:r>
        <w:t xml:space="preserve"> 5.0) </w:t>
      </w:r>
      <w:r w:rsidRPr="00F80B1F">
        <w:t xml:space="preserve">for increasing </w:t>
      </w:r>
      <w:r>
        <w:t>average</w:t>
      </w:r>
      <w:r w:rsidRPr="00F80B1F">
        <w:t xml:space="preserve"> NDMA </w:t>
      </w:r>
      <w:r>
        <w:t xml:space="preserve">concentrations </w:t>
      </w:r>
      <w:r w:rsidRPr="00F80B1F">
        <w:t>in drinking water</w:t>
      </w:r>
      <w:r>
        <w:t xml:space="preserve"> from zero to low to high</w:t>
      </w:r>
      <w:r w:rsidR="00716072">
        <w:t xml:space="preserve">. </w:t>
      </w:r>
      <w:r w:rsidRPr="00F80B1F">
        <w:t xml:space="preserve">The odds ratio </w:t>
      </w:r>
      <w:r>
        <w:t xml:space="preserve">of 5.0 </w:t>
      </w:r>
      <w:r w:rsidRPr="00F80B1F">
        <w:t>for the</w:t>
      </w:r>
      <w:r>
        <w:t xml:space="preserve"> high concentration group in the leukemia/lymphoma sub-analysis was statistically significant, although the confidence interval is very wide</w:t>
      </w:r>
      <w:r w:rsidR="00716072">
        <w:t xml:space="preserve">. </w:t>
      </w:r>
      <w:r>
        <w:t xml:space="preserve">This indicates that there was a statistically significant elevation in the odds of childhood </w:t>
      </w:r>
      <w:r w:rsidRPr="00F80B1F">
        <w:t>leukemia</w:t>
      </w:r>
      <w:r>
        <w:t xml:space="preserve"> or </w:t>
      </w:r>
      <w:r w:rsidRPr="00F80B1F">
        <w:t>lymphoma</w:t>
      </w:r>
      <w:r>
        <w:t xml:space="preserve"> for those with the highest average estimated concentrations in maternal residential drinking water</w:t>
      </w:r>
      <w:r w:rsidR="00C54F46">
        <w:t>.</w:t>
      </w:r>
      <w:r>
        <w:t xml:space="preserve"> </w:t>
      </w:r>
      <w:r w:rsidR="00C54F46">
        <w:t>However,</w:t>
      </w:r>
      <w:r>
        <w:t xml:space="preserve"> the actual effect estimate of 5.0 is imprecise</w:t>
      </w:r>
      <w:r w:rsidR="00716072">
        <w:t xml:space="preserve">. </w:t>
      </w:r>
      <w:r>
        <w:t>The OR for the high category of the All Cancers analysis was of marginal statistical significance (</w:t>
      </w:r>
      <w:r w:rsidR="009D21C6" w:rsidRPr="00C67EB4">
        <w:rPr>
          <w:i/>
        </w:rPr>
        <w:t>p</w:t>
      </w:r>
      <w:r w:rsidR="009D21C6">
        <w:t xml:space="preserve"> = </w:t>
      </w:r>
      <w:r>
        <w:t>0.09)</w:t>
      </w:r>
      <w:r w:rsidR="00716072">
        <w:t xml:space="preserve">. </w:t>
      </w:r>
      <w:r w:rsidRPr="00F80B1F">
        <w:t xml:space="preserve">A test of trend for the </w:t>
      </w:r>
      <w:r w:rsidR="007F74B7">
        <w:t>All Cancers</w:t>
      </w:r>
      <w:r w:rsidRPr="00F80B1F">
        <w:t xml:space="preserve"> combined analysis resulted in a </w:t>
      </w:r>
      <w:r w:rsidR="00C67EB4" w:rsidRPr="00372442">
        <w:rPr>
          <w:i/>
        </w:rPr>
        <w:t>p</w:t>
      </w:r>
      <w:r w:rsidR="00C67EB4">
        <w:t>-value</w:t>
      </w:r>
      <w:r w:rsidRPr="00F80B1F">
        <w:t xml:space="preserve"> of 0.</w:t>
      </w:r>
      <w:r>
        <w:t>12;</w:t>
      </w:r>
      <w:r w:rsidRPr="00F80B1F">
        <w:t xml:space="preserve"> for the leukemia/lymphoma analysis</w:t>
      </w:r>
      <w:r>
        <w:t>,</w:t>
      </w:r>
      <w:r w:rsidRPr="00F80B1F">
        <w:t xml:space="preserve"> the trend test resulted in </w:t>
      </w:r>
      <w:r>
        <w:t xml:space="preserve">a </w:t>
      </w:r>
      <w:r w:rsidR="00C67EB4" w:rsidRPr="00372442">
        <w:rPr>
          <w:i/>
        </w:rPr>
        <w:t>p</w:t>
      </w:r>
      <w:r w:rsidR="00C67EB4">
        <w:t>-value</w:t>
      </w:r>
      <w:r w:rsidRPr="00F80B1F">
        <w:t xml:space="preserve"> of 0.</w:t>
      </w:r>
      <w:r>
        <w:t>06</w:t>
      </w:r>
      <w:r w:rsidRPr="00F80B1F">
        <w:t>.</w:t>
      </w:r>
    </w:p>
    <w:p w14:paraId="0DC3DAE6" w14:textId="00B9542D" w:rsidR="00096D00" w:rsidRDefault="00C67849" w:rsidP="000C4868">
      <w:r w:rsidRPr="00F80B1F">
        <w:t xml:space="preserve">In contrast to the results for </w:t>
      </w:r>
      <w:r>
        <w:t>maternal</w:t>
      </w:r>
      <w:r w:rsidRPr="00F80B1F">
        <w:t xml:space="preserve"> NDMA </w:t>
      </w:r>
      <w:r>
        <w:t>concentrations in drinking water</w:t>
      </w:r>
      <w:r w:rsidRPr="00F80B1F">
        <w:t xml:space="preserve">, </w:t>
      </w:r>
      <w:r>
        <w:t>w</w:t>
      </w:r>
      <w:r w:rsidRPr="00F80B1F">
        <w:t xml:space="preserve">hen evaluating </w:t>
      </w:r>
      <w:r>
        <w:t>concentrations</w:t>
      </w:r>
      <w:r w:rsidRPr="00F80B1F">
        <w:t xml:space="preserve"> estimated to have </w:t>
      </w:r>
      <w:r>
        <w:t>been present</w:t>
      </w:r>
      <w:r w:rsidRPr="00F80B1F">
        <w:t xml:space="preserve"> </w:t>
      </w:r>
      <w:r>
        <w:t xml:space="preserve">in residential drinking water </w:t>
      </w:r>
      <w:r w:rsidRPr="00F80B1F">
        <w:t>during childhood, there was no evidence of a</w:t>
      </w:r>
      <w:r w:rsidR="0016471F">
        <w:t xml:space="preserve"> positive</w:t>
      </w:r>
      <w:r w:rsidRPr="00F80B1F">
        <w:t xml:space="preserve"> association between NDMA in drinking water with development of childhood cancer in general </w:t>
      </w:r>
      <w:r>
        <w:t>(OR</w:t>
      </w:r>
      <w:r w:rsidR="009D21C6">
        <w:t xml:space="preserve"> </w:t>
      </w:r>
      <w:r>
        <w:t>=</w:t>
      </w:r>
      <w:r w:rsidR="009D21C6">
        <w:t xml:space="preserve"> </w:t>
      </w:r>
      <w:r>
        <w:t>0.9 for the high concentration category) or</w:t>
      </w:r>
      <w:r w:rsidRPr="00F80B1F">
        <w:t xml:space="preserve"> with development of leukemia or lymphoma</w:t>
      </w:r>
      <w:r>
        <w:t xml:space="preserve"> (OR</w:t>
      </w:r>
      <w:r w:rsidR="009D21C6">
        <w:t xml:space="preserve"> </w:t>
      </w:r>
      <w:r>
        <w:t>=</w:t>
      </w:r>
      <w:r w:rsidR="009D21C6">
        <w:t xml:space="preserve"> </w:t>
      </w:r>
      <w:r>
        <w:t>0.6 for the high concentration category).</w:t>
      </w:r>
      <w:r w:rsidR="00096D00">
        <w:br w:type="page"/>
      </w:r>
    </w:p>
    <w:p w14:paraId="2DB16041" w14:textId="10816368" w:rsidR="002F7137" w:rsidRDefault="002F7137" w:rsidP="0040594E">
      <w:pPr>
        <w:pStyle w:val="Caption"/>
        <w:keepNext/>
      </w:pPr>
      <w:bookmarkStart w:id="137" w:name="_Ref12010025"/>
      <w:bookmarkStart w:id="138" w:name="Table10"/>
      <w:bookmarkStart w:id="139" w:name="_Toc12012874"/>
      <w:bookmarkStart w:id="140" w:name="_Toc12013068"/>
      <w:bookmarkStart w:id="141" w:name="_Toc45714889"/>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10</w:t>
      </w:r>
      <w:r w:rsidR="00D616DB">
        <w:rPr>
          <w:noProof/>
        </w:rPr>
        <w:fldChar w:fldCharType="end"/>
      </w:r>
      <w:bookmarkEnd w:id="137"/>
      <w:bookmarkEnd w:id="138"/>
      <w:r w:rsidR="00716072">
        <w:t xml:space="preserve">. </w:t>
      </w:r>
      <w:r w:rsidRPr="003071E1">
        <w:t>Average estimated concentration of NDMA in drinking water</w:t>
      </w:r>
      <w:r w:rsidR="00656D81">
        <w:t>*</w:t>
      </w:r>
      <w:r w:rsidRPr="003071E1">
        <w:t xml:space="preserve"> (zero, low, high) and odds of childhood cancer among children living in Wilmington, MA, 1974-2000</w:t>
      </w:r>
      <w:bookmarkEnd w:id="139"/>
      <w:bookmarkEnd w:id="140"/>
      <w:bookmarkEnd w:id="141"/>
    </w:p>
    <w:tbl>
      <w:tblPr>
        <w:tblW w:w="9349" w:type="dxa"/>
        <w:tblLook w:val="04A0" w:firstRow="1" w:lastRow="0" w:firstColumn="1" w:lastColumn="0" w:noHBand="0" w:noVBand="1"/>
      </w:tblPr>
      <w:tblGrid>
        <w:gridCol w:w="98"/>
        <w:gridCol w:w="1630"/>
        <w:gridCol w:w="717"/>
        <w:gridCol w:w="976"/>
        <w:gridCol w:w="717"/>
        <w:gridCol w:w="1146"/>
        <w:gridCol w:w="659"/>
        <w:gridCol w:w="1253"/>
        <w:gridCol w:w="8"/>
        <w:gridCol w:w="79"/>
        <w:gridCol w:w="990"/>
        <w:gridCol w:w="1076"/>
      </w:tblGrid>
      <w:tr w:rsidR="00905170" w:rsidRPr="001E7E4A" w14:paraId="6038DA06" w14:textId="28E38F6A" w:rsidTr="00905170">
        <w:trPr>
          <w:trHeight w:val="300"/>
        </w:trPr>
        <w:tc>
          <w:tcPr>
            <w:tcW w:w="1728" w:type="dxa"/>
            <w:gridSpan w:val="2"/>
            <w:tcBorders>
              <w:top w:val="single" w:sz="4" w:space="0" w:color="auto"/>
              <w:bottom w:val="nil"/>
              <w:right w:val="nil"/>
            </w:tcBorders>
            <w:shd w:val="clear" w:color="auto" w:fill="auto"/>
            <w:noWrap/>
            <w:vAlign w:val="center"/>
            <w:hideMark/>
          </w:tcPr>
          <w:p w14:paraId="08C66805" w14:textId="77777777" w:rsidR="00905170" w:rsidRPr="001E7E4A" w:rsidRDefault="00905170" w:rsidP="0040594E">
            <w:pPr>
              <w:spacing w:after="0" w:line="240" w:lineRule="auto"/>
              <w:rPr>
                <w:rFonts w:asciiTheme="minorHAnsi" w:hAnsiTheme="minorHAnsi"/>
              </w:rPr>
            </w:pPr>
          </w:p>
        </w:tc>
        <w:tc>
          <w:tcPr>
            <w:tcW w:w="1693" w:type="dxa"/>
            <w:gridSpan w:val="2"/>
            <w:tcBorders>
              <w:top w:val="single" w:sz="4" w:space="0" w:color="auto"/>
              <w:left w:val="nil"/>
              <w:right w:val="nil"/>
            </w:tcBorders>
            <w:shd w:val="clear" w:color="auto" w:fill="auto"/>
            <w:noWrap/>
            <w:vAlign w:val="center"/>
            <w:hideMark/>
          </w:tcPr>
          <w:p w14:paraId="3E914974" w14:textId="77777777" w:rsidR="00905170" w:rsidRPr="001E7E4A" w:rsidRDefault="00905170" w:rsidP="0040594E">
            <w:pPr>
              <w:pStyle w:val="Tablebody"/>
              <w:rPr>
                <w:b/>
                <w:bCs/>
                <w:sz w:val="24"/>
                <w:szCs w:val="24"/>
              </w:rPr>
            </w:pPr>
            <w:r w:rsidRPr="001E7E4A">
              <w:rPr>
                <w:b/>
                <w:bCs/>
                <w:sz w:val="24"/>
                <w:szCs w:val="24"/>
              </w:rPr>
              <w:t>Cases</w:t>
            </w:r>
          </w:p>
          <w:p w14:paraId="66BBC579" w14:textId="77777777" w:rsidR="00905170" w:rsidRPr="001E7E4A" w:rsidRDefault="00905170" w:rsidP="0040594E">
            <w:pPr>
              <w:pStyle w:val="Tablebody"/>
              <w:rPr>
                <w:b/>
                <w:bCs/>
                <w:sz w:val="24"/>
                <w:szCs w:val="24"/>
              </w:rPr>
            </w:pPr>
            <w:r w:rsidRPr="001E7E4A">
              <w:rPr>
                <w:b/>
                <w:bCs/>
                <w:sz w:val="24"/>
                <w:szCs w:val="24"/>
              </w:rPr>
              <w:t>(n=18)</w:t>
            </w:r>
          </w:p>
        </w:tc>
        <w:tc>
          <w:tcPr>
            <w:tcW w:w="1863" w:type="dxa"/>
            <w:gridSpan w:val="2"/>
            <w:tcBorders>
              <w:top w:val="single" w:sz="4" w:space="0" w:color="auto"/>
              <w:left w:val="nil"/>
              <w:right w:val="nil"/>
            </w:tcBorders>
            <w:shd w:val="clear" w:color="auto" w:fill="auto"/>
            <w:noWrap/>
            <w:vAlign w:val="center"/>
            <w:hideMark/>
          </w:tcPr>
          <w:p w14:paraId="4C93A718" w14:textId="77777777" w:rsidR="00905170" w:rsidRPr="001E7E4A" w:rsidRDefault="00905170" w:rsidP="0040594E">
            <w:pPr>
              <w:pStyle w:val="Tablebody"/>
              <w:rPr>
                <w:b/>
                <w:bCs/>
                <w:sz w:val="24"/>
                <w:szCs w:val="24"/>
              </w:rPr>
            </w:pPr>
            <w:r w:rsidRPr="001E7E4A">
              <w:rPr>
                <w:b/>
                <w:bCs/>
                <w:sz w:val="24"/>
                <w:szCs w:val="24"/>
              </w:rPr>
              <w:t>Controls</w:t>
            </w:r>
          </w:p>
          <w:p w14:paraId="577E3263" w14:textId="77777777" w:rsidR="00905170" w:rsidRPr="001E7E4A" w:rsidRDefault="00905170" w:rsidP="0040594E">
            <w:pPr>
              <w:pStyle w:val="Tablebody"/>
              <w:rPr>
                <w:b/>
                <w:bCs/>
                <w:sz w:val="24"/>
                <w:szCs w:val="24"/>
              </w:rPr>
            </w:pPr>
            <w:r w:rsidRPr="001E7E4A">
              <w:rPr>
                <w:b/>
                <w:bCs/>
                <w:sz w:val="24"/>
                <w:szCs w:val="24"/>
              </w:rPr>
              <w:t>(n=74)</w:t>
            </w:r>
          </w:p>
        </w:tc>
        <w:tc>
          <w:tcPr>
            <w:tcW w:w="659" w:type="dxa"/>
            <w:tcBorders>
              <w:top w:val="single" w:sz="4" w:space="0" w:color="auto"/>
              <w:left w:val="nil"/>
            </w:tcBorders>
            <w:shd w:val="clear" w:color="auto" w:fill="auto"/>
            <w:noWrap/>
            <w:vAlign w:val="center"/>
          </w:tcPr>
          <w:p w14:paraId="1F5FE4AC" w14:textId="77777777" w:rsidR="00905170" w:rsidRPr="001E7E4A" w:rsidRDefault="00905170" w:rsidP="0040594E">
            <w:pPr>
              <w:pStyle w:val="Tablebody"/>
              <w:rPr>
                <w:b/>
                <w:bCs/>
                <w:sz w:val="24"/>
                <w:szCs w:val="24"/>
              </w:rPr>
            </w:pPr>
          </w:p>
        </w:tc>
        <w:tc>
          <w:tcPr>
            <w:tcW w:w="1253" w:type="dxa"/>
            <w:tcBorders>
              <w:top w:val="single" w:sz="4" w:space="0" w:color="auto"/>
            </w:tcBorders>
            <w:vAlign w:val="center"/>
          </w:tcPr>
          <w:p w14:paraId="3CD452C2" w14:textId="77777777" w:rsidR="00905170" w:rsidRPr="001E7E4A" w:rsidRDefault="00905170" w:rsidP="0040594E">
            <w:pPr>
              <w:pStyle w:val="Tablebody"/>
              <w:rPr>
                <w:b/>
                <w:bCs/>
                <w:sz w:val="24"/>
                <w:szCs w:val="24"/>
              </w:rPr>
            </w:pPr>
          </w:p>
        </w:tc>
        <w:tc>
          <w:tcPr>
            <w:tcW w:w="1077" w:type="dxa"/>
            <w:gridSpan w:val="3"/>
            <w:tcBorders>
              <w:top w:val="single" w:sz="4" w:space="0" w:color="auto"/>
            </w:tcBorders>
            <w:shd w:val="clear" w:color="auto" w:fill="auto"/>
            <w:vAlign w:val="center"/>
          </w:tcPr>
          <w:p w14:paraId="38779FC3" w14:textId="77777777" w:rsidR="00905170" w:rsidRPr="001E7E4A" w:rsidRDefault="00905170" w:rsidP="0040594E">
            <w:pPr>
              <w:pStyle w:val="Tablebody"/>
              <w:rPr>
                <w:b/>
                <w:bCs/>
                <w:sz w:val="24"/>
                <w:szCs w:val="24"/>
              </w:rPr>
            </w:pPr>
          </w:p>
        </w:tc>
        <w:tc>
          <w:tcPr>
            <w:tcW w:w="1076" w:type="dxa"/>
            <w:tcBorders>
              <w:top w:val="single" w:sz="4" w:space="0" w:color="auto"/>
            </w:tcBorders>
          </w:tcPr>
          <w:p w14:paraId="3D018E9B" w14:textId="65BA33A3" w:rsidR="00905170" w:rsidRPr="001E7E4A" w:rsidRDefault="00905170" w:rsidP="0040594E">
            <w:pPr>
              <w:pStyle w:val="Tablebody"/>
              <w:rPr>
                <w:b/>
                <w:bCs/>
                <w:sz w:val="24"/>
                <w:szCs w:val="24"/>
              </w:rPr>
            </w:pPr>
            <w:r w:rsidRPr="001E7E4A">
              <w:rPr>
                <w:b/>
                <w:bCs/>
                <w:sz w:val="24"/>
                <w:szCs w:val="24"/>
              </w:rPr>
              <w:t>Trend Analysis</w:t>
            </w:r>
          </w:p>
        </w:tc>
      </w:tr>
      <w:tr w:rsidR="00905170" w:rsidRPr="001E7E4A" w14:paraId="33AA577B" w14:textId="7FC89384" w:rsidTr="00905170">
        <w:trPr>
          <w:trHeight w:val="300"/>
        </w:trPr>
        <w:tc>
          <w:tcPr>
            <w:tcW w:w="1728" w:type="dxa"/>
            <w:gridSpan w:val="2"/>
            <w:tcBorders>
              <w:top w:val="nil"/>
              <w:right w:val="nil"/>
            </w:tcBorders>
            <w:shd w:val="clear" w:color="auto" w:fill="auto"/>
            <w:noWrap/>
            <w:vAlign w:val="center"/>
            <w:hideMark/>
          </w:tcPr>
          <w:p w14:paraId="0010FE63" w14:textId="48A5517B" w:rsidR="00905170" w:rsidRPr="001E7E4A" w:rsidRDefault="00905170" w:rsidP="0040594E">
            <w:pPr>
              <w:spacing w:after="0" w:line="240" w:lineRule="auto"/>
              <w:rPr>
                <w:rFonts w:asciiTheme="minorHAnsi" w:hAnsiTheme="minorHAnsi"/>
              </w:rPr>
            </w:pPr>
            <w:r w:rsidRPr="001E7E4A">
              <w:rPr>
                <w:rFonts w:asciiTheme="minorHAnsi" w:hAnsiTheme="minorHAnsi"/>
                <w:b/>
                <w:bCs/>
              </w:rPr>
              <w:t>All Cancers</w:t>
            </w:r>
          </w:p>
        </w:tc>
        <w:tc>
          <w:tcPr>
            <w:tcW w:w="717" w:type="dxa"/>
            <w:tcBorders>
              <w:top w:val="nil"/>
              <w:left w:val="nil"/>
              <w:bottom w:val="single" w:sz="4" w:space="0" w:color="auto"/>
              <w:right w:val="nil"/>
            </w:tcBorders>
            <w:shd w:val="clear" w:color="auto" w:fill="auto"/>
            <w:noWrap/>
            <w:vAlign w:val="center"/>
            <w:hideMark/>
          </w:tcPr>
          <w:p w14:paraId="26FBC627" w14:textId="77777777" w:rsidR="00905170" w:rsidRPr="001E7E4A" w:rsidRDefault="00905170" w:rsidP="0040594E">
            <w:pPr>
              <w:pStyle w:val="Tablebody"/>
              <w:rPr>
                <w:b/>
                <w:bCs/>
                <w:sz w:val="24"/>
                <w:szCs w:val="24"/>
              </w:rPr>
            </w:pPr>
            <w:r w:rsidRPr="001E7E4A">
              <w:rPr>
                <w:b/>
                <w:bCs/>
                <w:sz w:val="24"/>
                <w:szCs w:val="24"/>
              </w:rPr>
              <w:t>n</w:t>
            </w:r>
          </w:p>
        </w:tc>
        <w:tc>
          <w:tcPr>
            <w:tcW w:w="976" w:type="dxa"/>
            <w:tcBorders>
              <w:top w:val="nil"/>
              <w:left w:val="nil"/>
              <w:bottom w:val="single" w:sz="4" w:space="0" w:color="auto"/>
              <w:right w:val="nil"/>
            </w:tcBorders>
            <w:shd w:val="clear" w:color="auto" w:fill="auto"/>
            <w:noWrap/>
            <w:vAlign w:val="center"/>
            <w:hideMark/>
          </w:tcPr>
          <w:p w14:paraId="23ED83C3" w14:textId="77777777" w:rsidR="00905170" w:rsidRPr="001E7E4A" w:rsidRDefault="00905170" w:rsidP="0040594E">
            <w:pPr>
              <w:pStyle w:val="Tablebody"/>
              <w:rPr>
                <w:b/>
                <w:bCs/>
                <w:sz w:val="24"/>
                <w:szCs w:val="24"/>
              </w:rPr>
            </w:pPr>
            <w:r w:rsidRPr="001E7E4A">
              <w:rPr>
                <w:b/>
                <w:bCs/>
                <w:sz w:val="24"/>
                <w:szCs w:val="24"/>
              </w:rPr>
              <w:t>(%)</w:t>
            </w:r>
          </w:p>
        </w:tc>
        <w:tc>
          <w:tcPr>
            <w:tcW w:w="717" w:type="dxa"/>
            <w:tcBorders>
              <w:top w:val="nil"/>
              <w:left w:val="nil"/>
              <w:bottom w:val="single" w:sz="4" w:space="0" w:color="auto"/>
              <w:right w:val="nil"/>
            </w:tcBorders>
            <w:shd w:val="clear" w:color="auto" w:fill="auto"/>
            <w:noWrap/>
            <w:vAlign w:val="center"/>
            <w:hideMark/>
          </w:tcPr>
          <w:p w14:paraId="69E49CCA" w14:textId="77777777" w:rsidR="00905170" w:rsidRPr="001E7E4A" w:rsidRDefault="00905170" w:rsidP="0040594E">
            <w:pPr>
              <w:pStyle w:val="Tablebody"/>
              <w:rPr>
                <w:b/>
                <w:bCs/>
                <w:sz w:val="24"/>
                <w:szCs w:val="24"/>
              </w:rPr>
            </w:pPr>
            <w:r w:rsidRPr="001E7E4A">
              <w:rPr>
                <w:b/>
                <w:bCs/>
                <w:sz w:val="24"/>
                <w:szCs w:val="24"/>
              </w:rPr>
              <w:t>n</w:t>
            </w:r>
          </w:p>
        </w:tc>
        <w:tc>
          <w:tcPr>
            <w:tcW w:w="1146" w:type="dxa"/>
            <w:tcBorders>
              <w:top w:val="nil"/>
              <w:left w:val="nil"/>
              <w:bottom w:val="single" w:sz="4" w:space="0" w:color="auto"/>
              <w:right w:val="nil"/>
            </w:tcBorders>
            <w:shd w:val="clear" w:color="auto" w:fill="auto"/>
            <w:noWrap/>
            <w:vAlign w:val="center"/>
            <w:hideMark/>
          </w:tcPr>
          <w:p w14:paraId="025FE022" w14:textId="77777777" w:rsidR="00905170" w:rsidRPr="001E7E4A" w:rsidRDefault="00905170" w:rsidP="0040594E">
            <w:pPr>
              <w:pStyle w:val="Tablebody"/>
              <w:rPr>
                <w:b/>
                <w:bCs/>
                <w:sz w:val="24"/>
                <w:szCs w:val="24"/>
              </w:rPr>
            </w:pPr>
            <w:r w:rsidRPr="001E7E4A">
              <w:rPr>
                <w:b/>
                <w:bCs/>
                <w:sz w:val="24"/>
                <w:szCs w:val="24"/>
              </w:rPr>
              <w:t>(%)</w:t>
            </w:r>
          </w:p>
        </w:tc>
        <w:tc>
          <w:tcPr>
            <w:tcW w:w="659" w:type="dxa"/>
            <w:tcBorders>
              <w:left w:val="nil"/>
              <w:bottom w:val="single" w:sz="4" w:space="0" w:color="auto"/>
            </w:tcBorders>
            <w:shd w:val="clear" w:color="auto" w:fill="auto"/>
            <w:vAlign w:val="center"/>
            <w:hideMark/>
          </w:tcPr>
          <w:p w14:paraId="3326174C" w14:textId="77777777" w:rsidR="00905170" w:rsidRPr="001E7E4A" w:rsidRDefault="00905170" w:rsidP="0040594E">
            <w:pPr>
              <w:pStyle w:val="Tablebody"/>
              <w:rPr>
                <w:b/>
                <w:bCs/>
                <w:sz w:val="24"/>
                <w:szCs w:val="24"/>
              </w:rPr>
            </w:pPr>
            <w:proofErr w:type="spellStart"/>
            <w:r w:rsidRPr="001E7E4A">
              <w:rPr>
                <w:b/>
                <w:bCs/>
                <w:sz w:val="24"/>
                <w:szCs w:val="24"/>
              </w:rPr>
              <w:t>OR</w:t>
            </w:r>
            <w:r w:rsidRPr="001E7E4A">
              <w:rPr>
                <w:b/>
                <w:bCs/>
                <w:sz w:val="24"/>
                <w:szCs w:val="24"/>
                <w:vertAlign w:val="superscript"/>
              </w:rPr>
              <w:t>a</w:t>
            </w:r>
            <w:proofErr w:type="spellEnd"/>
          </w:p>
        </w:tc>
        <w:tc>
          <w:tcPr>
            <w:tcW w:w="1253" w:type="dxa"/>
            <w:tcBorders>
              <w:bottom w:val="single" w:sz="4" w:space="0" w:color="auto"/>
            </w:tcBorders>
            <w:shd w:val="clear" w:color="auto" w:fill="auto"/>
            <w:vAlign w:val="center"/>
          </w:tcPr>
          <w:p w14:paraId="57589920" w14:textId="77777777" w:rsidR="00905170" w:rsidRPr="001E7E4A" w:rsidRDefault="00905170" w:rsidP="0040594E">
            <w:pPr>
              <w:pStyle w:val="Tablebody"/>
              <w:rPr>
                <w:b/>
                <w:bCs/>
                <w:sz w:val="24"/>
                <w:szCs w:val="24"/>
              </w:rPr>
            </w:pPr>
            <w:r w:rsidRPr="001E7E4A">
              <w:rPr>
                <w:b/>
                <w:bCs/>
                <w:sz w:val="24"/>
                <w:szCs w:val="24"/>
              </w:rPr>
              <w:t xml:space="preserve">95% </w:t>
            </w:r>
            <w:proofErr w:type="spellStart"/>
            <w:r w:rsidRPr="001E7E4A">
              <w:rPr>
                <w:b/>
                <w:bCs/>
                <w:sz w:val="24"/>
                <w:szCs w:val="24"/>
              </w:rPr>
              <w:t>CI</w:t>
            </w:r>
            <w:r w:rsidRPr="001E7E4A">
              <w:rPr>
                <w:b/>
                <w:bCs/>
                <w:sz w:val="24"/>
                <w:szCs w:val="24"/>
                <w:vertAlign w:val="superscript"/>
              </w:rPr>
              <w:t>b</w:t>
            </w:r>
            <w:proofErr w:type="spellEnd"/>
          </w:p>
        </w:tc>
        <w:tc>
          <w:tcPr>
            <w:tcW w:w="1077" w:type="dxa"/>
            <w:gridSpan w:val="3"/>
            <w:tcBorders>
              <w:bottom w:val="single" w:sz="4" w:space="0" w:color="auto"/>
            </w:tcBorders>
            <w:shd w:val="clear" w:color="auto" w:fill="auto"/>
            <w:vAlign w:val="center"/>
          </w:tcPr>
          <w:p w14:paraId="7CF73B49" w14:textId="77777777" w:rsidR="00905170" w:rsidRPr="001E7E4A" w:rsidRDefault="00905170" w:rsidP="0040594E">
            <w:pPr>
              <w:pStyle w:val="Tablebody"/>
              <w:rPr>
                <w:b/>
                <w:bCs/>
                <w:sz w:val="24"/>
                <w:szCs w:val="24"/>
              </w:rPr>
            </w:pPr>
            <w:r w:rsidRPr="001E7E4A">
              <w:rPr>
                <w:b/>
                <w:bCs/>
                <w:i/>
                <w:sz w:val="24"/>
                <w:szCs w:val="24"/>
              </w:rPr>
              <w:t>p</w:t>
            </w:r>
            <w:r w:rsidRPr="001E7E4A">
              <w:rPr>
                <w:b/>
                <w:bCs/>
                <w:sz w:val="24"/>
                <w:szCs w:val="24"/>
              </w:rPr>
              <w:t>-value</w:t>
            </w:r>
          </w:p>
        </w:tc>
        <w:tc>
          <w:tcPr>
            <w:tcW w:w="1076" w:type="dxa"/>
            <w:tcBorders>
              <w:bottom w:val="single" w:sz="4" w:space="0" w:color="auto"/>
            </w:tcBorders>
          </w:tcPr>
          <w:p w14:paraId="4CD02C88" w14:textId="37420D52" w:rsidR="00905170" w:rsidRPr="001E7E4A" w:rsidRDefault="00905170" w:rsidP="0040594E">
            <w:pPr>
              <w:pStyle w:val="Tablebody"/>
              <w:rPr>
                <w:b/>
                <w:bCs/>
                <w:sz w:val="24"/>
                <w:szCs w:val="24"/>
              </w:rPr>
            </w:pPr>
            <w:r w:rsidRPr="001E7E4A">
              <w:rPr>
                <w:b/>
                <w:bCs/>
                <w:i/>
                <w:sz w:val="24"/>
                <w:szCs w:val="24"/>
              </w:rPr>
              <w:t>p</w:t>
            </w:r>
            <w:r w:rsidRPr="001E7E4A">
              <w:rPr>
                <w:b/>
                <w:bCs/>
                <w:sz w:val="24"/>
                <w:szCs w:val="24"/>
              </w:rPr>
              <w:t>-value</w:t>
            </w:r>
          </w:p>
        </w:tc>
      </w:tr>
      <w:tr w:rsidR="00905170" w:rsidRPr="001E7E4A" w14:paraId="59C2F382" w14:textId="694947BA" w:rsidTr="00905170">
        <w:trPr>
          <w:gridBefore w:val="1"/>
          <w:wBefore w:w="98" w:type="dxa"/>
          <w:trHeight w:val="300"/>
        </w:trPr>
        <w:tc>
          <w:tcPr>
            <w:tcW w:w="1630" w:type="dxa"/>
            <w:tcBorders>
              <w:top w:val="nil"/>
              <w:right w:val="nil"/>
            </w:tcBorders>
            <w:shd w:val="clear" w:color="auto" w:fill="auto"/>
            <w:noWrap/>
            <w:vAlign w:val="center"/>
          </w:tcPr>
          <w:p w14:paraId="28EADC2E" w14:textId="77777777" w:rsidR="00905170" w:rsidRPr="001E7E4A" w:rsidRDefault="00905170" w:rsidP="0040594E">
            <w:pPr>
              <w:pStyle w:val="Tablebody"/>
              <w:rPr>
                <w:sz w:val="24"/>
                <w:szCs w:val="24"/>
              </w:rPr>
            </w:pPr>
            <w:r w:rsidRPr="001E7E4A">
              <w:rPr>
                <w:sz w:val="24"/>
                <w:szCs w:val="24"/>
              </w:rPr>
              <w:t>Maternal</w:t>
            </w:r>
          </w:p>
        </w:tc>
        <w:tc>
          <w:tcPr>
            <w:tcW w:w="717" w:type="dxa"/>
            <w:tcBorders>
              <w:top w:val="single" w:sz="4" w:space="0" w:color="auto"/>
              <w:left w:val="nil"/>
              <w:right w:val="nil"/>
            </w:tcBorders>
            <w:shd w:val="clear" w:color="auto" w:fill="auto"/>
            <w:noWrap/>
            <w:vAlign w:val="bottom"/>
          </w:tcPr>
          <w:p w14:paraId="550DAA06" w14:textId="77777777" w:rsidR="00905170" w:rsidRPr="001E7E4A" w:rsidRDefault="00905170" w:rsidP="0040594E">
            <w:pPr>
              <w:pStyle w:val="Tablebody"/>
              <w:rPr>
                <w:sz w:val="24"/>
                <w:szCs w:val="24"/>
              </w:rPr>
            </w:pPr>
          </w:p>
        </w:tc>
        <w:tc>
          <w:tcPr>
            <w:tcW w:w="976" w:type="dxa"/>
            <w:tcBorders>
              <w:top w:val="single" w:sz="4" w:space="0" w:color="auto"/>
              <w:left w:val="nil"/>
              <w:right w:val="nil"/>
            </w:tcBorders>
            <w:shd w:val="clear" w:color="auto" w:fill="auto"/>
            <w:noWrap/>
            <w:vAlign w:val="bottom"/>
          </w:tcPr>
          <w:p w14:paraId="084095CE" w14:textId="77777777" w:rsidR="00905170" w:rsidRPr="001E7E4A" w:rsidRDefault="00905170" w:rsidP="0040594E">
            <w:pPr>
              <w:pStyle w:val="Tablebody"/>
              <w:rPr>
                <w:sz w:val="24"/>
                <w:szCs w:val="24"/>
              </w:rPr>
            </w:pPr>
          </w:p>
        </w:tc>
        <w:tc>
          <w:tcPr>
            <w:tcW w:w="717" w:type="dxa"/>
            <w:tcBorders>
              <w:top w:val="single" w:sz="4" w:space="0" w:color="auto"/>
              <w:left w:val="nil"/>
              <w:right w:val="nil"/>
            </w:tcBorders>
            <w:shd w:val="clear" w:color="auto" w:fill="auto"/>
            <w:noWrap/>
            <w:vAlign w:val="bottom"/>
          </w:tcPr>
          <w:p w14:paraId="30BFA959" w14:textId="77777777" w:rsidR="00905170" w:rsidRPr="001E7E4A" w:rsidRDefault="00905170" w:rsidP="0040594E">
            <w:pPr>
              <w:pStyle w:val="Tablebody"/>
              <w:rPr>
                <w:sz w:val="24"/>
                <w:szCs w:val="24"/>
              </w:rPr>
            </w:pPr>
          </w:p>
        </w:tc>
        <w:tc>
          <w:tcPr>
            <w:tcW w:w="1146" w:type="dxa"/>
            <w:tcBorders>
              <w:top w:val="single" w:sz="4" w:space="0" w:color="auto"/>
              <w:left w:val="nil"/>
              <w:right w:val="nil"/>
            </w:tcBorders>
            <w:shd w:val="clear" w:color="auto" w:fill="auto"/>
            <w:noWrap/>
            <w:vAlign w:val="bottom"/>
          </w:tcPr>
          <w:p w14:paraId="43D086EF" w14:textId="77777777" w:rsidR="00905170" w:rsidRPr="001E7E4A" w:rsidRDefault="00905170" w:rsidP="0040594E">
            <w:pPr>
              <w:pStyle w:val="Tablebody"/>
              <w:rPr>
                <w:sz w:val="24"/>
                <w:szCs w:val="24"/>
              </w:rPr>
            </w:pPr>
          </w:p>
        </w:tc>
        <w:tc>
          <w:tcPr>
            <w:tcW w:w="659" w:type="dxa"/>
            <w:tcBorders>
              <w:top w:val="single" w:sz="4" w:space="0" w:color="auto"/>
              <w:left w:val="nil"/>
              <w:right w:val="nil"/>
            </w:tcBorders>
            <w:shd w:val="clear" w:color="auto" w:fill="auto"/>
            <w:noWrap/>
            <w:vAlign w:val="bottom"/>
          </w:tcPr>
          <w:p w14:paraId="31D5633B" w14:textId="77777777" w:rsidR="00905170" w:rsidRPr="001E7E4A" w:rsidRDefault="00905170" w:rsidP="0040594E">
            <w:pPr>
              <w:pStyle w:val="Tablebody"/>
              <w:rPr>
                <w:sz w:val="24"/>
                <w:szCs w:val="24"/>
              </w:rPr>
            </w:pPr>
          </w:p>
        </w:tc>
        <w:tc>
          <w:tcPr>
            <w:tcW w:w="1253" w:type="dxa"/>
            <w:tcBorders>
              <w:top w:val="single" w:sz="4" w:space="0" w:color="auto"/>
              <w:left w:val="nil"/>
              <w:right w:val="nil"/>
            </w:tcBorders>
            <w:shd w:val="clear" w:color="auto" w:fill="auto"/>
            <w:noWrap/>
            <w:vAlign w:val="bottom"/>
          </w:tcPr>
          <w:p w14:paraId="624C9131" w14:textId="77777777" w:rsidR="00905170" w:rsidRPr="001E7E4A" w:rsidRDefault="00905170" w:rsidP="0040594E">
            <w:pPr>
              <w:pStyle w:val="Tablebody"/>
              <w:rPr>
                <w:sz w:val="24"/>
                <w:szCs w:val="24"/>
              </w:rPr>
            </w:pPr>
          </w:p>
        </w:tc>
        <w:tc>
          <w:tcPr>
            <w:tcW w:w="1077" w:type="dxa"/>
            <w:gridSpan w:val="3"/>
            <w:tcBorders>
              <w:top w:val="single" w:sz="4" w:space="0" w:color="auto"/>
              <w:left w:val="nil"/>
            </w:tcBorders>
            <w:shd w:val="clear" w:color="auto" w:fill="auto"/>
            <w:noWrap/>
            <w:vAlign w:val="bottom"/>
          </w:tcPr>
          <w:p w14:paraId="2E6AFEEF" w14:textId="77777777" w:rsidR="00905170" w:rsidRPr="001E7E4A" w:rsidRDefault="00905170" w:rsidP="0040594E">
            <w:pPr>
              <w:pStyle w:val="Tablebody"/>
              <w:rPr>
                <w:sz w:val="24"/>
                <w:szCs w:val="24"/>
              </w:rPr>
            </w:pPr>
          </w:p>
        </w:tc>
        <w:tc>
          <w:tcPr>
            <w:tcW w:w="1076" w:type="dxa"/>
            <w:tcBorders>
              <w:top w:val="single" w:sz="4" w:space="0" w:color="auto"/>
              <w:left w:val="nil"/>
            </w:tcBorders>
          </w:tcPr>
          <w:p w14:paraId="3B51A11C" w14:textId="77777777" w:rsidR="00905170" w:rsidRPr="001E7E4A" w:rsidRDefault="00905170" w:rsidP="0040594E">
            <w:pPr>
              <w:pStyle w:val="Tablebody"/>
              <w:rPr>
                <w:sz w:val="24"/>
                <w:szCs w:val="24"/>
              </w:rPr>
            </w:pPr>
          </w:p>
        </w:tc>
      </w:tr>
      <w:tr w:rsidR="003548BA" w:rsidRPr="001E7E4A" w14:paraId="48D95A65" w14:textId="459E7049" w:rsidTr="00905170">
        <w:trPr>
          <w:gridBefore w:val="1"/>
          <w:wBefore w:w="98" w:type="dxa"/>
          <w:trHeight w:val="300"/>
        </w:trPr>
        <w:tc>
          <w:tcPr>
            <w:tcW w:w="1630" w:type="dxa"/>
            <w:tcBorders>
              <w:top w:val="nil"/>
              <w:right w:val="nil"/>
            </w:tcBorders>
            <w:shd w:val="clear" w:color="auto" w:fill="auto"/>
            <w:noWrap/>
            <w:vAlign w:val="center"/>
            <w:hideMark/>
          </w:tcPr>
          <w:p w14:paraId="2704B684"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Zero</w:t>
            </w:r>
          </w:p>
        </w:tc>
        <w:tc>
          <w:tcPr>
            <w:tcW w:w="717" w:type="dxa"/>
            <w:tcBorders>
              <w:left w:val="nil"/>
              <w:right w:val="nil"/>
            </w:tcBorders>
            <w:shd w:val="clear" w:color="auto" w:fill="auto"/>
            <w:noWrap/>
            <w:vAlign w:val="center"/>
          </w:tcPr>
          <w:p w14:paraId="7ADABC31" w14:textId="77777777" w:rsidR="003548BA" w:rsidRPr="001E7E4A" w:rsidRDefault="003548BA" w:rsidP="0040594E">
            <w:pPr>
              <w:pStyle w:val="Tablebody"/>
              <w:rPr>
                <w:sz w:val="24"/>
                <w:szCs w:val="24"/>
              </w:rPr>
            </w:pPr>
            <w:r w:rsidRPr="001E7E4A">
              <w:rPr>
                <w:sz w:val="24"/>
                <w:szCs w:val="24"/>
              </w:rPr>
              <w:t>9</w:t>
            </w:r>
          </w:p>
        </w:tc>
        <w:tc>
          <w:tcPr>
            <w:tcW w:w="976" w:type="dxa"/>
            <w:tcBorders>
              <w:left w:val="nil"/>
              <w:right w:val="nil"/>
            </w:tcBorders>
            <w:shd w:val="clear" w:color="auto" w:fill="auto"/>
            <w:noWrap/>
            <w:vAlign w:val="center"/>
          </w:tcPr>
          <w:p w14:paraId="3472A6A0" w14:textId="77777777" w:rsidR="003548BA" w:rsidRPr="001E7E4A" w:rsidRDefault="003548BA" w:rsidP="0040594E">
            <w:pPr>
              <w:pStyle w:val="Tablebody"/>
              <w:rPr>
                <w:sz w:val="24"/>
                <w:szCs w:val="24"/>
              </w:rPr>
            </w:pPr>
            <w:r w:rsidRPr="001E7E4A">
              <w:rPr>
                <w:sz w:val="24"/>
                <w:szCs w:val="24"/>
              </w:rPr>
              <w:t>(50%)</w:t>
            </w:r>
          </w:p>
        </w:tc>
        <w:tc>
          <w:tcPr>
            <w:tcW w:w="717" w:type="dxa"/>
            <w:tcBorders>
              <w:left w:val="nil"/>
              <w:right w:val="nil"/>
            </w:tcBorders>
            <w:shd w:val="clear" w:color="auto" w:fill="auto"/>
            <w:noWrap/>
            <w:vAlign w:val="center"/>
          </w:tcPr>
          <w:p w14:paraId="2D6F27A9" w14:textId="77777777" w:rsidR="003548BA" w:rsidRPr="001E7E4A" w:rsidRDefault="003548BA" w:rsidP="0040594E">
            <w:pPr>
              <w:pStyle w:val="Tablebody"/>
              <w:rPr>
                <w:sz w:val="24"/>
                <w:szCs w:val="24"/>
              </w:rPr>
            </w:pPr>
            <w:r w:rsidRPr="001E7E4A">
              <w:rPr>
                <w:sz w:val="24"/>
                <w:szCs w:val="24"/>
              </w:rPr>
              <w:t>49</w:t>
            </w:r>
          </w:p>
        </w:tc>
        <w:tc>
          <w:tcPr>
            <w:tcW w:w="1146" w:type="dxa"/>
            <w:tcBorders>
              <w:left w:val="nil"/>
              <w:right w:val="nil"/>
            </w:tcBorders>
            <w:shd w:val="clear" w:color="auto" w:fill="auto"/>
            <w:noWrap/>
            <w:vAlign w:val="center"/>
          </w:tcPr>
          <w:p w14:paraId="1C514893" w14:textId="77777777" w:rsidR="003548BA" w:rsidRPr="001E7E4A" w:rsidRDefault="003548BA" w:rsidP="0040594E">
            <w:pPr>
              <w:pStyle w:val="Tablebody"/>
              <w:rPr>
                <w:sz w:val="24"/>
                <w:szCs w:val="24"/>
              </w:rPr>
            </w:pPr>
            <w:r w:rsidRPr="001E7E4A">
              <w:rPr>
                <w:sz w:val="24"/>
                <w:szCs w:val="24"/>
              </w:rPr>
              <w:t>(66%)</w:t>
            </w:r>
          </w:p>
        </w:tc>
        <w:tc>
          <w:tcPr>
            <w:tcW w:w="659" w:type="dxa"/>
            <w:tcBorders>
              <w:left w:val="nil"/>
              <w:right w:val="nil"/>
            </w:tcBorders>
            <w:shd w:val="clear" w:color="auto" w:fill="auto"/>
            <w:noWrap/>
            <w:vAlign w:val="center"/>
          </w:tcPr>
          <w:p w14:paraId="755A027F" w14:textId="77777777" w:rsidR="003548BA" w:rsidRPr="001E7E4A" w:rsidRDefault="003548BA" w:rsidP="0040594E">
            <w:pPr>
              <w:pStyle w:val="Tablebody"/>
              <w:rPr>
                <w:sz w:val="24"/>
                <w:szCs w:val="24"/>
              </w:rPr>
            </w:pPr>
            <w:r w:rsidRPr="001E7E4A">
              <w:rPr>
                <w:sz w:val="24"/>
                <w:szCs w:val="24"/>
              </w:rPr>
              <w:t>1.0</w:t>
            </w:r>
          </w:p>
        </w:tc>
        <w:tc>
          <w:tcPr>
            <w:tcW w:w="2330" w:type="dxa"/>
            <w:gridSpan w:val="4"/>
            <w:tcBorders>
              <w:left w:val="nil"/>
            </w:tcBorders>
            <w:shd w:val="clear" w:color="auto" w:fill="auto"/>
            <w:noWrap/>
            <w:vAlign w:val="center"/>
          </w:tcPr>
          <w:p w14:paraId="191EACD6" w14:textId="77777777" w:rsidR="003548BA" w:rsidRPr="001E7E4A" w:rsidRDefault="003548BA" w:rsidP="0040594E">
            <w:pPr>
              <w:pStyle w:val="Tablebody"/>
              <w:rPr>
                <w:sz w:val="24"/>
                <w:szCs w:val="24"/>
              </w:rPr>
            </w:pPr>
            <w:r w:rsidRPr="001E7E4A">
              <w:rPr>
                <w:sz w:val="24"/>
                <w:szCs w:val="24"/>
              </w:rPr>
              <w:t>-ref-</w:t>
            </w:r>
          </w:p>
        </w:tc>
        <w:tc>
          <w:tcPr>
            <w:tcW w:w="1076" w:type="dxa"/>
            <w:vMerge w:val="restart"/>
            <w:tcBorders>
              <w:left w:val="nil"/>
            </w:tcBorders>
          </w:tcPr>
          <w:p w14:paraId="267B9C9D" w14:textId="77777777" w:rsidR="003548BA" w:rsidRPr="001E7E4A" w:rsidRDefault="003548BA" w:rsidP="0040594E">
            <w:pPr>
              <w:pStyle w:val="Tablebody"/>
              <w:rPr>
                <w:sz w:val="24"/>
                <w:szCs w:val="24"/>
              </w:rPr>
            </w:pPr>
          </w:p>
          <w:p w14:paraId="36D9AD59" w14:textId="77777777" w:rsidR="003548BA" w:rsidRPr="001E7E4A" w:rsidRDefault="003548BA" w:rsidP="0040594E">
            <w:pPr>
              <w:pStyle w:val="Tablebody"/>
              <w:rPr>
                <w:sz w:val="24"/>
                <w:szCs w:val="24"/>
              </w:rPr>
            </w:pPr>
          </w:p>
          <w:p w14:paraId="6A467470" w14:textId="5CBE535E" w:rsidR="003548BA" w:rsidRPr="001E7E4A" w:rsidRDefault="003548BA" w:rsidP="0040594E">
            <w:pPr>
              <w:pStyle w:val="Tablebody"/>
              <w:rPr>
                <w:sz w:val="24"/>
                <w:szCs w:val="24"/>
              </w:rPr>
            </w:pPr>
            <w:r w:rsidRPr="001E7E4A">
              <w:rPr>
                <w:sz w:val="24"/>
                <w:szCs w:val="24"/>
              </w:rPr>
              <w:t>0.12</w:t>
            </w:r>
          </w:p>
        </w:tc>
      </w:tr>
      <w:tr w:rsidR="003548BA" w:rsidRPr="001E7E4A" w14:paraId="6D1736A5" w14:textId="2BEDD750" w:rsidTr="00905170">
        <w:trPr>
          <w:gridBefore w:val="1"/>
          <w:wBefore w:w="98" w:type="dxa"/>
          <w:trHeight w:val="300"/>
        </w:trPr>
        <w:tc>
          <w:tcPr>
            <w:tcW w:w="1630" w:type="dxa"/>
            <w:tcBorders>
              <w:right w:val="nil"/>
            </w:tcBorders>
            <w:shd w:val="clear" w:color="auto" w:fill="auto"/>
            <w:noWrap/>
            <w:vAlign w:val="center"/>
          </w:tcPr>
          <w:p w14:paraId="556DA790"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Low</w:t>
            </w:r>
          </w:p>
        </w:tc>
        <w:tc>
          <w:tcPr>
            <w:tcW w:w="717" w:type="dxa"/>
            <w:tcBorders>
              <w:left w:val="nil"/>
              <w:right w:val="nil"/>
            </w:tcBorders>
            <w:shd w:val="clear" w:color="auto" w:fill="auto"/>
            <w:noWrap/>
            <w:vAlign w:val="center"/>
          </w:tcPr>
          <w:p w14:paraId="6AC2151A" w14:textId="77777777" w:rsidR="003548BA" w:rsidRPr="001E7E4A" w:rsidRDefault="003548BA" w:rsidP="0040594E">
            <w:pPr>
              <w:pStyle w:val="Tablebody"/>
              <w:rPr>
                <w:sz w:val="24"/>
                <w:szCs w:val="24"/>
              </w:rPr>
            </w:pPr>
            <w:r w:rsidRPr="001E7E4A">
              <w:rPr>
                <w:sz w:val="24"/>
                <w:szCs w:val="24"/>
              </w:rPr>
              <w:t>3</w:t>
            </w:r>
          </w:p>
        </w:tc>
        <w:tc>
          <w:tcPr>
            <w:tcW w:w="976" w:type="dxa"/>
            <w:tcBorders>
              <w:left w:val="nil"/>
              <w:right w:val="nil"/>
            </w:tcBorders>
            <w:shd w:val="clear" w:color="auto" w:fill="auto"/>
            <w:noWrap/>
            <w:vAlign w:val="center"/>
          </w:tcPr>
          <w:p w14:paraId="32B085D3" w14:textId="77777777" w:rsidR="003548BA" w:rsidRPr="001E7E4A" w:rsidRDefault="003548BA" w:rsidP="0040594E">
            <w:pPr>
              <w:pStyle w:val="Tablebody"/>
              <w:rPr>
                <w:sz w:val="24"/>
                <w:szCs w:val="24"/>
              </w:rPr>
            </w:pPr>
            <w:r w:rsidRPr="001E7E4A">
              <w:rPr>
                <w:sz w:val="24"/>
                <w:szCs w:val="24"/>
              </w:rPr>
              <w:t>(17%)</w:t>
            </w:r>
          </w:p>
        </w:tc>
        <w:tc>
          <w:tcPr>
            <w:tcW w:w="717" w:type="dxa"/>
            <w:tcBorders>
              <w:left w:val="nil"/>
              <w:right w:val="nil"/>
            </w:tcBorders>
            <w:shd w:val="clear" w:color="auto" w:fill="auto"/>
            <w:noWrap/>
            <w:vAlign w:val="center"/>
          </w:tcPr>
          <w:p w14:paraId="390AC166" w14:textId="77777777" w:rsidR="003548BA" w:rsidRPr="001E7E4A" w:rsidRDefault="003548BA" w:rsidP="0040594E">
            <w:pPr>
              <w:pStyle w:val="Tablebody"/>
              <w:rPr>
                <w:sz w:val="24"/>
                <w:szCs w:val="24"/>
              </w:rPr>
            </w:pPr>
            <w:r w:rsidRPr="001E7E4A">
              <w:rPr>
                <w:sz w:val="24"/>
                <w:szCs w:val="24"/>
              </w:rPr>
              <w:t>14</w:t>
            </w:r>
          </w:p>
        </w:tc>
        <w:tc>
          <w:tcPr>
            <w:tcW w:w="1146" w:type="dxa"/>
            <w:tcBorders>
              <w:left w:val="nil"/>
              <w:right w:val="nil"/>
            </w:tcBorders>
            <w:shd w:val="clear" w:color="auto" w:fill="auto"/>
            <w:noWrap/>
            <w:vAlign w:val="center"/>
          </w:tcPr>
          <w:p w14:paraId="6CAA4669" w14:textId="77777777" w:rsidR="003548BA" w:rsidRPr="001E7E4A" w:rsidRDefault="003548BA" w:rsidP="0040594E">
            <w:pPr>
              <w:pStyle w:val="Tablebody"/>
              <w:rPr>
                <w:sz w:val="24"/>
                <w:szCs w:val="24"/>
              </w:rPr>
            </w:pPr>
            <w:r w:rsidRPr="001E7E4A">
              <w:rPr>
                <w:sz w:val="24"/>
                <w:szCs w:val="24"/>
              </w:rPr>
              <w:t>(19%)</w:t>
            </w:r>
          </w:p>
        </w:tc>
        <w:tc>
          <w:tcPr>
            <w:tcW w:w="659" w:type="dxa"/>
            <w:tcBorders>
              <w:left w:val="nil"/>
              <w:right w:val="nil"/>
            </w:tcBorders>
            <w:shd w:val="clear" w:color="auto" w:fill="auto"/>
            <w:noWrap/>
            <w:vAlign w:val="center"/>
          </w:tcPr>
          <w:p w14:paraId="5B5C1A9C" w14:textId="77777777" w:rsidR="003548BA" w:rsidRPr="001E7E4A" w:rsidRDefault="003548BA" w:rsidP="0040594E">
            <w:pPr>
              <w:pStyle w:val="Tablebody"/>
              <w:rPr>
                <w:sz w:val="24"/>
                <w:szCs w:val="24"/>
              </w:rPr>
            </w:pPr>
            <w:r w:rsidRPr="001E7E4A">
              <w:rPr>
                <w:sz w:val="24"/>
                <w:szCs w:val="24"/>
              </w:rPr>
              <w:t>1.3</w:t>
            </w:r>
          </w:p>
        </w:tc>
        <w:tc>
          <w:tcPr>
            <w:tcW w:w="1253" w:type="dxa"/>
            <w:tcBorders>
              <w:left w:val="nil"/>
              <w:right w:val="nil"/>
            </w:tcBorders>
            <w:shd w:val="clear" w:color="auto" w:fill="auto"/>
            <w:noWrap/>
            <w:vAlign w:val="center"/>
          </w:tcPr>
          <w:p w14:paraId="7775C53C" w14:textId="77777777" w:rsidR="003548BA" w:rsidRPr="001E7E4A" w:rsidRDefault="003548BA" w:rsidP="0040594E">
            <w:pPr>
              <w:pStyle w:val="Tablebody"/>
              <w:rPr>
                <w:sz w:val="24"/>
                <w:szCs w:val="24"/>
              </w:rPr>
            </w:pPr>
            <w:r w:rsidRPr="001E7E4A">
              <w:rPr>
                <w:sz w:val="24"/>
                <w:szCs w:val="24"/>
              </w:rPr>
              <w:t>(0.3, 6.2)</w:t>
            </w:r>
          </w:p>
        </w:tc>
        <w:tc>
          <w:tcPr>
            <w:tcW w:w="1077" w:type="dxa"/>
            <w:gridSpan w:val="3"/>
            <w:tcBorders>
              <w:left w:val="nil"/>
            </w:tcBorders>
            <w:shd w:val="clear" w:color="auto" w:fill="auto"/>
            <w:noWrap/>
            <w:vAlign w:val="center"/>
          </w:tcPr>
          <w:p w14:paraId="7C1C8495" w14:textId="77777777" w:rsidR="003548BA" w:rsidRPr="001E7E4A" w:rsidRDefault="003548BA" w:rsidP="0040594E">
            <w:pPr>
              <w:pStyle w:val="Tablebody"/>
              <w:rPr>
                <w:sz w:val="24"/>
                <w:szCs w:val="24"/>
              </w:rPr>
            </w:pPr>
            <w:r w:rsidRPr="001E7E4A">
              <w:rPr>
                <w:sz w:val="24"/>
                <w:szCs w:val="24"/>
              </w:rPr>
              <w:t>0.75</w:t>
            </w:r>
          </w:p>
        </w:tc>
        <w:tc>
          <w:tcPr>
            <w:tcW w:w="1076" w:type="dxa"/>
            <w:vMerge/>
            <w:tcBorders>
              <w:left w:val="nil"/>
            </w:tcBorders>
          </w:tcPr>
          <w:p w14:paraId="5E69DDBF" w14:textId="77777777" w:rsidR="003548BA" w:rsidRPr="001E7E4A" w:rsidRDefault="003548BA" w:rsidP="0040594E">
            <w:pPr>
              <w:pStyle w:val="Tablebody"/>
              <w:rPr>
                <w:sz w:val="24"/>
                <w:szCs w:val="24"/>
              </w:rPr>
            </w:pPr>
          </w:p>
        </w:tc>
      </w:tr>
      <w:tr w:rsidR="003548BA" w:rsidRPr="001E7E4A" w14:paraId="50E89A98" w14:textId="1E6CBF61" w:rsidTr="00905170">
        <w:trPr>
          <w:gridBefore w:val="1"/>
          <w:wBefore w:w="98" w:type="dxa"/>
          <w:trHeight w:val="300"/>
        </w:trPr>
        <w:tc>
          <w:tcPr>
            <w:tcW w:w="1630" w:type="dxa"/>
            <w:tcBorders>
              <w:right w:val="nil"/>
            </w:tcBorders>
            <w:shd w:val="clear" w:color="auto" w:fill="auto"/>
            <w:noWrap/>
            <w:vAlign w:val="center"/>
            <w:hideMark/>
          </w:tcPr>
          <w:p w14:paraId="2E985526"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High</w:t>
            </w:r>
          </w:p>
        </w:tc>
        <w:tc>
          <w:tcPr>
            <w:tcW w:w="717" w:type="dxa"/>
            <w:tcBorders>
              <w:left w:val="nil"/>
              <w:right w:val="nil"/>
            </w:tcBorders>
            <w:shd w:val="clear" w:color="auto" w:fill="auto"/>
            <w:noWrap/>
            <w:vAlign w:val="center"/>
          </w:tcPr>
          <w:p w14:paraId="25075A5D" w14:textId="77777777" w:rsidR="003548BA" w:rsidRPr="001E7E4A" w:rsidRDefault="003548BA" w:rsidP="0040594E">
            <w:pPr>
              <w:pStyle w:val="Tablebody"/>
              <w:rPr>
                <w:sz w:val="24"/>
                <w:szCs w:val="24"/>
              </w:rPr>
            </w:pPr>
            <w:r w:rsidRPr="001E7E4A">
              <w:rPr>
                <w:sz w:val="24"/>
                <w:szCs w:val="24"/>
              </w:rPr>
              <w:t>6</w:t>
            </w:r>
          </w:p>
        </w:tc>
        <w:tc>
          <w:tcPr>
            <w:tcW w:w="976" w:type="dxa"/>
            <w:tcBorders>
              <w:left w:val="nil"/>
              <w:right w:val="nil"/>
            </w:tcBorders>
            <w:shd w:val="clear" w:color="auto" w:fill="auto"/>
            <w:noWrap/>
            <w:vAlign w:val="center"/>
          </w:tcPr>
          <w:p w14:paraId="2622672C" w14:textId="77777777" w:rsidR="003548BA" w:rsidRPr="001E7E4A" w:rsidRDefault="003548BA" w:rsidP="0040594E">
            <w:pPr>
              <w:pStyle w:val="Tablebody"/>
              <w:rPr>
                <w:sz w:val="24"/>
                <w:szCs w:val="24"/>
              </w:rPr>
            </w:pPr>
            <w:r w:rsidRPr="001E7E4A">
              <w:rPr>
                <w:sz w:val="24"/>
                <w:szCs w:val="24"/>
              </w:rPr>
              <w:t>(33%)</w:t>
            </w:r>
          </w:p>
        </w:tc>
        <w:tc>
          <w:tcPr>
            <w:tcW w:w="717" w:type="dxa"/>
            <w:tcBorders>
              <w:left w:val="nil"/>
              <w:right w:val="nil"/>
            </w:tcBorders>
            <w:shd w:val="clear" w:color="auto" w:fill="auto"/>
            <w:noWrap/>
            <w:vAlign w:val="center"/>
          </w:tcPr>
          <w:p w14:paraId="10DCBE1B" w14:textId="77777777" w:rsidR="003548BA" w:rsidRPr="001E7E4A" w:rsidRDefault="003548BA" w:rsidP="0040594E">
            <w:pPr>
              <w:pStyle w:val="Tablebody"/>
              <w:rPr>
                <w:sz w:val="24"/>
                <w:szCs w:val="24"/>
              </w:rPr>
            </w:pPr>
            <w:r w:rsidRPr="001E7E4A">
              <w:rPr>
                <w:sz w:val="24"/>
                <w:szCs w:val="24"/>
              </w:rPr>
              <w:t>11</w:t>
            </w:r>
          </w:p>
        </w:tc>
        <w:tc>
          <w:tcPr>
            <w:tcW w:w="1146" w:type="dxa"/>
            <w:tcBorders>
              <w:left w:val="nil"/>
              <w:right w:val="nil"/>
            </w:tcBorders>
            <w:shd w:val="clear" w:color="auto" w:fill="auto"/>
            <w:noWrap/>
            <w:vAlign w:val="center"/>
          </w:tcPr>
          <w:p w14:paraId="7F75D158" w14:textId="77777777" w:rsidR="003548BA" w:rsidRPr="001E7E4A" w:rsidRDefault="003548BA" w:rsidP="0040594E">
            <w:pPr>
              <w:pStyle w:val="Tablebody"/>
              <w:rPr>
                <w:sz w:val="24"/>
                <w:szCs w:val="24"/>
              </w:rPr>
            </w:pPr>
            <w:r w:rsidRPr="001E7E4A">
              <w:rPr>
                <w:sz w:val="24"/>
                <w:szCs w:val="24"/>
              </w:rPr>
              <w:t>(15%)</w:t>
            </w:r>
          </w:p>
        </w:tc>
        <w:tc>
          <w:tcPr>
            <w:tcW w:w="659" w:type="dxa"/>
            <w:tcBorders>
              <w:left w:val="nil"/>
              <w:right w:val="nil"/>
            </w:tcBorders>
            <w:shd w:val="clear" w:color="auto" w:fill="auto"/>
            <w:noWrap/>
            <w:vAlign w:val="center"/>
          </w:tcPr>
          <w:p w14:paraId="65ED1E5E" w14:textId="77777777" w:rsidR="003548BA" w:rsidRPr="001E7E4A" w:rsidRDefault="003548BA" w:rsidP="0040594E">
            <w:pPr>
              <w:pStyle w:val="Tablebody"/>
              <w:rPr>
                <w:sz w:val="24"/>
                <w:szCs w:val="24"/>
                <w:vertAlign w:val="superscript"/>
              </w:rPr>
            </w:pPr>
            <w:r w:rsidRPr="001E7E4A">
              <w:rPr>
                <w:sz w:val="24"/>
                <w:szCs w:val="24"/>
              </w:rPr>
              <w:t>3.0</w:t>
            </w:r>
            <w:r w:rsidRPr="001E7E4A">
              <w:rPr>
                <w:sz w:val="24"/>
                <w:szCs w:val="24"/>
                <w:vertAlign w:val="superscript"/>
              </w:rPr>
              <w:t>†</w:t>
            </w:r>
          </w:p>
        </w:tc>
        <w:tc>
          <w:tcPr>
            <w:tcW w:w="1253" w:type="dxa"/>
            <w:tcBorders>
              <w:left w:val="nil"/>
              <w:right w:val="nil"/>
            </w:tcBorders>
            <w:shd w:val="clear" w:color="auto" w:fill="auto"/>
            <w:noWrap/>
            <w:vAlign w:val="center"/>
          </w:tcPr>
          <w:p w14:paraId="54B2F0A9" w14:textId="77777777" w:rsidR="003548BA" w:rsidRPr="001E7E4A" w:rsidRDefault="003548BA" w:rsidP="0040594E">
            <w:pPr>
              <w:pStyle w:val="Tablebody"/>
              <w:rPr>
                <w:sz w:val="24"/>
                <w:szCs w:val="24"/>
              </w:rPr>
            </w:pPr>
            <w:r w:rsidRPr="001E7E4A">
              <w:rPr>
                <w:sz w:val="24"/>
                <w:szCs w:val="24"/>
              </w:rPr>
              <w:t>(0.8, 11)</w:t>
            </w:r>
          </w:p>
        </w:tc>
        <w:tc>
          <w:tcPr>
            <w:tcW w:w="1077" w:type="dxa"/>
            <w:gridSpan w:val="3"/>
            <w:tcBorders>
              <w:left w:val="nil"/>
            </w:tcBorders>
            <w:shd w:val="clear" w:color="auto" w:fill="auto"/>
            <w:noWrap/>
            <w:vAlign w:val="center"/>
          </w:tcPr>
          <w:p w14:paraId="6FC76E8A" w14:textId="77777777" w:rsidR="003548BA" w:rsidRPr="001E7E4A" w:rsidRDefault="003548BA" w:rsidP="0040594E">
            <w:pPr>
              <w:pStyle w:val="Tablebody"/>
              <w:rPr>
                <w:sz w:val="24"/>
                <w:szCs w:val="24"/>
              </w:rPr>
            </w:pPr>
            <w:r w:rsidRPr="001E7E4A">
              <w:rPr>
                <w:sz w:val="24"/>
                <w:szCs w:val="24"/>
              </w:rPr>
              <w:t>0.09</w:t>
            </w:r>
          </w:p>
        </w:tc>
        <w:tc>
          <w:tcPr>
            <w:tcW w:w="1076" w:type="dxa"/>
            <w:vMerge/>
            <w:tcBorders>
              <w:left w:val="nil"/>
            </w:tcBorders>
          </w:tcPr>
          <w:p w14:paraId="4CF6C1A8" w14:textId="77777777" w:rsidR="003548BA" w:rsidRPr="001E7E4A" w:rsidRDefault="003548BA" w:rsidP="0040594E">
            <w:pPr>
              <w:pStyle w:val="Tablebody"/>
              <w:rPr>
                <w:sz w:val="24"/>
                <w:szCs w:val="24"/>
              </w:rPr>
            </w:pPr>
          </w:p>
        </w:tc>
      </w:tr>
      <w:tr w:rsidR="003548BA" w:rsidRPr="001E7E4A" w14:paraId="2A3AB2AA" w14:textId="31702692" w:rsidTr="003548BA">
        <w:trPr>
          <w:gridBefore w:val="1"/>
          <w:wBefore w:w="98" w:type="dxa"/>
          <w:trHeight w:val="300"/>
        </w:trPr>
        <w:tc>
          <w:tcPr>
            <w:tcW w:w="1630" w:type="dxa"/>
            <w:tcBorders>
              <w:right w:val="nil"/>
            </w:tcBorders>
            <w:shd w:val="clear" w:color="auto" w:fill="D9D9D9" w:themeFill="background1" w:themeFillShade="D9"/>
            <w:noWrap/>
            <w:vAlign w:val="center"/>
          </w:tcPr>
          <w:p w14:paraId="067F99CE" w14:textId="77777777" w:rsidR="003548BA" w:rsidRPr="001E7E4A" w:rsidRDefault="003548BA" w:rsidP="0040594E">
            <w:pPr>
              <w:pStyle w:val="Tablebody"/>
              <w:rPr>
                <w:sz w:val="24"/>
                <w:szCs w:val="24"/>
              </w:rPr>
            </w:pPr>
            <w:r w:rsidRPr="001E7E4A">
              <w:rPr>
                <w:sz w:val="24"/>
                <w:szCs w:val="24"/>
              </w:rPr>
              <w:t>Childhood</w:t>
            </w:r>
          </w:p>
        </w:tc>
        <w:tc>
          <w:tcPr>
            <w:tcW w:w="717" w:type="dxa"/>
            <w:tcBorders>
              <w:left w:val="nil"/>
              <w:right w:val="nil"/>
            </w:tcBorders>
            <w:shd w:val="clear" w:color="auto" w:fill="D9D9D9" w:themeFill="background1" w:themeFillShade="D9"/>
            <w:noWrap/>
            <w:vAlign w:val="center"/>
          </w:tcPr>
          <w:p w14:paraId="683C2C7B" w14:textId="77777777" w:rsidR="003548BA" w:rsidRPr="001E7E4A" w:rsidRDefault="003548BA" w:rsidP="0040594E">
            <w:pPr>
              <w:pStyle w:val="Tablebody"/>
              <w:rPr>
                <w:sz w:val="24"/>
                <w:szCs w:val="24"/>
              </w:rPr>
            </w:pPr>
          </w:p>
        </w:tc>
        <w:tc>
          <w:tcPr>
            <w:tcW w:w="976" w:type="dxa"/>
            <w:tcBorders>
              <w:left w:val="nil"/>
              <w:right w:val="nil"/>
            </w:tcBorders>
            <w:shd w:val="clear" w:color="auto" w:fill="D9D9D9" w:themeFill="background1" w:themeFillShade="D9"/>
            <w:noWrap/>
            <w:vAlign w:val="center"/>
          </w:tcPr>
          <w:p w14:paraId="678350CF" w14:textId="77777777" w:rsidR="003548BA" w:rsidRPr="001E7E4A" w:rsidRDefault="003548BA" w:rsidP="0040594E">
            <w:pPr>
              <w:pStyle w:val="Tablebody"/>
              <w:rPr>
                <w:sz w:val="24"/>
                <w:szCs w:val="24"/>
              </w:rPr>
            </w:pPr>
          </w:p>
        </w:tc>
        <w:tc>
          <w:tcPr>
            <w:tcW w:w="717" w:type="dxa"/>
            <w:tcBorders>
              <w:left w:val="nil"/>
              <w:right w:val="nil"/>
            </w:tcBorders>
            <w:shd w:val="clear" w:color="auto" w:fill="D9D9D9" w:themeFill="background1" w:themeFillShade="D9"/>
            <w:noWrap/>
            <w:vAlign w:val="center"/>
          </w:tcPr>
          <w:p w14:paraId="33C00525" w14:textId="77777777" w:rsidR="003548BA" w:rsidRPr="001E7E4A" w:rsidRDefault="003548BA" w:rsidP="0040594E">
            <w:pPr>
              <w:pStyle w:val="Tablebody"/>
              <w:rPr>
                <w:sz w:val="24"/>
                <w:szCs w:val="24"/>
              </w:rPr>
            </w:pPr>
          </w:p>
        </w:tc>
        <w:tc>
          <w:tcPr>
            <w:tcW w:w="1146" w:type="dxa"/>
            <w:tcBorders>
              <w:left w:val="nil"/>
              <w:right w:val="nil"/>
            </w:tcBorders>
            <w:shd w:val="clear" w:color="auto" w:fill="D9D9D9" w:themeFill="background1" w:themeFillShade="D9"/>
            <w:noWrap/>
            <w:vAlign w:val="center"/>
          </w:tcPr>
          <w:p w14:paraId="68921E27" w14:textId="77777777" w:rsidR="003548BA" w:rsidRPr="001E7E4A" w:rsidRDefault="003548BA" w:rsidP="0040594E">
            <w:pPr>
              <w:pStyle w:val="Tablebody"/>
              <w:rPr>
                <w:sz w:val="24"/>
                <w:szCs w:val="24"/>
              </w:rPr>
            </w:pPr>
          </w:p>
        </w:tc>
        <w:tc>
          <w:tcPr>
            <w:tcW w:w="659" w:type="dxa"/>
            <w:tcBorders>
              <w:left w:val="nil"/>
              <w:right w:val="nil"/>
            </w:tcBorders>
            <w:shd w:val="clear" w:color="auto" w:fill="D9D9D9" w:themeFill="background1" w:themeFillShade="D9"/>
            <w:noWrap/>
            <w:vAlign w:val="center"/>
          </w:tcPr>
          <w:p w14:paraId="489BA379" w14:textId="77777777" w:rsidR="003548BA" w:rsidRPr="001E7E4A" w:rsidRDefault="003548BA" w:rsidP="0040594E">
            <w:pPr>
              <w:pStyle w:val="Tablebody"/>
              <w:rPr>
                <w:sz w:val="24"/>
                <w:szCs w:val="24"/>
              </w:rPr>
            </w:pPr>
          </w:p>
        </w:tc>
        <w:tc>
          <w:tcPr>
            <w:tcW w:w="1253" w:type="dxa"/>
            <w:tcBorders>
              <w:left w:val="nil"/>
              <w:right w:val="nil"/>
            </w:tcBorders>
            <w:shd w:val="clear" w:color="auto" w:fill="D9D9D9" w:themeFill="background1" w:themeFillShade="D9"/>
            <w:noWrap/>
            <w:vAlign w:val="center"/>
          </w:tcPr>
          <w:p w14:paraId="15DB229D" w14:textId="77777777" w:rsidR="003548BA" w:rsidRPr="001E7E4A" w:rsidRDefault="003548BA" w:rsidP="0040594E">
            <w:pPr>
              <w:pStyle w:val="Tablebody"/>
              <w:rPr>
                <w:sz w:val="24"/>
                <w:szCs w:val="24"/>
              </w:rPr>
            </w:pPr>
          </w:p>
        </w:tc>
        <w:tc>
          <w:tcPr>
            <w:tcW w:w="1077" w:type="dxa"/>
            <w:gridSpan w:val="3"/>
            <w:tcBorders>
              <w:left w:val="nil"/>
            </w:tcBorders>
            <w:shd w:val="clear" w:color="auto" w:fill="D9D9D9" w:themeFill="background1" w:themeFillShade="D9"/>
            <w:noWrap/>
            <w:vAlign w:val="center"/>
          </w:tcPr>
          <w:p w14:paraId="12CBA9B8" w14:textId="77777777" w:rsidR="003548BA" w:rsidRPr="001E7E4A" w:rsidRDefault="003548BA" w:rsidP="0040594E">
            <w:pPr>
              <w:pStyle w:val="Tablebody"/>
              <w:rPr>
                <w:sz w:val="24"/>
                <w:szCs w:val="24"/>
              </w:rPr>
            </w:pPr>
          </w:p>
        </w:tc>
        <w:tc>
          <w:tcPr>
            <w:tcW w:w="1076" w:type="dxa"/>
            <w:vMerge w:val="restart"/>
            <w:tcBorders>
              <w:left w:val="nil"/>
            </w:tcBorders>
            <w:shd w:val="clear" w:color="auto" w:fill="D9D9D9" w:themeFill="background1" w:themeFillShade="D9"/>
            <w:vAlign w:val="bottom"/>
          </w:tcPr>
          <w:p w14:paraId="36846F07" w14:textId="3A616551" w:rsidR="003548BA" w:rsidRPr="001E7E4A" w:rsidRDefault="00FC4CCC" w:rsidP="0040594E">
            <w:pPr>
              <w:pStyle w:val="Tablebody"/>
              <w:rPr>
                <w:sz w:val="24"/>
                <w:szCs w:val="24"/>
              </w:rPr>
            </w:pPr>
            <w:r w:rsidRPr="001E7E4A">
              <w:rPr>
                <w:sz w:val="24"/>
                <w:szCs w:val="24"/>
              </w:rPr>
              <w:t>0.78</w:t>
            </w:r>
          </w:p>
        </w:tc>
      </w:tr>
      <w:tr w:rsidR="003548BA" w:rsidRPr="001E7E4A" w14:paraId="5F437634" w14:textId="11A43E08" w:rsidTr="003548BA">
        <w:trPr>
          <w:gridBefore w:val="1"/>
          <w:wBefore w:w="98" w:type="dxa"/>
          <w:trHeight w:val="300"/>
        </w:trPr>
        <w:tc>
          <w:tcPr>
            <w:tcW w:w="1630" w:type="dxa"/>
            <w:tcBorders>
              <w:right w:val="nil"/>
            </w:tcBorders>
            <w:shd w:val="clear" w:color="auto" w:fill="D9D9D9" w:themeFill="background1" w:themeFillShade="D9"/>
            <w:noWrap/>
            <w:vAlign w:val="center"/>
            <w:hideMark/>
          </w:tcPr>
          <w:p w14:paraId="28E4EDCA"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Zero</w:t>
            </w:r>
          </w:p>
        </w:tc>
        <w:tc>
          <w:tcPr>
            <w:tcW w:w="717" w:type="dxa"/>
            <w:tcBorders>
              <w:left w:val="nil"/>
              <w:right w:val="nil"/>
            </w:tcBorders>
            <w:shd w:val="clear" w:color="auto" w:fill="D9D9D9" w:themeFill="background1" w:themeFillShade="D9"/>
            <w:noWrap/>
            <w:vAlign w:val="center"/>
          </w:tcPr>
          <w:p w14:paraId="7183238A" w14:textId="77777777" w:rsidR="003548BA" w:rsidRPr="001E7E4A" w:rsidRDefault="003548BA" w:rsidP="0040594E">
            <w:pPr>
              <w:pStyle w:val="Tablebody"/>
              <w:rPr>
                <w:sz w:val="24"/>
                <w:szCs w:val="24"/>
              </w:rPr>
            </w:pPr>
            <w:r w:rsidRPr="001E7E4A">
              <w:rPr>
                <w:sz w:val="24"/>
                <w:szCs w:val="24"/>
              </w:rPr>
              <w:t>4</w:t>
            </w:r>
          </w:p>
        </w:tc>
        <w:tc>
          <w:tcPr>
            <w:tcW w:w="976" w:type="dxa"/>
            <w:tcBorders>
              <w:left w:val="nil"/>
              <w:right w:val="nil"/>
            </w:tcBorders>
            <w:shd w:val="clear" w:color="auto" w:fill="D9D9D9" w:themeFill="background1" w:themeFillShade="D9"/>
            <w:noWrap/>
            <w:vAlign w:val="center"/>
          </w:tcPr>
          <w:p w14:paraId="4EF75812" w14:textId="77777777" w:rsidR="003548BA" w:rsidRPr="001E7E4A" w:rsidRDefault="003548BA" w:rsidP="0040594E">
            <w:pPr>
              <w:pStyle w:val="Tablebody"/>
              <w:rPr>
                <w:sz w:val="24"/>
                <w:szCs w:val="24"/>
              </w:rPr>
            </w:pPr>
            <w:r w:rsidRPr="001E7E4A">
              <w:rPr>
                <w:sz w:val="24"/>
                <w:szCs w:val="24"/>
              </w:rPr>
              <w:t>(22%)</w:t>
            </w:r>
          </w:p>
        </w:tc>
        <w:tc>
          <w:tcPr>
            <w:tcW w:w="717" w:type="dxa"/>
            <w:tcBorders>
              <w:left w:val="nil"/>
              <w:right w:val="nil"/>
            </w:tcBorders>
            <w:shd w:val="clear" w:color="auto" w:fill="D9D9D9" w:themeFill="background1" w:themeFillShade="D9"/>
            <w:noWrap/>
            <w:vAlign w:val="center"/>
          </w:tcPr>
          <w:p w14:paraId="01FA9CF5" w14:textId="77777777" w:rsidR="003548BA" w:rsidRPr="001E7E4A" w:rsidRDefault="003548BA" w:rsidP="0040594E">
            <w:pPr>
              <w:pStyle w:val="Tablebody"/>
              <w:rPr>
                <w:sz w:val="24"/>
                <w:szCs w:val="24"/>
              </w:rPr>
            </w:pPr>
            <w:r w:rsidRPr="001E7E4A">
              <w:rPr>
                <w:sz w:val="24"/>
                <w:szCs w:val="24"/>
              </w:rPr>
              <w:t>12</w:t>
            </w:r>
          </w:p>
        </w:tc>
        <w:tc>
          <w:tcPr>
            <w:tcW w:w="1146" w:type="dxa"/>
            <w:tcBorders>
              <w:left w:val="nil"/>
              <w:right w:val="nil"/>
            </w:tcBorders>
            <w:shd w:val="clear" w:color="auto" w:fill="D9D9D9" w:themeFill="background1" w:themeFillShade="D9"/>
            <w:noWrap/>
            <w:vAlign w:val="center"/>
          </w:tcPr>
          <w:p w14:paraId="0664247F" w14:textId="77777777" w:rsidR="003548BA" w:rsidRPr="001E7E4A" w:rsidRDefault="003548BA" w:rsidP="0040594E">
            <w:pPr>
              <w:pStyle w:val="Tablebody"/>
              <w:rPr>
                <w:sz w:val="24"/>
                <w:szCs w:val="24"/>
              </w:rPr>
            </w:pPr>
            <w:r w:rsidRPr="001E7E4A">
              <w:rPr>
                <w:sz w:val="24"/>
                <w:szCs w:val="24"/>
              </w:rPr>
              <w:t>(16%)</w:t>
            </w:r>
          </w:p>
        </w:tc>
        <w:tc>
          <w:tcPr>
            <w:tcW w:w="659" w:type="dxa"/>
            <w:tcBorders>
              <w:left w:val="nil"/>
              <w:right w:val="nil"/>
            </w:tcBorders>
            <w:shd w:val="clear" w:color="auto" w:fill="D9D9D9" w:themeFill="background1" w:themeFillShade="D9"/>
            <w:noWrap/>
            <w:vAlign w:val="center"/>
          </w:tcPr>
          <w:p w14:paraId="4AD8C62C" w14:textId="77777777" w:rsidR="003548BA" w:rsidRPr="001E7E4A" w:rsidRDefault="003548BA" w:rsidP="0040594E">
            <w:pPr>
              <w:pStyle w:val="Tablebody"/>
              <w:rPr>
                <w:sz w:val="24"/>
                <w:szCs w:val="24"/>
              </w:rPr>
            </w:pPr>
            <w:r w:rsidRPr="001E7E4A">
              <w:rPr>
                <w:sz w:val="24"/>
                <w:szCs w:val="24"/>
              </w:rPr>
              <w:t>1.0</w:t>
            </w:r>
          </w:p>
        </w:tc>
        <w:tc>
          <w:tcPr>
            <w:tcW w:w="2330" w:type="dxa"/>
            <w:gridSpan w:val="4"/>
            <w:tcBorders>
              <w:left w:val="nil"/>
            </w:tcBorders>
            <w:shd w:val="clear" w:color="auto" w:fill="D9D9D9" w:themeFill="background1" w:themeFillShade="D9"/>
            <w:noWrap/>
            <w:vAlign w:val="center"/>
          </w:tcPr>
          <w:p w14:paraId="793772FE" w14:textId="77777777" w:rsidR="003548BA" w:rsidRPr="001E7E4A" w:rsidRDefault="003548BA" w:rsidP="0040594E">
            <w:pPr>
              <w:pStyle w:val="Tablebody"/>
              <w:rPr>
                <w:sz w:val="24"/>
                <w:szCs w:val="24"/>
              </w:rPr>
            </w:pPr>
            <w:r w:rsidRPr="001E7E4A">
              <w:rPr>
                <w:sz w:val="24"/>
                <w:szCs w:val="24"/>
              </w:rPr>
              <w:t>-ref-</w:t>
            </w:r>
          </w:p>
        </w:tc>
        <w:tc>
          <w:tcPr>
            <w:tcW w:w="1076" w:type="dxa"/>
            <w:vMerge/>
            <w:tcBorders>
              <w:left w:val="nil"/>
            </w:tcBorders>
            <w:shd w:val="clear" w:color="auto" w:fill="D9D9D9" w:themeFill="background1" w:themeFillShade="D9"/>
          </w:tcPr>
          <w:p w14:paraId="64EC6E41" w14:textId="77777777" w:rsidR="003548BA" w:rsidRPr="001E7E4A" w:rsidRDefault="003548BA" w:rsidP="0040594E">
            <w:pPr>
              <w:pStyle w:val="Tablebody"/>
              <w:rPr>
                <w:sz w:val="24"/>
                <w:szCs w:val="24"/>
              </w:rPr>
            </w:pPr>
          </w:p>
        </w:tc>
      </w:tr>
      <w:tr w:rsidR="003548BA" w:rsidRPr="001E7E4A" w14:paraId="4050D6BE" w14:textId="5D4E9A0A" w:rsidTr="003548BA">
        <w:trPr>
          <w:gridBefore w:val="1"/>
          <w:wBefore w:w="98" w:type="dxa"/>
          <w:trHeight w:val="300"/>
        </w:trPr>
        <w:tc>
          <w:tcPr>
            <w:tcW w:w="1630" w:type="dxa"/>
            <w:tcBorders>
              <w:right w:val="nil"/>
            </w:tcBorders>
            <w:shd w:val="clear" w:color="auto" w:fill="D9D9D9" w:themeFill="background1" w:themeFillShade="D9"/>
            <w:noWrap/>
            <w:vAlign w:val="center"/>
          </w:tcPr>
          <w:p w14:paraId="3A1A9384"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Low</w:t>
            </w:r>
          </w:p>
        </w:tc>
        <w:tc>
          <w:tcPr>
            <w:tcW w:w="717" w:type="dxa"/>
            <w:tcBorders>
              <w:left w:val="nil"/>
              <w:right w:val="nil"/>
            </w:tcBorders>
            <w:shd w:val="clear" w:color="auto" w:fill="D9D9D9" w:themeFill="background1" w:themeFillShade="D9"/>
            <w:noWrap/>
            <w:vAlign w:val="center"/>
          </w:tcPr>
          <w:p w14:paraId="2899F4A3" w14:textId="77777777" w:rsidR="003548BA" w:rsidRPr="001E7E4A" w:rsidRDefault="003548BA" w:rsidP="0040594E">
            <w:pPr>
              <w:pStyle w:val="Tablebody"/>
              <w:rPr>
                <w:sz w:val="24"/>
                <w:szCs w:val="24"/>
              </w:rPr>
            </w:pPr>
            <w:r w:rsidRPr="001E7E4A">
              <w:rPr>
                <w:sz w:val="24"/>
                <w:szCs w:val="24"/>
              </w:rPr>
              <w:t>5</w:t>
            </w:r>
          </w:p>
        </w:tc>
        <w:tc>
          <w:tcPr>
            <w:tcW w:w="976" w:type="dxa"/>
            <w:tcBorders>
              <w:left w:val="nil"/>
              <w:right w:val="nil"/>
            </w:tcBorders>
            <w:shd w:val="clear" w:color="auto" w:fill="D9D9D9" w:themeFill="background1" w:themeFillShade="D9"/>
            <w:noWrap/>
            <w:vAlign w:val="center"/>
          </w:tcPr>
          <w:p w14:paraId="354AE835" w14:textId="77777777" w:rsidR="003548BA" w:rsidRPr="001E7E4A" w:rsidRDefault="003548BA" w:rsidP="0040594E">
            <w:pPr>
              <w:pStyle w:val="Tablebody"/>
              <w:rPr>
                <w:sz w:val="24"/>
                <w:szCs w:val="24"/>
              </w:rPr>
            </w:pPr>
            <w:r w:rsidRPr="001E7E4A">
              <w:rPr>
                <w:sz w:val="24"/>
                <w:szCs w:val="24"/>
              </w:rPr>
              <w:t>(28%)</w:t>
            </w:r>
          </w:p>
        </w:tc>
        <w:tc>
          <w:tcPr>
            <w:tcW w:w="717" w:type="dxa"/>
            <w:tcBorders>
              <w:left w:val="nil"/>
              <w:right w:val="nil"/>
            </w:tcBorders>
            <w:shd w:val="clear" w:color="auto" w:fill="D9D9D9" w:themeFill="background1" w:themeFillShade="D9"/>
            <w:noWrap/>
            <w:vAlign w:val="center"/>
          </w:tcPr>
          <w:p w14:paraId="15BB0EAD" w14:textId="77777777" w:rsidR="003548BA" w:rsidRPr="001E7E4A" w:rsidRDefault="003548BA" w:rsidP="0040594E">
            <w:pPr>
              <w:pStyle w:val="Tablebody"/>
              <w:rPr>
                <w:sz w:val="24"/>
                <w:szCs w:val="24"/>
              </w:rPr>
            </w:pPr>
            <w:r w:rsidRPr="001E7E4A">
              <w:rPr>
                <w:sz w:val="24"/>
                <w:szCs w:val="24"/>
              </w:rPr>
              <w:t>33</w:t>
            </w:r>
          </w:p>
        </w:tc>
        <w:tc>
          <w:tcPr>
            <w:tcW w:w="1146" w:type="dxa"/>
            <w:tcBorders>
              <w:left w:val="nil"/>
              <w:right w:val="nil"/>
            </w:tcBorders>
            <w:shd w:val="clear" w:color="auto" w:fill="D9D9D9" w:themeFill="background1" w:themeFillShade="D9"/>
            <w:noWrap/>
            <w:vAlign w:val="center"/>
          </w:tcPr>
          <w:p w14:paraId="442EB905" w14:textId="77777777" w:rsidR="003548BA" w:rsidRPr="001E7E4A" w:rsidRDefault="003548BA" w:rsidP="0040594E">
            <w:pPr>
              <w:pStyle w:val="Tablebody"/>
              <w:rPr>
                <w:sz w:val="24"/>
                <w:szCs w:val="24"/>
              </w:rPr>
            </w:pPr>
            <w:r w:rsidRPr="001E7E4A">
              <w:rPr>
                <w:sz w:val="24"/>
                <w:szCs w:val="24"/>
              </w:rPr>
              <w:t>(45%)</w:t>
            </w:r>
          </w:p>
        </w:tc>
        <w:tc>
          <w:tcPr>
            <w:tcW w:w="659" w:type="dxa"/>
            <w:tcBorders>
              <w:left w:val="nil"/>
              <w:right w:val="nil"/>
            </w:tcBorders>
            <w:shd w:val="clear" w:color="auto" w:fill="D9D9D9" w:themeFill="background1" w:themeFillShade="D9"/>
            <w:noWrap/>
            <w:vAlign w:val="center"/>
          </w:tcPr>
          <w:p w14:paraId="4F7CDB2B" w14:textId="77777777" w:rsidR="003548BA" w:rsidRPr="001E7E4A" w:rsidRDefault="003548BA" w:rsidP="0040594E">
            <w:pPr>
              <w:pStyle w:val="Tablebody"/>
              <w:rPr>
                <w:sz w:val="24"/>
                <w:szCs w:val="24"/>
              </w:rPr>
            </w:pPr>
            <w:r w:rsidRPr="001E7E4A">
              <w:rPr>
                <w:sz w:val="24"/>
                <w:szCs w:val="24"/>
              </w:rPr>
              <w:t>0.4</w:t>
            </w:r>
          </w:p>
        </w:tc>
        <w:tc>
          <w:tcPr>
            <w:tcW w:w="1253" w:type="dxa"/>
            <w:tcBorders>
              <w:left w:val="nil"/>
              <w:right w:val="nil"/>
            </w:tcBorders>
            <w:shd w:val="clear" w:color="auto" w:fill="D9D9D9" w:themeFill="background1" w:themeFillShade="D9"/>
            <w:noWrap/>
            <w:vAlign w:val="center"/>
          </w:tcPr>
          <w:p w14:paraId="03F0DF1C" w14:textId="77777777" w:rsidR="003548BA" w:rsidRPr="001E7E4A" w:rsidRDefault="003548BA" w:rsidP="0040594E">
            <w:pPr>
              <w:pStyle w:val="Tablebody"/>
              <w:rPr>
                <w:sz w:val="24"/>
                <w:szCs w:val="24"/>
              </w:rPr>
            </w:pPr>
            <w:r w:rsidRPr="001E7E4A">
              <w:rPr>
                <w:sz w:val="24"/>
                <w:szCs w:val="24"/>
              </w:rPr>
              <w:t>(0.1, 2.0)</w:t>
            </w:r>
          </w:p>
        </w:tc>
        <w:tc>
          <w:tcPr>
            <w:tcW w:w="1077" w:type="dxa"/>
            <w:gridSpan w:val="3"/>
            <w:tcBorders>
              <w:left w:val="nil"/>
            </w:tcBorders>
            <w:shd w:val="clear" w:color="auto" w:fill="D9D9D9" w:themeFill="background1" w:themeFillShade="D9"/>
            <w:noWrap/>
            <w:vAlign w:val="center"/>
          </w:tcPr>
          <w:p w14:paraId="4AABEA85" w14:textId="77777777" w:rsidR="003548BA" w:rsidRPr="001E7E4A" w:rsidRDefault="003548BA" w:rsidP="0040594E">
            <w:pPr>
              <w:pStyle w:val="Tablebody"/>
              <w:rPr>
                <w:sz w:val="24"/>
                <w:szCs w:val="24"/>
              </w:rPr>
            </w:pPr>
            <w:r w:rsidRPr="001E7E4A">
              <w:rPr>
                <w:sz w:val="24"/>
                <w:szCs w:val="24"/>
              </w:rPr>
              <w:t>0.27</w:t>
            </w:r>
          </w:p>
        </w:tc>
        <w:tc>
          <w:tcPr>
            <w:tcW w:w="1076" w:type="dxa"/>
            <w:vMerge/>
            <w:tcBorders>
              <w:left w:val="nil"/>
            </w:tcBorders>
            <w:shd w:val="clear" w:color="auto" w:fill="D9D9D9" w:themeFill="background1" w:themeFillShade="D9"/>
          </w:tcPr>
          <w:p w14:paraId="2B785716" w14:textId="77777777" w:rsidR="003548BA" w:rsidRPr="001E7E4A" w:rsidRDefault="003548BA" w:rsidP="0040594E">
            <w:pPr>
              <w:pStyle w:val="Tablebody"/>
              <w:rPr>
                <w:sz w:val="24"/>
                <w:szCs w:val="24"/>
              </w:rPr>
            </w:pPr>
          </w:p>
        </w:tc>
      </w:tr>
      <w:tr w:rsidR="003548BA" w:rsidRPr="001E7E4A" w14:paraId="0F09FD24" w14:textId="42B1BE95" w:rsidTr="003548BA">
        <w:trPr>
          <w:gridBefore w:val="1"/>
          <w:wBefore w:w="98" w:type="dxa"/>
          <w:trHeight w:val="300"/>
        </w:trPr>
        <w:tc>
          <w:tcPr>
            <w:tcW w:w="1630" w:type="dxa"/>
            <w:tcBorders>
              <w:right w:val="nil"/>
            </w:tcBorders>
            <w:shd w:val="clear" w:color="auto" w:fill="D9D9D9" w:themeFill="background1" w:themeFillShade="D9"/>
            <w:noWrap/>
            <w:vAlign w:val="center"/>
            <w:hideMark/>
          </w:tcPr>
          <w:p w14:paraId="784B1C79"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High</w:t>
            </w:r>
          </w:p>
        </w:tc>
        <w:tc>
          <w:tcPr>
            <w:tcW w:w="717" w:type="dxa"/>
            <w:tcBorders>
              <w:left w:val="nil"/>
              <w:right w:val="nil"/>
            </w:tcBorders>
            <w:shd w:val="clear" w:color="auto" w:fill="D9D9D9" w:themeFill="background1" w:themeFillShade="D9"/>
            <w:noWrap/>
            <w:vAlign w:val="center"/>
          </w:tcPr>
          <w:p w14:paraId="74904BE9" w14:textId="77777777" w:rsidR="003548BA" w:rsidRPr="001E7E4A" w:rsidRDefault="003548BA" w:rsidP="0040594E">
            <w:pPr>
              <w:pStyle w:val="Tablebody"/>
              <w:rPr>
                <w:sz w:val="24"/>
                <w:szCs w:val="24"/>
              </w:rPr>
            </w:pPr>
            <w:r w:rsidRPr="001E7E4A">
              <w:rPr>
                <w:sz w:val="24"/>
                <w:szCs w:val="24"/>
              </w:rPr>
              <w:t>9</w:t>
            </w:r>
          </w:p>
        </w:tc>
        <w:tc>
          <w:tcPr>
            <w:tcW w:w="976" w:type="dxa"/>
            <w:tcBorders>
              <w:left w:val="nil"/>
              <w:right w:val="nil"/>
            </w:tcBorders>
            <w:shd w:val="clear" w:color="auto" w:fill="D9D9D9" w:themeFill="background1" w:themeFillShade="D9"/>
            <w:noWrap/>
            <w:vAlign w:val="center"/>
          </w:tcPr>
          <w:p w14:paraId="5EBD1085" w14:textId="77777777" w:rsidR="003548BA" w:rsidRPr="001E7E4A" w:rsidRDefault="003548BA" w:rsidP="0040594E">
            <w:pPr>
              <w:pStyle w:val="Tablebody"/>
              <w:rPr>
                <w:sz w:val="24"/>
                <w:szCs w:val="24"/>
              </w:rPr>
            </w:pPr>
            <w:r w:rsidRPr="001E7E4A">
              <w:rPr>
                <w:sz w:val="24"/>
                <w:szCs w:val="24"/>
              </w:rPr>
              <w:t>(50%)</w:t>
            </w:r>
          </w:p>
        </w:tc>
        <w:tc>
          <w:tcPr>
            <w:tcW w:w="717" w:type="dxa"/>
            <w:tcBorders>
              <w:left w:val="nil"/>
              <w:right w:val="nil"/>
            </w:tcBorders>
            <w:shd w:val="clear" w:color="auto" w:fill="D9D9D9" w:themeFill="background1" w:themeFillShade="D9"/>
            <w:noWrap/>
            <w:vAlign w:val="center"/>
          </w:tcPr>
          <w:p w14:paraId="162FA74B" w14:textId="77777777" w:rsidR="003548BA" w:rsidRPr="001E7E4A" w:rsidRDefault="003548BA" w:rsidP="0040594E">
            <w:pPr>
              <w:pStyle w:val="Tablebody"/>
              <w:rPr>
                <w:sz w:val="24"/>
                <w:szCs w:val="24"/>
              </w:rPr>
            </w:pPr>
            <w:r w:rsidRPr="001E7E4A">
              <w:rPr>
                <w:sz w:val="24"/>
                <w:szCs w:val="24"/>
              </w:rPr>
              <w:t>29</w:t>
            </w:r>
          </w:p>
        </w:tc>
        <w:tc>
          <w:tcPr>
            <w:tcW w:w="1146" w:type="dxa"/>
            <w:tcBorders>
              <w:left w:val="nil"/>
              <w:right w:val="nil"/>
            </w:tcBorders>
            <w:shd w:val="clear" w:color="auto" w:fill="D9D9D9" w:themeFill="background1" w:themeFillShade="D9"/>
            <w:noWrap/>
            <w:vAlign w:val="center"/>
          </w:tcPr>
          <w:p w14:paraId="3D31AE14" w14:textId="77777777" w:rsidR="003548BA" w:rsidRPr="001E7E4A" w:rsidRDefault="003548BA" w:rsidP="0040594E">
            <w:pPr>
              <w:pStyle w:val="Tablebody"/>
              <w:rPr>
                <w:sz w:val="24"/>
                <w:szCs w:val="24"/>
              </w:rPr>
            </w:pPr>
            <w:r w:rsidRPr="001E7E4A">
              <w:rPr>
                <w:sz w:val="24"/>
                <w:szCs w:val="24"/>
              </w:rPr>
              <w:t>(39%)</w:t>
            </w:r>
          </w:p>
        </w:tc>
        <w:tc>
          <w:tcPr>
            <w:tcW w:w="659" w:type="dxa"/>
            <w:tcBorders>
              <w:left w:val="nil"/>
              <w:right w:val="nil"/>
            </w:tcBorders>
            <w:shd w:val="clear" w:color="auto" w:fill="D9D9D9" w:themeFill="background1" w:themeFillShade="D9"/>
            <w:noWrap/>
            <w:vAlign w:val="center"/>
          </w:tcPr>
          <w:p w14:paraId="35F01A32" w14:textId="77777777" w:rsidR="003548BA" w:rsidRPr="001E7E4A" w:rsidRDefault="003548BA" w:rsidP="0040594E">
            <w:pPr>
              <w:pStyle w:val="Tablebody"/>
              <w:rPr>
                <w:sz w:val="24"/>
                <w:szCs w:val="24"/>
              </w:rPr>
            </w:pPr>
            <w:r w:rsidRPr="001E7E4A">
              <w:rPr>
                <w:sz w:val="24"/>
                <w:szCs w:val="24"/>
              </w:rPr>
              <w:t>0.9</w:t>
            </w:r>
          </w:p>
        </w:tc>
        <w:tc>
          <w:tcPr>
            <w:tcW w:w="1253" w:type="dxa"/>
            <w:tcBorders>
              <w:left w:val="nil"/>
              <w:right w:val="nil"/>
            </w:tcBorders>
            <w:shd w:val="clear" w:color="auto" w:fill="D9D9D9" w:themeFill="background1" w:themeFillShade="D9"/>
            <w:noWrap/>
            <w:vAlign w:val="center"/>
          </w:tcPr>
          <w:p w14:paraId="5729BD57" w14:textId="77777777" w:rsidR="003548BA" w:rsidRPr="001E7E4A" w:rsidRDefault="003548BA" w:rsidP="0040594E">
            <w:pPr>
              <w:pStyle w:val="Tablebody"/>
              <w:rPr>
                <w:sz w:val="24"/>
                <w:szCs w:val="24"/>
              </w:rPr>
            </w:pPr>
            <w:r w:rsidRPr="001E7E4A">
              <w:rPr>
                <w:sz w:val="24"/>
                <w:szCs w:val="24"/>
              </w:rPr>
              <w:t>(0.2, 3.5)</w:t>
            </w:r>
          </w:p>
        </w:tc>
        <w:tc>
          <w:tcPr>
            <w:tcW w:w="1077" w:type="dxa"/>
            <w:gridSpan w:val="3"/>
            <w:tcBorders>
              <w:left w:val="nil"/>
            </w:tcBorders>
            <w:shd w:val="clear" w:color="auto" w:fill="D9D9D9" w:themeFill="background1" w:themeFillShade="D9"/>
            <w:noWrap/>
            <w:vAlign w:val="center"/>
          </w:tcPr>
          <w:p w14:paraId="77518FE3" w14:textId="77777777" w:rsidR="003548BA" w:rsidRPr="001E7E4A" w:rsidRDefault="003548BA" w:rsidP="0040594E">
            <w:pPr>
              <w:pStyle w:val="Tablebody"/>
              <w:rPr>
                <w:sz w:val="24"/>
                <w:szCs w:val="24"/>
              </w:rPr>
            </w:pPr>
            <w:r w:rsidRPr="001E7E4A">
              <w:rPr>
                <w:sz w:val="24"/>
                <w:szCs w:val="24"/>
              </w:rPr>
              <w:t>0.86</w:t>
            </w:r>
          </w:p>
        </w:tc>
        <w:tc>
          <w:tcPr>
            <w:tcW w:w="1076" w:type="dxa"/>
            <w:vMerge/>
            <w:tcBorders>
              <w:left w:val="nil"/>
            </w:tcBorders>
            <w:shd w:val="clear" w:color="auto" w:fill="D9D9D9" w:themeFill="background1" w:themeFillShade="D9"/>
          </w:tcPr>
          <w:p w14:paraId="37E940EE" w14:textId="77777777" w:rsidR="003548BA" w:rsidRPr="001E7E4A" w:rsidRDefault="003548BA" w:rsidP="0040594E">
            <w:pPr>
              <w:pStyle w:val="Tablebody"/>
              <w:rPr>
                <w:sz w:val="24"/>
                <w:szCs w:val="24"/>
              </w:rPr>
            </w:pPr>
          </w:p>
        </w:tc>
      </w:tr>
      <w:tr w:rsidR="003548BA" w:rsidRPr="001E7E4A" w14:paraId="6003395D" w14:textId="0A6CCC65" w:rsidTr="003548BA">
        <w:trPr>
          <w:trHeight w:val="657"/>
        </w:trPr>
        <w:tc>
          <w:tcPr>
            <w:tcW w:w="1728" w:type="dxa"/>
            <w:gridSpan w:val="2"/>
            <w:vMerge w:val="restart"/>
            <w:tcBorders>
              <w:top w:val="nil"/>
              <w:right w:val="nil"/>
            </w:tcBorders>
            <w:shd w:val="clear" w:color="auto" w:fill="auto"/>
            <w:noWrap/>
            <w:vAlign w:val="center"/>
            <w:hideMark/>
          </w:tcPr>
          <w:p w14:paraId="6C6EA9DB" w14:textId="77777777" w:rsidR="003548BA" w:rsidRPr="006C6870" w:rsidRDefault="003548BA" w:rsidP="0040594E">
            <w:pPr>
              <w:pStyle w:val="Tablebody"/>
              <w:rPr>
                <w:b/>
                <w:bCs/>
                <w:sz w:val="24"/>
                <w:szCs w:val="24"/>
              </w:rPr>
            </w:pPr>
            <w:r w:rsidRPr="006C6870">
              <w:rPr>
                <w:b/>
                <w:bCs/>
                <w:sz w:val="24"/>
                <w:szCs w:val="24"/>
              </w:rPr>
              <w:t>Leukemia/</w:t>
            </w:r>
          </w:p>
          <w:p w14:paraId="0D41035B" w14:textId="6C771BEF" w:rsidR="003548BA" w:rsidRPr="001E7E4A" w:rsidRDefault="003548BA" w:rsidP="0040594E">
            <w:pPr>
              <w:pStyle w:val="Tablebody"/>
              <w:rPr>
                <w:sz w:val="24"/>
                <w:szCs w:val="24"/>
              </w:rPr>
            </w:pPr>
            <w:r w:rsidRPr="006C6870">
              <w:rPr>
                <w:b/>
                <w:bCs/>
                <w:sz w:val="24"/>
                <w:szCs w:val="24"/>
              </w:rPr>
              <w:t>Lymphoma</w:t>
            </w:r>
            <w:r w:rsidRPr="001E7E4A">
              <w:rPr>
                <w:sz w:val="24"/>
                <w:szCs w:val="24"/>
              </w:rPr>
              <w:t>   </w:t>
            </w:r>
          </w:p>
        </w:tc>
        <w:tc>
          <w:tcPr>
            <w:tcW w:w="1693" w:type="dxa"/>
            <w:gridSpan w:val="2"/>
            <w:tcBorders>
              <w:left w:val="nil"/>
              <w:right w:val="nil"/>
            </w:tcBorders>
            <w:shd w:val="clear" w:color="auto" w:fill="auto"/>
            <w:noWrap/>
            <w:vAlign w:val="bottom"/>
            <w:hideMark/>
          </w:tcPr>
          <w:p w14:paraId="122A7328" w14:textId="77777777" w:rsidR="003548BA" w:rsidRPr="00FA77A6" w:rsidRDefault="003548BA" w:rsidP="0040594E">
            <w:pPr>
              <w:pStyle w:val="Tablebody"/>
              <w:rPr>
                <w:b/>
                <w:bCs/>
                <w:sz w:val="24"/>
                <w:szCs w:val="24"/>
              </w:rPr>
            </w:pPr>
            <w:r w:rsidRPr="00FA77A6">
              <w:rPr>
                <w:b/>
                <w:bCs/>
                <w:sz w:val="24"/>
                <w:szCs w:val="24"/>
              </w:rPr>
              <w:t>Cases</w:t>
            </w:r>
          </w:p>
          <w:p w14:paraId="019088BF" w14:textId="77777777" w:rsidR="003548BA" w:rsidRPr="00FA77A6" w:rsidRDefault="003548BA" w:rsidP="0040594E">
            <w:pPr>
              <w:pStyle w:val="Tablebody"/>
              <w:rPr>
                <w:b/>
                <w:bCs/>
                <w:sz w:val="24"/>
                <w:szCs w:val="24"/>
              </w:rPr>
            </w:pPr>
            <w:r w:rsidRPr="00FA77A6">
              <w:rPr>
                <w:b/>
                <w:bCs/>
                <w:sz w:val="24"/>
                <w:szCs w:val="24"/>
              </w:rPr>
              <w:t>(n=11)</w:t>
            </w:r>
          </w:p>
        </w:tc>
        <w:tc>
          <w:tcPr>
            <w:tcW w:w="1863" w:type="dxa"/>
            <w:gridSpan w:val="2"/>
            <w:tcBorders>
              <w:left w:val="nil"/>
              <w:right w:val="nil"/>
            </w:tcBorders>
            <w:shd w:val="clear" w:color="auto" w:fill="auto"/>
            <w:noWrap/>
            <w:vAlign w:val="bottom"/>
            <w:hideMark/>
          </w:tcPr>
          <w:p w14:paraId="20DAB83E" w14:textId="77777777" w:rsidR="003548BA" w:rsidRPr="00FA77A6" w:rsidRDefault="003548BA" w:rsidP="0040594E">
            <w:pPr>
              <w:pStyle w:val="Tablebody"/>
              <w:rPr>
                <w:b/>
                <w:bCs/>
                <w:sz w:val="24"/>
                <w:szCs w:val="24"/>
              </w:rPr>
            </w:pPr>
            <w:r w:rsidRPr="00FA77A6">
              <w:rPr>
                <w:b/>
                <w:bCs/>
                <w:sz w:val="24"/>
                <w:szCs w:val="24"/>
              </w:rPr>
              <w:t>Controls</w:t>
            </w:r>
          </w:p>
          <w:p w14:paraId="01DAE67D" w14:textId="77777777" w:rsidR="003548BA" w:rsidRPr="00FA77A6" w:rsidRDefault="003548BA" w:rsidP="0040594E">
            <w:pPr>
              <w:pStyle w:val="Tablebody"/>
              <w:rPr>
                <w:b/>
                <w:bCs/>
                <w:sz w:val="24"/>
                <w:szCs w:val="24"/>
              </w:rPr>
            </w:pPr>
            <w:r w:rsidRPr="00FA77A6">
              <w:rPr>
                <w:b/>
                <w:bCs/>
                <w:sz w:val="24"/>
                <w:szCs w:val="24"/>
              </w:rPr>
              <w:t>(n=45)</w:t>
            </w:r>
          </w:p>
        </w:tc>
        <w:tc>
          <w:tcPr>
            <w:tcW w:w="659" w:type="dxa"/>
            <w:tcBorders>
              <w:left w:val="nil"/>
              <w:right w:val="nil"/>
            </w:tcBorders>
            <w:shd w:val="clear" w:color="auto" w:fill="auto"/>
            <w:noWrap/>
            <w:vAlign w:val="center"/>
          </w:tcPr>
          <w:p w14:paraId="45C8FEB9" w14:textId="77777777" w:rsidR="003548BA" w:rsidRPr="00FA77A6" w:rsidRDefault="003548BA" w:rsidP="0040594E">
            <w:pPr>
              <w:pStyle w:val="Tablebody"/>
              <w:rPr>
                <w:b/>
                <w:bCs/>
                <w:sz w:val="24"/>
                <w:szCs w:val="24"/>
              </w:rPr>
            </w:pPr>
          </w:p>
        </w:tc>
        <w:tc>
          <w:tcPr>
            <w:tcW w:w="1261" w:type="dxa"/>
            <w:gridSpan w:val="2"/>
            <w:tcBorders>
              <w:left w:val="nil"/>
              <w:right w:val="nil"/>
            </w:tcBorders>
            <w:shd w:val="clear" w:color="auto" w:fill="auto"/>
            <w:noWrap/>
            <w:vAlign w:val="center"/>
          </w:tcPr>
          <w:p w14:paraId="4AE0CEF8" w14:textId="77777777" w:rsidR="003548BA" w:rsidRPr="00FA77A6" w:rsidRDefault="003548BA" w:rsidP="0040594E">
            <w:pPr>
              <w:pStyle w:val="Tablebody"/>
              <w:rPr>
                <w:b/>
                <w:bCs/>
                <w:sz w:val="24"/>
                <w:szCs w:val="24"/>
              </w:rPr>
            </w:pPr>
          </w:p>
        </w:tc>
        <w:tc>
          <w:tcPr>
            <w:tcW w:w="1069" w:type="dxa"/>
            <w:gridSpan w:val="2"/>
            <w:tcBorders>
              <w:left w:val="nil"/>
            </w:tcBorders>
            <w:shd w:val="clear" w:color="auto" w:fill="auto"/>
            <w:noWrap/>
            <w:vAlign w:val="center"/>
          </w:tcPr>
          <w:p w14:paraId="2D70EB64" w14:textId="77777777" w:rsidR="003548BA" w:rsidRPr="00FA77A6" w:rsidRDefault="003548BA" w:rsidP="0040594E">
            <w:pPr>
              <w:pStyle w:val="Tablebody"/>
              <w:rPr>
                <w:b/>
                <w:bCs/>
                <w:sz w:val="24"/>
                <w:szCs w:val="24"/>
              </w:rPr>
            </w:pPr>
          </w:p>
        </w:tc>
        <w:tc>
          <w:tcPr>
            <w:tcW w:w="1076" w:type="dxa"/>
            <w:vMerge w:val="restart"/>
            <w:tcBorders>
              <w:left w:val="nil"/>
            </w:tcBorders>
            <w:vAlign w:val="bottom"/>
          </w:tcPr>
          <w:p w14:paraId="0AEA01AE" w14:textId="4301BE6F" w:rsidR="003548BA" w:rsidRPr="00FA77A6" w:rsidRDefault="003548BA" w:rsidP="0040594E">
            <w:pPr>
              <w:pStyle w:val="Tablebody"/>
              <w:rPr>
                <w:b/>
                <w:bCs/>
                <w:sz w:val="24"/>
                <w:szCs w:val="24"/>
              </w:rPr>
            </w:pPr>
            <w:r w:rsidRPr="00FA77A6">
              <w:rPr>
                <w:b/>
                <w:bCs/>
                <w:sz w:val="24"/>
                <w:szCs w:val="24"/>
              </w:rPr>
              <w:t xml:space="preserve">Trend Analysis </w:t>
            </w:r>
            <w:r w:rsidRPr="00FA77A6">
              <w:rPr>
                <w:b/>
                <w:bCs/>
                <w:i/>
                <w:sz w:val="24"/>
                <w:szCs w:val="24"/>
              </w:rPr>
              <w:t>p</w:t>
            </w:r>
            <w:r w:rsidRPr="00FA77A6">
              <w:rPr>
                <w:b/>
                <w:bCs/>
                <w:sz w:val="24"/>
                <w:szCs w:val="24"/>
              </w:rPr>
              <w:t>-value</w:t>
            </w:r>
          </w:p>
        </w:tc>
      </w:tr>
      <w:tr w:rsidR="003548BA" w:rsidRPr="001E7E4A" w14:paraId="63130119" w14:textId="4E4F3286" w:rsidTr="003548BA">
        <w:trPr>
          <w:trHeight w:val="300"/>
        </w:trPr>
        <w:tc>
          <w:tcPr>
            <w:tcW w:w="1728" w:type="dxa"/>
            <w:gridSpan w:val="2"/>
            <w:vMerge/>
            <w:tcBorders>
              <w:right w:val="nil"/>
            </w:tcBorders>
            <w:shd w:val="clear" w:color="auto" w:fill="auto"/>
            <w:noWrap/>
            <w:vAlign w:val="center"/>
            <w:hideMark/>
          </w:tcPr>
          <w:p w14:paraId="76BC7D0C" w14:textId="6FA01C68" w:rsidR="003548BA" w:rsidRPr="001E7E4A" w:rsidRDefault="003548BA" w:rsidP="0040594E">
            <w:pPr>
              <w:pStyle w:val="Tablebody"/>
              <w:rPr>
                <w:sz w:val="24"/>
                <w:szCs w:val="24"/>
              </w:rPr>
            </w:pPr>
          </w:p>
        </w:tc>
        <w:tc>
          <w:tcPr>
            <w:tcW w:w="717" w:type="dxa"/>
            <w:tcBorders>
              <w:top w:val="nil"/>
              <w:left w:val="nil"/>
              <w:bottom w:val="single" w:sz="4" w:space="0" w:color="auto"/>
              <w:right w:val="nil"/>
            </w:tcBorders>
            <w:shd w:val="clear" w:color="auto" w:fill="auto"/>
            <w:noWrap/>
            <w:vAlign w:val="bottom"/>
            <w:hideMark/>
          </w:tcPr>
          <w:p w14:paraId="38163483" w14:textId="77777777" w:rsidR="003548BA" w:rsidRPr="00FA77A6" w:rsidRDefault="003548BA" w:rsidP="0040594E">
            <w:pPr>
              <w:pStyle w:val="Tablebody"/>
              <w:rPr>
                <w:b/>
                <w:bCs/>
                <w:sz w:val="24"/>
                <w:szCs w:val="24"/>
              </w:rPr>
            </w:pPr>
            <w:r w:rsidRPr="00FA77A6">
              <w:rPr>
                <w:b/>
                <w:bCs/>
                <w:sz w:val="24"/>
                <w:szCs w:val="24"/>
              </w:rPr>
              <w:t>n</w:t>
            </w:r>
          </w:p>
        </w:tc>
        <w:tc>
          <w:tcPr>
            <w:tcW w:w="976" w:type="dxa"/>
            <w:tcBorders>
              <w:top w:val="nil"/>
              <w:left w:val="nil"/>
              <w:bottom w:val="single" w:sz="4" w:space="0" w:color="auto"/>
              <w:right w:val="nil"/>
            </w:tcBorders>
            <w:shd w:val="clear" w:color="auto" w:fill="auto"/>
            <w:noWrap/>
            <w:vAlign w:val="bottom"/>
            <w:hideMark/>
          </w:tcPr>
          <w:p w14:paraId="46E968DF" w14:textId="77777777" w:rsidR="003548BA" w:rsidRPr="00FA77A6" w:rsidRDefault="003548BA" w:rsidP="0040594E">
            <w:pPr>
              <w:pStyle w:val="Tablebody"/>
              <w:rPr>
                <w:b/>
                <w:bCs/>
                <w:sz w:val="24"/>
                <w:szCs w:val="24"/>
              </w:rPr>
            </w:pPr>
            <w:r w:rsidRPr="00FA77A6">
              <w:rPr>
                <w:b/>
                <w:bCs/>
                <w:sz w:val="24"/>
                <w:szCs w:val="24"/>
              </w:rPr>
              <w:t>(%)</w:t>
            </w:r>
          </w:p>
        </w:tc>
        <w:tc>
          <w:tcPr>
            <w:tcW w:w="717" w:type="dxa"/>
            <w:tcBorders>
              <w:top w:val="nil"/>
              <w:left w:val="nil"/>
              <w:bottom w:val="single" w:sz="4" w:space="0" w:color="auto"/>
              <w:right w:val="nil"/>
            </w:tcBorders>
            <w:shd w:val="clear" w:color="auto" w:fill="auto"/>
            <w:noWrap/>
            <w:vAlign w:val="bottom"/>
            <w:hideMark/>
          </w:tcPr>
          <w:p w14:paraId="03690057" w14:textId="77777777" w:rsidR="003548BA" w:rsidRPr="00FA77A6" w:rsidRDefault="003548BA" w:rsidP="0040594E">
            <w:pPr>
              <w:pStyle w:val="Tablebody"/>
              <w:rPr>
                <w:b/>
                <w:bCs/>
                <w:sz w:val="24"/>
                <w:szCs w:val="24"/>
              </w:rPr>
            </w:pPr>
            <w:r w:rsidRPr="00FA77A6">
              <w:rPr>
                <w:b/>
                <w:bCs/>
                <w:sz w:val="24"/>
                <w:szCs w:val="24"/>
              </w:rPr>
              <w:t>n</w:t>
            </w:r>
          </w:p>
        </w:tc>
        <w:tc>
          <w:tcPr>
            <w:tcW w:w="1146" w:type="dxa"/>
            <w:tcBorders>
              <w:top w:val="nil"/>
              <w:left w:val="nil"/>
              <w:bottom w:val="single" w:sz="4" w:space="0" w:color="auto"/>
              <w:right w:val="nil"/>
            </w:tcBorders>
            <w:shd w:val="clear" w:color="auto" w:fill="auto"/>
            <w:noWrap/>
            <w:vAlign w:val="bottom"/>
            <w:hideMark/>
          </w:tcPr>
          <w:p w14:paraId="6E3ECE76" w14:textId="77777777" w:rsidR="003548BA" w:rsidRPr="00FA77A6" w:rsidRDefault="003548BA" w:rsidP="0040594E">
            <w:pPr>
              <w:pStyle w:val="Tablebody"/>
              <w:rPr>
                <w:b/>
                <w:bCs/>
                <w:sz w:val="24"/>
                <w:szCs w:val="24"/>
              </w:rPr>
            </w:pPr>
            <w:r w:rsidRPr="00FA77A6">
              <w:rPr>
                <w:b/>
                <w:bCs/>
                <w:sz w:val="24"/>
                <w:szCs w:val="24"/>
              </w:rPr>
              <w:t>(%)</w:t>
            </w:r>
          </w:p>
        </w:tc>
        <w:tc>
          <w:tcPr>
            <w:tcW w:w="659" w:type="dxa"/>
            <w:tcBorders>
              <w:top w:val="nil"/>
              <w:left w:val="nil"/>
              <w:bottom w:val="single" w:sz="4" w:space="0" w:color="auto"/>
              <w:right w:val="nil"/>
            </w:tcBorders>
            <w:shd w:val="clear" w:color="auto" w:fill="auto"/>
            <w:vAlign w:val="bottom"/>
            <w:hideMark/>
          </w:tcPr>
          <w:p w14:paraId="7A83824B" w14:textId="77777777" w:rsidR="003548BA" w:rsidRPr="00FA77A6" w:rsidRDefault="003548BA" w:rsidP="0040594E">
            <w:pPr>
              <w:pStyle w:val="Tablebody"/>
              <w:rPr>
                <w:b/>
                <w:bCs/>
                <w:sz w:val="24"/>
                <w:szCs w:val="24"/>
              </w:rPr>
            </w:pPr>
            <w:proofErr w:type="spellStart"/>
            <w:r w:rsidRPr="00FA77A6">
              <w:rPr>
                <w:b/>
                <w:bCs/>
                <w:sz w:val="24"/>
                <w:szCs w:val="24"/>
              </w:rPr>
              <w:t>OR</w:t>
            </w:r>
            <w:r w:rsidRPr="00FA77A6">
              <w:rPr>
                <w:b/>
                <w:bCs/>
                <w:sz w:val="24"/>
                <w:szCs w:val="24"/>
                <w:vertAlign w:val="superscript"/>
              </w:rPr>
              <w:t>a</w:t>
            </w:r>
            <w:proofErr w:type="spellEnd"/>
          </w:p>
        </w:tc>
        <w:tc>
          <w:tcPr>
            <w:tcW w:w="1253" w:type="dxa"/>
            <w:tcBorders>
              <w:top w:val="nil"/>
              <w:left w:val="nil"/>
              <w:bottom w:val="single" w:sz="4" w:space="0" w:color="auto"/>
              <w:right w:val="nil"/>
            </w:tcBorders>
            <w:shd w:val="clear" w:color="auto" w:fill="auto"/>
            <w:vAlign w:val="bottom"/>
            <w:hideMark/>
          </w:tcPr>
          <w:p w14:paraId="222A7A26" w14:textId="77777777" w:rsidR="003548BA" w:rsidRPr="00FA77A6" w:rsidRDefault="003548BA" w:rsidP="0040594E">
            <w:pPr>
              <w:pStyle w:val="Tablebody"/>
              <w:rPr>
                <w:b/>
                <w:bCs/>
                <w:sz w:val="24"/>
                <w:szCs w:val="24"/>
              </w:rPr>
            </w:pPr>
            <w:r w:rsidRPr="00FA77A6">
              <w:rPr>
                <w:b/>
                <w:bCs/>
                <w:sz w:val="24"/>
                <w:szCs w:val="24"/>
              </w:rPr>
              <w:t xml:space="preserve">95% </w:t>
            </w:r>
            <w:proofErr w:type="spellStart"/>
            <w:r w:rsidRPr="00FA77A6">
              <w:rPr>
                <w:b/>
                <w:bCs/>
                <w:sz w:val="24"/>
                <w:szCs w:val="24"/>
              </w:rPr>
              <w:t>CI</w:t>
            </w:r>
            <w:r w:rsidRPr="00FA77A6">
              <w:rPr>
                <w:b/>
                <w:bCs/>
                <w:sz w:val="24"/>
                <w:szCs w:val="24"/>
                <w:vertAlign w:val="superscript"/>
              </w:rPr>
              <w:t>b</w:t>
            </w:r>
            <w:proofErr w:type="spellEnd"/>
          </w:p>
        </w:tc>
        <w:tc>
          <w:tcPr>
            <w:tcW w:w="1077" w:type="dxa"/>
            <w:gridSpan w:val="3"/>
            <w:tcBorders>
              <w:top w:val="nil"/>
              <w:left w:val="nil"/>
              <w:bottom w:val="single" w:sz="4" w:space="0" w:color="auto"/>
            </w:tcBorders>
            <w:shd w:val="clear" w:color="auto" w:fill="auto"/>
            <w:vAlign w:val="bottom"/>
            <w:hideMark/>
          </w:tcPr>
          <w:p w14:paraId="529CC3DE" w14:textId="77777777" w:rsidR="003548BA" w:rsidRPr="00FA77A6" w:rsidRDefault="003548BA" w:rsidP="0040594E">
            <w:pPr>
              <w:pStyle w:val="Tablebody"/>
              <w:rPr>
                <w:b/>
                <w:bCs/>
                <w:sz w:val="24"/>
                <w:szCs w:val="24"/>
              </w:rPr>
            </w:pPr>
            <w:r w:rsidRPr="00FA77A6">
              <w:rPr>
                <w:b/>
                <w:bCs/>
                <w:i/>
                <w:sz w:val="24"/>
                <w:szCs w:val="24"/>
              </w:rPr>
              <w:t>p</w:t>
            </w:r>
            <w:r w:rsidRPr="00FA77A6">
              <w:rPr>
                <w:b/>
                <w:bCs/>
                <w:sz w:val="24"/>
                <w:szCs w:val="24"/>
              </w:rPr>
              <w:t>-value</w:t>
            </w:r>
          </w:p>
        </w:tc>
        <w:tc>
          <w:tcPr>
            <w:tcW w:w="1076" w:type="dxa"/>
            <w:vMerge/>
            <w:tcBorders>
              <w:left w:val="nil"/>
              <w:bottom w:val="single" w:sz="4" w:space="0" w:color="auto"/>
            </w:tcBorders>
          </w:tcPr>
          <w:p w14:paraId="4F520F01" w14:textId="77777777" w:rsidR="003548BA" w:rsidRPr="00FA77A6" w:rsidRDefault="003548BA" w:rsidP="0040594E">
            <w:pPr>
              <w:pStyle w:val="Tablebody"/>
              <w:rPr>
                <w:b/>
                <w:bCs/>
                <w:sz w:val="24"/>
                <w:szCs w:val="24"/>
              </w:rPr>
            </w:pPr>
          </w:p>
        </w:tc>
      </w:tr>
      <w:tr w:rsidR="00905170" w:rsidRPr="001E7E4A" w14:paraId="3C02E532" w14:textId="1A16686A" w:rsidTr="00905170">
        <w:trPr>
          <w:gridBefore w:val="1"/>
          <w:wBefore w:w="98" w:type="dxa"/>
          <w:trHeight w:val="300"/>
        </w:trPr>
        <w:tc>
          <w:tcPr>
            <w:tcW w:w="1630" w:type="dxa"/>
            <w:tcBorders>
              <w:top w:val="nil"/>
              <w:right w:val="nil"/>
            </w:tcBorders>
            <w:shd w:val="clear" w:color="auto" w:fill="auto"/>
            <w:noWrap/>
            <w:vAlign w:val="center"/>
          </w:tcPr>
          <w:p w14:paraId="6B1E1A09" w14:textId="77777777" w:rsidR="00905170" w:rsidRPr="001E7E4A" w:rsidRDefault="00905170" w:rsidP="0040594E">
            <w:pPr>
              <w:pStyle w:val="Tablebody"/>
              <w:rPr>
                <w:sz w:val="24"/>
                <w:szCs w:val="24"/>
              </w:rPr>
            </w:pPr>
            <w:r w:rsidRPr="001E7E4A">
              <w:rPr>
                <w:sz w:val="24"/>
                <w:szCs w:val="24"/>
              </w:rPr>
              <w:t>Maternal</w:t>
            </w:r>
          </w:p>
        </w:tc>
        <w:tc>
          <w:tcPr>
            <w:tcW w:w="717" w:type="dxa"/>
            <w:tcBorders>
              <w:top w:val="single" w:sz="4" w:space="0" w:color="auto"/>
              <w:left w:val="nil"/>
              <w:right w:val="nil"/>
            </w:tcBorders>
            <w:shd w:val="clear" w:color="auto" w:fill="auto"/>
            <w:noWrap/>
            <w:vAlign w:val="bottom"/>
          </w:tcPr>
          <w:p w14:paraId="7CD9B211" w14:textId="77777777" w:rsidR="00905170" w:rsidRPr="00FA77A6" w:rsidRDefault="00905170" w:rsidP="0040594E">
            <w:pPr>
              <w:pStyle w:val="Tablebody"/>
              <w:rPr>
                <w:b/>
                <w:bCs/>
                <w:sz w:val="24"/>
                <w:szCs w:val="24"/>
              </w:rPr>
            </w:pPr>
          </w:p>
        </w:tc>
        <w:tc>
          <w:tcPr>
            <w:tcW w:w="976" w:type="dxa"/>
            <w:tcBorders>
              <w:top w:val="single" w:sz="4" w:space="0" w:color="auto"/>
              <w:left w:val="nil"/>
              <w:right w:val="nil"/>
            </w:tcBorders>
            <w:shd w:val="clear" w:color="auto" w:fill="auto"/>
            <w:noWrap/>
            <w:vAlign w:val="bottom"/>
          </w:tcPr>
          <w:p w14:paraId="46913E78" w14:textId="77777777" w:rsidR="00905170" w:rsidRPr="00FA77A6" w:rsidRDefault="00905170" w:rsidP="0040594E">
            <w:pPr>
              <w:pStyle w:val="Tablebody"/>
              <w:rPr>
                <w:b/>
                <w:bCs/>
                <w:sz w:val="24"/>
                <w:szCs w:val="24"/>
              </w:rPr>
            </w:pPr>
          </w:p>
        </w:tc>
        <w:tc>
          <w:tcPr>
            <w:tcW w:w="717" w:type="dxa"/>
            <w:tcBorders>
              <w:top w:val="single" w:sz="4" w:space="0" w:color="auto"/>
              <w:left w:val="nil"/>
              <w:right w:val="nil"/>
            </w:tcBorders>
            <w:shd w:val="clear" w:color="auto" w:fill="auto"/>
            <w:noWrap/>
            <w:vAlign w:val="bottom"/>
          </w:tcPr>
          <w:p w14:paraId="4D166B04" w14:textId="77777777" w:rsidR="00905170" w:rsidRPr="00FA77A6" w:rsidRDefault="00905170" w:rsidP="0040594E">
            <w:pPr>
              <w:pStyle w:val="Tablebody"/>
              <w:rPr>
                <w:b/>
                <w:bCs/>
                <w:sz w:val="24"/>
                <w:szCs w:val="24"/>
              </w:rPr>
            </w:pPr>
          </w:p>
        </w:tc>
        <w:tc>
          <w:tcPr>
            <w:tcW w:w="1146" w:type="dxa"/>
            <w:tcBorders>
              <w:top w:val="single" w:sz="4" w:space="0" w:color="auto"/>
              <w:left w:val="nil"/>
              <w:right w:val="nil"/>
            </w:tcBorders>
            <w:shd w:val="clear" w:color="auto" w:fill="auto"/>
            <w:noWrap/>
            <w:vAlign w:val="bottom"/>
          </w:tcPr>
          <w:p w14:paraId="70146818" w14:textId="77777777" w:rsidR="00905170" w:rsidRPr="00FA77A6" w:rsidRDefault="00905170" w:rsidP="0040594E">
            <w:pPr>
              <w:pStyle w:val="Tablebody"/>
              <w:rPr>
                <w:b/>
                <w:bCs/>
                <w:sz w:val="24"/>
                <w:szCs w:val="24"/>
              </w:rPr>
            </w:pPr>
          </w:p>
        </w:tc>
        <w:tc>
          <w:tcPr>
            <w:tcW w:w="659" w:type="dxa"/>
            <w:tcBorders>
              <w:top w:val="single" w:sz="4" w:space="0" w:color="auto"/>
              <w:left w:val="nil"/>
              <w:right w:val="nil"/>
            </w:tcBorders>
            <w:shd w:val="clear" w:color="auto" w:fill="auto"/>
            <w:noWrap/>
            <w:vAlign w:val="bottom"/>
          </w:tcPr>
          <w:p w14:paraId="59EA5348" w14:textId="77777777" w:rsidR="00905170" w:rsidRPr="00FA77A6" w:rsidRDefault="00905170" w:rsidP="0040594E">
            <w:pPr>
              <w:pStyle w:val="Tablebody"/>
              <w:rPr>
                <w:b/>
                <w:bCs/>
                <w:sz w:val="24"/>
                <w:szCs w:val="24"/>
              </w:rPr>
            </w:pPr>
          </w:p>
        </w:tc>
        <w:tc>
          <w:tcPr>
            <w:tcW w:w="1253" w:type="dxa"/>
            <w:tcBorders>
              <w:top w:val="single" w:sz="4" w:space="0" w:color="auto"/>
              <w:left w:val="nil"/>
              <w:right w:val="nil"/>
            </w:tcBorders>
            <w:shd w:val="clear" w:color="auto" w:fill="auto"/>
            <w:noWrap/>
            <w:vAlign w:val="bottom"/>
          </w:tcPr>
          <w:p w14:paraId="0D89E706" w14:textId="77777777" w:rsidR="00905170" w:rsidRPr="00FA77A6" w:rsidRDefault="00905170" w:rsidP="0040594E">
            <w:pPr>
              <w:pStyle w:val="Tablebody"/>
              <w:rPr>
                <w:b/>
                <w:bCs/>
                <w:sz w:val="24"/>
                <w:szCs w:val="24"/>
              </w:rPr>
            </w:pPr>
          </w:p>
        </w:tc>
        <w:tc>
          <w:tcPr>
            <w:tcW w:w="1077" w:type="dxa"/>
            <w:gridSpan w:val="3"/>
            <w:tcBorders>
              <w:top w:val="single" w:sz="4" w:space="0" w:color="auto"/>
              <w:left w:val="nil"/>
            </w:tcBorders>
            <w:shd w:val="clear" w:color="auto" w:fill="auto"/>
            <w:noWrap/>
            <w:vAlign w:val="bottom"/>
          </w:tcPr>
          <w:p w14:paraId="7E7079F0" w14:textId="77777777" w:rsidR="00905170" w:rsidRPr="00FA77A6" w:rsidRDefault="00905170" w:rsidP="0040594E">
            <w:pPr>
              <w:pStyle w:val="Tablebody"/>
              <w:rPr>
                <w:b/>
                <w:bCs/>
                <w:sz w:val="24"/>
                <w:szCs w:val="24"/>
              </w:rPr>
            </w:pPr>
          </w:p>
        </w:tc>
        <w:tc>
          <w:tcPr>
            <w:tcW w:w="1076" w:type="dxa"/>
            <w:tcBorders>
              <w:top w:val="single" w:sz="4" w:space="0" w:color="auto"/>
              <w:left w:val="nil"/>
            </w:tcBorders>
          </w:tcPr>
          <w:p w14:paraId="68B0762F" w14:textId="77777777" w:rsidR="00905170" w:rsidRPr="00FA77A6" w:rsidRDefault="00905170" w:rsidP="0040594E">
            <w:pPr>
              <w:pStyle w:val="Tablebody"/>
              <w:rPr>
                <w:b/>
                <w:bCs/>
                <w:sz w:val="24"/>
                <w:szCs w:val="24"/>
              </w:rPr>
            </w:pPr>
          </w:p>
        </w:tc>
      </w:tr>
      <w:tr w:rsidR="003548BA" w:rsidRPr="001E7E4A" w14:paraId="54C46313" w14:textId="54B2D472" w:rsidTr="00905170">
        <w:trPr>
          <w:gridBefore w:val="1"/>
          <w:wBefore w:w="98" w:type="dxa"/>
          <w:trHeight w:val="300"/>
        </w:trPr>
        <w:tc>
          <w:tcPr>
            <w:tcW w:w="1630" w:type="dxa"/>
            <w:tcBorders>
              <w:top w:val="nil"/>
              <w:right w:val="nil"/>
            </w:tcBorders>
            <w:shd w:val="clear" w:color="auto" w:fill="auto"/>
            <w:noWrap/>
            <w:vAlign w:val="center"/>
            <w:hideMark/>
          </w:tcPr>
          <w:p w14:paraId="561F967D"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Zero</w:t>
            </w:r>
          </w:p>
        </w:tc>
        <w:tc>
          <w:tcPr>
            <w:tcW w:w="717" w:type="dxa"/>
            <w:tcBorders>
              <w:left w:val="nil"/>
              <w:right w:val="nil"/>
            </w:tcBorders>
            <w:shd w:val="clear" w:color="auto" w:fill="auto"/>
            <w:noWrap/>
            <w:vAlign w:val="center"/>
          </w:tcPr>
          <w:p w14:paraId="14DD25C2" w14:textId="77777777" w:rsidR="003548BA" w:rsidRPr="001E7E4A" w:rsidRDefault="003548BA" w:rsidP="0040594E">
            <w:pPr>
              <w:pStyle w:val="Tablebody"/>
              <w:rPr>
                <w:sz w:val="24"/>
                <w:szCs w:val="24"/>
              </w:rPr>
            </w:pPr>
            <w:r w:rsidRPr="001E7E4A">
              <w:rPr>
                <w:sz w:val="24"/>
                <w:szCs w:val="24"/>
              </w:rPr>
              <w:t>4</w:t>
            </w:r>
          </w:p>
        </w:tc>
        <w:tc>
          <w:tcPr>
            <w:tcW w:w="976" w:type="dxa"/>
            <w:tcBorders>
              <w:left w:val="nil"/>
              <w:right w:val="nil"/>
            </w:tcBorders>
            <w:shd w:val="clear" w:color="auto" w:fill="auto"/>
            <w:noWrap/>
            <w:vAlign w:val="center"/>
          </w:tcPr>
          <w:p w14:paraId="02FE4FFB" w14:textId="77777777" w:rsidR="003548BA" w:rsidRPr="001E7E4A" w:rsidRDefault="003548BA" w:rsidP="0040594E">
            <w:pPr>
              <w:pStyle w:val="Tablebody"/>
              <w:rPr>
                <w:sz w:val="24"/>
                <w:szCs w:val="24"/>
              </w:rPr>
            </w:pPr>
            <w:r w:rsidRPr="001E7E4A">
              <w:rPr>
                <w:sz w:val="24"/>
                <w:szCs w:val="24"/>
              </w:rPr>
              <w:t>(36%)</w:t>
            </w:r>
          </w:p>
        </w:tc>
        <w:tc>
          <w:tcPr>
            <w:tcW w:w="717" w:type="dxa"/>
            <w:tcBorders>
              <w:left w:val="nil"/>
              <w:right w:val="nil"/>
            </w:tcBorders>
            <w:shd w:val="clear" w:color="auto" w:fill="auto"/>
            <w:noWrap/>
            <w:vAlign w:val="bottom"/>
          </w:tcPr>
          <w:p w14:paraId="714F151D" w14:textId="77777777" w:rsidR="003548BA" w:rsidRPr="001E7E4A" w:rsidRDefault="003548BA" w:rsidP="0040594E">
            <w:pPr>
              <w:pStyle w:val="Tablebody"/>
              <w:rPr>
                <w:sz w:val="24"/>
                <w:szCs w:val="24"/>
              </w:rPr>
            </w:pPr>
            <w:r w:rsidRPr="001E7E4A">
              <w:rPr>
                <w:sz w:val="24"/>
                <w:szCs w:val="24"/>
              </w:rPr>
              <w:t>29</w:t>
            </w:r>
          </w:p>
        </w:tc>
        <w:tc>
          <w:tcPr>
            <w:tcW w:w="1146" w:type="dxa"/>
            <w:tcBorders>
              <w:left w:val="nil"/>
              <w:right w:val="nil"/>
            </w:tcBorders>
            <w:shd w:val="clear" w:color="auto" w:fill="auto"/>
            <w:noWrap/>
            <w:vAlign w:val="center"/>
          </w:tcPr>
          <w:p w14:paraId="01E9FDF1" w14:textId="77777777" w:rsidR="003548BA" w:rsidRPr="001E7E4A" w:rsidRDefault="003548BA" w:rsidP="0040594E">
            <w:pPr>
              <w:pStyle w:val="Tablebody"/>
              <w:rPr>
                <w:sz w:val="24"/>
                <w:szCs w:val="24"/>
              </w:rPr>
            </w:pPr>
            <w:r w:rsidRPr="001E7E4A">
              <w:rPr>
                <w:sz w:val="24"/>
                <w:szCs w:val="24"/>
              </w:rPr>
              <w:t>(64%)</w:t>
            </w:r>
          </w:p>
        </w:tc>
        <w:tc>
          <w:tcPr>
            <w:tcW w:w="659" w:type="dxa"/>
            <w:tcBorders>
              <w:left w:val="nil"/>
              <w:right w:val="nil"/>
            </w:tcBorders>
            <w:shd w:val="clear" w:color="auto" w:fill="auto"/>
            <w:noWrap/>
            <w:vAlign w:val="center"/>
          </w:tcPr>
          <w:p w14:paraId="08BFA919" w14:textId="77777777" w:rsidR="003548BA" w:rsidRPr="001E7E4A" w:rsidRDefault="003548BA" w:rsidP="0040594E">
            <w:pPr>
              <w:pStyle w:val="Tablebody"/>
              <w:rPr>
                <w:sz w:val="24"/>
                <w:szCs w:val="24"/>
              </w:rPr>
            </w:pPr>
            <w:r w:rsidRPr="001E7E4A">
              <w:rPr>
                <w:sz w:val="24"/>
                <w:szCs w:val="24"/>
              </w:rPr>
              <w:t>1.0</w:t>
            </w:r>
          </w:p>
        </w:tc>
        <w:tc>
          <w:tcPr>
            <w:tcW w:w="2330" w:type="dxa"/>
            <w:gridSpan w:val="4"/>
            <w:tcBorders>
              <w:left w:val="nil"/>
            </w:tcBorders>
            <w:shd w:val="clear" w:color="auto" w:fill="auto"/>
            <w:noWrap/>
            <w:vAlign w:val="center"/>
          </w:tcPr>
          <w:p w14:paraId="3BC6CD72" w14:textId="77777777" w:rsidR="003548BA" w:rsidRPr="001E7E4A" w:rsidRDefault="003548BA" w:rsidP="0040594E">
            <w:pPr>
              <w:pStyle w:val="Tablebody"/>
              <w:rPr>
                <w:sz w:val="24"/>
                <w:szCs w:val="24"/>
              </w:rPr>
            </w:pPr>
            <w:r w:rsidRPr="001E7E4A">
              <w:rPr>
                <w:sz w:val="24"/>
                <w:szCs w:val="24"/>
              </w:rPr>
              <w:t>-ref-</w:t>
            </w:r>
          </w:p>
        </w:tc>
        <w:tc>
          <w:tcPr>
            <w:tcW w:w="1076" w:type="dxa"/>
            <w:vMerge w:val="restart"/>
            <w:tcBorders>
              <w:left w:val="nil"/>
            </w:tcBorders>
          </w:tcPr>
          <w:p w14:paraId="121061B4" w14:textId="77777777" w:rsidR="003548BA" w:rsidRPr="001E7E4A" w:rsidRDefault="003548BA" w:rsidP="0040594E">
            <w:pPr>
              <w:pStyle w:val="Tablebody"/>
              <w:rPr>
                <w:sz w:val="24"/>
                <w:szCs w:val="24"/>
              </w:rPr>
            </w:pPr>
          </w:p>
          <w:p w14:paraId="5D7C3074" w14:textId="77777777" w:rsidR="003548BA" w:rsidRPr="001E7E4A" w:rsidRDefault="003548BA" w:rsidP="0040594E">
            <w:pPr>
              <w:pStyle w:val="Tablebody"/>
              <w:rPr>
                <w:sz w:val="24"/>
                <w:szCs w:val="24"/>
              </w:rPr>
            </w:pPr>
          </w:p>
          <w:p w14:paraId="6B8CFE6A" w14:textId="02D55923" w:rsidR="003548BA" w:rsidRPr="001E7E4A" w:rsidRDefault="003548BA" w:rsidP="0040594E">
            <w:pPr>
              <w:pStyle w:val="Tablebody"/>
              <w:rPr>
                <w:sz w:val="24"/>
                <w:szCs w:val="24"/>
              </w:rPr>
            </w:pPr>
            <w:r w:rsidRPr="001E7E4A">
              <w:rPr>
                <w:sz w:val="24"/>
                <w:szCs w:val="24"/>
              </w:rPr>
              <w:t>0.06</w:t>
            </w:r>
          </w:p>
        </w:tc>
      </w:tr>
      <w:tr w:rsidR="003548BA" w:rsidRPr="001E7E4A" w14:paraId="4FE6B814" w14:textId="1B092305" w:rsidTr="00905170">
        <w:trPr>
          <w:gridBefore w:val="1"/>
          <w:wBefore w:w="98" w:type="dxa"/>
          <w:trHeight w:val="300"/>
        </w:trPr>
        <w:tc>
          <w:tcPr>
            <w:tcW w:w="1630" w:type="dxa"/>
            <w:tcBorders>
              <w:right w:val="nil"/>
            </w:tcBorders>
            <w:shd w:val="clear" w:color="auto" w:fill="auto"/>
            <w:noWrap/>
            <w:vAlign w:val="center"/>
          </w:tcPr>
          <w:p w14:paraId="0D19A433"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Low</w:t>
            </w:r>
          </w:p>
        </w:tc>
        <w:tc>
          <w:tcPr>
            <w:tcW w:w="717" w:type="dxa"/>
            <w:tcBorders>
              <w:left w:val="nil"/>
              <w:right w:val="nil"/>
            </w:tcBorders>
            <w:shd w:val="clear" w:color="auto" w:fill="auto"/>
            <w:noWrap/>
            <w:vAlign w:val="center"/>
          </w:tcPr>
          <w:p w14:paraId="2BBCF944" w14:textId="77777777" w:rsidR="003548BA" w:rsidRPr="001E7E4A" w:rsidRDefault="003548BA" w:rsidP="0040594E">
            <w:pPr>
              <w:pStyle w:val="Tablebody"/>
              <w:rPr>
                <w:sz w:val="24"/>
                <w:szCs w:val="24"/>
              </w:rPr>
            </w:pPr>
            <w:r w:rsidRPr="001E7E4A">
              <w:rPr>
                <w:sz w:val="24"/>
                <w:szCs w:val="24"/>
              </w:rPr>
              <w:t>2</w:t>
            </w:r>
          </w:p>
        </w:tc>
        <w:tc>
          <w:tcPr>
            <w:tcW w:w="976" w:type="dxa"/>
            <w:tcBorders>
              <w:left w:val="nil"/>
              <w:right w:val="nil"/>
            </w:tcBorders>
            <w:shd w:val="clear" w:color="auto" w:fill="auto"/>
            <w:noWrap/>
            <w:vAlign w:val="center"/>
          </w:tcPr>
          <w:p w14:paraId="0BB37D26" w14:textId="77777777" w:rsidR="003548BA" w:rsidRPr="001E7E4A" w:rsidRDefault="003548BA" w:rsidP="0040594E">
            <w:pPr>
              <w:pStyle w:val="Tablebody"/>
              <w:rPr>
                <w:sz w:val="24"/>
                <w:szCs w:val="24"/>
              </w:rPr>
            </w:pPr>
            <w:r w:rsidRPr="001E7E4A">
              <w:rPr>
                <w:sz w:val="24"/>
                <w:szCs w:val="24"/>
              </w:rPr>
              <w:t>(18%)</w:t>
            </w:r>
          </w:p>
        </w:tc>
        <w:tc>
          <w:tcPr>
            <w:tcW w:w="717" w:type="dxa"/>
            <w:tcBorders>
              <w:left w:val="nil"/>
              <w:right w:val="nil"/>
            </w:tcBorders>
            <w:shd w:val="clear" w:color="auto" w:fill="auto"/>
            <w:noWrap/>
            <w:vAlign w:val="bottom"/>
          </w:tcPr>
          <w:p w14:paraId="7FD4CD4E" w14:textId="77777777" w:rsidR="003548BA" w:rsidRPr="001E7E4A" w:rsidRDefault="003548BA" w:rsidP="0040594E">
            <w:pPr>
              <w:pStyle w:val="Tablebody"/>
              <w:rPr>
                <w:sz w:val="24"/>
                <w:szCs w:val="24"/>
              </w:rPr>
            </w:pPr>
            <w:r w:rsidRPr="001E7E4A">
              <w:rPr>
                <w:sz w:val="24"/>
                <w:szCs w:val="24"/>
              </w:rPr>
              <w:t>10</w:t>
            </w:r>
          </w:p>
        </w:tc>
        <w:tc>
          <w:tcPr>
            <w:tcW w:w="1146" w:type="dxa"/>
            <w:tcBorders>
              <w:left w:val="nil"/>
              <w:right w:val="nil"/>
            </w:tcBorders>
            <w:shd w:val="clear" w:color="auto" w:fill="auto"/>
            <w:noWrap/>
            <w:vAlign w:val="center"/>
          </w:tcPr>
          <w:p w14:paraId="21D51383" w14:textId="77777777" w:rsidR="003548BA" w:rsidRPr="001E7E4A" w:rsidRDefault="003548BA" w:rsidP="0040594E">
            <w:pPr>
              <w:pStyle w:val="Tablebody"/>
              <w:rPr>
                <w:sz w:val="24"/>
                <w:szCs w:val="24"/>
              </w:rPr>
            </w:pPr>
            <w:r w:rsidRPr="001E7E4A">
              <w:rPr>
                <w:sz w:val="24"/>
                <w:szCs w:val="24"/>
              </w:rPr>
              <w:t>(22%)</w:t>
            </w:r>
          </w:p>
        </w:tc>
        <w:tc>
          <w:tcPr>
            <w:tcW w:w="659" w:type="dxa"/>
            <w:tcBorders>
              <w:left w:val="nil"/>
              <w:right w:val="nil"/>
            </w:tcBorders>
            <w:shd w:val="clear" w:color="auto" w:fill="auto"/>
            <w:noWrap/>
            <w:vAlign w:val="center"/>
          </w:tcPr>
          <w:p w14:paraId="065A4AE8" w14:textId="77777777" w:rsidR="003548BA" w:rsidRPr="001E7E4A" w:rsidRDefault="003548BA" w:rsidP="0040594E">
            <w:pPr>
              <w:pStyle w:val="Tablebody"/>
              <w:rPr>
                <w:sz w:val="24"/>
                <w:szCs w:val="24"/>
              </w:rPr>
            </w:pPr>
            <w:r w:rsidRPr="001E7E4A">
              <w:rPr>
                <w:sz w:val="24"/>
                <w:szCs w:val="24"/>
              </w:rPr>
              <w:t>1.3</w:t>
            </w:r>
          </w:p>
        </w:tc>
        <w:tc>
          <w:tcPr>
            <w:tcW w:w="1253" w:type="dxa"/>
            <w:tcBorders>
              <w:left w:val="nil"/>
              <w:right w:val="nil"/>
            </w:tcBorders>
            <w:shd w:val="clear" w:color="auto" w:fill="auto"/>
            <w:noWrap/>
            <w:vAlign w:val="center"/>
          </w:tcPr>
          <w:p w14:paraId="50F8503E" w14:textId="77777777" w:rsidR="003548BA" w:rsidRPr="001E7E4A" w:rsidRDefault="003548BA" w:rsidP="0040594E">
            <w:pPr>
              <w:pStyle w:val="Tablebody"/>
              <w:rPr>
                <w:sz w:val="24"/>
                <w:szCs w:val="24"/>
              </w:rPr>
            </w:pPr>
            <w:r w:rsidRPr="001E7E4A">
              <w:rPr>
                <w:sz w:val="24"/>
                <w:szCs w:val="24"/>
              </w:rPr>
              <w:t>(0.2, 8.7)</w:t>
            </w:r>
          </w:p>
        </w:tc>
        <w:tc>
          <w:tcPr>
            <w:tcW w:w="1077" w:type="dxa"/>
            <w:gridSpan w:val="3"/>
            <w:tcBorders>
              <w:left w:val="nil"/>
            </w:tcBorders>
            <w:shd w:val="clear" w:color="auto" w:fill="auto"/>
            <w:noWrap/>
            <w:vAlign w:val="center"/>
          </w:tcPr>
          <w:p w14:paraId="612B2992" w14:textId="77777777" w:rsidR="003548BA" w:rsidRPr="001E7E4A" w:rsidRDefault="003548BA" w:rsidP="0040594E">
            <w:pPr>
              <w:pStyle w:val="Tablebody"/>
              <w:rPr>
                <w:sz w:val="24"/>
                <w:szCs w:val="24"/>
              </w:rPr>
            </w:pPr>
            <w:r w:rsidRPr="001E7E4A">
              <w:rPr>
                <w:sz w:val="24"/>
                <w:szCs w:val="24"/>
              </w:rPr>
              <w:t>0.77</w:t>
            </w:r>
          </w:p>
        </w:tc>
        <w:tc>
          <w:tcPr>
            <w:tcW w:w="1076" w:type="dxa"/>
            <w:vMerge/>
            <w:tcBorders>
              <w:left w:val="nil"/>
            </w:tcBorders>
          </w:tcPr>
          <w:p w14:paraId="489129B1" w14:textId="77777777" w:rsidR="003548BA" w:rsidRPr="001E7E4A" w:rsidRDefault="003548BA" w:rsidP="0040594E">
            <w:pPr>
              <w:pStyle w:val="Tablebody"/>
              <w:rPr>
                <w:sz w:val="24"/>
                <w:szCs w:val="24"/>
              </w:rPr>
            </w:pPr>
          </w:p>
        </w:tc>
      </w:tr>
      <w:tr w:rsidR="003548BA" w:rsidRPr="001E7E4A" w14:paraId="3F66121A" w14:textId="03F951F5" w:rsidTr="00905170">
        <w:trPr>
          <w:gridBefore w:val="1"/>
          <w:wBefore w:w="98" w:type="dxa"/>
          <w:trHeight w:val="300"/>
        </w:trPr>
        <w:tc>
          <w:tcPr>
            <w:tcW w:w="1630" w:type="dxa"/>
            <w:tcBorders>
              <w:right w:val="nil"/>
            </w:tcBorders>
            <w:shd w:val="clear" w:color="auto" w:fill="auto"/>
            <w:noWrap/>
            <w:vAlign w:val="center"/>
            <w:hideMark/>
          </w:tcPr>
          <w:p w14:paraId="6130C2A3"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High</w:t>
            </w:r>
          </w:p>
        </w:tc>
        <w:tc>
          <w:tcPr>
            <w:tcW w:w="717" w:type="dxa"/>
            <w:tcBorders>
              <w:left w:val="nil"/>
              <w:right w:val="nil"/>
            </w:tcBorders>
            <w:shd w:val="clear" w:color="auto" w:fill="auto"/>
            <w:noWrap/>
            <w:vAlign w:val="center"/>
          </w:tcPr>
          <w:p w14:paraId="26A7CC38" w14:textId="77777777" w:rsidR="003548BA" w:rsidRPr="001E7E4A" w:rsidRDefault="003548BA" w:rsidP="0040594E">
            <w:pPr>
              <w:pStyle w:val="Tablebody"/>
              <w:rPr>
                <w:sz w:val="24"/>
                <w:szCs w:val="24"/>
              </w:rPr>
            </w:pPr>
            <w:r w:rsidRPr="001E7E4A">
              <w:rPr>
                <w:sz w:val="24"/>
                <w:szCs w:val="24"/>
              </w:rPr>
              <w:t>5</w:t>
            </w:r>
          </w:p>
        </w:tc>
        <w:tc>
          <w:tcPr>
            <w:tcW w:w="976" w:type="dxa"/>
            <w:tcBorders>
              <w:left w:val="nil"/>
              <w:right w:val="nil"/>
            </w:tcBorders>
            <w:shd w:val="clear" w:color="auto" w:fill="auto"/>
            <w:noWrap/>
            <w:vAlign w:val="center"/>
          </w:tcPr>
          <w:p w14:paraId="0E52547E" w14:textId="77777777" w:rsidR="003548BA" w:rsidRPr="001E7E4A" w:rsidRDefault="003548BA" w:rsidP="0040594E">
            <w:pPr>
              <w:pStyle w:val="Tablebody"/>
              <w:rPr>
                <w:sz w:val="24"/>
                <w:szCs w:val="24"/>
              </w:rPr>
            </w:pPr>
            <w:r w:rsidRPr="001E7E4A">
              <w:rPr>
                <w:sz w:val="24"/>
                <w:szCs w:val="24"/>
              </w:rPr>
              <w:t>(45%)</w:t>
            </w:r>
          </w:p>
        </w:tc>
        <w:tc>
          <w:tcPr>
            <w:tcW w:w="717" w:type="dxa"/>
            <w:tcBorders>
              <w:left w:val="nil"/>
              <w:right w:val="nil"/>
            </w:tcBorders>
            <w:shd w:val="clear" w:color="auto" w:fill="auto"/>
            <w:noWrap/>
            <w:vAlign w:val="bottom"/>
          </w:tcPr>
          <w:p w14:paraId="07801894" w14:textId="77777777" w:rsidR="003548BA" w:rsidRPr="001E7E4A" w:rsidRDefault="003548BA" w:rsidP="0040594E">
            <w:pPr>
              <w:pStyle w:val="Tablebody"/>
              <w:rPr>
                <w:sz w:val="24"/>
                <w:szCs w:val="24"/>
              </w:rPr>
            </w:pPr>
            <w:r w:rsidRPr="001E7E4A">
              <w:rPr>
                <w:sz w:val="24"/>
                <w:szCs w:val="24"/>
              </w:rPr>
              <w:t>6</w:t>
            </w:r>
          </w:p>
        </w:tc>
        <w:tc>
          <w:tcPr>
            <w:tcW w:w="1146" w:type="dxa"/>
            <w:tcBorders>
              <w:left w:val="nil"/>
              <w:right w:val="nil"/>
            </w:tcBorders>
            <w:shd w:val="clear" w:color="auto" w:fill="auto"/>
            <w:noWrap/>
            <w:vAlign w:val="center"/>
          </w:tcPr>
          <w:p w14:paraId="583B9F16" w14:textId="77777777" w:rsidR="003548BA" w:rsidRPr="001E7E4A" w:rsidRDefault="003548BA" w:rsidP="0040594E">
            <w:pPr>
              <w:pStyle w:val="Tablebody"/>
              <w:rPr>
                <w:sz w:val="24"/>
                <w:szCs w:val="24"/>
              </w:rPr>
            </w:pPr>
            <w:r w:rsidRPr="001E7E4A">
              <w:rPr>
                <w:sz w:val="24"/>
                <w:szCs w:val="24"/>
              </w:rPr>
              <w:t>(13%)</w:t>
            </w:r>
          </w:p>
        </w:tc>
        <w:tc>
          <w:tcPr>
            <w:tcW w:w="659" w:type="dxa"/>
            <w:tcBorders>
              <w:left w:val="nil"/>
              <w:right w:val="nil"/>
            </w:tcBorders>
            <w:shd w:val="clear" w:color="auto" w:fill="auto"/>
            <w:noWrap/>
            <w:vAlign w:val="center"/>
          </w:tcPr>
          <w:p w14:paraId="0252E71D" w14:textId="77777777" w:rsidR="003548BA" w:rsidRPr="001E7E4A" w:rsidRDefault="003548BA" w:rsidP="0040594E">
            <w:pPr>
              <w:pStyle w:val="Tablebody"/>
              <w:rPr>
                <w:sz w:val="24"/>
                <w:szCs w:val="24"/>
              </w:rPr>
            </w:pPr>
            <w:r w:rsidRPr="001E7E4A">
              <w:rPr>
                <w:sz w:val="24"/>
                <w:szCs w:val="24"/>
              </w:rPr>
              <w:t>5.0</w:t>
            </w:r>
            <w:r w:rsidRPr="001E7E4A">
              <w:rPr>
                <w:sz w:val="24"/>
                <w:szCs w:val="24"/>
                <w:vertAlign w:val="superscript"/>
              </w:rPr>
              <w:t>‡</w:t>
            </w:r>
          </w:p>
        </w:tc>
        <w:tc>
          <w:tcPr>
            <w:tcW w:w="1253" w:type="dxa"/>
            <w:tcBorders>
              <w:left w:val="nil"/>
              <w:right w:val="nil"/>
            </w:tcBorders>
            <w:shd w:val="clear" w:color="auto" w:fill="auto"/>
            <w:noWrap/>
            <w:vAlign w:val="center"/>
          </w:tcPr>
          <w:p w14:paraId="4178E807" w14:textId="77777777" w:rsidR="003548BA" w:rsidRPr="001E7E4A" w:rsidRDefault="003548BA" w:rsidP="0040594E">
            <w:pPr>
              <w:pStyle w:val="Tablebody"/>
              <w:rPr>
                <w:sz w:val="24"/>
                <w:szCs w:val="24"/>
              </w:rPr>
            </w:pPr>
            <w:r w:rsidRPr="001E7E4A">
              <w:rPr>
                <w:sz w:val="24"/>
                <w:szCs w:val="24"/>
              </w:rPr>
              <w:t>(1.0, 24)</w:t>
            </w:r>
          </w:p>
        </w:tc>
        <w:tc>
          <w:tcPr>
            <w:tcW w:w="1077" w:type="dxa"/>
            <w:gridSpan w:val="3"/>
            <w:tcBorders>
              <w:left w:val="nil"/>
            </w:tcBorders>
            <w:shd w:val="clear" w:color="auto" w:fill="auto"/>
            <w:noWrap/>
            <w:vAlign w:val="center"/>
          </w:tcPr>
          <w:p w14:paraId="566A19A1" w14:textId="77777777" w:rsidR="003548BA" w:rsidRPr="001E7E4A" w:rsidRDefault="003548BA" w:rsidP="0040594E">
            <w:pPr>
              <w:pStyle w:val="Tablebody"/>
              <w:rPr>
                <w:sz w:val="24"/>
                <w:szCs w:val="24"/>
              </w:rPr>
            </w:pPr>
            <w:r w:rsidRPr="001E7E4A">
              <w:rPr>
                <w:sz w:val="24"/>
                <w:szCs w:val="24"/>
              </w:rPr>
              <w:t>0.046</w:t>
            </w:r>
          </w:p>
        </w:tc>
        <w:tc>
          <w:tcPr>
            <w:tcW w:w="1076" w:type="dxa"/>
            <w:vMerge/>
            <w:tcBorders>
              <w:left w:val="nil"/>
            </w:tcBorders>
          </w:tcPr>
          <w:p w14:paraId="0EC9D1A3" w14:textId="77777777" w:rsidR="003548BA" w:rsidRPr="001E7E4A" w:rsidRDefault="003548BA" w:rsidP="0040594E">
            <w:pPr>
              <w:pStyle w:val="Tablebody"/>
              <w:rPr>
                <w:sz w:val="24"/>
                <w:szCs w:val="24"/>
              </w:rPr>
            </w:pPr>
          </w:p>
        </w:tc>
      </w:tr>
      <w:tr w:rsidR="003548BA" w:rsidRPr="001E7E4A" w14:paraId="0ED48131" w14:textId="6F7C2571" w:rsidTr="003548BA">
        <w:trPr>
          <w:gridBefore w:val="1"/>
          <w:wBefore w:w="98" w:type="dxa"/>
          <w:trHeight w:val="300"/>
        </w:trPr>
        <w:tc>
          <w:tcPr>
            <w:tcW w:w="1630" w:type="dxa"/>
            <w:tcBorders>
              <w:right w:val="nil"/>
            </w:tcBorders>
            <w:shd w:val="clear" w:color="auto" w:fill="D9D9D9" w:themeFill="background1" w:themeFillShade="D9"/>
            <w:noWrap/>
            <w:vAlign w:val="center"/>
          </w:tcPr>
          <w:p w14:paraId="49D13667" w14:textId="77777777" w:rsidR="003548BA" w:rsidRPr="001E7E4A" w:rsidRDefault="003548BA" w:rsidP="0040594E">
            <w:pPr>
              <w:pStyle w:val="Tablebody"/>
              <w:rPr>
                <w:sz w:val="24"/>
                <w:szCs w:val="24"/>
              </w:rPr>
            </w:pPr>
            <w:r w:rsidRPr="001E7E4A">
              <w:rPr>
                <w:sz w:val="24"/>
                <w:szCs w:val="24"/>
              </w:rPr>
              <w:t>Childhood</w:t>
            </w:r>
          </w:p>
        </w:tc>
        <w:tc>
          <w:tcPr>
            <w:tcW w:w="717" w:type="dxa"/>
            <w:tcBorders>
              <w:left w:val="nil"/>
              <w:right w:val="nil"/>
            </w:tcBorders>
            <w:shd w:val="clear" w:color="auto" w:fill="D9D9D9" w:themeFill="background1" w:themeFillShade="D9"/>
            <w:noWrap/>
            <w:vAlign w:val="center"/>
          </w:tcPr>
          <w:p w14:paraId="7A20E7C7" w14:textId="77777777" w:rsidR="003548BA" w:rsidRPr="001E7E4A" w:rsidRDefault="003548BA" w:rsidP="0040594E">
            <w:pPr>
              <w:pStyle w:val="Tablebody"/>
              <w:rPr>
                <w:sz w:val="24"/>
                <w:szCs w:val="24"/>
              </w:rPr>
            </w:pPr>
          </w:p>
        </w:tc>
        <w:tc>
          <w:tcPr>
            <w:tcW w:w="976" w:type="dxa"/>
            <w:tcBorders>
              <w:left w:val="nil"/>
              <w:right w:val="nil"/>
            </w:tcBorders>
            <w:shd w:val="clear" w:color="auto" w:fill="D9D9D9" w:themeFill="background1" w:themeFillShade="D9"/>
            <w:noWrap/>
            <w:vAlign w:val="center"/>
          </w:tcPr>
          <w:p w14:paraId="5B68BFBE" w14:textId="77777777" w:rsidR="003548BA" w:rsidRPr="001E7E4A" w:rsidRDefault="003548BA" w:rsidP="0040594E">
            <w:pPr>
              <w:pStyle w:val="Tablebody"/>
              <w:rPr>
                <w:sz w:val="24"/>
                <w:szCs w:val="24"/>
              </w:rPr>
            </w:pPr>
          </w:p>
        </w:tc>
        <w:tc>
          <w:tcPr>
            <w:tcW w:w="717" w:type="dxa"/>
            <w:tcBorders>
              <w:left w:val="nil"/>
              <w:right w:val="nil"/>
            </w:tcBorders>
            <w:shd w:val="clear" w:color="auto" w:fill="D9D9D9" w:themeFill="background1" w:themeFillShade="D9"/>
            <w:noWrap/>
            <w:vAlign w:val="bottom"/>
          </w:tcPr>
          <w:p w14:paraId="5C90BF01" w14:textId="77777777" w:rsidR="003548BA" w:rsidRPr="001E7E4A" w:rsidRDefault="003548BA" w:rsidP="0040594E">
            <w:pPr>
              <w:pStyle w:val="Tablebody"/>
              <w:rPr>
                <w:sz w:val="24"/>
                <w:szCs w:val="24"/>
              </w:rPr>
            </w:pPr>
          </w:p>
        </w:tc>
        <w:tc>
          <w:tcPr>
            <w:tcW w:w="1146" w:type="dxa"/>
            <w:tcBorders>
              <w:left w:val="nil"/>
              <w:right w:val="nil"/>
            </w:tcBorders>
            <w:shd w:val="clear" w:color="auto" w:fill="D9D9D9" w:themeFill="background1" w:themeFillShade="D9"/>
            <w:noWrap/>
            <w:vAlign w:val="center"/>
          </w:tcPr>
          <w:p w14:paraId="37FC612E" w14:textId="77777777" w:rsidR="003548BA" w:rsidRPr="001E7E4A" w:rsidRDefault="003548BA" w:rsidP="0040594E">
            <w:pPr>
              <w:pStyle w:val="Tablebody"/>
              <w:rPr>
                <w:sz w:val="24"/>
                <w:szCs w:val="24"/>
              </w:rPr>
            </w:pPr>
          </w:p>
        </w:tc>
        <w:tc>
          <w:tcPr>
            <w:tcW w:w="659" w:type="dxa"/>
            <w:tcBorders>
              <w:left w:val="nil"/>
              <w:right w:val="nil"/>
            </w:tcBorders>
            <w:shd w:val="clear" w:color="auto" w:fill="D9D9D9" w:themeFill="background1" w:themeFillShade="D9"/>
            <w:noWrap/>
            <w:vAlign w:val="center"/>
          </w:tcPr>
          <w:p w14:paraId="6828F70D" w14:textId="77777777" w:rsidR="003548BA" w:rsidRPr="001E7E4A" w:rsidRDefault="003548BA" w:rsidP="0040594E">
            <w:pPr>
              <w:pStyle w:val="Tablebody"/>
              <w:rPr>
                <w:sz w:val="24"/>
                <w:szCs w:val="24"/>
              </w:rPr>
            </w:pPr>
          </w:p>
        </w:tc>
        <w:tc>
          <w:tcPr>
            <w:tcW w:w="1253" w:type="dxa"/>
            <w:tcBorders>
              <w:left w:val="nil"/>
              <w:right w:val="nil"/>
            </w:tcBorders>
            <w:shd w:val="clear" w:color="auto" w:fill="D9D9D9" w:themeFill="background1" w:themeFillShade="D9"/>
            <w:noWrap/>
            <w:vAlign w:val="center"/>
          </w:tcPr>
          <w:p w14:paraId="069AA9A8" w14:textId="77777777" w:rsidR="003548BA" w:rsidRPr="001E7E4A" w:rsidRDefault="003548BA" w:rsidP="0040594E">
            <w:pPr>
              <w:pStyle w:val="Tablebody"/>
              <w:rPr>
                <w:sz w:val="24"/>
                <w:szCs w:val="24"/>
              </w:rPr>
            </w:pPr>
          </w:p>
        </w:tc>
        <w:tc>
          <w:tcPr>
            <w:tcW w:w="1077" w:type="dxa"/>
            <w:gridSpan w:val="3"/>
            <w:tcBorders>
              <w:left w:val="nil"/>
            </w:tcBorders>
            <w:shd w:val="clear" w:color="auto" w:fill="D9D9D9" w:themeFill="background1" w:themeFillShade="D9"/>
            <w:noWrap/>
            <w:vAlign w:val="center"/>
          </w:tcPr>
          <w:p w14:paraId="766B5623" w14:textId="77777777" w:rsidR="003548BA" w:rsidRPr="001E7E4A" w:rsidRDefault="003548BA" w:rsidP="0040594E">
            <w:pPr>
              <w:pStyle w:val="Tablebody"/>
              <w:rPr>
                <w:sz w:val="24"/>
                <w:szCs w:val="24"/>
              </w:rPr>
            </w:pPr>
          </w:p>
        </w:tc>
        <w:tc>
          <w:tcPr>
            <w:tcW w:w="1076" w:type="dxa"/>
            <w:vMerge w:val="restart"/>
            <w:tcBorders>
              <w:left w:val="nil"/>
            </w:tcBorders>
            <w:shd w:val="clear" w:color="auto" w:fill="D9D9D9" w:themeFill="background1" w:themeFillShade="D9"/>
            <w:vAlign w:val="bottom"/>
          </w:tcPr>
          <w:p w14:paraId="08B547FB" w14:textId="2D609A1A" w:rsidR="003548BA" w:rsidRPr="001E7E4A" w:rsidRDefault="00542A0D" w:rsidP="0040594E">
            <w:pPr>
              <w:pStyle w:val="Tablebody"/>
              <w:rPr>
                <w:sz w:val="24"/>
                <w:szCs w:val="24"/>
              </w:rPr>
            </w:pPr>
            <w:r w:rsidRPr="001E7E4A">
              <w:rPr>
                <w:sz w:val="24"/>
                <w:szCs w:val="24"/>
              </w:rPr>
              <w:t>0.79</w:t>
            </w:r>
          </w:p>
        </w:tc>
      </w:tr>
      <w:tr w:rsidR="003548BA" w:rsidRPr="001E7E4A" w14:paraId="5A75C6B1" w14:textId="2D971943" w:rsidTr="003548BA">
        <w:trPr>
          <w:gridBefore w:val="1"/>
          <w:wBefore w:w="98" w:type="dxa"/>
          <w:trHeight w:val="300"/>
        </w:trPr>
        <w:tc>
          <w:tcPr>
            <w:tcW w:w="1630" w:type="dxa"/>
            <w:tcBorders>
              <w:right w:val="nil"/>
            </w:tcBorders>
            <w:shd w:val="clear" w:color="auto" w:fill="D9D9D9" w:themeFill="background1" w:themeFillShade="D9"/>
            <w:noWrap/>
            <w:vAlign w:val="center"/>
            <w:hideMark/>
          </w:tcPr>
          <w:p w14:paraId="096CEDAD"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Zero</w:t>
            </w:r>
          </w:p>
        </w:tc>
        <w:tc>
          <w:tcPr>
            <w:tcW w:w="717" w:type="dxa"/>
            <w:tcBorders>
              <w:left w:val="nil"/>
              <w:right w:val="nil"/>
            </w:tcBorders>
            <w:shd w:val="clear" w:color="auto" w:fill="D9D9D9" w:themeFill="background1" w:themeFillShade="D9"/>
            <w:noWrap/>
            <w:vAlign w:val="center"/>
          </w:tcPr>
          <w:p w14:paraId="32E6B428" w14:textId="77777777" w:rsidR="003548BA" w:rsidRPr="001E7E4A" w:rsidRDefault="003548BA" w:rsidP="0040594E">
            <w:pPr>
              <w:pStyle w:val="Tablebody"/>
              <w:rPr>
                <w:sz w:val="24"/>
                <w:szCs w:val="24"/>
              </w:rPr>
            </w:pPr>
            <w:r w:rsidRPr="001E7E4A">
              <w:rPr>
                <w:sz w:val="24"/>
                <w:szCs w:val="24"/>
              </w:rPr>
              <w:t>3</w:t>
            </w:r>
          </w:p>
        </w:tc>
        <w:tc>
          <w:tcPr>
            <w:tcW w:w="976" w:type="dxa"/>
            <w:tcBorders>
              <w:left w:val="nil"/>
              <w:right w:val="nil"/>
            </w:tcBorders>
            <w:shd w:val="clear" w:color="auto" w:fill="D9D9D9" w:themeFill="background1" w:themeFillShade="D9"/>
            <w:noWrap/>
            <w:vAlign w:val="center"/>
          </w:tcPr>
          <w:p w14:paraId="579A1FBF" w14:textId="77777777" w:rsidR="003548BA" w:rsidRPr="001E7E4A" w:rsidRDefault="003548BA" w:rsidP="0040594E">
            <w:pPr>
              <w:pStyle w:val="Tablebody"/>
              <w:rPr>
                <w:sz w:val="24"/>
                <w:szCs w:val="24"/>
              </w:rPr>
            </w:pPr>
            <w:r w:rsidRPr="001E7E4A">
              <w:rPr>
                <w:sz w:val="24"/>
                <w:szCs w:val="24"/>
              </w:rPr>
              <w:t>(27%)</w:t>
            </w:r>
          </w:p>
        </w:tc>
        <w:tc>
          <w:tcPr>
            <w:tcW w:w="717" w:type="dxa"/>
            <w:tcBorders>
              <w:left w:val="nil"/>
              <w:right w:val="nil"/>
            </w:tcBorders>
            <w:shd w:val="clear" w:color="auto" w:fill="D9D9D9" w:themeFill="background1" w:themeFillShade="D9"/>
            <w:noWrap/>
            <w:vAlign w:val="bottom"/>
          </w:tcPr>
          <w:p w14:paraId="4EC0CB96" w14:textId="77777777" w:rsidR="003548BA" w:rsidRPr="001E7E4A" w:rsidRDefault="003548BA" w:rsidP="0040594E">
            <w:pPr>
              <w:pStyle w:val="Tablebody"/>
              <w:rPr>
                <w:sz w:val="24"/>
                <w:szCs w:val="24"/>
              </w:rPr>
            </w:pPr>
            <w:r w:rsidRPr="001E7E4A">
              <w:rPr>
                <w:sz w:val="24"/>
                <w:szCs w:val="24"/>
              </w:rPr>
              <w:t>7</w:t>
            </w:r>
          </w:p>
        </w:tc>
        <w:tc>
          <w:tcPr>
            <w:tcW w:w="1146" w:type="dxa"/>
            <w:tcBorders>
              <w:left w:val="nil"/>
              <w:right w:val="nil"/>
            </w:tcBorders>
            <w:shd w:val="clear" w:color="auto" w:fill="D9D9D9" w:themeFill="background1" w:themeFillShade="D9"/>
            <w:noWrap/>
            <w:vAlign w:val="center"/>
          </w:tcPr>
          <w:p w14:paraId="554F143B" w14:textId="77777777" w:rsidR="003548BA" w:rsidRPr="001E7E4A" w:rsidRDefault="003548BA" w:rsidP="0040594E">
            <w:pPr>
              <w:pStyle w:val="Tablebody"/>
              <w:rPr>
                <w:sz w:val="24"/>
                <w:szCs w:val="24"/>
              </w:rPr>
            </w:pPr>
            <w:r w:rsidRPr="001E7E4A">
              <w:rPr>
                <w:sz w:val="24"/>
                <w:szCs w:val="24"/>
              </w:rPr>
              <w:t>(16%)</w:t>
            </w:r>
          </w:p>
        </w:tc>
        <w:tc>
          <w:tcPr>
            <w:tcW w:w="659" w:type="dxa"/>
            <w:tcBorders>
              <w:left w:val="nil"/>
              <w:right w:val="nil"/>
            </w:tcBorders>
            <w:shd w:val="clear" w:color="auto" w:fill="D9D9D9" w:themeFill="background1" w:themeFillShade="D9"/>
            <w:noWrap/>
            <w:vAlign w:val="center"/>
          </w:tcPr>
          <w:p w14:paraId="55C7F3FF" w14:textId="77777777" w:rsidR="003548BA" w:rsidRPr="001E7E4A" w:rsidRDefault="003548BA" w:rsidP="0040594E">
            <w:pPr>
              <w:pStyle w:val="Tablebody"/>
              <w:rPr>
                <w:sz w:val="24"/>
                <w:szCs w:val="24"/>
              </w:rPr>
            </w:pPr>
            <w:r w:rsidRPr="001E7E4A">
              <w:rPr>
                <w:sz w:val="24"/>
                <w:szCs w:val="24"/>
              </w:rPr>
              <w:t>1.0</w:t>
            </w:r>
          </w:p>
        </w:tc>
        <w:tc>
          <w:tcPr>
            <w:tcW w:w="2330" w:type="dxa"/>
            <w:gridSpan w:val="4"/>
            <w:tcBorders>
              <w:left w:val="nil"/>
            </w:tcBorders>
            <w:shd w:val="clear" w:color="auto" w:fill="D9D9D9" w:themeFill="background1" w:themeFillShade="D9"/>
            <w:noWrap/>
            <w:vAlign w:val="center"/>
          </w:tcPr>
          <w:p w14:paraId="72E8724C" w14:textId="77777777" w:rsidR="003548BA" w:rsidRPr="001E7E4A" w:rsidRDefault="003548BA" w:rsidP="0040594E">
            <w:pPr>
              <w:pStyle w:val="Tablebody"/>
              <w:rPr>
                <w:sz w:val="24"/>
                <w:szCs w:val="24"/>
              </w:rPr>
            </w:pPr>
            <w:r w:rsidRPr="001E7E4A">
              <w:rPr>
                <w:sz w:val="24"/>
                <w:szCs w:val="24"/>
              </w:rPr>
              <w:t>-ref-</w:t>
            </w:r>
          </w:p>
        </w:tc>
        <w:tc>
          <w:tcPr>
            <w:tcW w:w="1076" w:type="dxa"/>
            <w:vMerge/>
            <w:tcBorders>
              <w:left w:val="nil"/>
            </w:tcBorders>
            <w:shd w:val="clear" w:color="auto" w:fill="D9D9D9" w:themeFill="background1" w:themeFillShade="D9"/>
          </w:tcPr>
          <w:p w14:paraId="18B0F835" w14:textId="77777777" w:rsidR="003548BA" w:rsidRPr="001E7E4A" w:rsidRDefault="003548BA" w:rsidP="0040594E">
            <w:pPr>
              <w:pStyle w:val="Tablebody"/>
              <w:rPr>
                <w:sz w:val="24"/>
                <w:szCs w:val="24"/>
              </w:rPr>
            </w:pPr>
          </w:p>
        </w:tc>
      </w:tr>
      <w:tr w:rsidR="003548BA" w:rsidRPr="001E7E4A" w14:paraId="775FF261" w14:textId="582ECD10" w:rsidTr="003548BA">
        <w:trPr>
          <w:gridBefore w:val="1"/>
          <w:wBefore w:w="98" w:type="dxa"/>
          <w:trHeight w:val="300"/>
        </w:trPr>
        <w:tc>
          <w:tcPr>
            <w:tcW w:w="1630" w:type="dxa"/>
            <w:tcBorders>
              <w:right w:val="nil"/>
            </w:tcBorders>
            <w:shd w:val="clear" w:color="auto" w:fill="D9D9D9" w:themeFill="background1" w:themeFillShade="D9"/>
            <w:noWrap/>
            <w:vAlign w:val="center"/>
          </w:tcPr>
          <w:p w14:paraId="73546284"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Low</w:t>
            </w:r>
          </w:p>
        </w:tc>
        <w:tc>
          <w:tcPr>
            <w:tcW w:w="717" w:type="dxa"/>
            <w:tcBorders>
              <w:left w:val="nil"/>
              <w:right w:val="nil"/>
            </w:tcBorders>
            <w:shd w:val="clear" w:color="auto" w:fill="D9D9D9" w:themeFill="background1" w:themeFillShade="D9"/>
            <w:noWrap/>
            <w:vAlign w:val="center"/>
          </w:tcPr>
          <w:p w14:paraId="07546994" w14:textId="77777777" w:rsidR="003548BA" w:rsidRPr="001E7E4A" w:rsidRDefault="003548BA" w:rsidP="0040594E">
            <w:pPr>
              <w:pStyle w:val="Tablebody"/>
              <w:rPr>
                <w:sz w:val="24"/>
                <w:szCs w:val="24"/>
              </w:rPr>
            </w:pPr>
            <w:r w:rsidRPr="001E7E4A">
              <w:rPr>
                <w:sz w:val="24"/>
                <w:szCs w:val="24"/>
              </w:rPr>
              <w:t>3</w:t>
            </w:r>
          </w:p>
        </w:tc>
        <w:tc>
          <w:tcPr>
            <w:tcW w:w="976" w:type="dxa"/>
            <w:tcBorders>
              <w:left w:val="nil"/>
              <w:right w:val="nil"/>
            </w:tcBorders>
            <w:shd w:val="clear" w:color="auto" w:fill="D9D9D9" w:themeFill="background1" w:themeFillShade="D9"/>
            <w:noWrap/>
            <w:vAlign w:val="center"/>
          </w:tcPr>
          <w:p w14:paraId="4C62FD8D" w14:textId="77777777" w:rsidR="003548BA" w:rsidRPr="001E7E4A" w:rsidRDefault="003548BA" w:rsidP="0040594E">
            <w:pPr>
              <w:pStyle w:val="Tablebody"/>
              <w:rPr>
                <w:sz w:val="24"/>
                <w:szCs w:val="24"/>
              </w:rPr>
            </w:pPr>
            <w:r w:rsidRPr="001E7E4A">
              <w:rPr>
                <w:sz w:val="24"/>
                <w:szCs w:val="24"/>
              </w:rPr>
              <w:t>(27%)</w:t>
            </w:r>
          </w:p>
        </w:tc>
        <w:tc>
          <w:tcPr>
            <w:tcW w:w="717" w:type="dxa"/>
            <w:tcBorders>
              <w:left w:val="nil"/>
              <w:right w:val="nil"/>
            </w:tcBorders>
            <w:shd w:val="clear" w:color="auto" w:fill="D9D9D9" w:themeFill="background1" w:themeFillShade="D9"/>
            <w:noWrap/>
            <w:vAlign w:val="bottom"/>
          </w:tcPr>
          <w:p w14:paraId="0CA5D933" w14:textId="77777777" w:rsidR="003548BA" w:rsidRPr="001E7E4A" w:rsidRDefault="003548BA" w:rsidP="0040594E">
            <w:pPr>
              <w:pStyle w:val="Tablebody"/>
              <w:rPr>
                <w:sz w:val="24"/>
                <w:szCs w:val="24"/>
              </w:rPr>
            </w:pPr>
            <w:r w:rsidRPr="001E7E4A">
              <w:rPr>
                <w:sz w:val="24"/>
                <w:szCs w:val="24"/>
              </w:rPr>
              <w:t>20</w:t>
            </w:r>
          </w:p>
        </w:tc>
        <w:tc>
          <w:tcPr>
            <w:tcW w:w="1146" w:type="dxa"/>
            <w:tcBorders>
              <w:left w:val="nil"/>
              <w:right w:val="nil"/>
            </w:tcBorders>
            <w:shd w:val="clear" w:color="auto" w:fill="D9D9D9" w:themeFill="background1" w:themeFillShade="D9"/>
            <w:noWrap/>
            <w:vAlign w:val="center"/>
          </w:tcPr>
          <w:p w14:paraId="518A3E3C" w14:textId="77777777" w:rsidR="003548BA" w:rsidRPr="001E7E4A" w:rsidRDefault="003548BA" w:rsidP="0040594E">
            <w:pPr>
              <w:pStyle w:val="Tablebody"/>
              <w:rPr>
                <w:sz w:val="24"/>
                <w:szCs w:val="24"/>
              </w:rPr>
            </w:pPr>
            <w:r w:rsidRPr="001E7E4A">
              <w:rPr>
                <w:sz w:val="24"/>
                <w:szCs w:val="24"/>
              </w:rPr>
              <w:t>(44%)</w:t>
            </w:r>
          </w:p>
        </w:tc>
        <w:tc>
          <w:tcPr>
            <w:tcW w:w="659" w:type="dxa"/>
            <w:tcBorders>
              <w:left w:val="nil"/>
              <w:right w:val="nil"/>
            </w:tcBorders>
            <w:shd w:val="clear" w:color="auto" w:fill="D9D9D9" w:themeFill="background1" w:themeFillShade="D9"/>
            <w:noWrap/>
            <w:vAlign w:val="center"/>
          </w:tcPr>
          <w:p w14:paraId="3F82734A" w14:textId="77777777" w:rsidR="003548BA" w:rsidRPr="001E7E4A" w:rsidRDefault="003548BA" w:rsidP="0040594E">
            <w:pPr>
              <w:pStyle w:val="Tablebody"/>
              <w:rPr>
                <w:sz w:val="24"/>
                <w:szCs w:val="24"/>
              </w:rPr>
            </w:pPr>
            <w:r w:rsidRPr="001E7E4A">
              <w:rPr>
                <w:sz w:val="24"/>
                <w:szCs w:val="24"/>
              </w:rPr>
              <w:t>0.3</w:t>
            </w:r>
          </w:p>
        </w:tc>
        <w:tc>
          <w:tcPr>
            <w:tcW w:w="1340" w:type="dxa"/>
            <w:gridSpan w:val="3"/>
            <w:tcBorders>
              <w:left w:val="nil"/>
              <w:right w:val="nil"/>
            </w:tcBorders>
            <w:shd w:val="clear" w:color="auto" w:fill="D9D9D9" w:themeFill="background1" w:themeFillShade="D9"/>
            <w:noWrap/>
            <w:vAlign w:val="center"/>
          </w:tcPr>
          <w:p w14:paraId="0A8DC284" w14:textId="77777777" w:rsidR="003548BA" w:rsidRPr="001E7E4A" w:rsidRDefault="003548BA" w:rsidP="0040594E">
            <w:pPr>
              <w:pStyle w:val="Tablebody"/>
              <w:rPr>
                <w:sz w:val="24"/>
                <w:szCs w:val="24"/>
              </w:rPr>
            </w:pPr>
            <w:r w:rsidRPr="001E7E4A">
              <w:rPr>
                <w:sz w:val="24"/>
                <w:szCs w:val="24"/>
              </w:rPr>
              <w:t>(0.04, 2.3)</w:t>
            </w:r>
          </w:p>
        </w:tc>
        <w:tc>
          <w:tcPr>
            <w:tcW w:w="990" w:type="dxa"/>
            <w:tcBorders>
              <w:left w:val="nil"/>
            </w:tcBorders>
            <w:shd w:val="clear" w:color="auto" w:fill="D9D9D9" w:themeFill="background1" w:themeFillShade="D9"/>
            <w:noWrap/>
            <w:vAlign w:val="center"/>
          </w:tcPr>
          <w:p w14:paraId="7B6BF341" w14:textId="77777777" w:rsidR="003548BA" w:rsidRPr="001E7E4A" w:rsidRDefault="003548BA" w:rsidP="0040594E">
            <w:pPr>
              <w:pStyle w:val="Tablebody"/>
              <w:rPr>
                <w:sz w:val="24"/>
                <w:szCs w:val="24"/>
              </w:rPr>
            </w:pPr>
            <w:r w:rsidRPr="001E7E4A">
              <w:rPr>
                <w:sz w:val="24"/>
                <w:szCs w:val="24"/>
              </w:rPr>
              <w:t>0.26</w:t>
            </w:r>
          </w:p>
        </w:tc>
        <w:tc>
          <w:tcPr>
            <w:tcW w:w="1076" w:type="dxa"/>
            <w:vMerge/>
            <w:tcBorders>
              <w:left w:val="nil"/>
            </w:tcBorders>
            <w:shd w:val="clear" w:color="auto" w:fill="D9D9D9" w:themeFill="background1" w:themeFillShade="D9"/>
          </w:tcPr>
          <w:p w14:paraId="167DC76A" w14:textId="77777777" w:rsidR="003548BA" w:rsidRPr="001E7E4A" w:rsidRDefault="003548BA" w:rsidP="0040594E">
            <w:pPr>
              <w:pStyle w:val="Tablebody"/>
              <w:rPr>
                <w:sz w:val="24"/>
                <w:szCs w:val="24"/>
              </w:rPr>
            </w:pPr>
          </w:p>
        </w:tc>
      </w:tr>
      <w:tr w:rsidR="003548BA" w:rsidRPr="001E7E4A" w14:paraId="43CDDC7F" w14:textId="7257F6DC" w:rsidTr="003548BA">
        <w:trPr>
          <w:gridBefore w:val="1"/>
          <w:wBefore w:w="98" w:type="dxa"/>
          <w:trHeight w:val="300"/>
        </w:trPr>
        <w:tc>
          <w:tcPr>
            <w:tcW w:w="1630" w:type="dxa"/>
            <w:tcBorders>
              <w:bottom w:val="single" w:sz="4" w:space="0" w:color="auto"/>
              <w:right w:val="nil"/>
            </w:tcBorders>
            <w:shd w:val="clear" w:color="auto" w:fill="D9D9D9" w:themeFill="background1" w:themeFillShade="D9"/>
            <w:noWrap/>
            <w:vAlign w:val="center"/>
            <w:hideMark/>
          </w:tcPr>
          <w:p w14:paraId="36E2777D" w14:textId="77777777" w:rsidR="003548BA" w:rsidRPr="001E7E4A" w:rsidRDefault="003548BA" w:rsidP="0040594E">
            <w:pPr>
              <w:pStyle w:val="NoSpacing"/>
              <w:ind w:left="288"/>
              <w:rPr>
                <w:rFonts w:asciiTheme="minorHAnsi" w:hAnsiTheme="minorHAnsi"/>
              </w:rPr>
            </w:pPr>
            <w:r w:rsidRPr="001E7E4A">
              <w:rPr>
                <w:rFonts w:asciiTheme="minorHAnsi" w:hAnsiTheme="minorHAnsi"/>
              </w:rPr>
              <w:t>High</w:t>
            </w:r>
          </w:p>
        </w:tc>
        <w:tc>
          <w:tcPr>
            <w:tcW w:w="717" w:type="dxa"/>
            <w:tcBorders>
              <w:left w:val="nil"/>
              <w:bottom w:val="single" w:sz="4" w:space="0" w:color="auto"/>
              <w:right w:val="nil"/>
            </w:tcBorders>
            <w:shd w:val="clear" w:color="auto" w:fill="D9D9D9" w:themeFill="background1" w:themeFillShade="D9"/>
            <w:noWrap/>
            <w:vAlign w:val="center"/>
          </w:tcPr>
          <w:p w14:paraId="290EC0D1" w14:textId="77777777" w:rsidR="003548BA" w:rsidRPr="001E7E4A" w:rsidRDefault="003548BA" w:rsidP="0040594E">
            <w:pPr>
              <w:pStyle w:val="Tablebody"/>
              <w:rPr>
                <w:sz w:val="24"/>
                <w:szCs w:val="24"/>
              </w:rPr>
            </w:pPr>
            <w:r w:rsidRPr="001E7E4A">
              <w:rPr>
                <w:sz w:val="24"/>
                <w:szCs w:val="24"/>
              </w:rPr>
              <w:t>5</w:t>
            </w:r>
          </w:p>
        </w:tc>
        <w:tc>
          <w:tcPr>
            <w:tcW w:w="976" w:type="dxa"/>
            <w:tcBorders>
              <w:left w:val="nil"/>
              <w:bottom w:val="single" w:sz="4" w:space="0" w:color="auto"/>
              <w:right w:val="nil"/>
            </w:tcBorders>
            <w:shd w:val="clear" w:color="auto" w:fill="D9D9D9" w:themeFill="background1" w:themeFillShade="D9"/>
            <w:noWrap/>
            <w:vAlign w:val="center"/>
          </w:tcPr>
          <w:p w14:paraId="3607D390" w14:textId="77777777" w:rsidR="003548BA" w:rsidRPr="001E7E4A" w:rsidRDefault="003548BA" w:rsidP="0040594E">
            <w:pPr>
              <w:pStyle w:val="Tablebody"/>
              <w:rPr>
                <w:sz w:val="24"/>
                <w:szCs w:val="24"/>
              </w:rPr>
            </w:pPr>
            <w:r w:rsidRPr="001E7E4A">
              <w:rPr>
                <w:sz w:val="24"/>
                <w:szCs w:val="24"/>
              </w:rPr>
              <w:t>(45%)</w:t>
            </w:r>
          </w:p>
        </w:tc>
        <w:tc>
          <w:tcPr>
            <w:tcW w:w="717" w:type="dxa"/>
            <w:tcBorders>
              <w:left w:val="nil"/>
              <w:bottom w:val="single" w:sz="4" w:space="0" w:color="auto"/>
              <w:right w:val="nil"/>
            </w:tcBorders>
            <w:shd w:val="clear" w:color="auto" w:fill="D9D9D9" w:themeFill="background1" w:themeFillShade="D9"/>
            <w:noWrap/>
            <w:vAlign w:val="bottom"/>
          </w:tcPr>
          <w:p w14:paraId="654C19A5" w14:textId="77777777" w:rsidR="003548BA" w:rsidRPr="001E7E4A" w:rsidRDefault="003548BA" w:rsidP="0040594E">
            <w:pPr>
              <w:pStyle w:val="Tablebody"/>
              <w:rPr>
                <w:sz w:val="24"/>
                <w:szCs w:val="24"/>
              </w:rPr>
            </w:pPr>
            <w:r w:rsidRPr="001E7E4A">
              <w:rPr>
                <w:sz w:val="24"/>
                <w:szCs w:val="24"/>
              </w:rPr>
              <w:t>18</w:t>
            </w:r>
          </w:p>
        </w:tc>
        <w:tc>
          <w:tcPr>
            <w:tcW w:w="1146" w:type="dxa"/>
            <w:tcBorders>
              <w:left w:val="nil"/>
              <w:bottom w:val="single" w:sz="4" w:space="0" w:color="auto"/>
              <w:right w:val="nil"/>
            </w:tcBorders>
            <w:shd w:val="clear" w:color="auto" w:fill="D9D9D9" w:themeFill="background1" w:themeFillShade="D9"/>
            <w:noWrap/>
            <w:vAlign w:val="center"/>
          </w:tcPr>
          <w:p w14:paraId="3380C315" w14:textId="77777777" w:rsidR="003548BA" w:rsidRPr="001E7E4A" w:rsidRDefault="003548BA" w:rsidP="0040594E">
            <w:pPr>
              <w:pStyle w:val="Tablebody"/>
              <w:rPr>
                <w:sz w:val="24"/>
                <w:szCs w:val="24"/>
              </w:rPr>
            </w:pPr>
            <w:r w:rsidRPr="001E7E4A">
              <w:rPr>
                <w:sz w:val="24"/>
                <w:szCs w:val="24"/>
              </w:rPr>
              <w:t>(40%)</w:t>
            </w:r>
          </w:p>
        </w:tc>
        <w:tc>
          <w:tcPr>
            <w:tcW w:w="659" w:type="dxa"/>
            <w:tcBorders>
              <w:left w:val="nil"/>
              <w:bottom w:val="single" w:sz="4" w:space="0" w:color="auto"/>
              <w:right w:val="nil"/>
            </w:tcBorders>
            <w:shd w:val="clear" w:color="auto" w:fill="D9D9D9" w:themeFill="background1" w:themeFillShade="D9"/>
            <w:noWrap/>
            <w:vAlign w:val="center"/>
          </w:tcPr>
          <w:p w14:paraId="6DC8C4EF" w14:textId="77777777" w:rsidR="003548BA" w:rsidRPr="001E7E4A" w:rsidRDefault="003548BA" w:rsidP="0040594E">
            <w:pPr>
              <w:pStyle w:val="Tablebody"/>
              <w:rPr>
                <w:sz w:val="24"/>
                <w:szCs w:val="24"/>
              </w:rPr>
            </w:pPr>
            <w:r w:rsidRPr="001E7E4A">
              <w:rPr>
                <w:sz w:val="24"/>
                <w:szCs w:val="24"/>
              </w:rPr>
              <w:t>0.6</w:t>
            </w:r>
          </w:p>
        </w:tc>
        <w:tc>
          <w:tcPr>
            <w:tcW w:w="1253" w:type="dxa"/>
            <w:tcBorders>
              <w:left w:val="nil"/>
              <w:bottom w:val="single" w:sz="4" w:space="0" w:color="auto"/>
              <w:right w:val="nil"/>
            </w:tcBorders>
            <w:shd w:val="clear" w:color="auto" w:fill="D9D9D9" w:themeFill="background1" w:themeFillShade="D9"/>
            <w:noWrap/>
            <w:vAlign w:val="center"/>
          </w:tcPr>
          <w:p w14:paraId="4A37E987" w14:textId="77777777" w:rsidR="003548BA" w:rsidRPr="001E7E4A" w:rsidRDefault="003548BA" w:rsidP="0040594E">
            <w:pPr>
              <w:pStyle w:val="Tablebody"/>
              <w:rPr>
                <w:sz w:val="24"/>
                <w:szCs w:val="24"/>
              </w:rPr>
            </w:pPr>
            <w:r w:rsidRPr="001E7E4A">
              <w:rPr>
                <w:sz w:val="24"/>
                <w:szCs w:val="24"/>
              </w:rPr>
              <w:t>(0.1, 3.3)</w:t>
            </w:r>
          </w:p>
        </w:tc>
        <w:tc>
          <w:tcPr>
            <w:tcW w:w="1077" w:type="dxa"/>
            <w:gridSpan w:val="3"/>
            <w:tcBorders>
              <w:left w:val="nil"/>
              <w:bottom w:val="single" w:sz="4" w:space="0" w:color="auto"/>
            </w:tcBorders>
            <w:shd w:val="clear" w:color="auto" w:fill="D9D9D9" w:themeFill="background1" w:themeFillShade="D9"/>
            <w:noWrap/>
            <w:vAlign w:val="center"/>
          </w:tcPr>
          <w:p w14:paraId="5E06BEAD" w14:textId="77777777" w:rsidR="003548BA" w:rsidRPr="001E7E4A" w:rsidRDefault="003548BA" w:rsidP="0040594E">
            <w:pPr>
              <w:pStyle w:val="Tablebody"/>
              <w:rPr>
                <w:sz w:val="24"/>
                <w:szCs w:val="24"/>
              </w:rPr>
            </w:pPr>
            <w:r w:rsidRPr="001E7E4A">
              <w:rPr>
                <w:sz w:val="24"/>
                <w:szCs w:val="24"/>
              </w:rPr>
              <w:t>0.54</w:t>
            </w:r>
          </w:p>
        </w:tc>
        <w:tc>
          <w:tcPr>
            <w:tcW w:w="1076" w:type="dxa"/>
            <w:vMerge/>
            <w:tcBorders>
              <w:left w:val="nil"/>
              <w:bottom w:val="single" w:sz="4" w:space="0" w:color="auto"/>
            </w:tcBorders>
            <w:shd w:val="clear" w:color="auto" w:fill="D9D9D9" w:themeFill="background1" w:themeFillShade="D9"/>
          </w:tcPr>
          <w:p w14:paraId="33A64F75" w14:textId="77777777" w:rsidR="003548BA" w:rsidRPr="001E7E4A" w:rsidRDefault="003548BA" w:rsidP="0040594E">
            <w:pPr>
              <w:pStyle w:val="Tablebody"/>
              <w:rPr>
                <w:sz w:val="24"/>
                <w:szCs w:val="24"/>
              </w:rPr>
            </w:pPr>
          </w:p>
        </w:tc>
      </w:tr>
    </w:tbl>
    <w:p w14:paraId="4B90D252" w14:textId="77777777" w:rsidR="00C67849" w:rsidRPr="00B85973" w:rsidRDefault="00C67849" w:rsidP="0040594E">
      <w:pPr>
        <w:pStyle w:val="NoSpacing"/>
        <w:rPr>
          <w:sz w:val="22"/>
          <w:szCs w:val="22"/>
        </w:rPr>
      </w:pPr>
      <w:proofErr w:type="spellStart"/>
      <w:r w:rsidRPr="00B85973">
        <w:rPr>
          <w:sz w:val="22"/>
          <w:szCs w:val="22"/>
          <w:vertAlign w:val="superscript"/>
        </w:rPr>
        <w:t>a</w:t>
      </w:r>
      <w:r w:rsidRPr="00B85973">
        <w:rPr>
          <w:sz w:val="22"/>
          <w:szCs w:val="22"/>
        </w:rPr>
        <w:t>OR</w:t>
      </w:r>
      <w:proofErr w:type="spellEnd"/>
      <w:r w:rsidRPr="00B85973">
        <w:rPr>
          <w:sz w:val="22"/>
          <w:szCs w:val="22"/>
        </w:rPr>
        <w:t xml:space="preserve"> = Matched Odds Ratio</w:t>
      </w:r>
    </w:p>
    <w:p w14:paraId="0DE179FF" w14:textId="77777777" w:rsidR="00C67849" w:rsidRPr="00B85973" w:rsidRDefault="00C67849" w:rsidP="0040594E">
      <w:pPr>
        <w:pStyle w:val="NoSpacing"/>
        <w:rPr>
          <w:sz w:val="22"/>
          <w:szCs w:val="22"/>
        </w:rPr>
      </w:pPr>
      <w:r w:rsidRPr="00B85973">
        <w:rPr>
          <w:sz w:val="22"/>
          <w:szCs w:val="22"/>
          <w:vertAlign w:val="superscript"/>
        </w:rPr>
        <w:t>b</w:t>
      </w:r>
      <w:r w:rsidRPr="00B85973">
        <w:rPr>
          <w:sz w:val="22"/>
          <w:szCs w:val="22"/>
        </w:rPr>
        <w:t>95% CI = 95% Confidence Interval</w:t>
      </w:r>
    </w:p>
    <w:p w14:paraId="1E11D5D3" w14:textId="77777777" w:rsidR="00CB576C" w:rsidRPr="00B85973" w:rsidRDefault="00CB576C" w:rsidP="0040594E">
      <w:pPr>
        <w:pStyle w:val="NoSpacing"/>
        <w:rPr>
          <w:rFonts w:eastAsiaTheme="minorHAnsi"/>
          <w:sz w:val="22"/>
          <w:szCs w:val="22"/>
        </w:rPr>
      </w:pPr>
      <w:r w:rsidRPr="00B85973">
        <w:rPr>
          <w:rFonts w:eastAsiaTheme="minorHAnsi"/>
          <w:sz w:val="22"/>
          <w:szCs w:val="22"/>
        </w:rPr>
        <w:t>†Marginally significant association with the odds of childhood cancer (</w:t>
      </w:r>
      <w:r w:rsidRPr="00B85973">
        <w:rPr>
          <w:i/>
          <w:sz w:val="22"/>
          <w:szCs w:val="22"/>
        </w:rPr>
        <w:t>p</w:t>
      </w:r>
      <w:r w:rsidRPr="00B85973">
        <w:rPr>
          <w:rFonts w:eastAsiaTheme="minorHAnsi"/>
          <w:sz w:val="22"/>
          <w:szCs w:val="22"/>
        </w:rPr>
        <w:t xml:space="preserve"> &lt;0.10)</w:t>
      </w:r>
    </w:p>
    <w:p w14:paraId="2D44BD3F" w14:textId="77777777" w:rsidR="00CB576C" w:rsidRPr="00B85973" w:rsidRDefault="00CB576C" w:rsidP="0040594E">
      <w:pPr>
        <w:pStyle w:val="NoSpacing"/>
        <w:rPr>
          <w:rFonts w:eastAsiaTheme="minorHAnsi"/>
          <w:sz w:val="22"/>
          <w:szCs w:val="22"/>
        </w:rPr>
      </w:pPr>
      <w:r w:rsidRPr="00B85973">
        <w:rPr>
          <w:rFonts w:eastAsiaTheme="minorHAnsi"/>
          <w:sz w:val="22"/>
          <w:szCs w:val="22"/>
        </w:rPr>
        <w:t>‡Statistically significant association with the odds of childhood cancer (</w:t>
      </w:r>
      <w:r w:rsidRPr="00B85973">
        <w:rPr>
          <w:i/>
          <w:sz w:val="22"/>
          <w:szCs w:val="22"/>
        </w:rPr>
        <w:t>p</w:t>
      </w:r>
      <w:r w:rsidRPr="00B85973">
        <w:rPr>
          <w:rFonts w:eastAsiaTheme="minorHAnsi"/>
          <w:sz w:val="22"/>
          <w:szCs w:val="22"/>
        </w:rPr>
        <w:t xml:space="preserve"> &lt;0.05)</w:t>
      </w:r>
    </w:p>
    <w:p w14:paraId="35B55C63" w14:textId="159A3D37" w:rsidR="00FB6843" w:rsidRDefault="00340E6A" w:rsidP="0040594E">
      <w:pPr>
        <w:pStyle w:val="NoSpacing"/>
      </w:pPr>
      <w:r w:rsidRPr="00B85973">
        <w:rPr>
          <w:rFonts w:eastAsiaTheme="minorHAnsi"/>
          <w:sz w:val="22"/>
          <w:szCs w:val="22"/>
        </w:rPr>
        <w:t>*</w:t>
      </w:r>
      <w:r w:rsidR="00995214" w:rsidRPr="00B85973">
        <w:rPr>
          <w:rFonts w:eastAsiaTheme="minorHAnsi"/>
          <w:sz w:val="22"/>
          <w:szCs w:val="22"/>
        </w:rPr>
        <w:t xml:space="preserve">NOTES: </w:t>
      </w:r>
      <w:r w:rsidR="00995214" w:rsidRPr="00B85973">
        <w:rPr>
          <w:sz w:val="22"/>
          <w:szCs w:val="22"/>
        </w:rPr>
        <w:t xml:space="preserve">Average concentrations include </w:t>
      </w:r>
      <w:r w:rsidR="0083661E" w:rsidRPr="00B85973">
        <w:rPr>
          <w:sz w:val="22"/>
          <w:szCs w:val="22"/>
        </w:rPr>
        <w:t>m</w:t>
      </w:r>
      <w:r w:rsidR="00995214" w:rsidRPr="00B85973">
        <w:rPr>
          <w:sz w:val="22"/>
          <w:szCs w:val="22"/>
        </w:rPr>
        <w:t xml:space="preserve">onths of non-zero estimates only. </w:t>
      </w:r>
      <w:r w:rsidR="0083661E" w:rsidRPr="00B85973">
        <w:rPr>
          <w:sz w:val="22"/>
          <w:szCs w:val="22"/>
        </w:rPr>
        <w:t xml:space="preserve">For the </w:t>
      </w:r>
      <w:proofErr w:type="gramStart"/>
      <w:r w:rsidR="0083661E" w:rsidRPr="00B85973">
        <w:rPr>
          <w:sz w:val="22"/>
          <w:szCs w:val="22"/>
        </w:rPr>
        <w:t>All Cancers</w:t>
      </w:r>
      <w:proofErr w:type="gramEnd"/>
      <w:r w:rsidR="0083661E" w:rsidRPr="00B85973">
        <w:rPr>
          <w:sz w:val="22"/>
          <w:szCs w:val="22"/>
        </w:rPr>
        <w:t xml:space="preserve"> analysis, </w:t>
      </w:r>
      <w:r w:rsidR="000C1D74" w:rsidRPr="00B85973">
        <w:rPr>
          <w:sz w:val="22"/>
          <w:szCs w:val="22"/>
        </w:rPr>
        <w:t>average maternal concentrations ranged from 12 to 47 ng/L in the low category and 48 to 7</w:t>
      </w:r>
      <w:r w:rsidR="002A4701" w:rsidRPr="00B85973">
        <w:rPr>
          <w:sz w:val="22"/>
          <w:szCs w:val="22"/>
        </w:rPr>
        <w:t>3</w:t>
      </w:r>
      <w:r w:rsidR="000C1D74" w:rsidRPr="00B85973">
        <w:rPr>
          <w:sz w:val="22"/>
          <w:szCs w:val="22"/>
        </w:rPr>
        <w:t xml:space="preserve"> ng/L in the high category; </w:t>
      </w:r>
      <w:r w:rsidR="0083661E" w:rsidRPr="00B85973">
        <w:rPr>
          <w:sz w:val="22"/>
          <w:szCs w:val="22"/>
        </w:rPr>
        <w:t>average childhood c</w:t>
      </w:r>
      <w:r w:rsidR="00995214" w:rsidRPr="00B85973">
        <w:rPr>
          <w:sz w:val="22"/>
          <w:szCs w:val="22"/>
        </w:rPr>
        <w:t>oncentration</w:t>
      </w:r>
      <w:r w:rsidR="0083661E" w:rsidRPr="00B85973">
        <w:rPr>
          <w:sz w:val="22"/>
          <w:szCs w:val="22"/>
        </w:rPr>
        <w:t>s</w:t>
      </w:r>
      <w:r w:rsidR="00995214" w:rsidRPr="00B85973">
        <w:rPr>
          <w:sz w:val="22"/>
          <w:szCs w:val="22"/>
        </w:rPr>
        <w:t xml:space="preserve"> range</w:t>
      </w:r>
      <w:r w:rsidR="0083661E" w:rsidRPr="00B85973">
        <w:rPr>
          <w:sz w:val="22"/>
          <w:szCs w:val="22"/>
        </w:rPr>
        <w:t>d from 6.8 to 40 ng/L in the low category and 40 to 7</w:t>
      </w:r>
      <w:r w:rsidR="002A4701" w:rsidRPr="00B85973">
        <w:rPr>
          <w:sz w:val="22"/>
          <w:szCs w:val="22"/>
        </w:rPr>
        <w:t>6</w:t>
      </w:r>
      <w:r w:rsidR="00995214" w:rsidRPr="00B85973">
        <w:rPr>
          <w:sz w:val="22"/>
          <w:szCs w:val="22"/>
        </w:rPr>
        <w:t xml:space="preserve"> </w:t>
      </w:r>
      <w:r w:rsidR="0083661E" w:rsidRPr="00B85973">
        <w:rPr>
          <w:sz w:val="22"/>
          <w:szCs w:val="22"/>
        </w:rPr>
        <w:t xml:space="preserve">ng/L in the high category. For the Leukemia/Lymphoma analysis, </w:t>
      </w:r>
      <w:r w:rsidR="000C1D74" w:rsidRPr="00B85973">
        <w:rPr>
          <w:sz w:val="22"/>
          <w:szCs w:val="22"/>
        </w:rPr>
        <w:t>average maternal concentrations ranged from 1</w:t>
      </w:r>
      <w:r w:rsidR="002A4701" w:rsidRPr="00B85973">
        <w:rPr>
          <w:sz w:val="22"/>
          <w:szCs w:val="22"/>
        </w:rPr>
        <w:t>9</w:t>
      </w:r>
      <w:r w:rsidR="000C1D74" w:rsidRPr="00B85973">
        <w:rPr>
          <w:sz w:val="22"/>
          <w:szCs w:val="22"/>
        </w:rPr>
        <w:t xml:space="preserve"> to 47 ng/L in the low category and </w:t>
      </w:r>
      <w:r w:rsidR="002A4701" w:rsidRPr="00B85973">
        <w:rPr>
          <w:sz w:val="22"/>
          <w:szCs w:val="22"/>
        </w:rPr>
        <w:t xml:space="preserve">50 </w:t>
      </w:r>
      <w:r w:rsidR="000C1D74" w:rsidRPr="00B85973">
        <w:rPr>
          <w:sz w:val="22"/>
          <w:szCs w:val="22"/>
        </w:rPr>
        <w:t>to 7</w:t>
      </w:r>
      <w:r w:rsidR="002A4701" w:rsidRPr="00B85973">
        <w:rPr>
          <w:sz w:val="22"/>
          <w:szCs w:val="22"/>
        </w:rPr>
        <w:t>3</w:t>
      </w:r>
      <w:r w:rsidR="000C1D74" w:rsidRPr="00B85973">
        <w:rPr>
          <w:sz w:val="22"/>
          <w:szCs w:val="22"/>
        </w:rPr>
        <w:t xml:space="preserve"> ng/L in the high category; </w:t>
      </w:r>
      <w:r w:rsidR="0083661E" w:rsidRPr="00B85973">
        <w:rPr>
          <w:sz w:val="22"/>
          <w:szCs w:val="22"/>
        </w:rPr>
        <w:t xml:space="preserve">average </w:t>
      </w:r>
      <w:r w:rsidR="000C1D74" w:rsidRPr="00B85973">
        <w:rPr>
          <w:sz w:val="22"/>
          <w:szCs w:val="22"/>
        </w:rPr>
        <w:t xml:space="preserve">childhood </w:t>
      </w:r>
      <w:r w:rsidR="0083661E" w:rsidRPr="00B85973">
        <w:rPr>
          <w:sz w:val="22"/>
          <w:szCs w:val="22"/>
        </w:rPr>
        <w:t>concentrations ranged from 6.9 to 4</w:t>
      </w:r>
      <w:r w:rsidR="002A4701" w:rsidRPr="00B85973">
        <w:rPr>
          <w:sz w:val="22"/>
          <w:szCs w:val="22"/>
        </w:rPr>
        <w:t>3</w:t>
      </w:r>
      <w:r w:rsidR="0083661E" w:rsidRPr="00B85973">
        <w:rPr>
          <w:sz w:val="22"/>
          <w:szCs w:val="22"/>
        </w:rPr>
        <w:t xml:space="preserve"> ng/L in the </w:t>
      </w:r>
      <w:r w:rsidR="00962B4F" w:rsidRPr="00B85973">
        <w:rPr>
          <w:sz w:val="22"/>
          <w:szCs w:val="22"/>
        </w:rPr>
        <w:t>l</w:t>
      </w:r>
      <w:r w:rsidR="0083661E" w:rsidRPr="00B85973">
        <w:rPr>
          <w:sz w:val="22"/>
          <w:szCs w:val="22"/>
        </w:rPr>
        <w:t xml:space="preserve">ow category and 43 to 70 </w:t>
      </w:r>
      <w:r w:rsidR="00962B4F" w:rsidRPr="00B85973">
        <w:rPr>
          <w:sz w:val="22"/>
          <w:szCs w:val="22"/>
        </w:rPr>
        <w:t>ng/L in the high category</w:t>
      </w:r>
      <w:r w:rsidR="007F65F8">
        <w:t>.</w:t>
      </w:r>
      <w:r w:rsidR="00FB6843">
        <w:br w:type="page"/>
      </w:r>
    </w:p>
    <w:p w14:paraId="51E7CE9E" w14:textId="4A2E9E5D" w:rsidR="00EA354F" w:rsidRDefault="00AD74FA" w:rsidP="00FB6843">
      <w:pPr>
        <w:spacing w:line="240" w:lineRule="auto"/>
      </w:pPr>
      <w:r w:rsidRPr="0019532C">
        <w:rPr>
          <w:noProof/>
        </w:rPr>
        <w:lastRenderedPageBreak/>
        <mc:AlternateContent>
          <mc:Choice Requires="wps">
            <w:drawing>
              <wp:anchor distT="0" distB="0" distL="114300" distR="114300" simplePos="0" relativeHeight="251650048" behindDoc="0" locked="1" layoutInCell="1" allowOverlap="1" wp14:anchorId="5A8C1D55" wp14:editId="4C4E2D21">
                <wp:simplePos x="0" y="0"/>
                <wp:positionH relativeFrom="column">
                  <wp:posOffset>1351280</wp:posOffset>
                </wp:positionH>
                <wp:positionV relativeFrom="paragraph">
                  <wp:posOffset>4254598</wp:posOffset>
                </wp:positionV>
                <wp:extent cx="923544" cy="265176"/>
                <wp:effectExtent l="0" t="0" r="0" b="1905"/>
                <wp:wrapNone/>
                <wp:docPr id="26" name="TextBox 2"/>
                <wp:cNvGraphicFramePr/>
                <a:graphic xmlns:a="http://schemas.openxmlformats.org/drawingml/2006/main">
                  <a:graphicData uri="http://schemas.microsoft.com/office/word/2010/wordprocessingShape">
                    <wps:wsp>
                      <wps:cNvSpPr txBox="1"/>
                      <wps:spPr>
                        <a:xfrm>
                          <a:off x="0" y="0"/>
                          <a:ext cx="923544" cy="26517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1DC926" w14:textId="77777777" w:rsidR="00C2588D" w:rsidRPr="00AD74FA" w:rsidRDefault="00C2588D" w:rsidP="0019532C">
                            <w:pPr>
                              <w:jc w:val="center"/>
                              <w:rPr>
                                <w:b/>
                                <w:color w:val="262626" w:themeColor="text1" w:themeTint="D9"/>
                              </w:rPr>
                            </w:pPr>
                            <w:r w:rsidRPr="00AD74FA">
                              <w:rPr>
                                <w:rFonts w:asciiTheme="minorHAnsi" w:hAnsi="Calibri" w:cstheme="minorBidi"/>
                                <w:b/>
                                <w:bCs/>
                                <w:color w:val="262626" w:themeColor="text1" w:themeTint="D9"/>
                                <w:sz w:val="22"/>
                                <w:szCs w:val="22"/>
                              </w:rPr>
                              <w:t>All Cancers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8C1D55" id="TextBox 2" o:spid="_x0000_s1031" type="#_x0000_t202" style="position:absolute;margin-left:106.4pt;margin-top:335pt;width:72.7pt;height:2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" filled="f" stroked="f">
                <v:textbox>
                  <w:txbxContent>
                    <w:p w14:paraId="5F1DC926" w14:textId="77777777" w:rsidR="00C2588D" w:rsidRPr="00AD74FA" w:rsidRDefault="00C2588D" w:rsidP="0019532C">
                      <w:pPr>
                        <w:jc w:val="center"/>
                        <w:rPr>
                          <w:b/>
                          <w:color w:val="262626" w:themeColor="text1" w:themeTint="D9"/>
                        </w:rPr>
                      </w:pPr>
                      <w:r w:rsidRPr="00AD74FA">
                        <w:rPr>
                          <w:rFonts w:asciiTheme="minorHAnsi" w:hAnsi="Calibri" w:cstheme="minorBidi"/>
                          <w:b/>
                          <w:bCs/>
                          <w:color w:val="262626" w:themeColor="text1" w:themeTint="D9"/>
                          <w:sz w:val="22"/>
                          <w:szCs w:val="22"/>
                        </w:rPr>
                        <w:t>All Cancers</w:t>
                      </w:r>
                    </w:p>
                  </w:txbxContent>
                </v:textbox>
                <w10:anchorlock/>
              </v:shape>
            </w:pict>
          </mc:Fallback>
        </mc:AlternateContent>
      </w:r>
      <w:r w:rsidRPr="0019532C">
        <w:rPr>
          <w:noProof/>
        </w:rPr>
        <mc:AlternateContent>
          <mc:Choice Requires="wps">
            <w:drawing>
              <wp:anchor distT="0" distB="0" distL="114300" distR="114300" simplePos="0" relativeHeight="251649024" behindDoc="0" locked="1" layoutInCell="1" allowOverlap="1" wp14:anchorId="6E26305D" wp14:editId="4A1A56C5">
                <wp:simplePos x="0" y="0"/>
                <wp:positionH relativeFrom="column">
                  <wp:posOffset>3477895</wp:posOffset>
                </wp:positionH>
                <wp:positionV relativeFrom="paragraph">
                  <wp:posOffset>4250592</wp:posOffset>
                </wp:positionV>
                <wp:extent cx="1554480" cy="274320"/>
                <wp:effectExtent l="0" t="0" r="0" b="0"/>
                <wp:wrapNone/>
                <wp:docPr id="23" name="TextBox 3"/>
                <wp:cNvGraphicFramePr/>
                <a:graphic xmlns:a="http://schemas.openxmlformats.org/drawingml/2006/main">
                  <a:graphicData uri="http://schemas.microsoft.com/office/word/2010/wordprocessingShape">
                    <wps:wsp>
                      <wps:cNvSpPr txBox="1"/>
                      <wps:spPr>
                        <a:xfrm>
                          <a:off x="0" y="0"/>
                          <a:ext cx="1554480" cy="2743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767724" w14:textId="77777777" w:rsidR="00C2588D" w:rsidRPr="00AD74FA" w:rsidRDefault="00C2588D" w:rsidP="0019532C">
                            <w:pPr>
                              <w:jc w:val="center"/>
                              <w:rPr>
                                <w:b/>
                                <w:color w:val="262626" w:themeColor="text1" w:themeTint="D9"/>
                              </w:rPr>
                            </w:pPr>
                            <w:r w:rsidRPr="00AD74FA">
                              <w:rPr>
                                <w:rFonts w:asciiTheme="minorHAnsi" w:hAnsi="Calibri" w:cstheme="minorBidi"/>
                                <w:b/>
                                <w:bCs/>
                                <w:color w:val="262626" w:themeColor="text1" w:themeTint="D9"/>
                                <w:sz w:val="22"/>
                                <w:szCs w:val="22"/>
                              </w:rPr>
                              <w:t>Leukemia/Lymphoma</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6E26305D" id="TextBox 3" o:spid="_x0000_s1032" type="#_x0000_t202" style="position:absolute;margin-left:273.85pt;margin-top:334.7pt;width:122.4pt;height:21.6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" filled="f" stroked="f">
                <v:textbox>
                  <w:txbxContent>
                    <w:p w14:paraId="57767724" w14:textId="77777777" w:rsidR="00C2588D" w:rsidRPr="00AD74FA" w:rsidRDefault="00C2588D" w:rsidP="0019532C">
                      <w:pPr>
                        <w:jc w:val="center"/>
                        <w:rPr>
                          <w:b/>
                          <w:color w:val="262626" w:themeColor="text1" w:themeTint="D9"/>
                        </w:rPr>
                      </w:pPr>
                      <w:r w:rsidRPr="00AD74FA">
                        <w:rPr>
                          <w:rFonts w:asciiTheme="minorHAnsi" w:hAnsi="Calibri" w:cstheme="minorBidi"/>
                          <w:b/>
                          <w:bCs/>
                          <w:color w:val="262626" w:themeColor="text1" w:themeTint="D9"/>
                          <w:sz w:val="22"/>
                          <w:szCs w:val="22"/>
                        </w:rPr>
                        <w:t>Leukemia/Lymphoma</w:t>
                      </w:r>
                    </w:p>
                  </w:txbxContent>
                </v:textbox>
                <w10:anchorlock/>
              </v:shape>
            </w:pict>
          </mc:Fallback>
        </mc:AlternateContent>
      </w:r>
      <w:bookmarkStart w:id="142" w:name="_Ref13221850"/>
      <w:bookmarkStart w:id="143" w:name="Figure12"/>
      <w:bookmarkStart w:id="144" w:name="_Toc45717787"/>
      <w:r w:rsidR="00105BF8">
        <w:rPr>
          <w:noProof/>
        </w:rPr>
        <w:drawing>
          <wp:anchor distT="0" distB="0" distL="114300" distR="114300" simplePos="0" relativeHeight="251675648" behindDoc="0" locked="0" layoutInCell="1" allowOverlap="1" wp14:anchorId="6F7FAE7D" wp14:editId="050843BB">
            <wp:simplePos x="0" y="0"/>
            <wp:positionH relativeFrom="margin">
              <wp:align>left</wp:align>
            </wp:positionH>
            <wp:positionV relativeFrom="paragraph">
              <wp:posOffset>809625</wp:posOffset>
            </wp:positionV>
            <wp:extent cx="5943600" cy="4659630"/>
            <wp:effectExtent l="0" t="0" r="0" b="762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EA354F">
        <w:t xml:space="preserve">Figure </w:t>
      </w:r>
      <w:fldSimple w:instr=" SEQ Figure \* ARABIC ">
        <w:r w:rsidR="00977423">
          <w:rPr>
            <w:noProof/>
          </w:rPr>
          <w:t>12</w:t>
        </w:r>
      </w:fldSimple>
      <w:bookmarkEnd w:id="142"/>
      <w:r w:rsidR="00EA354F">
        <w:t xml:space="preserve">. </w:t>
      </w:r>
      <w:r w:rsidR="00EA354F" w:rsidRPr="0008177C">
        <w:t>O</w:t>
      </w:r>
      <w:bookmarkEnd w:id="143"/>
      <w:r w:rsidR="00EA354F" w:rsidRPr="0008177C">
        <w:t>dds ratios and 95% confidence intervals for the association between childhood cancer and average estimated NDMA concentrations in drinking water during maternal (the year before birth)</w:t>
      </w:r>
      <w:r w:rsidR="00E70479">
        <w:t xml:space="preserve"> and childhood exposure periods</w:t>
      </w:r>
      <w:bookmarkEnd w:id="144"/>
    </w:p>
    <w:p w14:paraId="44EE6674" w14:textId="39A21EFE" w:rsidR="00C67849" w:rsidRPr="000C4868" w:rsidRDefault="000C1D74" w:rsidP="0040594E">
      <w:pPr>
        <w:spacing w:line="240" w:lineRule="auto"/>
      </w:pPr>
      <w:r w:rsidRPr="000C4868">
        <w:rPr>
          <w:noProof/>
        </w:rPr>
        <mc:AlternateContent>
          <mc:Choice Requires="wps">
            <w:drawing>
              <wp:anchor distT="0" distB="0" distL="114300" distR="114300" simplePos="0" relativeHeight="251652096" behindDoc="0" locked="0" layoutInCell="1" allowOverlap="1" wp14:anchorId="2D3E6F02" wp14:editId="7EB0604E">
                <wp:simplePos x="0" y="0"/>
                <wp:positionH relativeFrom="column">
                  <wp:posOffset>847725</wp:posOffset>
                </wp:positionH>
                <wp:positionV relativeFrom="paragraph">
                  <wp:posOffset>3745865</wp:posOffset>
                </wp:positionV>
                <wp:extent cx="2038350" cy="3619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61950"/>
                        </a:xfrm>
                        <a:prstGeom prst="rect">
                          <a:avLst/>
                        </a:prstGeom>
                        <a:noFill/>
                        <a:ln w="9525">
                          <a:noFill/>
                          <a:miter lim="800000"/>
                          <a:headEnd/>
                          <a:tailEnd/>
                        </a:ln>
                      </wps:spPr>
                      <wps:txbx>
                        <w:txbxContent>
                          <w:p w14:paraId="71579774" w14:textId="0AD8FCBD" w:rsidR="00C2588D" w:rsidRPr="000C1D74" w:rsidRDefault="00C2588D" w:rsidP="00BD7198">
                            <w:pPr>
                              <w:jc w:val="center"/>
                              <w:rPr>
                                <w:rFonts w:asciiTheme="minorHAnsi" w:hAnsiTheme="minorHAnsi"/>
                                <w:b/>
                              </w:rPr>
                            </w:pPr>
                            <w:r w:rsidRPr="000C1D74">
                              <w:rPr>
                                <w:rFonts w:asciiTheme="minorHAnsi" w:hAnsiTheme="minorHAnsi"/>
                                <w:b/>
                              </w:rPr>
                              <w:t>All Cancers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E6F02" id="_x0000_s1033" type="#_x0000_t202" style="position:absolute;margin-left:66.75pt;margin-top:294.95pt;width:160.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" filled="f" stroked="f">
                <v:textbox>
                  <w:txbxContent>
                    <w:p w14:paraId="71579774" w14:textId="0AD8FCBD" w:rsidR="00C2588D" w:rsidRPr="000C1D74" w:rsidRDefault="00C2588D" w:rsidP="00BD7198">
                      <w:pPr>
                        <w:jc w:val="center"/>
                        <w:rPr>
                          <w:rFonts w:asciiTheme="minorHAnsi" w:hAnsiTheme="minorHAnsi"/>
                          <w:b/>
                        </w:rPr>
                      </w:pPr>
                      <w:r w:rsidRPr="000C1D74">
                        <w:rPr>
                          <w:rFonts w:asciiTheme="minorHAnsi" w:hAnsiTheme="minorHAnsi"/>
                          <w:b/>
                        </w:rPr>
                        <w:t>All Cancers</w:t>
                      </w:r>
                    </w:p>
                  </w:txbxContent>
                </v:textbox>
              </v:shape>
            </w:pict>
          </mc:Fallback>
        </mc:AlternateContent>
      </w:r>
      <w:r w:rsidRPr="000C4868">
        <w:rPr>
          <w:noProof/>
        </w:rPr>
        <mc:AlternateContent>
          <mc:Choice Requires="wps">
            <w:drawing>
              <wp:anchor distT="0" distB="0" distL="114300" distR="114300" simplePos="0" relativeHeight="251653120" behindDoc="0" locked="0" layoutInCell="1" allowOverlap="1" wp14:anchorId="1E3FA73A" wp14:editId="2801DE62">
                <wp:simplePos x="0" y="0"/>
                <wp:positionH relativeFrom="column">
                  <wp:posOffset>3295650</wp:posOffset>
                </wp:positionH>
                <wp:positionV relativeFrom="paragraph">
                  <wp:posOffset>3745865</wp:posOffset>
                </wp:positionV>
                <wp:extent cx="1990725" cy="3619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61950"/>
                        </a:xfrm>
                        <a:prstGeom prst="rect">
                          <a:avLst/>
                        </a:prstGeom>
                        <a:noFill/>
                        <a:ln w="9525">
                          <a:noFill/>
                          <a:miter lim="800000"/>
                          <a:headEnd/>
                          <a:tailEnd/>
                        </a:ln>
                      </wps:spPr>
                      <wps:txbx>
                        <w:txbxContent>
                          <w:p w14:paraId="3BDF4E91" w14:textId="580ED31C" w:rsidR="00C2588D" w:rsidRPr="000C1D74" w:rsidRDefault="00C2588D" w:rsidP="00BD7198">
                            <w:pPr>
                              <w:jc w:val="center"/>
                              <w:rPr>
                                <w:rFonts w:asciiTheme="minorHAnsi" w:hAnsiTheme="minorHAnsi"/>
                                <w:b/>
                              </w:rPr>
                            </w:pPr>
                            <w:r w:rsidRPr="000C1D74">
                              <w:rPr>
                                <w:rFonts w:asciiTheme="minorHAnsi" w:hAnsiTheme="minorHAnsi"/>
                                <w:b/>
                              </w:rPr>
                              <w:t>Leukemia/Lymphoma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3FA73A" id="_x0000_s1034" type="#_x0000_t202" style="position:absolute;margin-left:259.5pt;margin-top:294.95pt;width:156.7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" filled="f" stroked="f">
                <v:textbox>
                  <w:txbxContent>
                    <w:p w14:paraId="3BDF4E91" w14:textId="580ED31C" w:rsidR="00C2588D" w:rsidRPr="000C1D74" w:rsidRDefault="00C2588D" w:rsidP="00BD7198">
                      <w:pPr>
                        <w:jc w:val="center"/>
                        <w:rPr>
                          <w:rFonts w:asciiTheme="minorHAnsi" w:hAnsiTheme="minorHAnsi"/>
                          <w:b/>
                        </w:rPr>
                      </w:pPr>
                      <w:r w:rsidRPr="000C1D74">
                        <w:rPr>
                          <w:rFonts w:asciiTheme="minorHAnsi" w:hAnsiTheme="minorHAnsi"/>
                          <w:b/>
                        </w:rPr>
                        <w:t>Leukemia/Lymphoma</w:t>
                      </w:r>
                    </w:p>
                  </w:txbxContent>
                </v:textbox>
              </v:shape>
            </w:pict>
          </mc:Fallback>
        </mc:AlternateContent>
      </w:r>
    </w:p>
    <w:p w14:paraId="08DD4EEE" w14:textId="77777777" w:rsidR="00AD7871" w:rsidRPr="004B6028" w:rsidRDefault="00AD7871" w:rsidP="00B26D34">
      <w:pPr>
        <w:pStyle w:val="Heading5"/>
      </w:pPr>
      <w:r>
        <w:t>Duration of Exposure</w:t>
      </w:r>
    </w:p>
    <w:p w14:paraId="2D29AB52" w14:textId="679C9AC2" w:rsidR="00AD7871" w:rsidRDefault="00AD7871" w:rsidP="006C3ED9">
      <w:r>
        <w:t xml:space="preserve">In addition to average NDMA concentration, duration of potential exposure was also evaluated for its association with the probability of childhood cancer development. The number of months with a non-zero estimated NDMA concentration in drinking water was evaluated for the maternal and childhood periods separately. In addition, the total number of months of residence in the town of Wilmington was evaluated for both the maternal and childhood periods. Only total time of residence during childhood was significantly associated with childhood cancer and the association was negative. In other words, the odds of childhood cancer were lower with increasing months of residence (OR = 0.98; 95% CI: 0.95-0.997). For the </w:t>
      </w:r>
      <w:r w:rsidR="007F74B7">
        <w:t>Leukemia/Lymphoma</w:t>
      </w:r>
      <w:r>
        <w:t xml:space="preserve"> subgroup, there were </w:t>
      </w:r>
      <w:r>
        <w:lastRenderedPageBreak/>
        <w:t>no significant associations between duration of potential exposure and development of cancer.</w:t>
      </w:r>
    </w:p>
    <w:p w14:paraId="170539CD" w14:textId="0095DA9E" w:rsidR="00F10516" w:rsidRPr="00B21EFD" w:rsidRDefault="00AD7871" w:rsidP="006C3ED9">
      <w:r>
        <w:t>When duration variables were included in logistic regression models evaluating average NDMA concentration as a predictor of childhood cancer, the associated odds ratios were only modestly affected. There continued to be a positive association between maternal period NDMA concentrations and development of childhood cancer (all cancers and leukemia/lymphoma), slightly attenuated after adjusting for duration as non-zero months of potential exposure and slightly strengthened after adjusting for duration as total Wilmington residence. Childhood period NDMA concentrations continued to show no positive associations with childhood cancer.</w:t>
      </w:r>
    </w:p>
    <w:p w14:paraId="7BD972E2" w14:textId="77777777" w:rsidR="00385022" w:rsidRPr="00385022" w:rsidRDefault="006A2C72" w:rsidP="0010161F">
      <w:pPr>
        <w:pStyle w:val="Heading3"/>
      </w:pPr>
      <w:r>
        <w:t>T</w:t>
      </w:r>
      <w:r w:rsidR="007B5D01">
        <w:t>richloroethylene (T</w:t>
      </w:r>
      <w:r>
        <w:t>CE</w:t>
      </w:r>
      <w:r w:rsidR="007B5D01">
        <w:t>)</w:t>
      </w:r>
    </w:p>
    <w:p w14:paraId="601937F8" w14:textId="77777777" w:rsidR="00C67849" w:rsidRPr="00FD17FB" w:rsidRDefault="006A2C72" w:rsidP="0063071E">
      <w:pPr>
        <w:pStyle w:val="StyleHeading4Linespacingsingle"/>
      </w:pPr>
      <w:r>
        <w:t xml:space="preserve">Summary of Modeled Average TCE </w:t>
      </w:r>
      <w:r w:rsidRPr="00946899">
        <w:t>Concentrations</w:t>
      </w:r>
    </w:p>
    <w:p w14:paraId="42850647" w14:textId="3ACDFF67" w:rsidR="00510F76" w:rsidRDefault="00205CA6" w:rsidP="006C3ED9">
      <w:r>
        <w:fldChar w:fldCharType="begin"/>
      </w:r>
      <w:r>
        <w:instrText xml:space="preserve"> REF  Figure13 \h </w:instrText>
      </w:r>
      <w:r w:rsidR="006C3ED9">
        <w:instrText xml:space="preserve"> \* MERGEFORMAT </w:instrText>
      </w:r>
      <w:r>
        <w:fldChar w:fldCharType="separate"/>
      </w:r>
      <w:r w:rsidR="00977423">
        <w:t xml:space="preserve">Figure </w:t>
      </w:r>
      <w:r w:rsidR="00977423">
        <w:rPr>
          <w:noProof/>
        </w:rPr>
        <w:t>13</w:t>
      </w:r>
      <w:r>
        <w:fldChar w:fldCharType="end"/>
      </w:r>
      <w:r w:rsidR="00E70479">
        <w:t xml:space="preserve"> and </w:t>
      </w:r>
      <w:r>
        <w:fldChar w:fldCharType="begin"/>
      </w:r>
      <w:r>
        <w:instrText xml:space="preserve"> REF  Figure14 \h </w:instrText>
      </w:r>
      <w:r w:rsidR="006C3ED9">
        <w:instrText xml:space="preserve"> \* MERGEFORMAT </w:instrText>
      </w:r>
      <w:r>
        <w:fldChar w:fldCharType="separate"/>
      </w:r>
      <w:r w:rsidR="00977423">
        <w:t xml:space="preserve">Figure </w:t>
      </w:r>
      <w:r w:rsidR="00977423">
        <w:rPr>
          <w:noProof/>
        </w:rPr>
        <w:t>14</w:t>
      </w:r>
      <w:r>
        <w:fldChar w:fldCharType="end"/>
      </w:r>
      <w:r>
        <w:t xml:space="preserve"> </w:t>
      </w:r>
      <w:r w:rsidR="00B0039E">
        <w:t>show the distribution of the average modeled monthly TCE concentration for the subset of the study population for whom TCE could be estimated for maternal exposure (n=73) and for childhood exposure</w:t>
      </w:r>
      <w:r w:rsidR="00B0039E" w:rsidRPr="00B0039E">
        <w:t xml:space="preserve"> </w:t>
      </w:r>
      <w:r w:rsidR="00B0039E">
        <w:t>(n=58), respectively</w:t>
      </w:r>
      <w:r w:rsidR="00716072">
        <w:t xml:space="preserve">. </w:t>
      </w:r>
      <w:r w:rsidR="00305513">
        <w:t xml:space="preserve">Fifty–four </w:t>
      </w:r>
      <w:r w:rsidR="00B0039E">
        <w:t xml:space="preserve">(74%) of </w:t>
      </w:r>
      <w:r w:rsidR="00305513">
        <w:t xml:space="preserve">the </w:t>
      </w:r>
      <w:r w:rsidR="00B0039E">
        <w:t xml:space="preserve">mothers are estimated to have had no TCE in their residential drinking water during the year before their child was born, and </w:t>
      </w:r>
      <w:r w:rsidR="00305513">
        <w:t>28 (</w:t>
      </w:r>
      <w:r w:rsidR="00B0039E">
        <w:t>48%</w:t>
      </w:r>
      <w:r w:rsidR="00305513">
        <w:t>)</w:t>
      </w:r>
      <w:r w:rsidR="00B0039E">
        <w:t xml:space="preserve"> of </w:t>
      </w:r>
      <w:r w:rsidR="00305513">
        <w:t xml:space="preserve">the </w:t>
      </w:r>
      <w:r w:rsidR="00B0039E">
        <w:t>children are estimated to have had no childhood residence with TCE contaminated drinking water</w:t>
      </w:r>
      <w:r w:rsidR="00716072">
        <w:t xml:space="preserve">. </w:t>
      </w:r>
      <w:r w:rsidR="00B0039E">
        <w:t>The remaining non-zero concentration estimates skew towards the lower end of the range with only a small numbers of study participants having higher concentrations.</w:t>
      </w:r>
    </w:p>
    <w:p w14:paraId="044E9BD3" w14:textId="49119DE0" w:rsidR="00E70479" w:rsidRDefault="00F939B0" w:rsidP="0040594E">
      <w:pPr>
        <w:pStyle w:val="Caption"/>
        <w:keepNext/>
      </w:pPr>
      <w:bookmarkStart w:id="145" w:name="_Ref13221993"/>
      <w:bookmarkStart w:id="146" w:name="Figure13"/>
      <w:bookmarkStart w:id="147" w:name="_Toc45717788"/>
      <w:r>
        <w:rPr>
          <w:noProof/>
        </w:rPr>
        <w:lastRenderedPageBreak/>
        <w:drawing>
          <wp:anchor distT="0" distB="0" distL="114300" distR="114300" simplePos="0" relativeHeight="251678720" behindDoc="0" locked="0" layoutInCell="1" allowOverlap="1" wp14:anchorId="478B3AC0" wp14:editId="6D23D148">
            <wp:simplePos x="0" y="0"/>
            <wp:positionH relativeFrom="margin">
              <wp:posOffset>0</wp:posOffset>
            </wp:positionH>
            <wp:positionV relativeFrom="paragraph">
              <wp:posOffset>712470</wp:posOffset>
            </wp:positionV>
            <wp:extent cx="5938520" cy="4481195"/>
            <wp:effectExtent l="0" t="0" r="5080" b="14605"/>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E70479">
        <w:t xml:space="preserve">Figure </w:t>
      </w:r>
      <w:fldSimple w:instr=" SEQ Figure \* ARABIC ">
        <w:r w:rsidR="00977423">
          <w:rPr>
            <w:noProof/>
          </w:rPr>
          <w:t>13</w:t>
        </w:r>
      </w:fldSimple>
      <w:bookmarkEnd w:id="145"/>
      <w:bookmarkEnd w:id="146"/>
      <w:r w:rsidR="00E70479">
        <w:t xml:space="preserve">. </w:t>
      </w:r>
      <w:r w:rsidR="00E70479" w:rsidRPr="0080117C">
        <w:t>Average modeled monthly TCE concentrations (µg/L) in drinking water during the 12 months before birth for mothers in the Wilmington Childhood Cancer study (n=73)</w:t>
      </w:r>
      <w:bookmarkEnd w:id="147"/>
    </w:p>
    <w:p w14:paraId="0AFD9823" w14:textId="35B81A8F" w:rsidR="002C3432" w:rsidRPr="00F939B0" w:rsidRDefault="002C3432" w:rsidP="0040594E">
      <w:pPr>
        <w:spacing w:line="240" w:lineRule="auto"/>
        <w:rPr>
          <w:rFonts w:asciiTheme="majorHAnsi" w:hAnsiTheme="majorHAnsi"/>
          <w:bCs/>
          <w:sz w:val="22"/>
        </w:rPr>
      </w:pPr>
      <w:r w:rsidRPr="00F939B0">
        <w:rPr>
          <w:rFonts w:asciiTheme="majorHAnsi" w:hAnsiTheme="majorHAnsi"/>
          <w:bCs/>
          <w:sz w:val="22"/>
        </w:rPr>
        <w:t>NOTE: Except where all monthly TCE concentration estimates were zero, averages include non-zero values only.</w:t>
      </w:r>
    </w:p>
    <w:p w14:paraId="386D0AFB" w14:textId="246E1BA2" w:rsidR="00915B2A" w:rsidRDefault="00915B2A" w:rsidP="0040594E">
      <w:pPr>
        <w:pStyle w:val="Caption"/>
        <w:keepNext/>
      </w:pPr>
      <w:bookmarkStart w:id="148" w:name="_Ref12010225"/>
      <w:bookmarkStart w:id="149" w:name="Figure14"/>
      <w:bookmarkStart w:id="150" w:name="_Toc12013232"/>
      <w:bookmarkStart w:id="151" w:name="_Toc12619130"/>
      <w:bookmarkStart w:id="152" w:name="_Toc45717789"/>
      <w:r>
        <w:lastRenderedPageBreak/>
        <w:t xml:space="preserve">Figure </w:t>
      </w:r>
      <w:fldSimple w:instr=" SEQ Figure \* ARABIC ">
        <w:r w:rsidR="00977423">
          <w:rPr>
            <w:noProof/>
          </w:rPr>
          <w:t>14</w:t>
        </w:r>
      </w:fldSimple>
      <w:bookmarkEnd w:id="148"/>
      <w:bookmarkEnd w:id="149"/>
      <w:r w:rsidR="00716072">
        <w:t xml:space="preserve">. </w:t>
      </w:r>
      <w:r w:rsidRPr="003A713B">
        <w:t>Average modeled monthly TCE concentrations (µg/L) in drinking water for children in the Wilmington Childhood Cancer Study (n=58)</w:t>
      </w:r>
      <w:bookmarkEnd w:id="150"/>
      <w:bookmarkEnd w:id="151"/>
      <w:bookmarkEnd w:id="152"/>
    </w:p>
    <w:p w14:paraId="4A4B1919" w14:textId="77777777" w:rsidR="00227F85" w:rsidRDefault="00227F85" w:rsidP="0040594E">
      <w:pPr>
        <w:pStyle w:val="NoSpacing"/>
      </w:pPr>
      <w:r>
        <w:rPr>
          <w:noProof/>
        </w:rPr>
        <w:drawing>
          <wp:inline distT="0" distB="0" distL="0" distR="0" wp14:anchorId="64A54C84" wp14:editId="7C83B98A">
            <wp:extent cx="5893806" cy="4463359"/>
            <wp:effectExtent l="0" t="0" r="12065"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F5D328" w14:textId="523F2FFA" w:rsidR="002C3432" w:rsidRPr="00F939B0" w:rsidRDefault="002C3432" w:rsidP="0040594E">
      <w:pPr>
        <w:spacing w:line="240" w:lineRule="auto"/>
        <w:rPr>
          <w:rFonts w:asciiTheme="majorHAnsi" w:hAnsiTheme="majorHAnsi"/>
          <w:bCs/>
          <w:sz w:val="22"/>
        </w:rPr>
      </w:pPr>
      <w:r w:rsidRPr="00F939B0">
        <w:rPr>
          <w:rFonts w:asciiTheme="majorHAnsi" w:hAnsiTheme="majorHAnsi"/>
          <w:bCs/>
          <w:sz w:val="22"/>
        </w:rPr>
        <w:t>NOTE: Except where all monthly TCE concentration estimates were zero, averages include non-zero values only.</w:t>
      </w:r>
    </w:p>
    <w:p w14:paraId="3E0EACB9" w14:textId="77777777" w:rsidR="00510F76" w:rsidRDefault="00510F76" w:rsidP="0063071E">
      <w:pPr>
        <w:pStyle w:val="StyleHeading4Linespacingsingle"/>
      </w:pPr>
      <w:r>
        <w:t>TCE Concentrations: Cases and Controls</w:t>
      </w:r>
    </w:p>
    <w:p w14:paraId="54050A79" w14:textId="237975D9" w:rsidR="00510F76" w:rsidRPr="00510F76" w:rsidRDefault="0028021A" w:rsidP="006C3ED9">
      <w:r>
        <w:fldChar w:fldCharType="begin"/>
      </w:r>
      <w:r>
        <w:instrText xml:space="preserve"> REF  Table11 \h </w:instrText>
      </w:r>
      <w:r w:rsidR="0040594E">
        <w:instrText xml:space="preserve"> \* MERGEFORMAT </w:instrText>
      </w:r>
      <w:r>
        <w:fldChar w:fldCharType="separate"/>
      </w:r>
      <w:r w:rsidR="00977423">
        <w:t xml:space="preserve">Table </w:t>
      </w:r>
      <w:r w:rsidR="00977423">
        <w:rPr>
          <w:noProof/>
        </w:rPr>
        <w:t>11</w:t>
      </w:r>
      <w:r>
        <w:fldChar w:fldCharType="end"/>
      </w:r>
      <w:r w:rsidR="0026215A">
        <w:t xml:space="preserve"> </w:t>
      </w:r>
      <w:r w:rsidR="00510F76">
        <w:t>summarizes the estimated residential TCE concentrations separately for cases and controls for the maternal and childhood exposure periods</w:t>
      </w:r>
      <w:r w:rsidR="00716072">
        <w:t xml:space="preserve">. </w:t>
      </w:r>
      <w:r w:rsidR="00510F76">
        <w:t>During the maternal exposure period, mothers of cases were slightly more likely to have had any TCE in their residential tap water compared to mothers of controls (31% compared to 25%), but median concentrations were similar between the two groups</w:t>
      </w:r>
      <w:r w:rsidR="00716072">
        <w:t xml:space="preserve">. </w:t>
      </w:r>
      <w:r w:rsidR="00510F76">
        <w:t>Similar results are seen in the Leukemia/Lymphoma subgroup</w:t>
      </w:r>
      <w:r w:rsidR="00716072">
        <w:t xml:space="preserve">. </w:t>
      </w:r>
      <w:r w:rsidR="00972B55">
        <w:t>The inverse is true for the childhood exposure period with controls being slightly more likely to have had at least one month with TCE estimated to be present in their tap water (53% of controls compared to 46% of cases)</w:t>
      </w:r>
      <w:r w:rsidR="00716072">
        <w:t xml:space="preserve">. </w:t>
      </w:r>
      <w:r w:rsidR="00972B55">
        <w:t>However, e</w:t>
      </w:r>
      <w:r w:rsidR="00510F76">
        <w:t xml:space="preserve">stimated median non-zero concentrations during the childhood period were </w:t>
      </w:r>
      <w:r w:rsidR="00972B55">
        <w:t xml:space="preserve">approximately twice as </w:t>
      </w:r>
      <w:r w:rsidR="00510F76">
        <w:t>high for cases compared to controls (</w:t>
      </w:r>
      <w:r w:rsidR="00972B55">
        <w:t>5.2</w:t>
      </w:r>
      <w:r w:rsidR="00510F76">
        <w:t xml:space="preserve"> </w:t>
      </w:r>
      <w:r w:rsidR="00972B55">
        <w:t>µ</w:t>
      </w:r>
      <w:r w:rsidR="00510F76">
        <w:t>g/L versus 2</w:t>
      </w:r>
      <w:r w:rsidR="00972B55">
        <w:t>.1 µ</w:t>
      </w:r>
      <w:r w:rsidR="00510F76">
        <w:t>g/L)</w:t>
      </w:r>
      <w:r w:rsidR="00716072">
        <w:t xml:space="preserve">. </w:t>
      </w:r>
      <w:r w:rsidR="00510F76">
        <w:t xml:space="preserve">Similar results are seen in </w:t>
      </w:r>
      <w:r w:rsidR="00972B55">
        <w:t>the Leukemia/Lymphoma subgroup.</w:t>
      </w:r>
    </w:p>
    <w:p w14:paraId="606FB8EB" w14:textId="51249662" w:rsidR="0026215A" w:rsidRDefault="0026215A" w:rsidP="0040594E">
      <w:pPr>
        <w:pStyle w:val="Caption"/>
        <w:keepNext/>
      </w:pPr>
      <w:bookmarkStart w:id="153" w:name="_Ref12010284"/>
      <w:bookmarkStart w:id="154" w:name="Table11"/>
      <w:bookmarkStart w:id="155" w:name="_Toc12012875"/>
      <w:bookmarkStart w:id="156" w:name="_Toc12013069"/>
      <w:bookmarkStart w:id="157" w:name="_Toc45714890"/>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11</w:t>
      </w:r>
      <w:r w:rsidR="00D616DB">
        <w:rPr>
          <w:noProof/>
        </w:rPr>
        <w:fldChar w:fldCharType="end"/>
      </w:r>
      <w:bookmarkEnd w:id="153"/>
      <w:r w:rsidR="00716072">
        <w:t xml:space="preserve">. </w:t>
      </w:r>
      <w:bookmarkEnd w:id="154"/>
      <w:r w:rsidRPr="00093C51">
        <w:t xml:space="preserve">Estimated residential TCE concentrations among the Wilmington study population for </w:t>
      </w:r>
      <w:proofErr w:type="spellStart"/>
      <w:r w:rsidRPr="00093C51">
        <w:t>maternal</w:t>
      </w:r>
      <w:r w:rsidR="00B43384">
        <w:rPr>
          <w:vertAlign w:val="superscript"/>
        </w:rPr>
        <w:t>a</w:t>
      </w:r>
      <w:proofErr w:type="spellEnd"/>
      <w:r w:rsidRPr="00093C51">
        <w:t xml:space="preserve"> and </w:t>
      </w:r>
      <w:proofErr w:type="spellStart"/>
      <w:r w:rsidRPr="00093C51">
        <w:t>childhood</w:t>
      </w:r>
      <w:r w:rsidR="00B43384">
        <w:rPr>
          <w:vertAlign w:val="superscript"/>
        </w:rPr>
        <w:t>b</w:t>
      </w:r>
      <w:proofErr w:type="spellEnd"/>
      <w:r w:rsidRPr="00093C51">
        <w:t xml:space="preserve"> exposure periods</w:t>
      </w:r>
      <w:bookmarkEnd w:id="155"/>
      <w:bookmarkEnd w:id="156"/>
      <w:bookmarkEnd w:id="157"/>
    </w:p>
    <w:tbl>
      <w:tblPr>
        <w:tblStyle w:val="TableGrid"/>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8"/>
        <w:gridCol w:w="1670"/>
        <w:gridCol w:w="1526"/>
        <w:gridCol w:w="1530"/>
        <w:gridCol w:w="1526"/>
      </w:tblGrid>
      <w:tr w:rsidR="00B43384" w:rsidRPr="006436A7" w14:paraId="62E1C1D2" w14:textId="77777777" w:rsidTr="00B43384">
        <w:tc>
          <w:tcPr>
            <w:tcW w:w="3438" w:type="dxa"/>
            <w:tcBorders>
              <w:top w:val="single" w:sz="4" w:space="0" w:color="auto"/>
            </w:tcBorders>
          </w:tcPr>
          <w:p w14:paraId="3915FDF7" w14:textId="77777777" w:rsidR="00B43384" w:rsidRPr="0067445F" w:rsidRDefault="00B43384" w:rsidP="006312FD">
            <w:pPr>
              <w:pStyle w:val="Tableheaders"/>
            </w:pPr>
          </w:p>
        </w:tc>
        <w:tc>
          <w:tcPr>
            <w:tcW w:w="1670" w:type="dxa"/>
            <w:tcBorders>
              <w:top w:val="single" w:sz="4" w:space="0" w:color="auto"/>
            </w:tcBorders>
            <w:vAlign w:val="center"/>
          </w:tcPr>
          <w:p w14:paraId="1BBCCA78" w14:textId="77777777" w:rsidR="00B43384" w:rsidRPr="0067445F" w:rsidRDefault="00B43384" w:rsidP="006312FD">
            <w:pPr>
              <w:pStyle w:val="Tableheaders"/>
            </w:pPr>
          </w:p>
        </w:tc>
        <w:tc>
          <w:tcPr>
            <w:tcW w:w="4582" w:type="dxa"/>
            <w:gridSpan w:val="3"/>
            <w:tcBorders>
              <w:top w:val="single" w:sz="4" w:space="0" w:color="auto"/>
              <w:bottom w:val="single" w:sz="4" w:space="0" w:color="auto"/>
            </w:tcBorders>
            <w:vAlign w:val="center"/>
          </w:tcPr>
          <w:p w14:paraId="34B019FD" w14:textId="4C8E3E2E" w:rsidR="00B43384" w:rsidRPr="0067445F" w:rsidRDefault="00B43384" w:rsidP="006312FD">
            <w:pPr>
              <w:pStyle w:val="Tableheaders"/>
            </w:pPr>
            <w:r w:rsidRPr="0067445F">
              <w:t xml:space="preserve">Estimated </w:t>
            </w:r>
            <w:r w:rsidR="006E3A6D" w:rsidRPr="0067445F">
              <w:t xml:space="preserve">TCE </w:t>
            </w:r>
            <w:r w:rsidRPr="0067445F">
              <w:t>Concentration (</w:t>
            </w:r>
            <w:r w:rsidR="00D62E59" w:rsidRPr="0067445F">
              <w:t>µ</w:t>
            </w:r>
            <w:r w:rsidRPr="0067445F">
              <w:t>g/L)</w:t>
            </w:r>
          </w:p>
        </w:tc>
      </w:tr>
      <w:tr w:rsidR="00B43384" w:rsidRPr="006436A7" w14:paraId="50F2639A" w14:textId="77777777" w:rsidTr="00B43384">
        <w:trPr>
          <w:trHeight w:val="1268"/>
        </w:trPr>
        <w:tc>
          <w:tcPr>
            <w:tcW w:w="3438" w:type="dxa"/>
            <w:tcBorders>
              <w:bottom w:val="single" w:sz="4" w:space="0" w:color="auto"/>
            </w:tcBorders>
            <w:vAlign w:val="bottom"/>
          </w:tcPr>
          <w:p w14:paraId="09D57700" w14:textId="77777777" w:rsidR="00B43384" w:rsidRPr="0067445F" w:rsidRDefault="00B43384" w:rsidP="006312FD">
            <w:pPr>
              <w:pStyle w:val="Tableheaders"/>
            </w:pPr>
            <w:r w:rsidRPr="0067445F">
              <w:t>Study Group</w:t>
            </w:r>
          </w:p>
        </w:tc>
        <w:tc>
          <w:tcPr>
            <w:tcW w:w="1670" w:type="dxa"/>
            <w:tcBorders>
              <w:bottom w:val="single" w:sz="4" w:space="0" w:color="auto"/>
            </w:tcBorders>
            <w:vAlign w:val="bottom"/>
          </w:tcPr>
          <w:p w14:paraId="5D42E914" w14:textId="77777777" w:rsidR="00B43384" w:rsidRPr="0067445F" w:rsidRDefault="00B43384" w:rsidP="0040594E">
            <w:pPr>
              <w:spacing w:after="0" w:line="240" w:lineRule="auto"/>
              <w:rPr>
                <w:rFonts w:asciiTheme="minorHAnsi" w:eastAsiaTheme="minorHAnsi" w:hAnsiTheme="minorHAnsi" w:cstheme="minorBidi"/>
                <w:b/>
                <w:bCs/>
              </w:rPr>
            </w:pPr>
            <w:r w:rsidRPr="0067445F">
              <w:rPr>
                <w:rFonts w:asciiTheme="minorHAnsi" w:eastAsiaTheme="minorHAnsi" w:hAnsiTheme="minorHAnsi" w:cstheme="minorBidi"/>
                <w:b/>
                <w:bCs/>
              </w:rPr>
              <w:t>Participants with Any Non-Zero Value (%)</w:t>
            </w:r>
          </w:p>
        </w:tc>
        <w:tc>
          <w:tcPr>
            <w:tcW w:w="1526" w:type="dxa"/>
            <w:tcBorders>
              <w:top w:val="single" w:sz="4" w:space="0" w:color="auto"/>
              <w:bottom w:val="single" w:sz="4" w:space="0" w:color="auto"/>
            </w:tcBorders>
            <w:vAlign w:val="bottom"/>
          </w:tcPr>
          <w:p w14:paraId="6AF4994D" w14:textId="77777777" w:rsidR="00B43384" w:rsidRPr="0067445F" w:rsidRDefault="00B43384" w:rsidP="006312FD">
            <w:pPr>
              <w:pStyle w:val="Tableheaders"/>
            </w:pPr>
            <w:r w:rsidRPr="0067445F">
              <w:t>Median Non-Zero Monthly Value</w:t>
            </w:r>
          </w:p>
        </w:tc>
        <w:tc>
          <w:tcPr>
            <w:tcW w:w="1530" w:type="dxa"/>
            <w:tcBorders>
              <w:top w:val="single" w:sz="4" w:space="0" w:color="auto"/>
              <w:bottom w:val="single" w:sz="4" w:space="0" w:color="auto"/>
            </w:tcBorders>
            <w:vAlign w:val="bottom"/>
          </w:tcPr>
          <w:p w14:paraId="44AA1489" w14:textId="77777777" w:rsidR="00B43384" w:rsidRPr="0067445F" w:rsidRDefault="00B43384" w:rsidP="006312FD">
            <w:pPr>
              <w:pStyle w:val="Tableheaders"/>
            </w:pPr>
            <w:r w:rsidRPr="0067445F">
              <w:t>Minimum Non-Zero Monthly Value</w:t>
            </w:r>
          </w:p>
        </w:tc>
        <w:tc>
          <w:tcPr>
            <w:tcW w:w="1526" w:type="dxa"/>
            <w:tcBorders>
              <w:top w:val="single" w:sz="4" w:space="0" w:color="auto"/>
              <w:bottom w:val="single" w:sz="4" w:space="0" w:color="auto"/>
            </w:tcBorders>
            <w:vAlign w:val="bottom"/>
          </w:tcPr>
          <w:p w14:paraId="4BE2A575" w14:textId="77777777" w:rsidR="00B43384" w:rsidRPr="0067445F" w:rsidRDefault="00B43384" w:rsidP="006312FD">
            <w:pPr>
              <w:pStyle w:val="Tableheaders"/>
            </w:pPr>
            <w:r w:rsidRPr="0067445F">
              <w:t>Maximum Monthly Value</w:t>
            </w:r>
          </w:p>
        </w:tc>
      </w:tr>
      <w:tr w:rsidR="00F75BA6" w:rsidRPr="00096277" w14:paraId="2018ED88" w14:textId="77777777" w:rsidTr="00B43384">
        <w:tc>
          <w:tcPr>
            <w:tcW w:w="3438" w:type="dxa"/>
            <w:tcBorders>
              <w:top w:val="single" w:sz="4" w:space="0" w:color="auto"/>
            </w:tcBorders>
          </w:tcPr>
          <w:p w14:paraId="7DE3EC93" w14:textId="77777777" w:rsidR="00F75BA6" w:rsidRPr="0067445F" w:rsidRDefault="00F75BA6" w:rsidP="006312FD">
            <w:pPr>
              <w:pStyle w:val="Tableheaders"/>
            </w:pPr>
            <w:r w:rsidRPr="0067445F">
              <w:t>All Cancers</w:t>
            </w:r>
          </w:p>
          <w:p w14:paraId="2BF7B73E" w14:textId="77777777" w:rsidR="00F75BA6" w:rsidRPr="0067445F" w:rsidRDefault="00F75BA6" w:rsidP="0040594E">
            <w:pPr>
              <w:pStyle w:val="NoSpacing"/>
              <w:rPr>
                <w:rFonts w:asciiTheme="minorHAnsi" w:hAnsiTheme="minorHAnsi"/>
              </w:rPr>
            </w:pPr>
            <w:r w:rsidRPr="0067445F">
              <w:rPr>
                <w:rFonts w:asciiTheme="minorHAnsi" w:hAnsiTheme="minorHAnsi"/>
              </w:rPr>
              <w:t>Maternal</w:t>
            </w:r>
          </w:p>
          <w:p w14:paraId="593D9878"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Cases (n=16)</w:t>
            </w:r>
          </w:p>
          <w:p w14:paraId="2B0F105B"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Controls (n=57)</w:t>
            </w:r>
          </w:p>
        </w:tc>
        <w:tc>
          <w:tcPr>
            <w:tcW w:w="1670" w:type="dxa"/>
            <w:tcBorders>
              <w:top w:val="single" w:sz="4" w:space="0" w:color="auto"/>
            </w:tcBorders>
            <w:vAlign w:val="center"/>
          </w:tcPr>
          <w:p w14:paraId="7BF347F3" w14:textId="77777777" w:rsidR="00F75BA6" w:rsidRPr="0067445F" w:rsidRDefault="00F75BA6" w:rsidP="0040594E">
            <w:pPr>
              <w:pStyle w:val="NoSpacing"/>
              <w:ind w:right="720"/>
              <w:jc w:val="right"/>
              <w:rPr>
                <w:rFonts w:asciiTheme="minorHAnsi" w:hAnsiTheme="minorHAnsi"/>
              </w:rPr>
            </w:pPr>
          </w:p>
          <w:p w14:paraId="3F1C2DC3" w14:textId="77777777" w:rsidR="00F75BA6" w:rsidRPr="0067445F" w:rsidRDefault="00F75BA6" w:rsidP="0040594E">
            <w:pPr>
              <w:pStyle w:val="NoSpacing"/>
              <w:ind w:right="720"/>
              <w:jc w:val="right"/>
              <w:rPr>
                <w:rFonts w:asciiTheme="minorHAnsi" w:hAnsiTheme="minorHAnsi"/>
              </w:rPr>
            </w:pPr>
          </w:p>
          <w:p w14:paraId="37146EAD"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31%</w:t>
            </w:r>
          </w:p>
          <w:p w14:paraId="25E6BEB6"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25%</w:t>
            </w:r>
          </w:p>
        </w:tc>
        <w:tc>
          <w:tcPr>
            <w:tcW w:w="1526" w:type="dxa"/>
            <w:tcBorders>
              <w:top w:val="single" w:sz="4" w:space="0" w:color="auto"/>
            </w:tcBorders>
            <w:vAlign w:val="center"/>
          </w:tcPr>
          <w:p w14:paraId="202F1A1F" w14:textId="77777777" w:rsidR="00F75BA6" w:rsidRPr="0067445F" w:rsidRDefault="00F75BA6" w:rsidP="0040594E">
            <w:pPr>
              <w:pStyle w:val="NoSpacing"/>
              <w:ind w:right="720"/>
              <w:jc w:val="right"/>
              <w:rPr>
                <w:rFonts w:asciiTheme="minorHAnsi" w:hAnsiTheme="minorHAnsi"/>
              </w:rPr>
            </w:pPr>
          </w:p>
          <w:p w14:paraId="4A09CE1C" w14:textId="77777777" w:rsidR="00F75BA6" w:rsidRPr="0067445F" w:rsidRDefault="00F75BA6" w:rsidP="0040594E">
            <w:pPr>
              <w:pStyle w:val="NoSpacing"/>
              <w:ind w:right="720"/>
              <w:jc w:val="right"/>
              <w:rPr>
                <w:rFonts w:asciiTheme="minorHAnsi" w:hAnsiTheme="minorHAnsi"/>
              </w:rPr>
            </w:pPr>
          </w:p>
          <w:p w14:paraId="7534E082"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1.0</w:t>
            </w:r>
          </w:p>
          <w:p w14:paraId="0895E15A" w14:textId="0F64F181" w:rsidR="00F75BA6" w:rsidRPr="0067445F" w:rsidRDefault="00F75BA6" w:rsidP="0040594E">
            <w:pPr>
              <w:pStyle w:val="NoSpacing"/>
              <w:ind w:right="720"/>
              <w:jc w:val="right"/>
              <w:rPr>
                <w:rFonts w:asciiTheme="minorHAnsi" w:hAnsiTheme="minorHAnsi"/>
              </w:rPr>
            </w:pPr>
            <w:r w:rsidRPr="0067445F">
              <w:rPr>
                <w:rFonts w:asciiTheme="minorHAnsi" w:hAnsiTheme="minorHAnsi"/>
              </w:rPr>
              <w:t>0.</w:t>
            </w:r>
            <w:r w:rsidR="00446984" w:rsidRPr="0067445F">
              <w:rPr>
                <w:rFonts w:asciiTheme="minorHAnsi" w:hAnsiTheme="minorHAnsi"/>
              </w:rPr>
              <w:t>8</w:t>
            </w:r>
          </w:p>
        </w:tc>
        <w:tc>
          <w:tcPr>
            <w:tcW w:w="1530" w:type="dxa"/>
            <w:tcBorders>
              <w:top w:val="single" w:sz="4" w:space="0" w:color="auto"/>
            </w:tcBorders>
            <w:vAlign w:val="center"/>
          </w:tcPr>
          <w:p w14:paraId="78F2F290" w14:textId="77777777" w:rsidR="00F75BA6" w:rsidRPr="0067445F" w:rsidRDefault="00F75BA6" w:rsidP="0040594E">
            <w:pPr>
              <w:pStyle w:val="NoSpacing"/>
              <w:ind w:right="720"/>
              <w:jc w:val="right"/>
              <w:rPr>
                <w:rFonts w:asciiTheme="minorHAnsi" w:hAnsiTheme="minorHAnsi"/>
              </w:rPr>
            </w:pPr>
          </w:p>
          <w:p w14:paraId="1B507959" w14:textId="77777777" w:rsidR="00F75BA6" w:rsidRPr="0067445F" w:rsidRDefault="00F75BA6" w:rsidP="0040594E">
            <w:pPr>
              <w:pStyle w:val="NoSpacing"/>
              <w:ind w:right="720"/>
              <w:jc w:val="right"/>
              <w:rPr>
                <w:rFonts w:asciiTheme="minorHAnsi" w:hAnsiTheme="minorHAnsi"/>
              </w:rPr>
            </w:pPr>
          </w:p>
          <w:p w14:paraId="794C08B2"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0.08</w:t>
            </w:r>
          </w:p>
          <w:p w14:paraId="74F68BCC"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0.06</w:t>
            </w:r>
          </w:p>
        </w:tc>
        <w:tc>
          <w:tcPr>
            <w:tcW w:w="1526" w:type="dxa"/>
            <w:tcBorders>
              <w:top w:val="single" w:sz="4" w:space="0" w:color="auto"/>
            </w:tcBorders>
            <w:vAlign w:val="center"/>
          </w:tcPr>
          <w:p w14:paraId="315E0A1F" w14:textId="77777777" w:rsidR="00F75BA6" w:rsidRPr="0067445F" w:rsidRDefault="00F75BA6" w:rsidP="0040594E">
            <w:pPr>
              <w:pStyle w:val="NoSpacing"/>
              <w:ind w:right="720"/>
              <w:jc w:val="right"/>
              <w:rPr>
                <w:rFonts w:asciiTheme="minorHAnsi" w:hAnsiTheme="minorHAnsi"/>
              </w:rPr>
            </w:pPr>
          </w:p>
          <w:p w14:paraId="7FB70839" w14:textId="77777777" w:rsidR="00F75BA6" w:rsidRPr="0067445F" w:rsidRDefault="00F75BA6" w:rsidP="0040594E">
            <w:pPr>
              <w:pStyle w:val="NoSpacing"/>
              <w:ind w:right="720"/>
              <w:jc w:val="right"/>
              <w:rPr>
                <w:rFonts w:asciiTheme="minorHAnsi" w:hAnsiTheme="minorHAnsi"/>
              </w:rPr>
            </w:pPr>
          </w:p>
          <w:p w14:paraId="2BC35F0E"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19</w:t>
            </w:r>
          </w:p>
          <w:p w14:paraId="012268BE"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18</w:t>
            </w:r>
          </w:p>
        </w:tc>
      </w:tr>
      <w:tr w:rsidR="00F75BA6" w:rsidRPr="00096277" w14:paraId="54686D5E" w14:textId="77777777" w:rsidTr="00B43384">
        <w:tc>
          <w:tcPr>
            <w:tcW w:w="3438" w:type="dxa"/>
            <w:shd w:val="clear" w:color="auto" w:fill="D9D9D9" w:themeFill="background1" w:themeFillShade="D9"/>
          </w:tcPr>
          <w:p w14:paraId="775D5032"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Childhood </w:t>
            </w:r>
          </w:p>
          <w:p w14:paraId="51DA990B"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Cases (n= 13)</w:t>
            </w:r>
          </w:p>
          <w:p w14:paraId="4A2E1B6E"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Controls (n=45)</w:t>
            </w:r>
          </w:p>
        </w:tc>
        <w:tc>
          <w:tcPr>
            <w:tcW w:w="1670" w:type="dxa"/>
            <w:shd w:val="clear" w:color="auto" w:fill="D9D9D9" w:themeFill="background1" w:themeFillShade="D9"/>
            <w:vAlign w:val="center"/>
          </w:tcPr>
          <w:p w14:paraId="65DF1C08" w14:textId="77777777" w:rsidR="00F75BA6" w:rsidRPr="0067445F" w:rsidRDefault="00F75BA6" w:rsidP="0040594E">
            <w:pPr>
              <w:pStyle w:val="NoSpacing"/>
              <w:ind w:right="720"/>
              <w:jc w:val="right"/>
              <w:rPr>
                <w:rFonts w:asciiTheme="minorHAnsi" w:hAnsiTheme="minorHAnsi"/>
              </w:rPr>
            </w:pPr>
          </w:p>
          <w:p w14:paraId="3B434D47"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46%</w:t>
            </w:r>
          </w:p>
          <w:p w14:paraId="1FF865A0"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53%</w:t>
            </w:r>
          </w:p>
        </w:tc>
        <w:tc>
          <w:tcPr>
            <w:tcW w:w="1526" w:type="dxa"/>
            <w:shd w:val="clear" w:color="auto" w:fill="D9D9D9" w:themeFill="background1" w:themeFillShade="D9"/>
            <w:vAlign w:val="center"/>
          </w:tcPr>
          <w:p w14:paraId="175F73E2" w14:textId="77777777" w:rsidR="00F75BA6" w:rsidRPr="0067445F" w:rsidRDefault="00F75BA6" w:rsidP="0040594E">
            <w:pPr>
              <w:pStyle w:val="NoSpacing"/>
              <w:ind w:right="720"/>
              <w:jc w:val="right"/>
              <w:rPr>
                <w:rFonts w:asciiTheme="minorHAnsi" w:hAnsiTheme="minorHAnsi"/>
              </w:rPr>
            </w:pPr>
          </w:p>
          <w:p w14:paraId="43ED66E4"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5.2</w:t>
            </w:r>
          </w:p>
          <w:p w14:paraId="0590FEBD"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2.1</w:t>
            </w:r>
          </w:p>
        </w:tc>
        <w:tc>
          <w:tcPr>
            <w:tcW w:w="1530" w:type="dxa"/>
            <w:shd w:val="clear" w:color="auto" w:fill="D9D9D9" w:themeFill="background1" w:themeFillShade="D9"/>
            <w:vAlign w:val="center"/>
          </w:tcPr>
          <w:p w14:paraId="26895E32" w14:textId="77777777" w:rsidR="00F75BA6" w:rsidRPr="0067445F" w:rsidRDefault="00F75BA6" w:rsidP="0040594E">
            <w:pPr>
              <w:pStyle w:val="NoSpacing"/>
              <w:ind w:right="720"/>
              <w:jc w:val="right"/>
              <w:rPr>
                <w:rFonts w:asciiTheme="minorHAnsi" w:hAnsiTheme="minorHAnsi"/>
              </w:rPr>
            </w:pPr>
          </w:p>
          <w:p w14:paraId="7EEF6D37"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0.09</w:t>
            </w:r>
          </w:p>
          <w:p w14:paraId="423DDB01"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0.05</w:t>
            </w:r>
          </w:p>
        </w:tc>
        <w:tc>
          <w:tcPr>
            <w:tcW w:w="1526" w:type="dxa"/>
            <w:shd w:val="clear" w:color="auto" w:fill="D9D9D9" w:themeFill="background1" w:themeFillShade="D9"/>
            <w:vAlign w:val="center"/>
          </w:tcPr>
          <w:p w14:paraId="5A07914D" w14:textId="77777777" w:rsidR="00F75BA6" w:rsidRPr="0067445F" w:rsidRDefault="00F75BA6" w:rsidP="0040594E">
            <w:pPr>
              <w:pStyle w:val="NoSpacing"/>
              <w:ind w:right="720"/>
              <w:jc w:val="right"/>
              <w:rPr>
                <w:rFonts w:asciiTheme="minorHAnsi" w:hAnsiTheme="minorHAnsi"/>
              </w:rPr>
            </w:pPr>
          </w:p>
          <w:p w14:paraId="6F5E0BF0"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6.7</w:t>
            </w:r>
          </w:p>
          <w:p w14:paraId="05FCF5A5"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9.2</w:t>
            </w:r>
          </w:p>
        </w:tc>
      </w:tr>
      <w:tr w:rsidR="00F75BA6" w:rsidRPr="00096277" w14:paraId="11A4883F" w14:textId="77777777" w:rsidTr="00B43384">
        <w:tc>
          <w:tcPr>
            <w:tcW w:w="3438" w:type="dxa"/>
            <w:shd w:val="clear" w:color="auto" w:fill="auto"/>
          </w:tcPr>
          <w:p w14:paraId="4538925A" w14:textId="77777777" w:rsidR="00F75BA6" w:rsidRPr="0067445F" w:rsidRDefault="00F75BA6" w:rsidP="0040594E">
            <w:pPr>
              <w:pStyle w:val="NoSpacing"/>
              <w:rPr>
                <w:rFonts w:asciiTheme="minorHAnsi" w:hAnsiTheme="minorHAnsi"/>
                <w:b/>
              </w:rPr>
            </w:pPr>
            <w:r w:rsidRPr="0067445F">
              <w:rPr>
                <w:rFonts w:asciiTheme="minorHAnsi" w:hAnsiTheme="minorHAnsi"/>
                <w:b/>
              </w:rPr>
              <w:t>Leukemia/Lymphoma</w:t>
            </w:r>
          </w:p>
          <w:p w14:paraId="2653736B" w14:textId="77777777" w:rsidR="00F75BA6" w:rsidRPr="0067445F" w:rsidRDefault="00F75BA6" w:rsidP="0040594E">
            <w:pPr>
              <w:pStyle w:val="NoSpacing"/>
              <w:rPr>
                <w:rFonts w:asciiTheme="minorHAnsi" w:hAnsiTheme="minorHAnsi"/>
              </w:rPr>
            </w:pPr>
            <w:r w:rsidRPr="0067445F">
              <w:rPr>
                <w:rFonts w:asciiTheme="minorHAnsi" w:hAnsiTheme="minorHAnsi"/>
              </w:rPr>
              <w:t>Maternal</w:t>
            </w:r>
          </w:p>
          <w:p w14:paraId="6A7F98D9"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Cases (n=10)</w:t>
            </w:r>
          </w:p>
          <w:p w14:paraId="3C17B9E3"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Controls (n=39)</w:t>
            </w:r>
          </w:p>
        </w:tc>
        <w:tc>
          <w:tcPr>
            <w:tcW w:w="1670" w:type="dxa"/>
            <w:shd w:val="clear" w:color="auto" w:fill="auto"/>
            <w:vAlign w:val="center"/>
          </w:tcPr>
          <w:p w14:paraId="7543195F" w14:textId="77777777" w:rsidR="00F75BA6" w:rsidRPr="0067445F" w:rsidRDefault="00F75BA6" w:rsidP="0040594E">
            <w:pPr>
              <w:pStyle w:val="NoSpacing"/>
              <w:ind w:right="720"/>
              <w:jc w:val="right"/>
              <w:rPr>
                <w:rFonts w:asciiTheme="minorHAnsi" w:hAnsiTheme="minorHAnsi"/>
              </w:rPr>
            </w:pPr>
          </w:p>
          <w:p w14:paraId="2A313E89" w14:textId="77777777" w:rsidR="00F75BA6" w:rsidRPr="0067445F" w:rsidRDefault="00F75BA6" w:rsidP="0040594E">
            <w:pPr>
              <w:pStyle w:val="NoSpacing"/>
              <w:ind w:right="720"/>
              <w:jc w:val="right"/>
              <w:rPr>
                <w:rFonts w:asciiTheme="minorHAnsi" w:hAnsiTheme="minorHAnsi"/>
              </w:rPr>
            </w:pPr>
          </w:p>
          <w:p w14:paraId="3E38CC56"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30%</w:t>
            </w:r>
          </w:p>
          <w:p w14:paraId="2403CC6C"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23%</w:t>
            </w:r>
          </w:p>
        </w:tc>
        <w:tc>
          <w:tcPr>
            <w:tcW w:w="1526" w:type="dxa"/>
            <w:shd w:val="clear" w:color="auto" w:fill="auto"/>
            <w:vAlign w:val="center"/>
          </w:tcPr>
          <w:p w14:paraId="40C60228" w14:textId="77777777" w:rsidR="00F75BA6" w:rsidRPr="0067445F" w:rsidRDefault="00F75BA6" w:rsidP="0040594E">
            <w:pPr>
              <w:pStyle w:val="NoSpacing"/>
              <w:ind w:right="720"/>
              <w:jc w:val="right"/>
              <w:rPr>
                <w:rFonts w:asciiTheme="minorHAnsi" w:hAnsiTheme="minorHAnsi"/>
              </w:rPr>
            </w:pPr>
          </w:p>
          <w:p w14:paraId="074D97D8" w14:textId="77777777" w:rsidR="00F75BA6" w:rsidRPr="0067445F" w:rsidRDefault="00F75BA6" w:rsidP="0040594E">
            <w:pPr>
              <w:pStyle w:val="NoSpacing"/>
              <w:ind w:right="720"/>
              <w:jc w:val="right"/>
              <w:rPr>
                <w:rFonts w:asciiTheme="minorHAnsi" w:hAnsiTheme="minorHAnsi"/>
              </w:rPr>
            </w:pPr>
          </w:p>
          <w:p w14:paraId="46C6EEBE"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6.4</w:t>
            </w:r>
          </w:p>
          <w:p w14:paraId="58C1CE7B"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6.4</w:t>
            </w:r>
          </w:p>
        </w:tc>
        <w:tc>
          <w:tcPr>
            <w:tcW w:w="1530" w:type="dxa"/>
            <w:shd w:val="clear" w:color="auto" w:fill="auto"/>
            <w:vAlign w:val="center"/>
          </w:tcPr>
          <w:p w14:paraId="1E1B2E43" w14:textId="77777777" w:rsidR="00F75BA6" w:rsidRPr="0067445F" w:rsidRDefault="00F75BA6" w:rsidP="0040594E">
            <w:pPr>
              <w:pStyle w:val="NoSpacing"/>
              <w:ind w:right="720"/>
              <w:jc w:val="right"/>
              <w:rPr>
                <w:rFonts w:asciiTheme="minorHAnsi" w:hAnsiTheme="minorHAnsi"/>
              </w:rPr>
            </w:pPr>
          </w:p>
          <w:p w14:paraId="13CA7132" w14:textId="77777777" w:rsidR="00F75BA6" w:rsidRPr="0067445F" w:rsidRDefault="00F75BA6" w:rsidP="0040594E">
            <w:pPr>
              <w:pStyle w:val="NoSpacing"/>
              <w:ind w:right="720"/>
              <w:jc w:val="right"/>
              <w:rPr>
                <w:rFonts w:asciiTheme="minorHAnsi" w:hAnsiTheme="minorHAnsi"/>
              </w:rPr>
            </w:pPr>
          </w:p>
          <w:p w14:paraId="58654F1F"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1.0</w:t>
            </w:r>
          </w:p>
          <w:p w14:paraId="41994ECC" w14:textId="27AB4C14" w:rsidR="00F75BA6" w:rsidRPr="0067445F" w:rsidRDefault="00F75BA6" w:rsidP="0040594E">
            <w:pPr>
              <w:pStyle w:val="NoSpacing"/>
              <w:ind w:right="720"/>
              <w:jc w:val="right"/>
              <w:rPr>
                <w:rFonts w:asciiTheme="minorHAnsi" w:hAnsiTheme="minorHAnsi"/>
              </w:rPr>
            </w:pPr>
            <w:r w:rsidRPr="0067445F">
              <w:rPr>
                <w:rFonts w:asciiTheme="minorHAnsi" w:hAnsiTheme="minorHAnsi"/>
              </w:rPr>
              <w:t>0.1</w:t>
            </w:r>
          </w:p>
        </w:tc>
        <w:tc>
          <w:tcPr>
            <w:tcW w:w="1526" w:type="dxa"/>
            <w:shd w:val="clear" w:color="auto" w:fill="auto"/>
            <w:vAlign w:val="center"/>
          </w:tcPr>
          <w:p w14:paraId="3170CF96" w14:textId="77777777" w:rsidR="00F75BA6" w:rsidRPr="0067445F" w:rsidRDefault="00F75BA6" w:rsidP="0040594E">
            <w:pPr>
              <w:pStyle w:val="NoSpacing"/>
              <w:ind w:right="720"/>
              <w:jc w:val="right"/>
              <w:rPr>
                <w:rFonts w:asciiTheme="minorHAnsi" w:hAnsiTheme="minorHAnsi"/>
              </w:rPr>
            </w:pPr>
          </w:p>
          <w:p w14:paraId="4FD88169" w14:textId="77777777" w:rsidR="00F75BA6" w:rsidRPr="0067445F" w:rsidRDefault="00F75BA6" w:rsidP="0040594E">
            <w:pPr>
              <w:pStyle w:val="NoSpacing"/>
              <w:ind w:right="720"/>
              <w:jc w:val="right"/>
              <w:rPr>
                <w:rFonts w:asciiTheme="minorHAnsi" w:hAnsiTheme="minorHAnsi"/>
              </w:rPr>
            </w:pPr>
          </w:p>
          <w:p w14:paraId="3FE983C5"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19</w:t>
            </w:r>
          </w:p>
          <w:p w14:paraId="7C70E23F"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18</w:t>
            </w:r>
          </w:p>
        </w:tc>
      </w:tr>
      <w:tr w:rsidR="00F75BA6" w:rsidRPr="00096277" w14:paraId="1742007F" w14:textId="77777777" w:rsidTr="00B43384">
        <w:tc>
          <w:tcPr>
            <w:tcW w:w="3438" w:type="dxa"/>
            <w:tcBorders>
              <w:bottom w:val="single" w:sz="4" w:space="0" w:color="auto"/>
            </w:tcBorders>
            <w:shd w:val="clear" w:color="auto" w:fill="D9D9D9" w:themeFill="background1" w:themeFillShade="D9"/>
          </w:tcPr>
          <w:p w14:paraId="700B8804" w14:textId="77777777" w:rsidR="00F75BA6" w:rsidRPr="0067445F" w:rsidRDefault="00F75BA6" w:rsidP="0040594E">
            <w:pPr>
              <w:pStyle w:val="NoSpacing"/>
              <w:rPr>
                <w:rFonts w:asciiTheme="minorHAnsi" w:hAnsiTheme="minorHAnsi"/>
                <w:vertAlign w:val="superscript"/>
              </w:rPr>
            </w:pPr>
            <w:r w:rsidRPr="0067445F">
              <w:rPr>
                <w:rFonts w:asciiTheme="minorHAnsi" w:hAnsiTheme="minorHAnsi"/>
              </w:rPr>
              <w:t>Childhood</w:t>
            </w:r>
          </w:p>
          <w:p w14:paraId="056DE4F6"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Cases (n=8)</w:t>
            </w:r>
          </w:p>
          <w:p w14:paraId="63F56D3C" w14:textId="77777777" w:rsidR="00F75BA6" w:rsidRPr="0067445F" w:rsidRDefault="00F75BA6" w:rsidP="0040594E">
            <w:pPr>
              <w:pStyle w:val="NoSpacing"/>
              <w:rPr>
                <w:rFonts w:asciiTheme="minorHAnsi" w:hAnsiTheme="minorHAnsi"/>
              </w:rPr>
            </w:pPr>
            <w:r w:rsidRPr="0067445F">
              <w:rPr>
                <w:rFonts w:asciiTheme="minorHAnsi" w:hAnsiTheme="minorHAnsi"/>
              </w:rPr>
              <w:t xml:space="preserve">     Controls (n=28)</w:t>
            </w:r>
          </w:p>
        </w:tc>
        <w:tc>
          <w:tcPr>
            <w:tcW w:w="1670" w:type="dxa"/>
            <w:tcBorders>
              <w:bottom w:val="single" w:sz="4" w:space="0" w:color="auto"/>
            </w:tcBorders>
            <w:shd w:val="clear" w:color="auto" w:fill="D9D9D9" w:themeFill="background1" w:themeFillShade="D9"/>
            <w:vAlign w:val="center"/>
          </w:tcPr>
          <w:p w14:paraId="596C75A8" w14:textId="77777777" w:rsidR="00F75BA6" w:rsidRPr="0067445F" w:rsidRDefault="00F75BA6" w:rsidP="0040594E">
            <w:pPr>
              <w:pStyle w:val="NoSpacing"/>
              <w:ind w:right="720"/>
              <w:jc w:val="right"/>
              <w:rPr>
                <w:rFonts w:asciiTheme="minorHAnsi" w:hAnsiTheme="minorHAnsi"/>
              </w:rPr>
            </w:pPr>
          </w:p>
          <w:p w14:paraId="30EA8639"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38%</w:t>
            </w:r>
          </w:p>
          <w:p w14:paraId="302C0A88"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54%</w:t>
            </w:r>
          </w:p>
        </w:tc>
        <w:tc>
          <w:tcPr>
            <w:tcW w:w="1526" w:type="dxa"/>
            <w:tcBorders>
              <w:bottom w:val="single" w:sz="4" w:space="0" w:color="auto"/>
            </w:tcBorders>
            <w:shd w:val="clear" w:color="auto" w:fill="D9D9D9" w:themeFill="background1" w:themeFillShade="D9"/>
            <w:vAlign w:val="center"/>
          </w:tcPr>
          <w:p w14:paraId="249CC45F" w14:textId="77777777" w:rsidR="00F75BA6" w:rsidRPr="0067445F" w:rsidRDefault="00F75BA6" w:rsidP="0040594E">
            <w:pPr>
              <w:pStyle w:val="NoSpacing"/>
              <w:ind w:right="720"/>
              <w:jc w:val="right"/>
              <w:rPr>
                <w:rFonts w:asciiTheme="minorHAnsi" w:hAnsiTheme="minorHAnsi"/>
              </w:rPr>
            </w:pPr>
          </w:p>
          <w:p w14:paraId="2D26367F"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6.1</w:t>
            </w:r>
          </w:p>
          <w:p w14:paraId="2E0572A4"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3.2</w:t>
            </w:r>
          </w:p>
        </w:tc>
        <w:tc>
          <w:tcPr>
            <w:tcW w:w="1530" w:type="dxa"/>
            <w:tcBorders>
              <w:bottom w:val="single" w:sz="4" w:space="0" w:color="auto"/>
            </w:tcBorders>
            <w:shd w:val="clear" w:color="auto" w:fill="D9D9D9" w:themeFill="background1" w:themeFillShade="D9"/>
            <w:vAlign w:val="center"/>
          </w:tcPr>
          <w:p w14:paraId="220BC284" w14:textId="77777777" w:rsidR="00F75BA6" w:rsidRPr="0067445F" w:rsidRDefault="00F75BA6" w:rsidP="0040594E">
            <w:pPr>
              <w:pStyle w:val="NoSpacing"/>
              <w:ind w:right="720"/>
              <w:jc w:val="right"/>
              <w:rPr>
                <w:rFonts w:asciiTheme="minorHAnsi" w:hAnsiTheme="minorHAnsi"/>
              </w:rPr>
            </w:pPr>
          </w:p>
          <w:p w14:paraId="3831F9A0"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5.3</w:t>
            </w:r>
          </w:p>
          <w:p w14:paraId="70424763" w14:textId="28DA2222" w:rsidR="00F75BA6" w:rsidRPr="0067445F" w:rsidRDefault="00F75BA6" w:rsidP="0040594E">
            <w:pPr>
              <w:pStyle w:val="NoSpacing"/>
              <w:ind w:right="720"/>
              <w:jc w:val="right"/>
              <w:rPr>
                <w:rFonts w:asciiTheme="minorHAnsi" w:hAnsiTheme="minorHAnsi"/>
              </w:rPr>
            </w:pPr>
            <w:r w:rsidRPr="0067445F">
              <w:rPr>
                <w:rFonts w:asciiTheme="minorHAnsi" w:hAnsiTheme="minorHAnsi"/>
              </w:rPr>
              <w:t>0.1</w:t>
            </w:r>
          </w:p>
        </w:tc>
        <w:tc>
          <w:tcPr>
            <w:tcW w:w="1526" w:type="dxa"/>
            <w:tcBorders>
              <w:bottom w:val="single" w:sz="4" w:space="0" w:color="auto"/>
            </w:tcBorders>
            <w:shd w:val="clear" w:color="auto" w:fill="D9D9D9" w:themeFill="background1" w:themeFillShade="D9"/>
            <w:vAlign w:val="center"/>
          </w:tcPr>
          <w:p w14:paraId="39B9A01E" w14:textId="77777777" w:rsidR="00F75BA6" w:rsidRPr="0067445F" w:rsidRDefault="00F75BA6" w:rsidP="0040594E">
            <w:pPr>
              <w:pStyle w:val="NoSpacing"/>
              <w:ind w:right="720"/>
              <w:jc w:val="right"/>
              <w:rPr>
                <w:rFonts w:asciiTheme="minorHAnsi" w:hAnsiTheme="minorHAnsi"/>
              </w:rPr>
            </w:pPr>
          </w:p>
          <w:p w14:paraId="2140822E"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6.7</w:t>
            </w:r>
          </w:p>
          <w:p w14:paraId="42CEEC09" w14:textId="77777777" w:rsidR="00F75BA6" w:rsidRPr="0067445F" w:rsidRDefault="00F75BA6" w:rsidP="0040594E">
            <w:pPr>
              <w:pStyle w:val="NoSpacing"/>
              <w:ind w:right="720"/>
              <w:jc w:val="right"/>
              <w:rPr>
                <w:rFonts w:asciiTheme="minorHAnsi" w:hAnsiTheme="minorHAnsi"/>
              </w:rPr>
            </w:pPr>
            <w:r w:rsidRPr="0067445F">
              <w:rPr>
                <w:rFonts w:asciiTheme="minorHAnsi" w:hAnsiTheme="minorHAnsi"/>
              </w:rPr>
              <w:t>9.2</w:t>
            </w:r>
          </w:p>
        </w:tc>
      </w:tr>
    </w:tbl>
    <w:p w14:paraId="5A19B8D7" w14:textId="77777777" w:rsidR="005238A8" w:rsidRPr="00F939B0" w:rsidRDefault="005238A8" w:rsidP="0040594E">
      <w:pPr>
        <w:pStyle w:val="NoSpacing"/>
        <w:rPr>
          <w:rFonts w:asciiTheme="majorHAnsi" w:hAnsiTheme="majorHAnsi"/>
          <w:sz w:val="22"/>
          <w:szCs w:val="22"/>
        </w:rPr>
      </w:pPr>
      <w:proofErr w:type="spellStart"/>
      <w:r w:rsidRPr="00F939B0">
        <w:rPr>
          <w:rFonts w:asciiTheme="majorHAnsi" w:hAnsiTheme="majorHAnsi"/>
          <w:sz w:val="22"/>
          <w:szCs w:val="22"/>
          <w:vertAlign w:val="superscript"/>
        </w:rPr>
        <w:t>a</w:t>
      </w:r>
      <w:r w:rsidRPr="00F939B0">
        <w:rPr>
          <w:rFonts w:asciiTheme="majorHAnsi" w:hAnsiTheme="majorHAnsi"/>
          <w:sz w:val="22"/>
          <w:szCs w:val="22"/>
        </w:rPr>
        <w:t>Maternal</w:t>
      </w:r>
      <w:proofErr w:type="spellEnd"/>
      <w:r w:rsidRPr="00F939B0">
        <w:rPr>
          <w:rFonts w:asciiTheme="majorHAnsi" w:hAnsiTheme="majorHAnsi"/>
          <w:sz w:val="22"/>
          <w:szCs w:val="22"/>
        </w:rPr>
        <w:t xml:space="preserve"> period includes the 12 months prior to child’s birth.</w:t>
      </w:r>
    </w:p>
    <w:p w14:paraId="27D4EC7E" w14:textId="77777777" w:rsidR="005238A8" w:rsidRPr="00F939B0" w:rsidRDefault="005238A8" w:rsidP="0040594E">
      <w:pPr>
        <w:spacing w:line="240" w:lineRule="auto"/>
        <w:rPr>
          <w:rFonts w:asciiTheme="majorHAnsi" w:hAnsiTheme="majorHAnsi"/>
          <w:sz w:val="22"/>
          <w:szCs w:val="22"/>
        </w:rPr>
      </w:pPr>
      <w:proofErr w:type="spellStart"/>
      <w:r w:rsidRPr="00F939B0">
        <w:rPr>
          <w:rFonts w:asciiTheme="majorHAnsi" w:hAnsiTheme="majorHAnsi"/>
          <w:sz w:val="22"/>
          <w:szCs w:val="22"/>
          <w:vertAlign w:val="superscript"/>
        </w:rPr>
        <w:t>b</w:t>
      </w:r>
      <w:r w:rsidRPr="00F939B0">
        <w:rPr>
          <w:rFonts w:asciiTheme="majorHAnsi" w:hAnsiTheme="majorHAnsi"/>
          <w:sz w:val="22"/>
          <w:szCs w:val="22"/>
        </w:rPr>
        <w:t>Childhood</w:t>
      </w:r>
      <w:proofErr w:type="spellEnd"/>
      <w:r w:rsidRPr="00F939B0">
        <w:rPr>
          <w:rFonts w:asciiTheme="majorHAnsi" w:hAnsiTheme="majorHAnsi"/>
          <w:sz w:val="22"/>
          <w:szCs w:val="22"/>
        </w:rPr>
        <w:t xml:space="preserve"> period extends from birth to diagnosis/reference date.</w:t>
      </w:r>
    </w:p>
    <w:p w14:paraId="577C57AA" w14:textId="77777777" w:rsidR="00B9215B" w:rsidRPr="00B21EFD" w:rsidRDefault="00B9215B" w:rsidP="0063071E">
      <w:pPr>
        <w:pStyle w:val="StyleHeading4Linespacingsingle"/>
      </w:pPr>
      <w:r>
        <w:t>Correlation between NDMA and TCE</w:t>
      </w:r>
    </w:p>
    <w:p w14:paraId="7FC6131F" w14:textId="77777777" w:rsidR="00977423" w:rsidRDefault="00B9215B" w:rsidP="00977423">
      <w:r>
        <w:t xml:space="preserve">Due to overlapping time periods of potential exposure, the exposure to both NDMA and TCE was possible for some study participants. Focusing on the maternal exposure period, </w:t>
      </w:r>
      <w:r w:rsidR="0028021A">
        <w:fldChar w:fldCharType="begin"/>
      </w:r>
      <w:r w:rsidR="0028021A">
        <w:instrText xml:space="preserve"> REF  Table12 \h </w:instrText>
      </w:r>
      <w:r w:rsidR="0040594E">
        <w:instrText xml:space="preserve"> \* MERGEFORMAT </w:instrText>
      </w:r>
      <w:r w:rsidR="0028021A">
        <w:fldChar w:fldCharType="separate"/>
      </w:r>
      <w:r w:rsidR="00977423">
        <w:br w:type="page"/>
      </w:r>
    </w:p>
    <w:p w14:paraId="583BF4E4" w14:textId="16D59EAF" w:rsidR="00B9215B" w:rsidRDefault="00977423" w:rsidP="006C3ED9">
      <w:r>
        <w:rPr>
          <w:noProof/>
        </w:rPr>
        <w:lastRenderedPageBreak/>
        <w:t>Table</w:t>
      </w:r>
      <w:r>
        <w:t xml:space="preserve"> </w:t>
      </w:r>
      <w:r>
        <w:rPr>
          <w:noProof/>
        </w:rPr>
        <w:t>12</w:t>
      </w:r>
      <w:r w:rsidR="0028021A">
        <w:fldChar w:fldCharType="end"/>
      </w:r>
      <w:r w:rsidR="00B9215B">
        <w:t xml:space="preserve"> and </w:t>
      </w:r>
      <w:r w:rsidR="0028021A">
        <w:fldChar w:fldCharType="begin"/>
      </w:r>
      <w:r w:rsidR="0028021A">
        <w:instrText xml:space="preserve"> REF  Figure15 \h </w:instrText>
      </w:r>
      <w:r w:rsidR="0040594E">
        <w:instrText xml:space="preserve"> \* MERGEFORMAT </w:instrText>
      </w:r>
      <w:r w:rsidR="0028021A">
        <w:fldChar w:fldCharType="separate"/>
      </w:r>
      <w:r>
        <w:t xml:space="preserve">Figure </w:t>
      </w:r>
      <w:r>
        <w:rPr>
          <w:noProof/>
        </w:rPr>
        <w:t>15</w:t>
      </w:r>
      <w:r w:rsidR="0028021A">
        <w:fldChar w:fldCharType="end"/>
      </w:r>
      <w:r w:rsidR="0028021A">
        <w:t xml:space="preserve"> </w:t>
      </w:r>
      <w:r w:rsidR="00B9215B">
        <w:t xml:space="preserve">provide information on the association between these two contaminants among the subset of the study population for whom concentrations of both NDMA and TCE could be estimated. As shown in </w:t>
      </w:r>
      <w:r w:rsidR="005F6C24">
        <w:fldChar w:fldCharType="begin"/>
      </w:r>
      <w:r w:rsidR="005F6C24">
        <w:instrText xml:space="preserve"> REF  Table12 \h </w:instrText>
      </w:r>
      <w:r w:rsidR="006C3ED9">
        <w:instrText xml:space="preserve"> \* MERGEFORMAT </w:instrText>
      </w:r>
      <w:r w:rsidR="005F6C24">
        <w:fldChar w:fldCharType="separate"/>
      </w:r>
      <w:r>
        <w:rPr>
          <w:noProof/>
        </w:rPr>
        <w:t>Table</w:t>
      </w:r>
      <w:r>
        <w:t xml:space="preserve"> </w:t>
      </w:r>
      <w:r>
        <w:rPr>
          <w:noProof/>
        </w:rPr>
        <w:t>12</w:t>
      </w:r>
      <w:r w:rsidR="005F6C24">
        <w:fldChar w:fldCharType="end"/>
      </w:r>
      <w:r w:rsidR="00B9215B">
        <w:t>, a slightly higher percentage of case mothers are estimated to have experienced exposure to both contaminants during the year before their child’s birth (31% of cases vs. 25% of controls). Among cases, 50% are estimated to have been unexposed to either contaminant and, among controls, the doubly unexposed proportion is estimated at 58%. The remaining mothers are believed to have been exposed to NDMA, but not to TCE.</w:t>
      </w:r>
    </w:p>
    <w:p w14:paraId="569C28CA" w14:textId="01CD7182" w:rsidR="00B9215B" w:rsidRDefault="00B9215B" w:rsidP="0040594E">
      <w:pPr>
        <w:pStyle w:val="Caption"/>
        <w:keepNext/>
      </w:pPr>
      <w:bookmarkStart w:id="158" w:name="_Ref30086152"/>
      <w:bookmarkStart w:id="159" w:name="Table12"/>
      <w:bookmarkStart w:id="160" w:name="_Toc45714891"/>
      <w:r>
        <w:t xml:space="preserve">Table </w:t>
      </w:r>
      <w:r>
        <w:rPr>
          <w:noProof/>
        </w:rPr>
        <w:fldChar w:fldCharType="begin"/>
      </w:r>
      <w:r>
        <w:rPr>
          <w:noProof/>
        </w:rPr>
        <w:instrText xml:space="preserve"> SEQ Table \* ARABIC </w:instrText>
      </w:r>
      <w:r>
        <w:rPr>
          <w:noProof/>
        </w:rPr>
        <w:fldChar w:fldCharType="separate"/>
      </w:r>
      <w:r w:rsidR="00977423">
        <w:rPr>
          <w:noProof/>
        </w:rPr>
        <w:t>12</w:t>
      </w:r>
      <w:r>
        <w:rPr>
          <w:noProof/>
        </w:rPr>
        <w:fldChar w:fldCharType="end"/>
      </w:r>
      <w:bookmarkEnd w:id="158"/>
      <w:bookmarkEnd w:id="159"/>
      <w:r>
        <w:t xml:space="preserve">. </w:t>
      </w:r>
      <w:r w:rsidRPr="00EC658B">
        <w:t>Presence of NDMA and TCE in maternal residential drinking water among cases and controls of the Wilmington Childhood Cancer Study (n=73)</w:t>
      </w:r>
      <w:bookmarkEnd w:id="160"/>
    </w:p>
    <w:tbl>
      <w:tblPr>
        <w:tblW w:w="6117" w:type="dxa"/>
        <w:tblInd w:w="93" w:type="dxa"/>
        <w:tblLook w:val="04A0" w:firstRow="1" w:lastRow="0" w:firstColumn="1" w:lastColumn="0" w:noHBand="0" w:noVBand="1"/>
      </w:tblPr>
      <w:tblGrid>
        <w:gridCol w:w="511"/>
        <w:gridCol w:w="574"/>
        <w:gridCol w:w="982"/>
        <w:gridCol w:w="900"/>
        <w:gridCol w:w="523"/>
        <w:gridCol w:w="564"/>
        <w:gridCol w:w="1073"/>
        <w:gridCol w:w="990"/>
      </w:tblGrid>
      <w:tr w:rsidR="00B9215B" w:rsidRPr="004B5519" w14:paraId="5764971B" w14:textId="77777777" w:rsidTr="001E7E4A">
        <w:trPr>
          <w:trHeight w:val="378"/>
        </w:trPr>
        <w:tc>
          <w:tcPr>
            <w:tcW w:w="511" w:type="dxa"/>
            <w:tcBorders>
              <w:top w:val="single" w:sz="4" w:space="0" w:color="auto"/>
              <w:left w:val="nil"/>
              <w:bottom w:val="nil"/>
              <w:right w:val="nil"/>
            </w:tcBorders>
            <w:shd w:val="clear" w:color="auto" w:fill="auto"/>
            <w:noWrap/>
          </w:tcPr>
          <w:p w14:paraId="3FD5B229" w14:textId="77777777" w:rsidR="00B9215B" w:rsidRPr="00857DD5" w:rsidRDefault="00B9215B" w:rsidP="006312FD">
            <w:pPr>
              <w:pStyle w:val="Tableheaders"/>
            </w:pPr>
          </w:p>
        </w:tc>
        <w:tc>
          <w:tcPr>
            <w:tcW w:w="2456" w:type="dxa"/>
            <w:gridSpan w:val="3"/>
            <w:tcBorders>
              <w:top w:val="single" w:sz="4" w:space="0" w:color="auto"/>
              <w:left w:val="nil"/>
              <w:bottom w:val="nil"/>
              <w:right w:val="nil"/>
            </w:tcBorders>
            <w:shd w:val="clear" w:color="auto" w:fill="auto"/>
            <w:noWrap/>
          </w:tcPr>
          <w:p w14:paraId="0420B480" w14:textId="77777777" w:rsidR="00B9215B" w:rsidRPr="001E7E4A" w:rsidRDefault="00B9215B" w:rsidP="006312FD">
            <w:pPr>
              <w:pStyle w:val="Tableheaders"/>
            </w:pPr>
            <w:r w:rsidRPr="001E7E4A">
              <w:t>Cases (n=16)</w:t>
            </w:r>
          </w:p>
        </w:tc>
        <w:tc>
          <w:tcPr>
            <w:tcW w:w="523" w:type="dxa"/>
            <w:tcBorders>
              <w:top w:val="single" w:sz="4" w:space="0" w:color="auto"/>
            </w:tcBorders>
          </w:tcPr>
          <w:p w14:paraId="75B951A9" w14:textId="77777777" w:rsidR="00B9215B" w:rsidRPr="001E7E4A" w:rsidRDefault="00B9215B" w:rsidP="006312FD">
            <w:pPr>
              <w:pStyle w:val="Tableheaders"/>
            </w:pPr>
          </w:p>
        </w:tc>
        <w:tc>
          <w:tcPr>
            <w:tcW w:w="2627" w:type="dxa"/>
            <w:gridSpan w:val="3"/>
            <w:tcBorders>
              <w:top w:val="single" w:sz="4" w:space="0" w:color="auto"/>
            </w:tcBorders>
          </w:tcPr>
          <w:p w14:paraId="617EC551" w14:textId="77777777" w:rsidR="00B9215B" w:rsidRPr="001E7E4A" w:rsidRDefault="00B9215B" w:rsidP="006312FD">
            <w:pPr>
              <w:pStyle w:val="Tableheaders"/>
            </w:pPr>
            <w:r w:rsidRPr="001E7E4A">
              <w:t>Controls (n=57)</w:t>
            </w:r>
          </w:p>
        </w:tc>
      </w:tr>
      <w:tr w:rsidR="00B9215B" w:rsidRPr="001E7E4A" w14:paraId="2C5089FD" w14:textId="77777777" w:rsidTr="001E7E4A">
        <w:trPr>
          <w:trHeight w:val="66"/>
        </w:trPr>
        <w:tc>
          <w:tcPr>
            <w:tcW w:w="511" w:type="dxa"/>
            <w:tcBorders>
              <w:top w:val="nil"/>
              <w:left w:val="nil"/>
              <w:bottom w:val="nil"/>
              <w:right w:val="nil"/>
            </w:tcBorders>
            <w:shd w:val="clear" w:color="auto" w:fill="auto"/>
            <w:noWrap/>
            <w:vAlign w:val="bottom"/>
            <w:hideMark/>
          </w:tcPr>
          <w:p w14:paraId="4905C91D" w14:textId="77777777" w:rsidR="00B9215B" w:rsidRPr="00E215A0" w:rsidRDefault="00B9215B" w:rsidP="0040594E">
            <w:pPr>
              <w:pStyle w:val="Tablebody"/>
            </w:pPr>
          </w:p>
        </w:tc>
        <w:tc>
          <w:tcPr>
            <w:tcW w:w="574" w:type="dxa"/>
            <w:tcBorders>
              <w:top w:val="nil"/>
              <w:left w:val="nil"/>
              <w:bottom w:val="nil"/>
              <w:right w:val="nil"/>
            </w:tcBorders>
            <w:shd w:val="clear" w:color="auto" w:fill="auto"/>
            <w:noWrap/>
            <w:vAlign w:val="bottom"/>
            <w:hideMark/>
          </w:tcPr>
          <w:p w14:paraId="7E01435C" w14:textId="77777777" w:rsidR="00B9215B" w:rsidRPr="001E7E4A" w:rsidRDefault="00B9215B" w:rsidP="0040594E">
            <w:pPr>
              <w:pStyle w:val="Tablebody"/>
              <w:rPr>
                <w:rFonts w:cstheme="minorHAnsi"/>
                <w:sz w:val="24"/>
                <w:szCs w:val="24"/>
              </w:rPr>
            </w:pPr>
          </w:p>
        </w:tc>
        <w:tc>
          <w:tcPr>
            <w:tcW w:w="1882" w:type="dxa"/>
            <w:gridSpan w:val="2"/>
            <w:tcBorders>
              <w:top w:val="nil"/>
              <w:left w:val="nil"/>
              <w:bottom w:val="nil"/>
              <w:right w:val="nil"/>
            </w:tcBorders>
            <w:shd w:val="clear" w:color="auto" w:fill="auto"/>
            <w:noWrap/>
            <w:vAlign w:val="bottom"/>
            <w:hideMark/>
          </w:tcPr>
          <w:p w14:paraId="11821ADC" w14:textId="77777777" w:rsidR="00B9215B" w:rsidRPr="001E7E4A" w:rsidRDefault="00B9215B" w:rsidP="0040594E">
            <w:pPr>
              <w:pStyle w:val="Tablebody"/>
              <w:rPr>
                <w:rFonts w:cstheme="minorHAnsi"/>
                <w:sz w:val="24"/>
                <w:szCs w:val="24"/>
              </w:rPr>
            </w:pPr>
            <w:r w:rsidRPr="001E7E4A">
              <w:rPr>
                <w:rFonts w:cstheme="minorHAnsi"/>
                <w:sz w:val="24"/>
                <w:szCs w:val="24"/>
              </w:rPr>
              <w:t>NDMA</w:t>
            </w:r>
          </w:p>
        </w:tc>
        <w:tc>
          <w:tcPr>
            <w:tcW w:w="523" w:type="dxa"/>
            <w:vAlign w:val="bottom"/>
          </w:tcPr>
          <w:p w14:paraId="474D15C1" w14:textId="77777777" w:rsidR="00B9215B" w:rsidRPr="001E7E4A" w:rsidRDefault="00B9215B" w:rsidP="0040594E">
            <w:pPr>
              <w:pStyle w:val="NoSpacing"/>
              <w:jc w:val="center"/>
              <w:rPr>
                <w:rFonts w:asciiTheme="minorHAnsi" w:hAnsiTheme="minorHAnsi" w:cstheme="minorHAnsi"/>
              </w:rPr>
            </w:pPr>
          </w:p>
        </w:tc>
        <w:tc>
          <w:tcPr>
            <w:tcW w:w="564" w:type="dxa"/>
          </w:tcPr>
          <w:p w14:paraId="734870EA" w14:textId="77777777" w:rsidR="00B9215B" w:rsidRPr="001E7E4A" w:rsidRDefault="00B9215B" w:rsidP="0040594E">
            <w:pPr>
              <w:pStyle w:val="Tablebody"/>
              <w:rPr>
                <w:rFonts w:cstheme="minorHAnsi"/>
                <w:sz w:val="24"/>
                <w:szCs w:val="24"/>
              </w:rPr>
            </w:pPr>
          </w:p>
        </w:tc>
        <w:tc>
          <w:tcPr>
            <w:tcW w:w="2063" w:type="dxa"/>
            <w:gridSpan w:val="2"/>
            <w:vAlign w:val="bottom"/>
          </w:tcPr>
          <w:p w14:paraId="3D20BF1D" w14:textId="77777777" w:rsidR="00B9215B" w:rsidRPr="001E7E4A" w:rsidRDefault="00B9215B" w:rsidP="0040594E">
            <w:pPr>
              <w:pStyle w:val="Tablebody"/>
              <w:rPr>
                <w:rFonts w:cstheme="minorHAnsi"/>
                <w:sz w:val="24"/>
                <w:szCs w:val="24"/>
              </w:rPr>
            </w:pPr>
            <w:r w:rsidRPr="001E7E4A">
              <w:rPr>
                <w:rFonts w:cstheme="minorHAnsi"/>
                <w:sz w:val="24"/>
                <w:szCs w:val="24"/>
              </w:rPr>
              <w:t>NDMA</w:t>
            </w:r>
          </w:p>
        </w:tc>
      </w:tr>
      <w:tr w:rsidR="00B9215B" w:rsidRPr="001E7E4A" w14:paraId="2110260D" w14:textId="77777777" w:rsidTr="001E7E4A">
        <w:trPr>
          <w:trHeight w:val="288"/>
        </w:trPr>
        <w:tc>
          <w:tcPr>
            <w:tcW w:w="511" w:type="dxa"/>
            <w:tcBorders>
              <w:top w:val="nil"/>
              <w:left w:val="nil"/>
              <w:bottom w:val="nil"/>
              <w:right w:val="nil"/>
            </w:tcBorders>
            <w:shd w:val="clear" w:color="auto" w:fill="auto"/>
            <w:noWrap/>
            <w:vAlign w:val="bottom"/>
            <w:hideMark/>
          </w:tcPr>
          <w:p w14:paraId="28CA6935" w14:textId="77777777" w:rsidR="00B9215B" w:rsidRPr="00E215A0" w:rsidRDefault="00B9215B" w:rsidP="0040594E">
            <w:pPr>
              <w:pStyle w:val="NoSpacing"/>
              <w:jc w:val="center"/>
            </w:pPr>
          </w:p>
        </w:tc>
        <w:tc>
          <w:tcPr>
            <w:tcW w:w="574" w:type="dxa"/>
            <w:tcBorders>
              <w:top w:val="nil"/>
              <w:left w:val="nil"/>
              <w:bottom w:val="nil"/>
              <w:right w:val="nil"/>
            </w:tcBorders>
            <w:shd w:val="clear" w:color="auto" w:fill="auto"/>
            <w:noWrap/>
            <w:vAlign w:val="bottom"/>
            <w:hideMark/>
          </w:tcPr>
          <w:p w14:paraId="7832D5DD" w14:textId="77777777" w:rsidR="00B9215B" w:rsidRPr="001E7E4A" w:rsidRDefault="00B9215B" w:rsidP="0040594E">
            <w:pPr>
              <w:pStyle w:val="Tablebody"/>
              <w:rPr>
                <w:rFonts w:cstheme="minorHAnsi"/>
                <w:sz w:val="24"/>
                <w:szCs w:val="24"/>
              </w:rPr>
            </w:pPr>
          </w:p>
        </w:tc>
        <w:tc>
          <w:tcPr>
            <w:tcW w:w="982" w:type="dxa"/>
            <w:tcBorders>
              <w:top w:val="nil"/>
              <w:left w:val="nil"/>
              <w:bottom w:val="single" w:sz="4" w:space="0" w:color="auto"/>
              <w:right w:val="nil"/>
            </w:tcBorders>
            <w:shd w:val="clear" w:color="auto" w:fill="auto"/>
            <w:noWrap/>
            <w:vAlign w:val="bottom"/>
            <w:hideMark/>
          </w:tcPr>
          <w:p w14:paraId="514387A7" w14:textId="77777777" w:rsidR="00B9215B" w:rsidRPr="001E7E4A" w:rsidRDefault="00B9215B" w:rsidP="0040594E">
            <w:pPr>
              <w:pStyle w:val="Tablebody"/>
              <w:rPr>
                <w:rFonts w:cstheme="minorHAnsi"/>
                <w:sz w:val="24"/>
                <w:szCs w:val="24"/>
              </w:rPr>
            </w:pPr>
            <w:r w:rsidRPr="001E7E4A">
              <w:rPr>
                <w:rFonts w:cstheme="minorHAnsi"/>
                <w:sz w:val="24"/>
                <w:szCs w:val="24"/>
              </w:rPr>
              <w:t>Yes</w:t>
            </w:r>
          </w:p>
        </w:tc>
        <w:tc>
          <w:tcPr>
            <w:tcW w:w="900" w:type="dxa"/>
            <w:tcBorders>
              <w:top w:val="nil"/>
              <w:left w:val="nil"/>
              <w:bottom w:val="single" w:sz="4" w:space="0" w:color="auto"/>
              <w:right w:val="nil"/>
            </w:tcBorders>
            <w:shd w:val="clear" w:color="auto" w:fill="auto"/>
            <w:noWrap/>
            <w:vAlign w:val="bottom"/>
            <w:hideMark/>
          </w:tcPr>
          <w:p w14:paraId="26B801FD" w14:textId="77777777" w:rsidR="00B9215B" w:rsidRPr="001E7E4A" w:rsidRDefault="00B9215B" w:rsidP="0040594E">
            <w:pPr>
              <w:pStyle w:val="Tablebody"/>
              <w:rPr>
                <w:rFonts w:cstheme="minorHAnsi"/>
                <w:sz w:val="24"/>
                <w:szCs w:val="24"/>
              </w:rPr>
            </w:pPr>
            <w:r w:rsidRPr="001E7E4A">
              <w:rPr>
                <w:rFonts w:cstheme="minorHAnsi"/>
                <w:sz w:val="24"/>
                <w:szCs w:val="24"/>
              </w:rPr>
              <w:t>No</w:t>
            </w:r>
          </w:p>
        </w:tc>
        <w:tc>
          <w:tcPr>
            <w:tcW w:w="523" w:type="dxa"/>
            <w:vMerge w:val="restart"/>
            <w:textDirection w:val="btLr"/>
            <w:vAlign w:val="bottom"/>
          </w:tcPr>
          <w:p w14:paraId="7C310519" w14:textId="77777777" w:rsidR="00B9215B" w:rsidRPr="001E7E4A" w:rsidRDefault="00B9215B" w:rsidP="0040594E">
            <w:pPr>
              <w:pStyle w:val="NoSpacing"/>
              <w:jc w:val="center"/>
              <w:rPr>
                <w:rFonts w:asciiTheme="minorHAnsi" w:hAnsiTheme="minorHAnsi" w:cstheme="minorHAnsi"/>
              </w:rPr>
            </w:pPr>
            <w:r w:rsidRPr="001E7E4A">
              <w:rPr>
                <w:rFonts w:asciiTheme="minorHAnsi" w:hAnsiTheme="minorHAnsi" w:cstheme="minorHAnsi"/>
              </w:rPr>
              <w:t>TCE</w:t>
            </w:r>
          </w:p>
        </w:tc>
        <w:tc>
          <w:tcPr>
            <w:tcW w:w="564" w:type="dxa"/>
          </w:tcPr>
          <w:p w14:paraId="7F9D8724" w14:textId="77777777" w:rsidR="00B9215B" w:rsidRPr="001E7E4A" w:rsidRDefault="00B9215B" w:rsidP="0040594E">
            <w:pPr>
              <w:pStyle w:val="Tablebody"/>
              <w:rPr>
                <w:rFonts w:cstheme="minorHAnsi"/>
                <w:sz w:val="24"/>
                <w:szCs w:val="24"/>
              </w:rPr>
            </w:pPr>
          </w:p>
        </w:tc>
        <w:tc>
          <w:tcPr>
            <w:tcW w:w="1073" w:type="dxa"/>
            <w:tcBorders>
              <w:bottom w:val="single" w:sz="4" w:space="0" w:color="auto"/>
            </w:tcBorders>
            <w:vAlign w:val="bottom"/>
          </w:tcPr>
          <w:p w14:paraId="5956620B" w14:textId="77777777" w:rsidR="00B9215B" w:rsidRPr="001E7E4A" w:rsidRDefault="00B9215B" w:rsidP="0040594E">
            <w:pPr>
              <w:pStyle w:val="Tablebody"/>
              <w:rPr>
                <w:rFonts w:cstheme="minorHAnsi"/>
                <w:sz w:val="24"/>
                <w:szCs w:val="24"/>
              </w:rPr>
            </w:pPr>
            <w:r w:rsidRPr="001E7E4A">
              <w:rPr>
                <w:rFonts w:cstheme="minorHAnsi"/>
                <w:sz w:val="24"/>
                <w:szCs w:val="24"/>
              </w:rPr>
              <w:t>Yes</w:t>
            </w:r>
          </w:p>
        </w:tc>
        <w:tc>
          <w:tcPr>
            <w:tcW w:w="990" w:type="dxa"/>
            <w:tcBorders>
              <w:bottom w:val="single" w:sz="4" w:space="0" w:color="auto"/>
            </w:tcBorders>
            <w:vAlign w:val="bottom"/>
          </w:tcPr>
          <w:p w14:paraId="61FC2479" w14:textId="77777777" w:rsidR="00B9215B" w:rsidRPr="001E7E4A" w:rsidRDefault="00B9215B" w:rsidP="0040594E">
            <w:pPr>
              <w:pStyle w:val="Tablebody"/>
              <w:rPr>
                <w:rFonts w:cstheme="minorHAnsi"/>
                <w:sz w:val="24"/>
                <w:szCs w:val="24"/>
              </w:rPr>
            </w:pPr>
            <w:r w:rsidRPr="001E7E4A">
              <w:rPr>
                <w:rFonts w:cstheme="minorHAnsi"/>
                <w:sz w:val="24"/>
                <w:szCs w:val="24"/>
              </w:rPr>
              <w:t>No</w:t>
            </w:r>
          </w:p>
        </w:tc>
      </w:tr>
      <w:tr w:rsidR="00B9215B" w:rsidRPr="001E7E4A" w14:paraId="691B7B7C" w14:textId="77777777" w:rsidTr="001E7E4A">
        <w:trPr>
          <w:trHeight w:val="750"/>
        </w:trPr>
        <w:tc>
          <w:tcPr>
            <w:tcW w:w="511" w:type="dxa"/>
            <w:vMerge w:val="restart"/>
            <w:tcBorders>
              <w:top w:val="nil"/>
              <w:left w:val="nil"/>
              <w:bottom w:val="nil"/>
              <w:right w:val="nil"/>
            </w:tcBorders>
            <w:shd w:val="clear" w:color="auto" w:fill="auto"/>
            <w:noWrap/>
            <w:textDirection w:val="btLr"/>
            <w:vAlign w:val="bottom"/>
            <w:hideMark/>
          </w:tcPr>
          <w:p w14:paraId="03909060" w14:textId="77777777" w:rsidR="00B9215B" w:rsidRPr="007B1873" w:rsidRDefault="00B9215B" w:rsidP="0040594E">
            <w:pPr>
              <w:pStyle w:val="NoSpacing"/>
              <w:jc w:val="center"/>
              <w:rPr>
                <w:color w:val="000000"/>
                <w:sz w:val="22"/>
                <w:szCs w:val="22"/>
              </w:rPr>
            </w:pPr>
            <w:r w:rsidRPr="007B1873">
              <w:rPr>
                <w:color w:val="000000"/>
                <w:szCs w:val="22"/>
              </w:rPr>
              <w:t>TCE</w:t>
            </w:r>
          </w:p>
        </w:tc>
        <w:tc>
          <w:tcPr>
            <w:tcW w:w="574" w:type="dxa"/>
            <w:tcBorders>
              <w:top w:val="nil"/>
              <w:left w:val="nil"/>
              <w:bottom w:val="nil"/>
              <w:right w:val="nil"/>
            </w:tcBorders>
            <w:shd w:val="clear" w:color="auto" w:fill="auto"/>
            <w:noWrap/>
            <w:vAlign w:val="center"/>
            <w:hideMark/>
          </w:tcPr>
          <w:p w14:paraId="5BFF6992" w14:textId="77777777" w:rsidR="00B9215B" w:rsidRPr="001E7E4A" w:rsidRDefault="00B9215B" w:rsidP="0040594E">
            <w:pPr>
              <w:pStyle w:val="Tablebody"/>
              <w:rPr>
                <w:rFonts w:cstheme="minorHAnsi"/>
                <w:sz w:val="24"/>
                <w:szCs w:val="24"/>
              </w:rPr>
            </w:pPr>
            <w:r w:rsidRPr="001E7E4A">
              <w:rPr>
                <w:rFonts w:cstheme="minorHAnsi"/>
                <w:sz w:val="24"/>
                <w:szCs w:val="24"/>
              </w:rPr>
              <w:t>Yes</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F6CE" w14:textId="77777777" w:rsidR="00B9215B" w:rsidRPr="001E7E4A" w:rsidRDefault="00B9215B" w:rsidP="0040594E">
            <w:pPr>
              <w:pStyle w:val="Tablebody"/>
              <w:rPr>
                <w:rFonts w:cstheme="minorHAnsi"/>
                <w:sz w:val="24"/>
                <w:szCs w:val="24"/>
              </w:rPr>
            </w:pPr>
            <w:r w:rsidRPr="001E7E4A">
              <w:rPr>
                <w:rFonts w:cstheme="minorHAnsi"/>
                <w:sz w:val="24"/>
                <w:szCs w:val="24"/>
              </w:rPr>
              <w:t>5 (31%)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624D6" w14:textId="77777777" w:rsidR="00B9215B" w:rsidRPr="001E7E4A" w:rsidRDefault="00B9215B" w:rsidP="0040594E">
            <w:pPr>
              <w:pStyle w:val="Tablebody"/>
              <w:rPr>
                <w:rFonts w:cstheme="minorHAnsi"/>
                <w:sz w:val="24"/>
                <w:szCs w:val="24"/>
              </w:rPr>
            </w:pPr>
            <w:r w:rsidRPr="001E7E4A">
              <w:rPr>
                <w:rFonts w:cstheme="minorHAnsi"/>
                <w:sz w:val="24"/>
                <w:szCs w:val="24"/>
              </w:rPr>
              <w:t>0 (0%)</w:t>
            </w:r>
          </w:p>
        </w:tc>
        <w:tc>
          <w:tcPr>
            <w:tcW w:w="523" w:type="dxa"/>
            <w:vMerge/>
            <w:vAlign w:val="center"/>
          </w:tcPr>
          <w:p w14:paraId="4C200414" w14:textId="77777777" w:rsidR="00B9215B" w:rsidRPr="001E7E4A" w:rsidRDefault="00B9215B" w:rsidP="0040594E">
            <w:pPr>
              <w:spacing w:line="240" w:lineRule="auto"/>
              <w:rPr>
                <w:rFonts w:asciiTheme="minorHAnsi" w:hAnsiTheme="minorHAnsi" w:cstheme="minorHAnsi"/>
                <w:color w:val="000000"/>
              </w:rPr>
            </w:pPr>
          </w:p>
        </w:tc>
        <w:tc>
          <w:tcPr>
            <w:tcW w:w="564" w:type="dxa"/>
            <w:tcBorders>
              <w:right w:val="single" w:sz="4" w:space="0" w:color="auto"/>
            </w:tcBorders>
            <w:vAlign w:val="center"/>
          </w:tcPr>
          <w:p w14:paraId="0349410C" w14:textId="77777777" w:rsidR="00B9215B" w:rsidRPr="001E7E4A" w:rsidRDefault="00B9215B" w:rsidP="0040594E">
            <w:pPr>
              <w:pStyle w:val="Tablebody"/>
              <w:rPr>
                <w:rFonts w:cstheme="minorHAnsi"/>
                <w:sz w:val="24"/>
                <w:szCs w:val="24"/>
              </w:rPr>
            </w:pPr>
            <w:r w:rsidRPr="001E7E4A">
              <w:rPr>
                <w:rFonts w:cstheme="minorHAnsi"/>
                <w:sz w:val="24"/>
                <w:szCs w:val="24"/>
              </w:rPr>
              <w:t>Yes</w:t>
            </w:r>
          </w:p>
        </w:tc>
        <w:tc>
          <w:tcPr>
            <w:tcW w:w="1073" w:type="dxa"/>
            <w:tcBorders>
              <w:top w:val="single" w:sz="4" w:space="0" w:color="auto"/>
              <w:left w:val="single" w:sz="4" w:space="0" w:color="auto"/>
              <w:bottom w:val="single" w:sz="4" w:space="0" w:color="auto"/>
              <w:right w:val="single" w:sz="4" w:space="0" w:color="auto"/>
            </w:tcBorders>
            <w:vAlign w:val="center"/>
          </w:tcPr>
          <w:p w14:paraId="2C510B4E" w14:textId="77777777" w:rsidR="00B9215B" w:rsidRPr="001E7E4A" w:rsidRDefault="00B9215B" w:rsidP="0040594E">
            <w:pPr>
              <w:pStyle w:val="Tablebody"/>
              <w:rPr>
                <w:rFonts w:cstheme="minorHAnsi"/>
                <w:sz w:val="24"/>
                <w:szCs w:val="24"/>
              </w:rPr>
            </w:pPr>
            <w:r w:rsidRPr="001E7E4A">
              <w:rPr>
                <w:rFonts w:cstheme="minorHAnsi"/>
                <w:sz w:val="24"/>
                <w:szCs w:val="24"/>
              </w:rPr>
              <w:t>14 (25%)</w:t>
            </w:r>
          </w:p>
        </w:tc>
        <w:tc>
          <w:tcPr>
            <w:tcW w:w="990" w:type="dxa"/>
            <w:tcBorders>
              <w:top w:val="single" w:sz="4" w:space="0" w:color="auto"/>
              <w:left w:val="single" w:sz="4" w:space="0" w:color="auto"/>
              <w:bottom w:val="single" w:sz="4" w:space="0" w:color="auto"/>
              <w:right w:val="single" w:sz="4" w:space="0" w:color="auto"/>
            </w:tcBorders>
            <w:vAlign w:val="center"/>
          </w:tcPr>
          <w:p w14:paraId="3C2B6DAE" w14:textId="77777777" w:rsidR="00B9215B" w:rsidRPr="001E7E4A" w:rsidRDefault="00B9215B" w:rsidP="0040594E">
            <w:pPr>
              <w:pStyle w:val="Tablebody"/>
              <w:rPr>
                <w:rFonts w:cstheme="minorHAnsi"/>
                <w:sz w:val="24"/>
                <w:szCs w:val="24"/>
              </w:rPr>
            </w:pPr>
            <w:r w:rsidRPr="001E7E4A">
              <w:rPr>
                <w:rFonts w:cstheme="minorHAnsi"/>
                <w:sz w:val="24"/>
                <w:szCs w:val="24"/>
              </w:rPr>
              <w:t>0 (0%)</w:t>
            </w:r>
          </w:p>
        </w:tc>
      </w:tr>
      <w:tr w:rsidR="00B9215B" w:rsidRPr="001E7E4A" w14:paraId="680E0F99" w14:textId="77777777" w:rsidTr="001E7E4A">
        <w:trPr>
          <w:trHeight w:val="750"/>
        </w:trPr>
        <w:tc>
          <w:tcPr>
            <w:tcW w:w="511" w:type="dxa"/>
            <w:vMerge/>
            <w:tcBorders>
              <w:top w:val="nil"/>
              <w:left w:val="nil"/>
              <w:right w:val="nil"/>
            </w:tcBorders>
            <w:vAlign w:val="center"/>
            <w:hideMark/>
          </w:tcPr>
          <w:p w14:paraId="5E5D24A1" w14:textId="77777777" w:rsidR="00B9215B" w:rsidRPr="00E215A0" w:rsidRDefault="00B9215B" w:rsidP="0040594E">
            <w:pPr>
              <w:spacing w:line="240" w:lineRule="auto"/>
              <w:rPr>
                <w:rFonts w:ascii="Calibri" w:hAnsi="Calibri"/>
                <w:color w:val="000000"/>
                <w:sz w:val="22"/>
                <w:szCs w:val="22"/>
              </w:rPr>
            </w:pPr>
          </w:p>
        </w:tc>
        <w:tc>
          <w:tcPr>
            <w:tcW w:w="574" w:type="dxa"/>
            <w:tcBorders>
              <w:top w:val="nil"/>
              <w:left w:val="nil"/>
              <w:right w:val="nil"/>
            </w:tcBorders>
            <w:shd w:val="clear" w:color="auto" w:fill="auto"/>
            <w:noWrap/>
            <w:vAlign w:val="center"/>
            <w:hideMark/>
          </w:tcPr>
          <w:p w14:paraId="36531380" w14:textId="77777777" w:rsidR="00B9215B" w:rsidRPr="001E7E4A" w:rsidRDefault="00B9215B" w:rsidP="0040594E">
            <w:pPr>
              <w:pStyle w:val="Tablebody"/>
              <w:rPr>
                <w:rFonts w:cstheme="minorHAnsi"/>
                <w:sz w:val="24"/>
                <w:szCs w:val="24"/>
              </w:rPr>
            </w:pPr>
            <w:r w:rsidRPr="001E7E4A">
              <w:rPr>
                <w:rFonts w:cstheme="minorHAnsi"/>
                <w:sz w:val="24"/>
                <w:szCs w:val="24"/>
              </w:rPr>
              <w:t>No</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D544" w14:textId="77777777" w:rsidR="00B9215B" w:rsidRPr="001E7E4A" w:rsidRDefault="00B9215B" w:rsidP="0040594E">
            <w:pPr>
              <w:pStyle w:val="Tablebody"/>
              <w:rPr>
                <w:rFonts w:cstheme="minorHAnsi"/>
                <w:sz w:val="24"/>
                <w:szCs w:val="24"/>
              </w:rPr>
            </w:pPr>
            <w:r w:rsidRPr="001E7E4A">
              <w:rPr>
                <w:rFonts w:cstheme="minorHAnsi"/>
                <w:sz w:val="24"/>
                <w:szCs w:val="24"/>
              </w:rPr>
              <w:t>3 (19%)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BC13B" w14:textId="01A5A12E" w:rsidR="00B9215B" w:rsidRPr="001E7E4A" w:rsidRDefault="00B9215B" w:rsidP="0040594E">
            <w:pPr>
              <w:pStyle w:val="Tablebody"/>
              <w:rPr>
                <w:rFonts w:cstheme="minorHAnsi"/>
                <w:sz w:val="24"/>
                <w:szCs w:val="24"/>
              </w:rPr>
            </w:pPr>
            <w:r w:rsidRPr="001E7E4A">
              <w:rPr>
                <w:rFonts w:cstheme="minorHAnsi"/>
                <w:sz w:val="24"/>
                <w:szCs w:val="24"/>
              </w:rPr>
              <w:t>8</w:t>
            </w:r>
            <w:r w:rsidR="001E7E4A">
              <w:rPr>
                <w:rFonts w:cstheme="minorHAnsi"/>
                <w:sz w:val="24"/>
                <w:szCs w:val="24"/>
              </w:rPr>
              <w:t xml:space="preserve"> </w:t>
            </w:r>
            <w:r w:rsidRPr="001E7E4A">
              <w:rPr>
                <w:rFonts w:cstheme="minorHAnsi"/>
                <w:sz w:val="24"/>
                <w:szCs w:val="24"/>
              </w:rPr>
              <w:t>(50%)</w:t>
            </w:r>
          </w:p>
        </w:tc>
        <w:tc>
          <w:tcPr>
            <w:tcW w:w="523" w:type="dxa"/>
            <w:vMerge/>
            <w:vAlign w:val="center"/>
          </w:tcPr>
          <w:p w14:paraId="02C0D9BE" w14:textId="77777777" w:rsidR="00B9215B" w:rsidRPr="001E7E4A" w:rsidRDefault="00B9215B" w:rsidP="0040594E">
            <w:pPr>
              <w:spacing w:line="240" w:lineRule="auto"/>
              <w:rPr>
                <w:rFonts w:asciiTheme="minorHAnsi" w:hAnsiTheme="minorHAnsi" w:cstheme="minorHAnsi"/>
                <w:color w:val="000000"/>
              </w:rPr>
            </w:pPr>
          </w:p>
        </w:tc>
        <w:tc>
          <w:tcPr>
            <w:tcW w:w="564" w:type="dxa"/>
            <w:tcBorders>
              <w:right w:val="single" w:sz="4" w:space="0" w:color="auto"/>
            </w:tcBorders>
            <w:vAlign w:val="center"/>
          </w:tcPr>
          <w:p w14:paraId="3B6DF151" w14:textId="77777777" w:rsidR="00B9215B" w:rsidRPr="001E7E4A" w:rsidRDefault="00B9215B" w:rsidP="0040594E">
            <w:pPr>
              <w:pStyle w:val="Tablebody"/>
              <w:rPr>
                <w:rFonts w:cstheme="minorHAnsi"/>
                <w:sz w:val="24"/>
                <w:szCs w:val="24"/>
              </w:rPr>
            </w:pPr>
            <w:r w:rsidRPr="001E7E4A">
              <w:rPr>
                <w:rFonts w:cstheme="minorHAnsi"/>
                <w:sz w:val="24"/>
                <w:szCs w:val="24"/>
              </w:rPr>
              <w:t>No</w:t>
            </w:r>
          </w:p>
        </w:tc>
        <w:tc>
          <w:tcPr>
            <w:tcW w:w="1073" w:type="dxa"/>
            <w:tcBorders>
              <w:top w:val="single" w:sz="4" w:space="0" w:color="auto"/>
              <w:left w:val="single" w:sz="4" w:space="0" w:color="auto"/>
              <w:bottom w:val="single" w:sz="4" w:space="0" w:color="auto"/>
              <w:right w:val="single" w:sz="4" w:space="0" w:color="auto"/>
            </w:tcBorders>
            <w:vAlign w:val="center"/>
          </w:tcPr>
          <w:p w14:paraId="03CF791D" w14:textId="77777777" w:rsidR="00B9215B" w:rsidRPr="001E7E4A" w:rsidRDefault="00B9215B" w:rsidP="0040594E">
            <w:pPr>
              <w:pStyle w:val="Tablebody"/>
              <w:rPr>
                <w:rFonts w:cstheme="minorHAnsi"/>
                <w:sz w:val="24"/>
                <w:szCs w:val="24"/>
              </w:rPr>
            </w:pPr>
            <w:r w:rsidRPr="001E7E4A">
              <w:rPr>
                <w:rFonts w:cstheme="minorHAnsi"/>
                <w:sz w:val="24"/>
                <w:szCs w:val="24"/>
              </w:rPr>
              <w:t>10 (18%)</w:t>
            </w:r>
          </w:p>
        </w:tc>
        <w:tc>
          <w:tcPr>
            <w:tcW w:w="990" w:type="dxa"/>
            <w:tcBorders>
              <w:top w:val="single" w:sz="4" w:space="0" w:color="auto"/>
              <w:left w:val="single" w:sz="4" w:space="0" w:color="auto"/>
              <w:bottom w:val="single" w:sz="4" w:space="0" w:color="auto"/>
              <w:right w:val="single" w:sz="4" w:space="0" w:color="auto"/>
            </w:tcBorders>
            <w:vAlign w:val="center"/>
          </w:tcPr>
          <w:p w14:paraId="4965F8FE" w14:textId="77777777" w:rsidR="00B9215B" w:rsidRPr="001E7E4A" w:rsidRDefault="00B9215B" w:rsidP="0040594E">
            <w:pPr>
              <w:pStyle w:val="Tablebody"/>
              <w:rPr>
                <w:rFonts w:cstheme="minorHAnsi"/>
                <w:sz w:val="24"/>
                <w:szCs w:val="24"/>
              </w:rPr>
            </w:pPr>
            <w:r w:rsidRPr="001E7E4A">
              <w:rPr>
                <w:rFonts w:cstheme="minorHAnsi"/>
                <w:sz w:val="24"/>
                <w:szCs w:val="24"/>
              </w:rPr>
              <w:t>33 (58%)</w:t>
            </w:r>
          </w:p>
        </w:tc>
      </w:tr>
      <w:tr w:rsidR="00B9215B" w:rsidRPr="00E215A0" w14:paraId="21D8FA70" w14:textId="77777777" w:rsidTr="001E7E4A">
        <w:trPr>
          <w:trHeight w:val="302"/>
        </w:trPr>
        <w:tc>
          <w:tcPr>
            <w:tcW w:w="511" w:type="dxa"/>
            <w:tcBorders>
              <w:left w:val="nil"/>
              <w:bottom w:val="single" w:sz="4" w:space="0" w:color="auto"/>
            </w:tcBorders>
            <w:vAlign w:val="center"/>
          </w:tcPr>
          <w:p w14:paraId="7E794CED" w14:textId="77777777" w:rsidR="00B9215B" w:rsidRPr="00E215A0" w:rsidRDefault="00B9215B" w:rsidP="0040594E">
            <w:pPr>
              <w:spacing w:after="0" w:line="240" w:lineRule="auto"/>
              <w:rPr>
                <w:rFonts w:ascii="Calibri" w:hAnsi="Calibri"/>
                <w:color w:val="000000"/>
                <w:sz w:val="22"/>
                <w:szCs w:val="22"/>
              </w:rPr>
            </w:pPr>
          </w:p>
        </w:tc>
        <w:tc>
          <w:tcPr>
            <w:tcW w:w="574" w:type="dxa"/>
            <w:tcBorders>
              <w:bottom w:val="single" w:sz="4" w:space="0" w:color="auto"/>
            </w:tcBorders>
            <w:shd w:val="clear" w:color="auto" w:fill="auto"/>
            <w:noWrap/>
            <w:vAlign w:val="center"/>
          </w:tcPr>
          <w:p w14:paraId="0E8912F7" w14:textId="77777777" w:rsidR="00B9215B" w:rsidRPr="001E7E4A" w:rsidRDefault="00B9215B" w:rsidP="0040594E">
            <w:pPr>
              <w:pStyle w:val="Tablebody"/>
              <w:rPr>
                <w:rFonts w:cstheme="minorHAnsi"/>
                <w:sz w:val="24"/>
                <w:szCs w:val="24"/>
              </w:rPr>
            </w:pPr>
          </w:p>
        </w:tc>
        <w:tc>
          <w:tcPr>
            <w:tcW w:w="982" w:type="dxa"/>
            <w:tcBorders>
              <w:top w:val="single" w:sz="4" w:space="0" w:color="auto"/>
              <w:bottom w:val="single" w:sz="4" w:space="0" w:color="auto"/>
            </w:tcBorders>
            <w:shd w:val="clear" w:color="auto" w:fill="auto"/>
            <w:noWrap/>
            <w:vAlign w:val="center"/>
          </w:tcPr>
          <w:p w14:paraId="3BA952BD" w14:textId="77777777" w:rsidR="00B9215B" w:rsidRPr="001E7E4A" w:rsidRDefault="00B9215B" w:rsidP="0040594E">
            <w:pPr>
              <w:pStyle w:val="Tablebody"/>
              <w:rPr>
                <w:rFonts w:cstheme="minorHAnsi"/>
                <w:sz w:val="24"/>
                <w:szCs w:val="24"/>
              </w:rPr>
            </w:pPr>
          </w:p>
        </w:tc>
        <w:tc>
          <w:tcPr>
            <w:tcW w:w="900" w:type="dxa"/>
            <w:tcBorders>
              <w:top w:val="single" w:sz="4" w:space="0" w:color="auto"/>
              <w:bottom w:val="single" w:sz="4" w:space="0" w:color="auto"/>
            </w:tcBorders>
            <w:shd w:val="clear" w:color="auto" w:fill="auto"/>
            <w:noWrap/>
            <w:vAlign w:val="center"/>
          </w:tcPr>
          <w:p w14:paraId="69D801A9" w14:textId="77777777" w:rsidR="00B9215B" w:rsidRPr="001E7E4A" w:rsidRDefault="00B9215B" w:rsidP="0040594E">
            <w:pPr>
              <w:pStyle w:val="Tablebody"/>
              <w:rPr>
                <w:rFonts w:cstheme="minorHAnsi"/>
                <w:sz w:val="24"/>
                <w:szCs w:val="24"/>
              </w:rPr>
            </w:pPr>
          </w:p>
        </w:tc>
        <w:tc>
          <w:tcPr>
            <w:tcW w:w="523" w:type="dxa"/>
            <w:tcBorders>
              <w:bottom w:val="single" w:sz="4" w:space="0" w:color="auto"/>
            </w:tcBorders>
            <w:vAlign w:val="center"/>
          </w:tcPr>
          <w:p w14:paraId="1EC4AAE8" w14:textId="77777777" w:rsidR="00B9215B" w:rsidRPr="001E7E4A" w:rsidRDefault="00B9215B" w:rsidP="0040594E">
            <w:pPr>
              <w:spacing w:after="0" w:line="240" w:lineRule="auto"/>
              <w:rPr>
                <w:rFonts w:asciiTheme="minorHAnsi" w:hAnsiTheme="minorHAnsi" w:cstheme="minorHAnsi"/>
                <w:color w:val="000000"/>
              </w:rPr>
            </w:pPr>
          </w:p>
        </w:tc>
        <w:tc>
          <w:tcPr>
            <w:tcW w:w="564" w:type="dxa"/>
            <w:tcBorders>
              <w:bottom w:val="single" w:sz="4" w:space="0" w:color="auto"/>
            </w:tcBorders>
            <w:vAlign w:val="center"/>
          </w:tcPr>
          <w:p w14:paraId="79DD3914" w14:textId="77777777" w:rsidR="00B9215B" w:rsidRPr="001E7E4A" w:rsidRDefault="00B9215B" w:rsidP="0040594E">
            <w:pPr>
              <w:pStyle w:val="Tablebody"/>
              <w:rPr>
                <w:rFonts w:cstheme="minorHAnsi"/>
                <w:sz w:val="24"/>
                <w:szCs w:val="24"/>
              </w:rPr>
            </w:pPr>
          </w:p>
        </w:tc>
        <w:tc>
          <w:tcPr>
            <w:tcW w:w="1073" w:type="dxa"/>
            <w:tcBorders>
              <w:top w:val="single" w:sz="4" w:space="0" w:color="auto"/>
              <w:bottom w:val="single" w:sz="4" w:space="0" w:color="auto"/>
            </w:tcBorders>
            <w:vAlign w:val="center"/>
          </w:tcPr>
          <w:p w14:paraId="36E3BA50" w14:textId="77777777" w:rsidR="00B9215B" w:rsidRPr="001E7E4A" w:rsidRDefault="00B9215B" w:rsidP="0040594E">
            <w:pPr>
              <w:pStyle w:val="Tablebody"/>
              <w:rPr>
                <w:rFonts w:cstheme="minorHAnsi"/>
                <w:sz w:val="24"/>
                <w:szCs w:val="24"/>
              </w:rPr>
            </w:pPr>
          </w:p>
        </w:tc>
        <w:tc>
          <w:tcPr>
            <w:tcW w:w="990" w:type="dxa"/>
            <w:tcBorders>
              <w:bottom w:val="single" w:sz="4" w:space="0" w:color="auto"/>
            </w:tcBorders>
            <w:vAlign w:val="center"/>
          </w:tcPr>
          <w:p w14:paraId="596F6740" w14:textId="77777777" w:rsidR="00B9215B" w:rsidRPr="001E7E4A" w:rsidRDefault="00B9215B" w:rsidP="0040594E">
            <w:pPr>
              <w:pStyle w:val="Tablebody"/>
              <w:rPr>
                <w:rFonts w:cstheme="minorHAnsi"/>
                <w:sz w:val="24"/>
                <w:szCs w:val="24"/>
              </w:rPr>
            </w:pPr>
          </w:p>
        </w:tc>
      </w:tr>
    </w:tbl>
    <w:p w14:paraId="1C0C5BA7" w14:textId="18C64D52" w:rsidR="00B9215B" w:rsidRDefault="00B9215B" w:rsidP="0040594E">
      <w:pPr>
        <w:pStyle w:val="NoSpacing"/>
      </w:pPr>
    </w:p>
    <w:p w14:paraId="0A90F18C" w14:textId="77777777" w:rsidR="000C4868" w:rsidRDefault="000C4868" w:rsidP="0040594E">
      <w:pPr>
        <w:pStyle w:val="NoSpacing"/>
      </w:pPr>
    </w:p>
    <w:p w14:paraId="2124DBA7" w14:textId="1D21B406" w:rsidR="00FB6843" w:rsidRDefault="00B9215B" w:rsidP="006C3ED9">
      <w:r>
        <w:t>Besides the large number of study participants that were unexposed to either contaminant, there is not a strong correlation with respect to estimated average concentrations of NDMA and TCE (</w:t>
      </w:r>
      <w:r w:rsidR="0028021A">
        <w:fldChar w:fldCharType="begin"/>
      </w:r>
      <w:r w:rsidR="0028021A">
        <w:instrText xml:space="preserve"> REF  Figure15 \h </w:instrText>
      </w:r>
      <w:r w:rsidR="0040594E">
        <w:instrText xml:space="preserve"> \* MERGEFORMAT </w:instrText>
      </w:r>
      <w:r w:rsidR="0028021A">
        <w:fldChar w:fldCharType="separate"/>
      </w:r>
      <w:r w:rsidR="00977423">
        <w:t xml:space="preserve">Figure </w:t>
      </w:r>
      <w:r w:rsidR="00977423">
        <w:rPr>
          <w:noProof/>
        </w:rPr>
        <w:t>15</w:t>
      </w:r>
      <w:r w:rsidR="0028021A">
        <w:fldChar w:fldCharType="end"/>
      </w:r>
      <w:r>
        <w:t xml:space="preserve">). The Pearson correlation coefficient </w:t>
      </w:r>
      <w:r w:rsidR="00141592">
        <w:t xml:space="preserve">(r) </w:t>
      </w:r>
      <w:r>
        <w:t>for the relationship is 0.</w:t>
      </w:r>
      <w:r w:rsidR="00B82D5A">
        <w:t xml:space="preserve">35 </w:t>
      </w:r>
      <w:r>
        <w:t xml:space="preserve">with a significant </w:t>
      </w:r>
      <w:r w:rsidRPr="00372442">
        <w:rPr>
          <w:i/>
        </w:rPr>
        <w:t>p</w:t>
      </w:r>
      <w:r>
        <w:t>-value of 0.002, resulting in an R</w:t>
      </w:r>
      <w:r>
        <w:rPr>
          <w:vertAlign w:val="superscript"/>
        </w:rPr>
        <w:t>2</w:t>
      </w:r>
      <w:r>
        <w:t xml:space="preserve"> value of 0.13. This means that there is a statistically significant correlation, but that the overall relationship is not strong with only 13% of the variation in NDMA concentrations explained by corresponding TCE concentrations.</w:t>
      </w:r>
      <w:r w:rsidR="00141592">
        <w:t xml:space="preserve"> </w:t>
      </w:r>
      <w:r w:rsidR="00694DAF">
        <w:t>The correlation is driven by the large number of participants with estimated zero exposure to both compounds; w</w:t>
      </w:r>
      <w:r w:rsidR="00141592">
        <w:t xml:space="preserve">hen the doubly unexposed are excluded, no correlation is observed (r=0.005; </w:t>
      </w:r>
      <w:r w:rsidR="00141592" w:rsidRPr="00694DAF">
        <w:rPr>
          <w:i/>
        </w:rPr>
        <w:t>p</w:t>
      </w:r>
      <w:r w:rsidR="00141592">
        <w:t xml:space="preserve"> = 0.98).</w:t>
      </w:r>
      <w:r w:rsidR="00FB6843">
        <w:br w:type="page"/>
      </w:r>
    </w:p>
    <w:p w14:paraId="1E0B622C" w14:textId="60C2FEEE" w:rsidR="00B9215B" w:rsidRDefault="00B9215B" w:rsidP="0040594E">
      <w:pPr>
        <w:pStyle w:val="Caption"/>
        <w:keepNext/>
      </w:pPr>
      <w:bookmarkStart w:id="161" w:name="_Ref30086753"/>
      <w:bookmarkStart w:id="162" w:name="Figure15"/>
      <w:bookmarkStart w:id="163" w:name="_Toc45717790"/>
      <w:r>
        <w:lastRenderedPageBreak/>
        <w:t xml:space="preserve">Figure </w:t>
      </w:r>
      <w:fldSimple w:instr=" SEQ Figure \* ARABIC ">
        <w:r w:rsidR="00977423">
          <w:rPr>
            <w:noProof/>
          </w:rPr>
          <w:t>15</w:t>
        </w:r>
      </w:fldSimple>
      <w:bookmarkEnd w:id="161"/>
      <w:bookmarkEnd w:id="162"/>
      <w:r>
        <w:t xml:space="preserve">. </w:t>
      </w:r>
      <w:r w:rsidRPr="0001093B">
        <w:t xml:space="preserve">Scatterplot of average maternal NDMA and TCE concentrations among participants of the Wilmington </w:t>
      </w:r>
      <w:r>
        <w:t xml:space="preserve">Childhood </w:t>
      </w:r>
      <w:r w:rsidRPr="0001093B">
        <w:t>Cancer Study, n=73</w:t>
      </w:r>
      <w:bookmarkEnd w:id="163"/>
    </w:p>
    <w:p w14:paraId="6D2A7367" w14:textId="14DE0D28" w:rsidR="00B9215B" w:rsidRPr="000C4868" w:rsidRDefault="00B9215B" w:rsidP="0040594E">
      <w:pPr>
        <w:pStyle w:val="NoSpacing"/>
        <w:rPr>
          <w:b/>
          <w:i/>
        </w:rPr>
      </w:pPr>
      <w:r>
        <w:rPr>
          <w:noProof/>
        </w:rPr>
        <mc:AlternateContent>
          <mc:Choice Requires="wps">
            <w:drawing>
              <wp:anchor distT="0" distB="0" distL="114300" distR="114300" simplePos="0" relativeHeight="251654144" behindDoc="0" locked="0" layoutInCell="1" allowOverlap="1" wp14:anchorId="09172303" wp14:editId="73314C24">
                <wp:simplePos x="0" y="0"/>
                <wp:positionH relativeFrom="column">
                  <wp:posOffset>3964940</wp:posOffset>
                </wp:positionH>
                <wp:positionV relativeFrom="paragraph">
                  <wp:posOffset>102235</wp:posOffset>
                </wp:positionV>
                <wp:extent cx="844550" cy="377190"/>
                <wp:effectExtent l="0" t="0" r="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77190"/>
                        </a:xfrm>
                        <a:prstGeom prst="rect">
                          <a:avLst/>
                        </a:prstGeom>
                        <a:noFill/>
                        <a:ln w="9525">
                          <a:noFill/>
                          <a:miter lim="800000"/>
                          <a:headEnd/>
                          <a:tailEnd/>
                        </a:ln>
                      </wps:spPr>
                      <wps:txbx>
                        <w:txbxContent>
                          <w:p w14:paraId="42529566" w14:textId="77777777" w:rsidR="00C2588D" w:rsidRPr="00B21EFD" w:rsidRDefault="00C2588D" w:rsidP="00B9215B">
                            <w:pPr>
                              <w:rPr>
                                <w:rFonts w:asciiTheme="minorHAnsi" w:hAnsiTheme="minorHAnsi"/>
                              </w:rPr>
                            </w:pPr>
                            <w:r w:rsidRPr="00B21EFD">
                              <w:rPr>
                                <w:rFonts w:asciiTheme="minorHAnsi" w:hAnsiTheme="minorHAnsi"/>
                              </w:rPr>
                              <w:t>R</w:t>
                            </w:r>
                            <w:r w:rsidRPr="00B21EFD">
                              <w:rPr>
                                <w:rFonts w:asciiTheme="minorHAnsi" w:hAnsiTheme="minorHAnsi"/>
                                <w:vertAlign w:val="superscript"/>
                              </w:rPr>
                              <w:t>2</w:t>
                            </w:r>
                            <w:r w:rsidRPr="00B21EFD">
                              <w:rPr>
                                <w:rFonts w:asciiTheme="minorHAnsi" w:hAnsiTheme="minorHAnsi"/>
                              </w:rPr>
                              <w:t xml:space="preserve"> = 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72303" id="_x0000_s1035" type="#_x0000_t202" style="position:absolute;margin-left:312.2pt;margin-top:8.05pt;width:66.5pt;height:2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" filled="f" stroked="f">
                <v:textbox>
                  <w:txbxContent>
                    <w:p w14:paraId="42529566" w14:textId="77777777" w:rsidR="00C2588D" w:rsidRPr="00B21EFD" w:rsidRDefault="00C2588D" w:rsidP="00B9215B">
                      <w:pPr>
                        <w:rPr>
                          <w:rFonts w:asciiTheme="minorHAnsi" w:hAnsiTheme="minorHAnsi"/>
                        </w:rPr>
                      </w:pPr>
                      <w:r w:rsidRPr="00B21EFD">
                        <w:rPr>
                          <w:rFonts w:asciiTheme="minorHAnsi" w:hAnsiTheme="minorHAnsi"/>
                        </w:rPr>
                        <w:t>R</w:t>
                      </w:r>
                      <w:r w:rsidRPr="00B21EFD">
                        <w:rPr>
                          <w:rFonts w:asciiTheme="minorHAnsi" w:hAnsiTheme="minorHAnsi"/>
                          <w:vertAlign w:val="superscript"/>
                        </w:rPr>
                        <w:t>2</w:t>
                      </w:r>
                      <w:r w:rsidRPr="00B21EFD">
                        <w:rPr>
                          <w:rFonts w:asciiTheme="minorHAnsi" w:hAnsiTheme="minorHAnsi"/>
                        </w:rPr>
                        <w:t xml:space="preserve"> = 0.13</w:t>
                      </w:r>
                    </w:p>
                  </w:txbxContent>
                </v:textbox>
              </v:shape>
            </w:pict>
          </mc:Fallback>
        </mc:AlternateContent>
      </w:r>
      <w:r>
        <w:rPr>
          <w:noProof/>
        </w:rPr>
        <w:drawing>
          <wp:inline distT="0" distB="0" distL="0" distR="0" wp14:anchorId="3A6334C2" wp14:editId="2C0DE3BA">
            <wp:extent cx="5857592" cy="4508626"/>
            <wp:effectExtent l="0" t="0" r="10160" b="63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4961A1">
        <w:rPr>
          <w:sz w:val="22"/>
          <w:szCs w:val="22"/>
        </w:rPr>
        <w:t>Note: Points may repr</w:t>
      </w:r>
      <w:r w:rsidR="00587177" w:rsidRPr="004961A1">
        <w:rPr>
          <w:sz w:val="22"/>
          <w:szCs w:val="22"/>
        </w:rPr>
        <w:t>esent more than one individual [</w:t>
      </w:r>
      <w:r w:rsidRPr="004961A1">
        <w:rPr>
          <w:sz w:val="22"/>
          <w:szCs w:val="22"/>
        </w:rPr>
        <w:t xml:space="preserve">e.g., the “0,0” point represents all 41 participants </w:t>
      </w:r>
      <w:r w:rsidR="00587177" w:rsidRPr="004961A1">
        <w:rPr>
          <w:sz w:val="22"/>
          <w:szCs w:val="22"/>
        </w:rPr>
        <w:t xml:space="preserve">(8 cases, 33 controls) </w:t>
      </w:r>
      <w:r w:rsidRPr="004961A1">
        <w:rPr>
          <w:sz w:val="22"/>
          <w:szCs w:val="22"/>
        </w:rPr>
        <w:t>with no exposure to either NDMA or TCE</w:t>
      </w:r>
      <w:r w:rsidR="00587177" w:rsidRPr="004961A1">
        <w:rPr>
          <w:sz w:val="22"/>
          <w:szCs w:val="22"/>
        </w:rPr>
        <w:t>]</w:t>
      </w:r>
      <w:r w:rsidRPr="004961A1">
        <w:rPr>
          <w:sz w:val="22"/>
          <w:szCs w:val="22"/>
        </w:rPr>
        <w:t>.</w:t>
      </w:r>
    </w:p>
    <w:p w14:paraId="61971F66" w14:textId="77777777" w:rsidR="009549CE" w:rsidRDefault="009549CE" w:rsidP="0040594E">
      <w:pPr>
        <w:pStyle w:val="NoSpacing"/>
      </w:pPr>
    </w:p>
    <w:p w14:paraId="2E817631" w14:textId="77777777" w:rsidR="00BB12D2" w:rsidRDefault="00BB12D2" w:rsidP="0063071E">
      <w:pPr>
        <w:pStyle w:val="StyleHeading4Linespacingsingle"/>
      </w:pPr>
      <w:r>
        <w:t>TCE in Drinking Water and Childhood Cancer</w:t>
      </w:r>
    </w:p>
    <w:p w14:paraId="379FF62A" w14:textId="77777777" w:rsidR="00DE4B16" w:rsidRPr="00AD7871" w:rsidRDefault="00DE4B16" w:rsidP="00B26D34">
      <w:pPr>
        <w:pStyle w:val="Heading5"/>
      </w:pPr>
      <w:r>
        <w:t>Dichotomous (ever/never) exposure potential</w:t>
      </w:r>
    </w:p>
    <w:p w14:paraId="0EB38439" w14:textId="2BE8B755" w:rsidR="00BB12D2" w:rsidRPr="00BB12D2" w:rsidRDefault="0028021A" w:rsidP="006C3ED9">
      <w:r>
        <w:fldChar w:fldCharType="begin"/>
      </w:r>
      <w:r>
        <w:instrText xml:space="preserve"> REF  Table13 \h </w:instrText>
      </w:r>
      <w:r w:rsidR="0040594E">
        <w:instrText xml:space="preserve"> \* MERGEFORMAT </w:instrText>
      </w:r>
      <w:r>
        <w:fldChar w:fldCharType="separate"/>
      </w:r>
      <w:r w:rsidR="00977423">
        <w:t xml:space="preserve">Table </w:t>
      </w:r>
      <w:r w:rsidR="00977423">
        <w:rPr>
          <w:noProof/>
        </w:rPr>
        <w:t>13</w:t>
      </w:r>
      <w:r>
        <w:fldChar w:fldCharType="end"/>
      </w:r>
      <w:r w:rsidR="0026215A">
        <w:t xml:space="preserve"> </w:t>
      </w:r>
      <w:r w:rsidR="00000E30">
        <w:t>presents results of conditional logistic regression models evaluating the association between development of childhood cancer and dichotomous (ever/never) presence of TCE in drinking water</w:t>
      </w:r>
      <w:r w:rsidR="00716072">
        <w:t xml:space="preserve">. </w:t>
      </w:r>
      <w:r w:rsidR="007A3DE2">
        <w:t>When evaluating maternal exposure, o</w:t>
      </w:r>
      <w:r w:rsidR="007A3DE2" w:rsidRPr="00F80B1F">
        <w:t xml:space="preserve">dds of childhood cancer (all cancers and leukemia/lymphoma only) were higher for children whose mothers ever </w:t>
      </w:r>
      <w:r w:rsidR="007A3DE2">
        <w:t>lived in a home estimated to have</w:t>
      </w:r>
      <w:r w:rsidR="007A3DE2" w:rsidRPr="00F80B1F">
        <w:t xml:space="preserve"> </w:t>
      </w:r>
      <w:r w:rsidR="007A3DE2">
        <w:t>TCE</w:t>
      </w:r>
      <w:r w:rsidR="00236663">
        <w:t>-</w:t>
      </w:r>
      <w:r w:rsidR="007A3DE2">
        <w:t xml:space="preserve">contaminated </w:t>
      </w:r>
      <w:r w:rsidR="007A3DE2" w:rsidRPr="00F80B1F">
        <w:t>drinking water during the year prior to birth</w:t>
      </w:r>
      <w:r w:rsidR="007A3DE2">
        <w:t>, but these results do not reach statistical significance and the confidence intervals are very wide</w:t>
      </w:r>
      <w:r w:rsidR="00716072">
        <w:t xml:space="preserve">. </w:t>
      </w:r>
      <w:r w:rsidR="007A3DE2" w:rsidRPr="00F80B1F">
        <w:t xml:space="preserve">There was no </w:t>
      </w:r>
      <w:r w:rsidR="007A3DE2">
        <w:t>elevation</w:t>
      </w:r>
      <w:r w:rsidR="007A3DE2" w:rsidRPr="00F80B1F">
        <w:t xml:space="preserve"> in the odds of childhood cancer </w:t>
      </w:r>
      <w:r w:rsidR="007A3DE2">
        <w:t>for those</w:t>
      </w:r>
      <w:r w:rsidR="007A3DE2" w:rsidRPr="00F80B1F">
        <w:t xml:space="preserve"> who lived in homes estimated to have had </w:t>
      </w:r>
      <w:r w:rsidR="007A3DE2">
        <w:t>TCE</w:t>
      </w:r>
      <w:r w:rsidR="007A3DE2" w:rsidRPr="00F80B1F">
        <w:t xml:space="preserve"> contamination </w:t>
      </w:r>
      <w:r w:rsidR="007A3DE2">
        <w:t xml:space="preserve">as children </w:t>
      </w:r>
      <w:r w:rsidR="007A3DE2" w:rsidRPr="00F80B1F">
        <w:t>compared to those who did not (OR</w:t>
      </w:r>
      <w:r w:rsidR="009D21C6">
        <w:t xml:space="preserve"> </w:t>
      </w:r>
      <w:r w:rsidR="007A3DE2" w:rsidRPr="00F80B1F">
        <w:t>=</w:t>
      </w:r>
      <w:r w:rsidR="009D21C6">
        <w:t xml:space="preserve"> </w:t>
      </w:r>
      <w:r w:rsidR="007A3DE2" w:rsidRPr="00F80B1F">
        <w:t>0.</w:t>
      </w:r>
      <w:r w:rsidR="007A3DE2">
        <w:t>2</w:t>
      </w:r>
      <w:r w:rsidR="007A3DE2" w:rsidRPr="00F80B1F">
        <w:t>; 95% CI: 0.</w:t>
      </w:r>
      <w:r w:rsidR="007A3DE2">
        <w:t>0</w:t>
      </w:r>
      <w:r w:rsidR="007A3DE2" w:rsidRPr="00F80B1F">
        <w:t>2-</w:t>
      </w:r>
      <w:r w:rsidR="007A3DE2">
        <w:t>2</w:t>
      </w:r>
      <w:r w:rsidR="007A3DE2" w:rsidRPr="00F80B1F">
        <w:t>.</w:t>
      </w:r>
      <w:r w:rsidR="007A3DE2">
        <w:t>1</w:t>
      </w:r>
      <w:r w:rsidR="007A3DE2" w:rsidRPr="00F80B1F">
        <w:t>)</w:t>
      </w:r>
      <w:r w:rsidR="00716072">
        <w:t xml:space="preserve">. </w:t>
      </w:r>
      <w:r w:rsidR="007A3DE2" w:rsidRPr="00F80B1F">
        <w:lastRenderedPageBreak/>
        <w:t xml:space="preserve">When restricting the analysis to leukemia or lymphoma only, the </w:t>
      </w:r>
      <w:r w:rsidR="007A3DE2">
        <w:t>association with childhood presence of TCE in drinking water</w:t>
      </w:r>
      <w:r w:rsidR="007A3DE2" w:rsidRPr="00F80B1F">
        <w:t xml:space="preserve"> w</w:t>
      </w:r>
      <w:r w:rsidR="007A3DE2">
        <w:t>as</w:t>
      </w:r>
      <w:r w:rsidR="007A3DE2" w:rsidRPr="00F80B1F">
        <w:t xml:space="preserve"> </w:t>
      </w:r>
      <w:r w:rsidR="007A3DE2">
        <w:t>incalculable due to few discordant pairs</w:t>
      </w:r>
      <w:r w:rsidR="007A3DE2" w:rsidRPr="00F80B1F">
        <w:t>.</w:t>
      </w:r>
    </w:p>
    <w:p w14:paraId="17E445D1" w14:textId="6263423D" w:rsidR="0026215A" w:rsidRDefault="0026215A" w:rsidP="0040594E">
      <w:pPr>
        <w:pStyle w:val="Caption"/>
        <w:keepNext/>
      </w:pPr>
      <w:bookmarkStart w:id="164" w:name="_Ref12010327"/>
      <w:bookmarkStart w:id="165" w:name="Table13"/>
      <w:bookmarkStart w:id="166" w:name="_Toc12012876"/>
      <w:bookmarkStart w:id="167" w:name="_Toc12013070"/>
      <w:bookmarkStart w:id="168" w:name="_Toc45714892"/>
      <w:r>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13</w:t>
      </w:r>
      <w:r w:rsidR="00D616DB">
        <w:rPr>
          <w:noProof/>
        </w:rPr>
        <w:fldChar w:fldCharType="end"/>
      </w:r>
      <w:bookmarkEnd w:id="164"/>
      <w:r w:rsidR="00716072">
        <w:t xml:space="preserve">. </w:t>
      </w:r>
      <w:bookmarkEnd w:id="165"/>
      <w:r w:rsidRPr="00065C6E">
        <w:t>Presence of TCE in drinking water and odds of childhood cancer among children living in Wilmington, MA, 1981-2000</w:t>
      </w:r>
      <w:bookmarkEnd w:id="166"/>
      <w:bookmarkEnd w:id="167"/>
      <w:bookmarkEnd w:id="168"/>
    </w:p>
    <w:tbl>
      <w:tblPr>
        <w:tblW w:w="9524" w:type="dxa"/>
        <w:tblInd w:w="108" w:type="dxa"/>
        <w:tblLook w:val="04A0" w:firstRow="1" w:lastRow="0" w:firstColumn="1" w:lastColumn="0" w:noHBand="0" w:noVBand="1"/>
      </w:tblPr>
      <w:tblGrid>
        <w:gridCol w:w="2772"/>
        <w:gridCol w:w="558"/>
        <w:gridCol w:w="90"/>
        <w:gridCol w:w="1062"/>
        <w:gridCol w:w="919"/>
        <w:gridCol w:w="990"/>
        <w:gridCol w:w="103"/>
        <w:gridCol w:w="628"/>
        <w:gridCol w:w="1139"/>
        <w:gridCol w:w="193"/>
        <w:gridCol w:w="967"/>
        <w:gridCol w:w="103"/>
      </w:tblGrid>
      <w:tr w:rsidR="003A3577" w:rsidRPr="00AC36D1" w14:paraId="11502B04" w14:textId="77777777" w:rsidTr="00E77543">
        <w:trPr>
          <w:gridAfter w:val="1"/>
          <w:wAfter w:w="103" w:type="dxa"/>
          <w:trHeight w:val="300"/>
        </w:trPr>
        <w:tc>
          <w:tcPr>
            <w:tcW w:w="2772" w:type="dxa"/>
            <w:tcBorders>
              <w:top w:val="single" w:sz="4" w:space="0" w:color="auto"/>
              <w:bottom w:val="nil"/>
              <w:right w:val="nil"/>
            </w:tcBorders>
            <w:shd w:val="clear" w:color="auto" w:fill="auto"/>
            <w:noWrap/>
            <w:vAlign w:val="center"/>
            <w:hideMark/>
          </w:tcPr>
          <w:p w14:paraId="2B5724DD" w14:textId="77777777" w:rsidR="003A3577" w:rsidRPr="00AC36D1" w:rsidRDefault="003A3577" w:rsidP="0040594E">
            <w:pPr>
              <w:spacing w:after="0" w:line="240" w:lineRule="auto"/>
              <w:rPr>
                <w:rFonts w:asciiTheme="minorHAnsi" w:hAnsiTheme="minorHAnsi"/>
              </w:rPr>
            </w:pPr>
          </w:p>
        </w:tc>
        <w:tc>
          <w:tcPr>
            <w:tcW w:w="1710" w:type="dxa"/>
            <w:gridSpan w:val="3"/>
            <w:tcBorders>
              <w:top w:val="single" w:sz="4" w:space="0" w:color="auto"/>
              <w:left w:val="nil"/>
              <w:right w:val="nil"/>
            </w:tcBorders>
            <w:shd w:val="clear" w:color="auto" w:fill="auto"/>
            <w:noWrap/>
            <w:vAlign w:val="center"/>
            <w:hideMark/>
          </w:tcPr>
          <w:p w14:paraId="05AE03A6" w14:textId="1509A064" w:rsidR="003A3577" w:rsidRPr="00AC36D1" w:rsidRDefault="003A3577" w:rsidP="0040594E">
            <w:pPr>
              <w:pStyle w:val="Tablebody"/>
              <w:rPr>
                <w:sz w:val="24"/>
                <w:szCs w:val="24"/>
              </w:rPr>
            </w:pPr>
            <w:r w:rsidRPr="00AC36D1">
              <w:rPr>
                <w:sz w:val="24"/>
                <w:szCs w:val="24"/>
              </w:rPr>
              <w:t>Cases</w:t>
            </w:r>
            <w:r w:rsidR="00E77543">
              <w:rPr>
                <w:sz w:val="24"/>
                <w:szCs w:val="24"/>
              </w:rPr>
              <w:t xml:space="preserve"> </w:t>
            </w:r>
            <w:r w:rsidRPr="00AC36D1">
              <w:rPr>
                <w:sz w:val="24"/>
                <w:szCs w:val="24"/>
              </w:rPr>
              <w:t>(n=16)</w:t>
            </w:r>
          </w:p>
        </w:tc>
        <w:tc>
          <w:tcPr>
            <w:tcW w:w="1909" w:type="dxa"/>
            <w:gridSpan w:val="2"/>
            <w:tcBorders>
              <w:top w:val="single" w:sz="4" w:space="0" w:color="auto"/>
              <w:left w:val="nil"/>
              <w:right w:val="nil"/>
            </w:tcBorders>
            <w:shd w:val="clear" w:color="auto" w:fill="auto"/>
            <w:noWrap/>
            <w:vAlign w:val="center"/>
            <w:hideMark/>
          </w:tcPr>
          <w:p w14:paraId="34136801" w14:textId="2896528D" w:rsidR="003A3577" w:rsidRPr="00AC36D1" w:rsidRDefault="003A3577" w:rsidP="0040594E">
            <w:pPr>
              <w:pStyle w:val="Tablebody"/>
              <w:rPr>
                <w:sz w:val="24"/>
                <w:szCs w:val="24"/>
              </w:rPr>
            </w:pPr>
            <w:r w:rsidRPr="00AC36D1">
              <w:rPr>
                <w:sz w:val="24"/>
                <w:szCs w:val="24"/>
              </w:rPr>
              <w:t>Controls</w:t>
            </w:r>
            <w:r w:rsidR="00E77543">
              <w:rPr>
                <w:sz w:val="24"/>
                <w:szCs w:val="24"/>
              </w:rPr>
              <w:t xml:space="preserve"> </w:t>
            </w:r>
            <w:r w:rsidRPr="00AC36D1">
              <w:rPr>
                <w:sz w:val="24"/>
                <w:szCs w:val="24"/>
              </w:rPr>
              <w:t>(n=57)</w:t>
            </w:r>
          </w:p>
        </w:tc>
        <w:tc>
          <w:tcPr>
            <w:tcW w:w="1870" w:type="dxa"/>
            <w:gridSpan w:val="3"/>
            <w:tcBorders>
              <w:top w:val="single" w:sz="4" w:space="0" w:color="auto"/>
            </w:tcBorders>
            <w:vAlign w:val="center"/>
          </w:tcPr>
          <w:p w14:paraId="6789C74D" w14:textId="77777777" w:rsidR="003A3577" w:rsidRPr="00AC36D1" w:rsidRDefault="003A3577" w:rsidP="0040594E">
            <w:pPr>
              <w:pStyle w:val="Tablebody"/>
              <w:rPr>
                <w:sz w:val="24"/>
                <w:szCs w:val="24"/>
              </w:rPr>
            </w:pPr>
          </w:p>
        </w:tc>
        <w:tc>
          <w:tcPr>
            <w:tcW w:w="1160" w:type="dxa"/>
            <w:gridSpan w:val="2"/>
            <w:tcBorders>
              <w:top w:val="single" w:sz="4" w:space="0" w:color="auto"/>
            </w:tcBorders>
            <w:shd w:val="clear" w:color="auto" w:fill="auto"/>
            <w:vAlign w:val="center"/>
          </w:tcPr>
          <w:p w14:paraId="2BAFC61E" w14:textId="77777777" w:rsidR="003A3577" w:rsidRPr="00AC36D1" w:rsidRDefault="003A3577" w:rsidP="0040594E">
            <w:pPr>
              <w:pStyle w:val="Tablebody"/>
              <w:rPr>
                <w:sz w:val="24"/>
                <w:szCs w:val="24"/>
              </w:rPr>
            </w:pPr>
          </w:p>
        </w:tc>
      </w:tr>
      <w:tr w:rsidR="003A3577" w14:paraId="25828F10" w14:textId="77777777" w:rsidTr="00E77543">
        <w:trPr>
          <w:trHeight w:val="300"/>
        </w:trPr>
        <w:tc>
          <w:tcPr>
            <w:tcW w:w="2772" w:type="dxa"/>
            <w:tcBorders>
              <w:top w:val="nil"/>
              <w:right w:val="nil"/>
            </w:tcBorders>
            <w:shd w:val="clear" w:color="auto" w:fill="auto"/>
            <w:noWrap/>
            <w:vAlign w:val="center"/>
            <w:hideMark/>
          </w:tcPr>
          <w:p w14:paraId="4B8F022F" w14:textId="77777777" w:rsidR="00CF3810" w:rsidRPr="00AC36D1" w:rsidRDefault="00CF3810" w:rsidP="0040594E">
            <w:pPr>
              <w:spacing w:after="0" w:line="240" w:lineRule="auto"/>
              <w:rPr>
                <w:rFonts w:asciiTheme="minorHAnsi" w:hAnsiTheme="minorHAnsi"/>
              </w:rPr>
            </w:pPr>
            <w:r w:rsidRPr="00AC36D1">
              <w:rPr>
                <w:rFonts w:asciiTheme="minorHAnsi" w:hAnsiTheme="minorHAnsi"/>
                <w:b/>
                <w:bCs/>
              </w:rPr>
              <w:t>All Cancers</w:t>
            </w:r>
          </w:p>
        </w:tc>
        <w:tc>
          <w:tcPr>
            <w:tcW w:w="648" w:type="dxa"/>
            <w:gridSpan w:val="2"/>
            <w:tcBorders>
              <w:top w:val="nil"/>
              <w:left w:val="nil"/>
              <w:bottom w:val="single" w:sz="4" w:space="0" w:color="auto"/>
              <w:right w:val="nil"/>
            </w:tcBorders>
            <w:shd w:val="clear" w:color="auto" w:fill="auto"/>
            <w:noWrap/>
            <w:vAlign w:val="center"/>
            <w:hideMark/>
          </w:tcPr>
          <w:p w14:paraId="485394B9" w14:textId="77777777" w:rsidR="00CF3810" w:rsidRPr="00AC36D1" w:rsidRDefault="00CF3810" w:rsidP="0040594E">
            <w:pPr>
              <w:pStyle w:val="Tablebody"/>
              <w:rPr>
                <w:sz w:val="24"/>
                <w:szCs w:val="24"/>
              </w:rPr>
            </w:pPr>
            <w:r w:rsidRPr="00AC36D1">
              <w:rPr>
                <w:sz w:val="24"/>
                <w:szCs w:val="24"/>
              </w:rPr>
              <w:t>n</w:t>
            </w:r>
          </w:p>
        </w:tc>
        <w:tc>
          <w:tcPr>
            <w:tcW w:w="1062" w:type="dxa"/>
            <w:tcBorders>
              <w:top w:val="nil"/>
              <w:left w:val="nil"/>
              <w:bottom w:val="single" w:sz="4" w:space="0" w:color="auto"/>
              <w:right w:val="nil"/>
            </w:tcBorders>
            <w:shd w:val="clear" w:color="auto" w:fill="auto"/>
            <w:noWrap/>
            <w:vAlign w:val="center"/>
            <w:hideMark/>
          </w:tcPr>
          <w:p w14:paraId="497D5A45" w14:textId="77777777" w:rsidR="00CF3810" w:rsidRPr="00AC36D1" w:rsidRDefault="00CF3810" w:rsidP="0040594E">
            <w:pPr>
              <w:pStyle w:val="Tablebody"/>
              <w:rPr>
                <w:sz w:val="24"/>
                <w:szCs w:val="24"/>
              </w:rPr>
            </w:pPr>
            <w:r w:rsidRPr="00AC36D1">
              <w:rPr>
                <w:sz w:val="24"/>
                <w:szCs w:val="24"/>
              </w:rPr>
              <w:t>(%)</w:t>
            </w:r>
          </w:p>
        </w:tc>
        <w:tc>
          <w:tcPr>
            <w:tcW w:w="919" w:type="dxa"/>
            <w:tcBorders>
              <w:top w:val="nil"/>
              <w:left w:val="nil"/>
              <w:bottom w:val="single" w:sz="4" w:space="0" w:color="auto"/>
              <w:right w:val="nil"/>
            </w:tcBorders>
            <w:shd w:val="clear" w:color="auto" w:fill="auto"/>
            <w:noWrap/>
            <w:vAlign w:val="center"/>
            <w:hideMark/>
          </w:tcPr>
          <w:p w14:paraId="68FCD378" w14:textId="77777777" w:rsidR="00CF3810" w:rsidRPr="00AC36D1" w:rsidRDefault="00CF3810" w:rsidP="0040594E">
            <w:pPr>
              <w:pStyle w:val="Tablebody"/>
              <w:rPr>
                <w:sz w:val="24"/>
                <w:szCs w:val="24"/>
              </w:rPr>
            </w:pPr>
            <w:r w:rsidRPr="00AC36D1">
              <w:rPr>
                <w:sz w:val="24"/>
                <w:szCs w:val="24"/>
              </w:rPr>
              <w:t>n</w:t>
            </w:r>
          </w:p>
        </w:tc>
        <w:tc>
          <w:tcPr>
            <w:tcW w:w="1093" w:type="dxa"/>
            <w:gridSpan w:val="2"/>
            <w:tcBorders>
              <w:top w:val="nil"/>
              <w:left w:val="nil"/>
              <w:bottom w:val="single" w:sz="4" w:space="0" w:color="auto"/>
              <w:right w:val="nil"/>
            </w:tcBorders>
            <w:shd w:val="clear" w:color="auto" w:fill="auto"/>
            <w:noWrap/>
            <w:vAlign w:val="center"/>
            <w:hideMark/>
          </w:tcPr>
          <w:p w14:paraId="46498A98" w14:textId="77777777" w:rsidR="00CF3810" w:rsidRPr="00AC36D1" w:rsidRDefault="00CF3810" w:rsidP="0040594E">
            <w:pPr>
              <w:pStyle w:val="Tablebody"/>
              <w:rPr>
                <w:sz w:val="24"/>
                <w:szCs w:val="24"/>
              </w:rPr>
            </w:pPr>
            <w:r w:rsidRPr="00AC36D1">
              <w:rPr>
                <w:sz w:val="24"/>
                <w:szCs w:val="24"/>
              </w:rPr>
              <w:t>(%)</w:t>
            </w:r>
          </w:p>
        </w:tc>
        <w:tc>
          <w:tcPr>
            <w:tcW w:w="628" w:type="dxa"/>
            <w:tcBorders>
              <w:left w:val="nil"/>
              <w:bottom w:val="single" w:sz="4" w:space="0" w:color="auto"/>
            </w:tcBorders>
            <w:shd w:val="clear" w:color="auto" w:fill="auto"/>
            <w:vAlign w:val="center"/>
            <w:hideMark/>
          </w:tcPr>
          <w:p w14:paraId="0E56C78F" w14:textId="77777777" w:rsidR="00CF3810" w:rsidRPr="00AC36D1" w:rsidRDefault="00CF3810" w:rsidP="0040594E">
            <w:pPr>
              <w:pStyle w:val="Tablebody"/>
              <w:rPr>
                <w:sz w:val="24"/>
                <w:szCs w:val="24"/>
              </w:rPr>
            </w:pPr>
            <w:proofErr w:type="spellStart"/>
            <w:r w:rsidRPr="00AC36D1">
              <w:rPr>
                <w:sz w:val="24"/>
                <w:szCs w:val="24"/>
              </w:rPr>
              <w:t>OR</w:t>
            </w:r>
            <w:r w:rsidRPr="00AC36D1">
              <w:rPr>
                <w:sz w:val="24"/>
                <w:szCs w:val="24"/>
                <w:vertAlign w:val="superscript"/>
              </w:rPr>
              <w:t>a</w:t>
            </w:r>
            <w:proofErr w:type="spellEnd"/>
          </w:p>
        </w:tc>
        <w:tc>
          <w:tcPr>
            <w:tcW w:w="1332" w:type="dxa"/>
            <w:gridSpan w:val="2"/>
            <w:tcBorders>
              <w:bottom w:val="single" w:sz="4" w:space="0" w:color="auto"/>
            </w:tcBorders>
            <w:shd w:val="clear" w:color="auto" w:fill="auto"/>
            <w:vAlign w:val="center"/>
          </w:tcPr>
          <w:p w14:paraId="3232605D" w14:textId="77777777" w:rsidR="00CF3810" w:rsidRPr="00AC36D1" w:rsidRDefault="00CF3810" w:rsidP="0040594E">
            <w:pPr>
              <w:pStyle w:val="Tablebody"/>
              <w:rPr>
                <w:sz w:val="24"/>
                <w:szCs w:val="24"/>
              </w:rPr>
            </w:pPr>
            <w:r w:rsidRPr="00AC36D1">
              <w:rPr>
                <w:sz w:val="24"/>
                <w:szCs w:val="24"/>
              </w:rPr>
              <w:t xml:space="preserve">95% </w:t>
            </w:r>
            <w:proofErr w:type="spellStart"/>
            <w:r w:rsidRPr="00AC36D1">
              <w:rPr>
                <w:sz w:val="24"/>
                <w:szCs w:val="24"/>
              </w:rPr>
              <w:t>CI</w:t>
            </w:r>
            <w:r w:rsidRPr="00AC36D1">
              <w:rPr>
                <w:sz w:val="24"/>
                <w:szCs w:val="24"/>
                <w:vertAlign w:val="superscript"/>
              </w:rPr>
              <w:t>b</w:t>
            </w:r>
            <w:proofErr w:type="spellEnd"/>
          </w:p>
        </w:tc>
        <w:tc>
          <w:tcPr>
            <w:tcW w:w="1070" w:type="dxa"/>
            <w:gridSpan w:val="2"/>
            <w:tcBorders>
              <w:bottom w:val="single" w:sz="4" w:space="0" w:color="auto"/>
            </w:tcBorders>
            <w:shd w:val="clear" w:color="auto" w:fill="auto"/>
            <w:vAlign w:val="center"/>
          </w:tcPr>
          <w:p w14:paraId="51A79817" w14:textId="77777777" w:rsidR="00CF3810" w:rsidRPr="00AC36D1" w:rsidRDefault="00CF3810" w:rsidP="0040594E">
            <w:pPr>
              <w:pStyle w:val="Tablebody"/>
              <w:rPr>
                <w:sz w:val="24"/>
                <w:szCs w:val="24"/>
              </w:rPr>
            </w:pPr>
            <w:r w:rsidRPr="00AC36D1">
              <w:rPr>
                <w:i/>
                <w:sz w:val="24"/>
                <w:szCs w:val="24"/>
              </w:rPr>
              <w:t>p</w:t>
            </w:r>
            <w:r w:rsidRPr="00AC36D1">
              <w:rPr>
                <w:sz w:val="24"/>
                <w:szCs w:val="24"/>
              </w:rPr>
              <w:t>-value</w:t>
            </w:r>
          </w:p>
        </w:tc>
      </w:tr>
      <w:tr w:rsidR="003A3577" w:rsidRPr="00CF3810" w14:paraId="1F0835CF" w14:textId="77777777" w:rsidTr="00E77543">
        <w:trPr>
          <w:trHeight w:val="300"/>
        </w:trPr>
        <w:tc>
          <w:tcPr>
            <w:tcW w:w="2772" w:type="dxa"/>
            <w:tcBorders>
              <w:top w:val="nil"/>
              <w:right w:val="nil"/>
            </w:tcBorders>
            <w:shd w:val="clear" w:color="auto" w:fill="auto"/>
            <w:noWrap/>
            <w:vAlign w:val="bottom"/>
            <w:hideMark/>
          </w:tcPr>
          <w:p w14:paraId="1CB71116" w14:textId="77777777" w:rsidR="00F75BA6" w:rsidRPr="00AC36D1" w:rsidRDefault="00705398" w:rsidP="0040594E">
            <w:pPr>
              <w:pStyle w:val="Tablebody"/>
              <w:rPr>
                <w:sz w:val="24"/>
                <w:szCs w:val="24"/>
              </w:rPr>
            </w:pPr>
            <w:r w:rsidRPr="00AC36D1">
              <w:rPr>
                <w:sz w:val="24"/>
                <w:szCs w:val="24"/>
              </w:rPr>
              <w:t xml:space="preserve">     </w:t>
            </w:r>
            <w:r w:rsidR="00F75BA6" w:rsidRPr="00AC36D1">
              <w:rPr>
                <w:sz w:val="24"/>
                <w:szCs w:val="24"/>
              </w:rPr>
              <w:t xml:space="preserve">Maternal, Ever TCE </w:t>
            </w:r>
          </w:p>
        </w:tc>
        <w:tc>
          <w:tcPr>
            <w:tcW w:w="558" w:type="dxa"/>
            <w:tcBorders>
              <w:top w:val="single" w:sz="4" w:space="0" w:color="auto"/>
              <w:left w:val="nil"/>
              <w:right w:val="nil"/>
            </w:tcBorders>
            <w:shd w:val="clear" w:color="auto" w:fill="auto"/>
            <w:noWrap/>
            <w:vAlign w:val="center"/>
          </w:tcPr>
          <w:p w14:paraId="36173C47" w14:textId="77777777" w:rsidR="00F75BA6" w:rsidRPr="00AC36D1" w:rsidRDefault="00F75BA6" w:rsidP="0040594E">
            <w:pPr>
              <w:pStyle w:val="Tablebody"/>
              <w:rPr>
                <w:sz w:val="24"/>
                <w:szCs w:val="24"/>
              </w:rPr>
            </w:pPr>
            <w:r w:rsidRPr="00AC36D1">
              <w:rPr>
                <w:sz w:val="24"/>
                <w:szCs w:val="24"/>
              </w:rPr>
              <w:t>5</w:t>
            </w:r>
          </w:p>
        </w:tc>
        <w:tc>
          <w:tcPr>
            <w:tcW w:w="1152" w:type="dxa"/>
            <w:gridSpan w:val="2"/>
            <w:tcBorders>
              <w:top w:val="single" w:sz="4" w:space="0" w:color="auto"/>
              <w:left w:val="nil"/>
              <w:right w:val="nil"/>
            </w:tcBorders>
            <w:shd w:val="clear" w:color="auto" w:fill="auto"/>
            <w:noWrap/>
            <w:vAlign w:val="center"/>
          </w:tcPr>
          <w:p w14:paraId="34704DFB" w14:textId="77777777" w:rsidR="00F75BA6" w:rsidRPr="00AC36D1" w:rsidRDefault="00F75BA6" w:rsidP="0040594E">
            <w:pPr>
              <w:pStyle w:val="Tablebody"/>
              <w:rPr>
                <w:sz w:val="24"/>
                <w:szCs w:val="24"/>
              </w:rPr>
            </w:pPr>
            <w:r w:rsidRPr="00AC36D1">
              <w:rPr>
                <w:sz w:val="24"/>
                <w:szCs w:val="24"/>
              </w:rPr>
              <w:t>(31%)</w:t>
            </w:r>
          </w:p>
        </w:tc>
        <w:tc>
          <w:tcPr>
            <w:tcW w:w="919" w:type="dxa"/>
            <w:tcBorders>
              <w:top w:val="single" w:sz="4" w:space="0" w:color="auto"/>
              <w:left w:val="nil"/>
              <w:right w:val="nil"/>
            </w:tcBorders>
            <w:shd w:val="clear" w:color="auto" w:fill="auto"/>
            <w:noWrap/>
            <w:vAlign w:val="center"/>
          </w:tcPr>
          <w:p w14:paraId="536C5606" w14:textId="77777777" w:rsidR="00F75BA6" w:rsidRPr="00AC36D1" w:rsidRDefault="00F75BA6" w:rsidP="0040594E">
            <w:pPr>
              <w:pStyle w:val="Tablebody"/>
              <w:rPr>
                <w:sz w:val="24"/>
                <w:szCs w:val="24"/>
              </w:rPr>
            </w:pPr>
            <w:r w:rsidRPr="00AC36D1">
              <w:rPr>
                <w:sz w:val="24"/>
                <w:szCs w:val="24"/>
              </w:rPr>
              <w:t>14</w:t>
            </w:r>
          </w:p>
        </w:tc>
        <w:tc>
          <w:tcPr>
            <w:tcW w:w="1093" w:type="dxa"/>
            <w:gridSpan w:val="2"/>
            <w:tcBorders>
              <w:top w:val="single" w:sz="4" w:space="0" w:color="auto"/>
              <w:left w:val="nil"/>
              <w:right w:val="nil"/>
            </w:tcBorders>
            <w:shd w:val="clear" w:color="auto" w:fill="auto"/>
            <w:noWrap/>
            <w:vAlign w:val="center"/>
          </w:tcPr>
          <w:p w14:paraId="7E2CF4B9" w14:textId="77777777" w:rsidR="00F75BA6" w:rsidRPr="00AC36D1" w:rsidRDefault="00F75BA6" w:rsidP="0040594E">
            <w:pPr>
              <w:pStyle w:val="Tablebody"/>
              <w:rPr>
                <w:sz w:val="24"/>
                <w:szCs w:val="24"/>
              </w:rPr>
            </w:pPr>
            <w:r w:rsidRPr="00AC36D1">
              <w:rPr>
                <w:sz w:val="24"/>
                <w:szCs w:val="24"/>
              </w:rPr>
              <w:t>(25%)</w:t>
            </w:r>
          </w:p>
        </w:tc>
        <w:tc>
          <w:tcPr>
            <w:tcW w:w="628" w:type="dxa"/>
            <w:tcBorders>
              <w:top w:val="single" w:sz="4" w:space="0" w:color="auto"/>
              <w:left w:val="nil"/>
              <w:right w:val="nil"/>
            </w:tcBorders>
            <w:shd w:val="clear" w:color="auto" w:fill="auto"/>
            <w:noWrap/>
            <w:vAlign w:val="center"/>
          </w:tcPr>
          <w:p w14:paraId="1DB56787" w14:textId="77777777" w:rsidR="00F75BA6" w:rsidRPr="00AC36D1" w:rsidRDefault="00F75BA6" w:rsidP="0040594E">
            <w:pPr>
              <w:pStyle w:val="Tablebody"/>
              <w:rPr>
                <w:sz w:val="24"/>
                <w:szCs w:val="24"/>
              </w:rPr>
            </w:pPr>
            <w:r w:rsidRPr="00AC36D1">
              <w:rPr>
                <w:sz w:val="24"/>
                <w:szCs w:val="24"/>
              </w:rPr>
              <w:t>2.3</w:t>
            </w:r>
          </w:p>
        </w:tc>
        <w:tc>
          <w:tcPr>
            <w:tcW w:w="1332" w:type="dxa"/>
            <w:gridSpan w:val="2"/>
            <w:tcBorders>
              <w:top w:val="single" w:sz="4" w:space="0" w:color="auto"/>
              <w:left w:val="nil"/>
              <w:right w:val="nil"/>
            </w:tcBorders>
            <w:shd w:val="clear" w:color="auto" w:fill="auto"/>
            <w:noWrap/>
            <w:vAlign w:val="center"/>
          </w:tcPr>
          <w:p w14:paraId="53516582" w14:textId="77777777" w:rsidR="00F75BA6" w:rsidRPr="00AC36D1" w:rsidRDefault="00F75BA6" w:rsidP="0040594E">
            <w:pPr>
              <w:pStyle w:val="Tablebody"/>
              <w:rPr>
                <w:sz w:val="24"/>
                <w:szCs w:val="24"/>
              </w:rPr>
            </w:pPr>
            <w:r w:rsidRPr="00AC36D1">
              <w:rPr>
                <w:sz w:val="24"/>
                <w:szCs w:val="24"/>
              </w:rPr>
              <w:t>(0.5, 12)</w:t>
            </w:r>
          </w:p>
        </w:tc>
        <w:tc>
          <w:tcPr>
            <w:tcW w:w="1070" w:type="dxa"/>
            <w:gridSpan w:val="2"/>
            <w:tcBorders>
              <w:top w:val="single" w:sz="4" w:space="0" w:color="auto"/>
              <w:left w:val="nil"/>
            </w:tcBorders>
            <w:shd w:val="clear" w:color="auto" w:fill="auto"/>
            <w:noWrap/>
            <w:vAlign w:val="center"/>
          </w:tcPr>
          <w:p w14:paraId="74B0004B" w14:textId="77777777" w:rsidR="00F75BA6" w:rsidRPr="00AC36D1" w:rsidRDefault="00F75BA6" w:rsidP="0040594E">
            <w:pPr>
              <w:pStyle w:val="Tablebody"/>
              <w:rPr>
                <w:sz w:val="24"/>
                <w:szCs w:val="24"/>
              </w:rPr>
            </w:pPr>
            <w:r w:rsidRPr="00AC36D1">
              <w:rPr>
                <w:sz w:val="24"/>
                <w:szCs w:val="24"/>
              </w:rPr>
              <w:t>0.32</w:t>
            </w:r>
          </w:p>
        </w:tc>
      </w:tr>
      <w:tr w:rsidR="00891B39" w14:paraId="26014E0B" w14:textId="77777777" w:rsidTr="00E77543">
        <w:trPr>
          <w:trHeight w:val="405"/>
        </w:trPr>
        <w:tc>
          <w:tcPr>
            <w:tcW w:w="2772" w:type="dxa"/>
            <w:tcBorders>
              <w:top w:val="nil"/>
              <w:bottom w:val="nil"/>
              <w:right w:val="nil"/>
            </w:tcBorders>
            <w:shd w:val="clear" w:color="auto" w:fill="auto"/>
            <w:noWrap/>
            <w:vAlign w:val="bottom"/>
            <w:hideMark/>
          </w:tcPr>
          <w:p w14:paraId="190503B8" w14:textId="77777777" w:rsidR="00F75BA6" w:rsidRPr="00AC36D1" w:rsidRDefault="00F75BA6" w:rsidP="0040594E">
            <w:pPr>
              <w:pStyle w:val="Tablebody"/>
              <w:rPr>
                <w:sz w:val="24"/>
                <w:szCs w:val="24"/>
              </w:rPr>
            </w:pPr>
          </w:p>
        </w:tc>
        <w:tc>
          <w:tcPr>
            <w:tcW w:w="1710" w:type="dxa"/>
            <w:gridSpan w:val="3"/>
            <w:tcBorders>
              <w:left w:val="nil"/>
              <w:bottom w:val="single" w:sz="4" w:space="0" w:color="auto"/>
              <w:right w:val="nil"/>
            </w:tcBorders>
            <w:shd w:val="clear" w:color="auto" w:fill="auto"/>
            <w:noWrap/>
            <w:vAlign w:val="center"/>
            <w:hideMark/>
          </w:tcPr>
          <w:p w14:paraId="08FFBC0F" w14:textId="08004B13" w:rsidR="00F75BA6" w:rsidRPr="00AC36D1" w:rsidRDefault="00B43384" w:rsidP="0040594E">
            <w:pPr>
              <w:pStyle w:val="Tablebody"/>
              <w:rPr>
                <w:sz w:val="24"/>
                <w:szCs w:val="24"/>
              </w:rPr>
            </w:pPr>
            <w:r w:rsidRPr="00AC36D1">
              <w:rPr>
                <w:sz w:val="24"/>
                <w:szCs w:val="24"/>
              </w:rPr>
              <w:t>Cases</w:t>
            </w:r>
            <w:r w:rsidR="00E77543">
              <w:rPr>
                <w:sz w:val="24"/>
                <w:szCs w:val="24"/>
              </w:rPr>
              <w:t xml:space="preserve"> </w:t>
            </w:r>
            <w:r w:rsidR="00F75BA6" w:rsidRPr="00AC36D1">
              <w:rPr>
                <w:sz w:val="24"/>
                <w:szCs w:val="24"/>
              </w:rPr>
              <w:t>(n=13)</w:t>
            </w:r>
          </w:p>
        </w:tc>
        <w:tc>
          <w:tcPr>
            <w:tcW w:w="2012" w:type="dxa"/>
            <w:gridSpan w:val="3"/>
            <w:tcBorders>
              <w:left w:val="nil"/>
              <w:bottom w:val="single" w:sz="4" w:space="0" w:color="auto"/>
              <w:right w:val="nil"/>
            </w:tcBorders>
            <w:shd w:val="clear" w:color="auto" w:fill="auto"/>
            <w:noWrap/>
            <w:vAlign w:val="center"/>
            <w:hideMark/>
          </w:tcPr>
          <w:p w14:paraId="4A2C5B40" w14:textId="33EC50DC" w:rsidR="00F75BA6" w:rsidRPr="00AC36D1" w:rsidRDefault="00F75BA6" w:rsidP="0040594E">
            <w:pPr>
              <w:pStyle w:val="Tablebody"/>
              <w:rPr>
                <w:sz w:val="24"/>
                <w:szCs w:val="24"/>
              </w:rPr>
            </w:pPr>
            <w:r w:rsidRPr="00AC36D1">
              <w:rPr>
                <w:sz w:val="24"/>
                <w:szCs w:val="24"/>
              </w:rPr>
              <w:t>Controls</w:t>
            </w:r>
            <w:r w:rsidR="00E77543">
              <w:rPr>
                <w:sz w:val="24"/>
                <w:szCs w:val="24"/>
              </w:rPr>
              <w:t xml:space="preserve"> </w:t>
            </w:r>
            <w:r w:rsidRPr="00AC36D1">
              <w:rPr>
                <w:sz w:val="24"/>
                <w:szCs w:val="24"/>
              </w:rPr>
              <w:t>(n=45)</w:t>
            </w:r>
          </w:p>
        </w:tc>
        <w:tc>
          <w:tcPr>
            <w:tcW w:w="628" w:type="dxa"/>
            <w:tcBorders>
              <w:top w:val="nil"/>
              <w:left w:val="nil"/>
            </w:tcBorders>
            <w:shd w:val="clear" w:color="auto" w:fill="auto"/>
            <w:noWrap/>
            <w:vAlign w:val="center"/>
          </w:tcPr>
          <w:p w14:paraId="22B59585" w14:textId="77777777" w:rsidR="00F75BA6" w:rsidRPr="00AC36D1" w:rsidRDefault="00F75BA6" w:rsidP="0040594E">
            <w:pPr>
              <w:pStyle w:val="Tablebody"/>
              <w:rPr>
                <w:sz w:val="24"/>
                <w:szCs w:val="24"/>
              </w:rPr>
            </w:pPr>
          </w:p>
        </w:tc>
        <w:tc>
          <w:tcPr>
            <w:tcW w:w="1332" w:type="dxa"/>
            <w:gridSpan w:val="2"/>
            <w:tcBorders>
              <w:top w:val="nil"/>
            </w:tcBorders>
            <w:shd w:val="clear" w:color="auto" w:fill="auto"/>
            <w:vAlign w:val="center"/>
          </w:tcPr>
          <w:p w14:paraId="2B35DF0B" w14:textId="77777777" w:rsidR="00F75BA6" w:rsidRPr="00AC36D1" w:rsidRDefault="00F75BA6" w:rsidP="0040594E">
            <w:pPr>
              <w:pStyle w:val="Tablebody"/>
              <w:rPr>
                <w:sz w:val="24"/>
                <w:szCs w:val="24"/>
              </w:rPr>
            </w:pPr>
          </w:p>
        </w:tc>
        <w:tc>
          <w:tcPr>
            <w:tcW w:w="1070" w:type="dxa"/>
            <w:gridSpan w:val="2"/>
            <w:tcBorders>
              <w:top w:val="nil"/>
            </w:tcBorders>
            <w:shd w:val="clear" w:color="auto" w:fill="auto"/>
            <w:vAlign w:val="center"/>
          </w:tcPr>
          <w:p w14:paraId="4CBA66A9" w14:textId="77777777" w:rsidR="00F75BA6" w:rsidRPr="00AC36D1" w:rsidRDefault="00F75BA6" w:rsidP="0040594E">
            <w:pPr>
              <w:pStyle w:val="Tablebody"/>
              <w:rPr>
                <w:sz w:val="24"/>
                <w:szCs w:val="24"/>
              </w:rPr>
            </w:pPr>
          </w:p>
        </w:tc>
      </w:tr>
      <w:tr w:rsidR="003A3577" w14:paraId="74F95C4C" w14:textId="77777777" w:rsidTr="00E77543">
        <w:trPr>
          <w:trHeight w:val="300"/>
        </w:trPr>
        <w:tc>
          <w:tcPr>
            <w:tcW w:w="2772" w:type="dxa"/>
            <w:tcBorders>
              <w:right w:val="nil"/>
            </w:tcBorders>
            <w:shd w:val="clear" w:color="auto" w:fill="auto"/>
            <w:noWrap/>
            <w:vAlign w:val="center"/>
            <w:hideMark/>
          </w:tcPr>
          <w:p w14:paraId="1B1BBE03" w14:textId="77777777" w:rsidR="00F75BA6" w:rsidRPr="00AC36D1" w:rsidRDefault="00705398" w:rsidP="0040594E">
            <w:pPr>
              <w:pStyle w:val="Tablebody"/>
              <w:rPr>
                <w:sz w:val="24"/>
                <w:szCs w:val="24"/>
              </w:rPr>
            </w:pPr>
            <w:r w:rsidRPr="00AC36D1">
              <w:rPr>
                <w:sz w:val="24"/>
                <w:szCs w:val="24"/>
              </w:rPr>
              <w:t xml:space="preserve">     </w:t>
            </w:r>
            <w:r w:rsidR="00F75BA6" w:rsidRPr="00AC36D1">
              <w:rPr>
                <w:sz w:val="24"/>
                <w:szCs w:val="24"/>
              </w:rPr>
              <w:t>Childhood, Ever TCE</w:t>
            </w:r>
          </w:p>
        </w:tc>
        <w:tc>
          <w:tcPr>
            <w:tcW w:w="558" w:type="dxa"/>
            <w:tcBorders>
              <w:top w:val="single" w:sz="4" w:space="0" w:color="auto"/>
              <w:left w:val="nil"/>
              <w:right w:val="nil"/>
            </w:tcBorders>
            <w:shd w:val="clear" w:color="auto" w:fill="auto"/>
            <w:noWrap/>
            <w:vAlign w:val="center"/>
          </w:tcPr>
          <w:p w14:paraId="12552D8B" w14:textId="77777777" w:rsidR="00F75BA6" w:rsidRPr="00AC36D1" w:rsidRDefault="00F75BA6" w:rsidP="0040594E">
            <w:pPr>
              <w:pStyle w:val="Tablebody"/>
              <w:rPr>
                <w:sz w:val="24"/>
                <w:szCs w:val="24"/>
              </w:rPr>
            </w:pPr>
            <w:r w:rsidRPr="00AC36D1">
              <w:rPr>
                <w:sz w:val="24"/>
                <w:szCs w:val="24"/>
              </w:rPr>
              <w:t>6</w:t>
            </w:r>
          </w:p>
        </w:tc>
        <w:tc>
          <w:tcPr>
            <w:tcW w:w="1152" w:type="dxa"/>
            <w:gridSpan w:val="2"/>
            <w:tcBorders>
              <w:top w:val="single" w:sz="4" w:space="0" w:color="auto"/>
              <w:left w:val="nil"/>
              <w:right w:val="nil"/>
            </w:tcBorders>
            <w:shd w:val="clear" w:color="auto" w:fill="auto"/>
            <w:noWrap/>
            <w:vAlign w:val="center"/>
          </w:tcPr>
          <w:p w14:paraId="68C0E6AA" w14:textId="77777777" w:rsidR="00F75BA6" w:rsidRPr="00AC36D1" w:rsidRDefault="00F75BA6" w:rsidP="0040594E">
            <w:pPr>
              <w:pStyle w:val="Tablebody"/>
              <w:rPr>
                <w:sz w:val="24"/>
                <w:szCs w:val="24"/>
              </w:rPr>
            </w:pPr>
            <w:r w:rsidRPr="00AC36D1">
              <w:rPr>
                <w:sz w:val="24"/>
                <w:szCs w:val="24"/>
              </w:rPr>
              <w:t>(46%)</w:t>
            </w:r>
          </w:p>
        </w:tc>
        <w:tc>
          <w:tcPr>
            <w:tcW w:w="919" w:type="dxa"/>
            <w:tcBorders>
              <w:top w:val="single" w:sz="4" w:space="0" w:color="auto"/>
              <w:left w:val="nil"/>
              <w:right w:val="nil"/>
            </w:tcBorders>
            <w:shd w:val="clear" w:color="auto" w:fill="auto"/>
            <w:noWrap/>
            <w:vAlign w:val="center"/>
          </w:tcPr>
          <w:p w14:paraId="4B5DF84D" w14:textId="77777777" w:rsidR="00F75BA6" w:rsidRPr="00AC36D1" w:rsidRDefault="00F75BA6" w:rsidP="0040594E">
            <w:pPr>
              <w:pStyle w:val="Tablebody"/>
              <w:rPr>
                <w:sz w:val="24"/>
                <w:szCs w:val="24"/>
              </w:rPr>
            </w:pPr>
            <w:r w:rsidRPr="00AC36D1">
              <w:rPr>
                <w:sz w:val="24"/>
                <w:szCs w:val="24"/>
              </w:rPr>
              <w:t>24</w:t>
            </w:r>
          </w:p>
        </w:tc>
        <w:tc>
          <w:tcPr>
            <w:tcW w:w="1093" w:type="dxa"/>
            <w:gridSpan w:val="2"/>
            <w:tcBorders>
              <w:top w:val="single" w:sz="4" w:space="0" w:color="auto"/>
              <w:left w:val="nil"/>
              <w:right w:val="nil"/>
            </w:tcBorders>
            <w:shd w:val="clear" w:color="auto" w:fill="auto"/>
            <w:noWrap/>
            <w:vAlign w:val="center"/>
          </w:tcPr>
          <w:p w14:paraId="6F0B7511" w14:textId="77777777" w:rsidR="00F75BA6" w:rsidRPr="00AC36D1" w:rsidRDefault="00F75BA6" w:rsidP="0040594E">
            <w:pPr>
              <w:pStyle w:val="Tablebody"/>
              <w:rPr>
                <w:sz w:val="24"/>
                <w:szCs w:val="24"/>
              </w:rPr>
            </w:pPr>
            <w:r w:rsidRPr="00AC36D1">
              <w:rPr>
                <w:sz w:val="24"/>
                <w:szCs w:val="24"/>
              </w:rPr>
              <w:t>(53%)</w:t>
            </w:r>
          </w:p>
        </w:tc>
        <w:tc>
          <w:tcPr>
            <w:tcW w:w="628" w:type="dxa"/>
            <w:tcBorders>
              <w:left w:val="nil"/>
              <w:right w:val="nil"/>
            </w:tcBorders>
            <w:shd w:val="clear" w:color="auto" w:fill="auto"/>
            <w:noWrap/>
            <w:vAlign w:val="center"/>
          </w:tcPr>
          <w:p w14:paraId="2596F7E0" w14:textId="77777777" w:rsidR="00F75BA6" w:rsidRPr="00AC36D1" w:rsidRDefault="00F75BA6" w:rsidP="0040594E">
            <w:pPr>
              <w:pStyle w:val="Tablebody"/>
              <w:rPr>
                <w:sz w:val="24"/>
                <w:szCs w:val="24"/>
              </w:rPr>
            </w:pPr>
            <w:r w:rsidRPr="00AC36D1">
              <w:rPr>
                <w:sz w:val="24"/>
                <w:szCs w:val="24"/>
              </w:rPr>
              <w:t>0.2</w:t>
            </w:r>
          </w:p>
        </w:tc>
        <w:tc>
          <w:tcPr>
            <w:tcW w:w="1332" w:type="dxa"/>
            <w:gridSpan w:val="2"/>
            <w:tcBorders>
              <w:left w:val="nil"/>
              <w:right w:val="nil"/>
            </w:tcBorders>
            <w:shd w:val="clear" w:color="auto" w:fill="auto"/>
            <w:noWrap/>
            <w:vAlign w:val="center"/>
          </w:tcPr>
          <w:p w14:paraId="2BB01907" w14:textId="77777777" w:rsidR="00F75BA6" w:rsidRPr="00AC36D1" w:rsidRDefault="00F75BA6" w:rsidP="0040594E">
            <w:pPr>
              <w:pStyle w:val="Tablebody"/>
              <w:rPr>
                <w:sz w:val="24"/>
                <w:szCs w:val="24"/>
              </w:rPr>
            </w:pPr>
            <w:r w:rsidRPr="00AC36D1">
              <w:rPr>
                <w:sz w:val="24"/>
                <w:szCs w:val="24"/>
              </w:rPr>
              <w:t>(0.02, 2.1)</w:t>
            </w:r>
          </w:p>
        </w:tc>
        <w:tc>
          <w:tcPr>
            <w:tcW w:w="1070" w:type="dxa"/>
            <w:gridSpan w:val="2"/>
            <w:tcBorders>
              <w:left w:val="nil"/>
            </w:tcBorders>
            <w:shd w:val="clear" w:color="auto" w:fill="auto"/>
            <w:noWrap/>
            <w:vAlign w:val="center"/>
          </w:tcPr>
          <w:p w14:paraId="1DBCF46B" w14:textId="77777777" w:rsidR="00F75BA6" w:rsidRPr="00AC36D1" w:rsidRDefault="00F75BA6" w:rsidP="0040594E">
            <w:pPr>
              <w:pStyle w:val="Tablebody"/>
              <w:rPr>
                <w:sz w:val="24"/>
                <w:szCs w:val="24"/>
              </w:rPr>
            </w:pPr>
            <w:r w:rsidRPr="00AC36D1">
              <w:rPr>
                <w:sz w:val="24"/>
                <w:szCs w:val="24"/>
              </w:rPr>
              <w:t>0.18</w:t>
            </w:r>
          </w:p>
        </w:tc>
      </w:tr>
      <w:tr w:rsidR="00891B39" w:rsidRPr="00C4624F" w14:paraId="044D168A" w14:textId="77777777" w:rsidTr="00E77543">
        <w:trPr>
          <w:trHeight w:val="576"/>
        </w:trPr>
        <w:tc>
          <w:tcPr>
            <w:tcW w:w="2772" w:type="dxa"/>
            <w:tcBorders>
              <w:top w:val="nil"/>
              <w:bottom w:val="nil"/>
              <w:right w:val="nil"/>
            </w:tcBorders>
            <w:shd w:val="clear" w:color="auto" w:fill="D9D9D9" w:themeFill="background1" w:themeFillShade="D9"/>
            <w:noWrap/>
            <w:vAlign w:val="bottom"/>
            <w:hideMark/>
          </w:tcPr>
          <w:p w14:paraId="1D56CEFD" w14:textId="77777777" w:rsidR="007D6F4C" w:rsidRPr="00AC36D1" w:rsidRDefault="007D6F4C" w:rsidP="006312FD">
            <w:pPr>
              <w:pStyle w:val="Tableheaders"/>
            </w:pPr>
            <w:r w:rsidRPr="00AC36D1">
              <w:t>Leukemia/Lymphoma</w:t>
            </w:r>
          </w:p>
        </w:tc>
        <w:tc>
          <w:tcPr>
            <w:tcW w:w="1710" w:type="dxa"/>
            <w:gridSpan w:val="3"/>
            <w:tcBorders>
              <w:left w:val="nil"/>
              <w:bottom w:val="single" w:sz="4" w:space="0" w:color="auto"/>
              <w:right w:val="nil"/>
            </w:tcBorders>
            <w:shd w:val="clear" w:color="auto" w:fill="D9D9D9" w:themeFill="background1" w:themeFillShade="D9"/>
            <w:noWrap/>
            <w:vAlign w:val="center"/>
            <w:hideMark/>
          </w:tcPr>
          <w:p w14:paraId="5593BA63" w14:textId="3061EAB1" w:rsidR="00B43384" w:rsidRPr="00AC36D1" w:rsidRDefault="00B43384" w:rsidP="0040594E">
            <w:pPr>
              <w:pStyle w:val="Tablebody"/>
              <w:rPr>
                <w:sz w:val="24"/>
                <w:szCs w:val="24"/>
              </w:rPr>
            </w:pPr>
            <w:r w:rsidRPr="00AC36D1">
              <w:rPr>
                <w:sz w:val="24"/>
                <w:szCs w:val="24"/>
              </w:rPr>
              <w:t>Cases</w:t>
            </w:r>
            <w:r w:rsidR="00E77543">
              <w:rPr>
                <w:sz w:val="24"/>
                <w:szCs w:val="24"/>
              </w:rPr>
              <w:t xml:space="preserve"> </w:t>
            </w:r>
            <w:r w:rsidRPr="00AC36D1">
              <w:rPr>
                <w:sz w:val="24"/>
                <w:szCs w:val="24"/>
              </w:rPr>
              <w:t>(n=10)</w:t>
            </w:r>
          </w:p>
        </w:tc>
        <w:tc>
          <w:tcPr>
            <w:tcW w:w="2012" w:type="dxa"/>
            <w:gridSpan w:val="3"/>
            <w:tcBorders>
              <w:left w:val="nil"/>
              <w:bottom w:val="single" w:sz="4" w:space="0" w:color="auto"/>
              <w:right w:val="nil"/>
            </w:tcBorders>
            <w:shd w:val="clear" w:color="auto" w:fill="D9D9D9" w:themeFill="background1" w:themeFillShade="D9"/>
            <w:noWrap/>
            <w:vAlign w:val="center"/>
            <w:hideMark/>
          </w:tcPr>
          <w:p w14:paraId="1AE76674" w14:textId="59448178" w:rsidR="00B43384" w:rsidRPr="00AC36D1" w:rsidRDefault="00B43384" w:rsidP="0040594E">
            <w:pPr>
              <w:pStyle w:val="Tablebody"/>
              <w:rPr>
                <w:sz w:val="24"/>
                <w:szCs w:val="24"/>
              </w:rPr>
            </w:pPr>
            <w:r w:rsidRPr="00AC36D1">
              <w:rPr>
                <w:sz w:val="24"/>
                <w:szCs w:val="24"/>
              </w:rPr>
              <w:t>Controls</w:t>
            </w:r>
            <w:r w:rsidR="00E77543">
              <w:rPr>
                <w:sz w:val="24"/>
                <w:szCs w:val="24"/>
              </w:rPr>
              <w:t xml:space="preserve"> (</w:t>
            </w:r>
            <w:r w:rsidRPr="00AC36D1">
              <w:rPr>
                <w:sz w:val="24"/>
                <w:szCs w:val="24"/>
              </w:rPr>
              <w:t>n=39)</w:t>
            </w:r>
          </w:p>
        </w:tc>
        <w:tc>
          <w:tcPr>
            <w:tcW w:w="628" w:type="dxa"/>
            <w:tcBorders>
              <w:left w:val="nil"/>
              <w:right w:val="nil"/>
            </w:tcBorders>
            <w:shd w:val="clear" w:color="auto" w:fill="D9D9D9" w:themeFill="background1" w:themeFillShade="D9"/>
            <w:noWrap/>
            <w:vAlign w:val="center"/>
          </w:tcPr>
          <w:p w14:paraId="3A523899" w14:textId="77777777" w:rsidR="00B43384" w:rsidRPr="00AC36D1" w:rsidRDefault="00B43384" w:rsidP="0040594E">
            <w:pPr>
              <w:pStyle w:val="Tablebody"/>
              <w:rPr>
                <w:sz w:val="24"/>
                <w:szCs w:val="24"/>
              </w:rPr>
            </w:pPr>
          </w:p>
        </w:tc>
        <w:tc>
          <w:tcPr>
            <w:tcW w:w="1332" w:type="dxa"/>
            <w:gridSpan w:val="2"/>
            <w:tcBorders>
              <w:left w:val="nil"/>
              <w:right w:val="nil"/>
            </w:tcBorders>
            <w:shd w:val="clear" w:color="auto" w:fill="D9D9D9" w:themeFill="background1" w:themeFillShade="D9"/>
            <w:noWrap/>
            <w:vAlign w:val="center"/>
          </w:tcPr>
          <w:p w14:paraId="7F5211DB" w14:textId="77777777" w:rsidR="00B43384" w:rsidRPr="00AC36D1" w:rsidRDefault="00B43384" w:rsidP="0040594E">
            <w:pPr>
              <w:pStyle w:val="Tablebody"/>
              <w:rPr>
                <w:sz w:val="24"/>
                <w:szCs w:val="24"/>
              </w:rPr>
            </w:pPr>
          </w:p>
        </w:tc>
        <w:tc>
          <w:tcPr>
            <w:tcW w:w="1070" w:type="dxa"/>
            <w:gridSpan w:val="2"/>
            <w:tcBorders>
              <w:left w:val="nil"/>
            </w:tcBorders>
            <w:shd w:val="clear" w:color="auto" w:fill="D9D9D9" w:themeFill="background1" w:themeFillShade="D9"/>
            <w:noWrap/>
            <w:vAlign w:val="center"/>
          </w:tcPr>
          <w:p w14:paraId="0A83FB51" w14:textId="77777777" w:rsidR="00B43384" w:rsidRPr="00AC36D1" w:rsidRDefault="00B43384" w:rsidP="0040594E">
            <w:pPr>
              <w:pStyle w:val="Tablebody"/>
              <w:rPr>
                <w:sz w:val="24"/>
                <w:szCs w:val="24"/>
              </w:rPr>
            </w:pPr>
          </w:p>
        </w:tc>
      </w:tr>
      <w:tr w:rsidR="007D6F4C" w14:paraId="3903B003" w14:textId="77777777" w:rsidTr="00E77543">
        <w:trPr>
          <w:trHeight w:val="300"/>
        </w:trPr>
        <w:tc>
          <w:tcPr>
            <w:tcW w:w="2772" w:type="dxa"/>
            <w:tcBorders>
              <w:top w:val="nil"/>
              <w:right w:val="nil"/>
            </w:tcBorders>
            <w:shd w:val="clear" w:color="auto" w:fill="D9D9D9" w:themeFill="background1" w:themeFillShade="D9"/>
            <w:noWrap/>
            <w:vAlign w:val="bottom"/>
            <w:hideMark/>
          </w:tcPr>
          <w:p w14:paraId="1C6663E2" w14:textId="77777777" w:rsidR="00F75BA6" w:rsidRPr="00AC36D1" w:rsidRDefault="00705398" w:rsidP="0040594E">
            <w:pPr>
              <w:pStyle w:val="Tablebody"/>
              <w:rPr>
                <w:sz w:val="24"/>
                <w:szCs w:val="24"/>
              </w:rPr>
            </w:pPr>
            <w:r w:rsidRPr="00AC36D1">
              <w:rPr>
                <w:sz w:val="24"/>
                <w:szCs w:val="24"/>
              </w:rPr>
              <w:t xml:space="preserve">     </w:t>
            </w:r>
            <w:r w:rsidR="00F75BA6" w:rsidRPr="00AC36D1">
              <w:rPr>
                <w:sz w:val="24"/>
                <w:szCs w:val="24"/>
              </w:rPr>
              <w:t xml:space="preserve">Maternal, Ever TCE </w:t>
            </w:r>
          </w:p>
        </w:tc>
        <w:tc>
          <w:tcPr>
            <w:tcW w:w="558" w:type="dxa"/>
            <w:tcBorders>
              <w:left w:val="nil"/>
              <w:right w:val="nil"/>
            </w:tcBorders>
            <w:shd w:val="clear" w:color="auto" w:fill="D9D9D9" w:themeFill="background1" w:themeFillShade="D9"/>
            <w:noWrap/>
            <w:vAlign w:val="center"/>
          </w:tcPr>
          <w:p w14:paraId="1F128DF9" w14:textId="77777777" w:rsidR="00F75BA6" w:rsidRPr="00AC36D1" w:rsidRDefault="00F75BA6" w:rsidP="0040594E">
            <w:pPr>
              <w:pStyle w:val="Tablebody"/>
              <w:rPr>
                <w:sz w:val="24"/>
                <w:szCs w:val="24"/>
              </w:rPr>
            </w:pPr>
            <w:r w:rsidRPr="00AC36D1">
              <w:rPr>
                <w:sz w:val="24"/>
                <w:szCs w:val="24"/>
              </w:rPr>
              <w:t>3</w:t>
            </w:r>
          </w:p>
        </w:tc>
        <w:tc>
          <w:tcPr>
            <w:tcW w:w="1152" w:type="dxa"/>
            <w:gridSpan w:val="2"/>
            <w:tcBorders>
              <w:left w:val="nil"/>
              <w:right w:val="nil"/>
            </w:tcBorders>
            <w:shd w:val="clear" w:color="auto" w:fill="D9D9D9" w:themeFill="background1" w:themeFillShade="D9"/>
            <w:noWrap/>
            <w:vAlign w:val="center"/>
          </w:tcPr>
          <w:p w14:paraId="25DD5E21" w14:textId="77777777" w:rsidR="00F75BA6" w:rsidRPr="00AC36D1" w:rsidRDefault="00F75BA6" w:rsidP="0040594E">
            <w:pPr>
              <w:pStyle w:val="Tablebody"/>
              <w:rPr>
                <w:sz w:val="24"/>
                <w:szCs w:val="24"/>
              </w:rPr>
            </w:pPr>
            <w:r w:rsidRPr="00AC36D1">
              <w:rPr>
                <w:sz w:val="24"/>
                <w:szCs w:val="24"/>
              </w:rPr>
              <w:t>(30%)</w:t>
            </w:r>
          </w:p>
        </w:tc>
        <w:tc>
          <w:tcPr>
            <w:tcW w:w="919" w:type="dxa"/>
            <w:tcBorders>
              <w:left w:val="nil"/>
              <w:right w:val="nil"/>
            </w:tcBorders>
            <w:shd w:val="clear" w:color="auto" w:fill="D9D9D9" w:themeFill="background1" w:themeFillShade="D9"/>
            <w:noWrap/>
            <w:vAlign w:val="center"/>
          </w:tcPr>
          <w:p w14:paraId="3870D535" w14:textId="77777777" w:rsidR="00F75BA6" w:rsidRPr="00AC36D1" w:rsidRDefault="00F75BA6" w:rsidP="0040594E">
            <w:pPr>
              <w:pStyle w:val="Tablebody"/>
              <w:rPr>
                <w:sz w:val="24"/>
                <w:szCs w:val="24"/>
              </w:rPr>
            </w:pPr>
            <w:r w:rsidRPr="00AC36D1">
              <w:rPr>
                <w:sz w:val="24"/>
                <w:szCs w:val="24"/>
              </w:rPr>
              <w:t>9</w:t>
            </w:r>
          </w:p>
        </w:tc>
        <w:tc>
          <w:tcPr>
            <w:tcW w:w="1093" w:type="dxa"/>
            <w:gridSpan w:val="2"/>
            <w:tcBorders>
              <w:left w:val="nil"/>
              <w:right w:val="nil"/>
            </w:tcBorders>
            <w:shd w:val="clear" w:color="auto" w:fill="D9D9D9" w:themeFill="background1" w:themeFillShade="D9"/>
            <w:noWrap/>
            <w:vAlign w:val="center"/>
          </w:tcPr>
          <w:p w14:paraId="5BB01517" w14:textId="77777777" w:rsidR="00F75BA6" w:rsidRPr="00AC36D1" w:rsidRDefault="00F75BA6" w:rsidP="0040594E">
            <w:pPr>
              <w:pStyle w:val="Tablebody"/>
              <w:rPr>
                <w:sz w:val="24"/>
                <w:szCs w:val="24"/>
              </w:rPr>
            </w:pPr>
            <w:r w:rsidRPr="00AC36D1">
              <w:rPr>
                <w:sz w:val="24"/>
                <w:szCs w:val="24"/>
              </w:rPr>
              <w:t>(23%)</w:t>
            </w:r>
          </w:p>
        </w:tc>
        <w:tc>
          <w:tcPr>
            <w:tcW w:w="628" w:type="dxa"/>
            <w:tcBorders>
              <w:left w:val="nil"/>
              <w:right w:val="nil"/>
            </w:tcBorders>
            <w:shd w:val="clear" w:color="auto" w:fill="D9D9D9" w:themeFill="background1" w:themeFillShade="D9"/>
            <w:noWrap/>
            <w:vAlign w:val="center"/>
          </w:tcPr>
          <w:p w14:paraId="0D25EE19" w14:textId="77777777" w:rsidR="00F75BA6" w:rsidRPr="00AC36D1" w:rsidRDefault="00F75BA6" w:rsidP="0040594E">
            <w:pPr>
              <w:pStyle w:val="Tablebody"/>
              <w:rPr>
                <w:sz w:val="24"/>
                <w:szCs w:val="24"/>
              </w:rPr>
            </w:pPr>
            <w:r w:rsidRPr="00AC36D1">
              <w:rPr>
                <w:sz w:val="24"/>
                <w:szCs w:val="24"/>
              </w:rPr>
              <w:t>1.7</w:t>
            </w:r>
          </w:p>
        </w:tc>
        <w:tc>
          <w:tcPr>
            <w:tcW w:w="1332" w:type="dxa"/>
            <w:gridSpan w:val="2"/>
            <w:tcBorders>
              <w:left w:val="nil"/>
              <w:right w:val="nil"/>
            </w:tcBorders>
            <w:shd w:val="clear" w:color="auto" w:fill="D9D9D9" w:themeFill="background1" w:themeFillShade="D9"/>
            <w:noWrap/>
            <w:vAlign w:val="center"/>
          </w:tcPr>
          <w:p w14:paraId="032BE74A" w14:textId="77777777" w:rsidR="00F75BA6" w:rsidRPr="00AC36D1" w:rsidRDefault="00F75BA6" w:rsidP="0040594E">
            <w:pPr>
              <w:pStyle w:val="Tablebody"/>
              <w:rPr>
                <w:sz w:val="24"/>
                <w:szCs w:val="24"/>
              </w:rPr>
            </w:pPr>
            <w:r w:rsidRPr="00AC36D1">
              <w:rPr>
                <w:sz w:val="24"/>
                <w:szCs w:val="24"/>
              </w:rPr>
              <w:t>(0.3, 11)</w:t>
            </w:r>
          </w:p>
        </w:tc>
        <w:tc>
          <w:tcPr>
            <w:tcW w:w="1070" w:type="dxa"/>
            <w:gridSpan w:val="2"/>
            <w:tcBorders>
              <w:left w:val="nil"/>
            </w:tcBorders>
            <w:shd w:val="clear" w:color="auto" w:fill="D9D9D9" w:themeFill="background1" w:themeFillShade="D9"/>
            <w:noWrap/>
            <w:vAlign w:val="center"/>
          </w:tcPr>
          <w:p w14:paraId="4654A9D2" w14:textId="77777777" w:rsidR="00F75BA6" w:rsidRPr="00AC36D1" w:rsidRDefault="00F75BA6" w:rsidP="0040594E">
            <w:pPr>
              <w:pStyle w:val="Tablebody"/>
              <w:rPr>
                <w:sz w:val="24"/>
                <w:szCs w:val="24"/>
              </w:rPr>
            </w:pPr>
            <w:r w:rsidRPr="00AC36D1">
              <w:rPr>
                <w:sz w:val="24"/>
                <w:szCs w:val="24"/>
              </w:rPr>
              <w:t>0.55</w:t>
            </w:r>
          </w:p>
        </w:tc>
      </w:tr>
      <w:tr w:rsidR="00891B39" w14:paraId="32AC0A8F" w14:textId="77777777" w:rsidTr="00E77543">
        <w:trPr>
          <w:trHeight w:val="450"/>
        </w:trPr>
        <w:tc>
          <w:tcPr>
            <w:tcW w:w="2772" w:type="dxa"/>
            <w:tcBorders>
              <w:top w:val="nil"/>
              <w:bottom w:val="nil"/>
              <w:right w:val="nil"/>
            </w:tcBorders>
            <w:shd w:val="clear" w:color="auto" w:fill="D9D9D9" w:themeFill="background1" w:themeFillShade="D9"/>
            <w:noWrap/>
            <w:vAlign w:val="bottom"/>
            <w:hideMark/>
          </w:tcPr>
          <w:p w14:paraId="5D8441F3" w14:textId="77777777" w:rsidR="00F75BA6" w:rsidRPr="00AC36D1" w:rsidRDefault="00F75BA6" w:rsidP="0040594E">
            <w:pPr>
              <w:pStyle w:val="Tablebody"/>
              <w:rPr>
                <w:sz w:val="24"/>
                <w:szCs w:val="24"/>
              </w:rPr>
            </w:pPr>
          </w:p>
        </w:tc>
        <w:tc>
          <w:tcPr>
            <w:tcW w:w="1710" w:type="dxa"/>
            <w:gridSpan w:val="3"/>
            <w:tcBorders>
              <w:left w:val="nil"/>
              <w:bottom w:val="single" w:sz="4" w:space="0" w:color="auto"/>
              <w:right w:val="nil"/>
            </w:tcBorders>
            <w:shd w:val="clear" w:color="auto" w:fill="D9D9D9" w:themeFill="background1" w:themeFillShade="D9"/>
            <w:noWrap/>
            <w:vAlign w:val="center"/>
            <w:hideMark/>
          </w:tcPr>
          <w:p w14:paraId="5BA3D06A" w14:textId="734E0E79" w:rsidR="00F75BA6" w:rsidRPr="00AC36D1" w:rsidRDefault="00B43384" w:rsidP="00E77543">
            <w:pPr>
              <w:pStyle w:val="Tablebody"/>
              <w:rPr>
                <w:sz w:val="24"/>
                <w:szCs w:val="24"/>
              </w:rPr>
            </w:pPr>
            <w:r w:rsidRPr="00AC36D1">
              <w:rPr>
                <w:sz w:val="24"/>
                <w:szCs w:val="24"/>
              </w:rPr>
              <w:t>Cases</w:t>
            </w:r>
            <w:r w:rsidR="00E77543">
              <w:rPr>
                <w:sz w:val="24"/>
                <w:szCs w:val="24"/>
              </w:rPr>
              <w:t xml:space="preserve"> </w:t>
            </w:r>
            <w:r w:rsidR="00F75BA6" w:rsidRPr="00AC36D1">
              <w:rPr>
                <w:sz w:val="24"/>
                <w:szCs w:val="24"/>
              </w:rPr>
              <w:t>(n=8)</w:t>
            </w:r>
          </w:p>
        </w:tc>
        <w:tc>
          <w:tcPr>
            <w:tcW w:w="2012" w:type="dxa"/>
            <w:gridSpan w:val="3"/>
            <w:tcBorders>
              <w:left w:val="nil"/>
              <w:bottom w:val="single" w:sz="4" w:space="0" w:color="auto"/>
              <w:right w:val="nil"/>
            </w:tcBorders>
            <w:shd w:val="clear" w:color="auto" w:fill="D9D9D9" w:themeFill="background1" w:themeFillShade="D9"/>
            <w:noWrap/>
            <w:vAlign w:val="center"/>
            <w:hideMark/>
          </w:tcPr>
          <w:p w14:paraId="4EA62CBA" w14:textId="2F9D082D" w:rsidR="00F75BA6" w:rsidRPr="00AC36D1" w:rsidRDefault="00B43384" w:rsidP="0040594E">
            <w:pPr>
              <w:pStyle w:val="Tablebody"/>
              <w:rPr>
                <w:sz w:val="24"/>
                <w:szCs w:val="24"/>
              </w:rPr>
            </w:pPr>
            <w:r w:rsidRPr="00AC36D1">
              <w:rPr>
                <w:sz w:val="24"/>
                <w:szCs w:val="24"/>
              </w:rPr>
              <w:t>Controls</w:t>
            </w:r>
            <w:r w:rsidR="00E77543">
              <w:rPr>
                <w:sz w:val="24"/>
                <w:szCs w:val="24"/>
              </w:rPr>
              <w:t xml:space="preserve"> </w:t>
            </w:r>
            <w:r w:rsidR="00F75BA6" w:rsidRPr="00AC36D1">
              <w:rPr>
                <w:sz w:val="24"/>
                <w:szCs w:val="24"/>
              </w:rPr>
              <w:t>(n=28)</w:t>
            </w:r>
          </w:p>
        </w:tc>
        <w:tc>
          <w:tcPr>
            <w:tcW w:w="628" w:type="dxa"/>
            <w:tcBorders>
              <w:top w:val="nil"/>
              <w:left w:val="nil"/>
            </w:tcBorders>
            <w:shd w:val="clear" w:color="auto" w:fill="D9D9D9" w:themeFill="background1" w:themeFillShade="D9"/>
            <w:noWrap/>
            <w:vAlign w:val="center"/>
          </w:tcPr>
          <w:p w14:paraId="580EA812" w14:textId="77777777" w:rsidR="00F75BA6" w:rsidRPr="00AC36D1" w:rsidRDefault="00F75BA6" w:rsidP="0040594E">
            <w:pPr>
              <w:pStyle w:val="Tablebody"/>
              <w:rPr>
                <w:sz w:val="24"/>
                <w:szCs w:val="24"/>
              </w:rPr>
            </w:pPr>
          </w:p>
        </w:tc>
        <w:tc>
          <w:tcPr>
            <w:tcW w:w="1332" w:type="dxa"/>
            <w:gridSpan w:val="2"/>
            <w:tcBorders>
              <w:top w:val="nil"/>
            </w:tcBorders>
            <w:shd w:val="clear" w:color="auto" w:fill="D9D9D9" w:themeFill="background1" w:themeFillShade="D9"/>
            <w:vAlign w:val="center"/>
          </w:tcPr>
          <w:p w14:paraId="4552A5D6" w14:textId="77777777" w:rsidR="00F75BA6" w:rsidRPr="00AC36D1" w:rsidRDefault="00F75BA6" w:rsidP="0040594E">
            <w:pPr>
              <w:pStyle w:val="Tablebody"/>
              <w:rPr>
                <w:sz w:val="24"/>
                <w:szCs w:val="24"/>
              </w:rPr>
            </w:pPr>
          </w:p>
        </w:tc>
        <w:tc>
          <w:tcPr>
            <w:tcW w:w="1070" w:type="dxa"/>
            <w:gridSpan w:val="2"/>
            <w:tcBorders>
              <w:top w:val="nil"/>
            </w:tcBorders>
            <w:shd w:val="clear" w:color="auto" w:fill="D9D9D9" w:themeFill="background1" w:themeFillShade="D9"/>
            <w:vAlign w:val="center"/>
          </w:tcPr>
          <w:p w14:paraId="0EB0E0C8" w14:textId="77777777" w:rsidR="00F75BA6" w:rsidRPr="00AC36D1" w:rsidRDefault="00F75BA6" w:rsidP="0040594E">
            <w:pPr>
              <w:pStyle w:val="Tablebody"/>
              <w:rPr>
                <w:sz w:val="24"/>
                <w:szCs w:val="24"/>
              </w:rPr>
            </w:pPr>
          </w:p>
        </w:tc>
      </w:tr>
      <w:tr w:rsidR="007D6F4C" w14:paraId="568EFB92" w14:textId="77777777" w:rsidTr="00E77543">
        <w:trPr>
          <w:trHeight w:val="300"/>
        </w:trPr>
        <w:tc>
          <w:tcPr>
            <w:tcW w:w="2772" w:type="dxa"/>
            <w:tcBorders>
              <w:bottom w:val="single" w:sz="4" w:space="0" w:color="auto"/>
              <w:right w:val="nil"/>
            </w:tcBorders>
            <w:shd w:val="clear" w:color="auto" w:fill="D9D9D9" w:themeFill="background1" w:themeFillShade="D9"/>
            <w:noWrap/>
            <w:vAlign w:val="bottom"/>
            <w:hideMark/>
          </w:tcPr>
          <w:p w14:paraId="0D1DE8BE" w14:textId="77777777" w:rsidR="00F75BA6" w:rsidRPr="00AC36D1" w:rsidRDefault="00705398" w:rsidP="0040594E">
            <w:pPr>
              <w:pStyle w:val="Tablebody"/>
              <w:rPr>
                <w:sz w:val="24"/>
                <w:szCs w:val="24"/>
              </w:rPr>
            </w:pPr>
            <w:r w:rsidRPr="00AC36D1">
              <w:rPr>
                <w:sz w:val="24"/>
                <w:szCs w:val="24"/>
              </w:rPr>
              <w:t xml:space="preserve">     </w:t>
            </w:r>
            <w:r w:rsidR="00F75BA6" w:rsidRPr="00AC36D1">
              <w:rPr>
                <w:sz w:val="24"/>
                <w:szCs w:val="24"/>
              </w:rPr>
              <w:t>Childhood, Ever TCE</w:t>
            </w:r>
          </w:p>
        </w:tc>
        <w:tc>
          <w:tcPr>
            <w:tcW w:w="558" w:type="dxa"/>
            <w:tcBorders>
              <w:top w:val="single" w:sz="4" w:space="0" w:color="auto"/>
              <w:left w:val="nil"/>
              <w:bottom w:val="single" w:sz="4" w:space="0" w:color="auto"/>
              <w:right w:val="nil"/>
            </w:tcBorders>
            <w:shd w:val="clear" w:color="auto" w:fill="D9D9D9" w:themeFill="background1" w:themeFillShade="D9"/>
            <w:noWrap/>
            <w:vAlign w:val="center"/>
          </w:tcPr>
          <w:p w14:paraId="4F767DDD" w14:textId="77777777" w:rsidR="00F75BA6" w:rsidRPr="00AC36D1" w:rsidRDefault="00F75BA6" w:rsidP="0040594E">
            <w:pPr>
              <w:pStyle w:val="Tablebody"/>
              <w:rPr>
                <w:sz w:val="24"/>
                <w:szCs w:val="24"/>
              </w:rPr>
            </w:pPr>
            <w:r w:rsidRPr="00AC36D1">
              <w:rPr>
                <w:sz w:val="24"/>
                <w:szCs w:val="24"/>
              </w:rPr>
              <w:t>3</w:t>
            </w:r>
          </w:p>
        </w:tc>
        <w:tc>
          <w:tcPr>
            <w:tcW w:w="1152"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0FC77402" w14:textId="77777777" w:rsidR="00F75BA6" w:rsidRPr="00AC36D1" w:rsidRDefault="00F75BA6" w:rsidP="0040594E">
            <w:pPr>
              <w:pStyle w:val="Tablebody"/>
              <w:rPr>
                <w:sz w:val="24"/>
                <w:szCs w:val="24"/>
              </w:rPr>
            </w:pPr>
            <w:r w:rsidRPr="00AC36D1">
              <w:rPr>
                <w:sz w:val="24"/>
                <w:szCs w:val="24"/>
              </w:rPr>
              <w:t>(38%)</w:t>
            </w:r>
          </w:p>
        </w:tc>
        <w:tc>
          <w:tcPr>
            <w:tcW w:w="919" w:type="dxa"/>
            <w:tcBorders>
              <w:top w:val="single" w:sz="4" w:space="0" w:color="auto"/>
              <w:left w:val="nil"/>
              <w:bottom w:val="single" w:sz="4" w:space="0" w:color="auto"/>
              <w:right w:val="nil"/>
            </w:tcBorders>
            <w:shd w:val="clear" w:color="auto" w:fill="D9D9D9" w:themeFill="background1" w:themeFillShade="D9"/>
            <w:noWrap/>
            <w:vAlign w:val="center"/>
          </w:tcPr>
          <w:p w14:paraId="71BA39B4" w14:textId="77777777" w:rsidR="00F75BA6" w:rsidRPr="00AC36D1" w:rsidRDefault="00F75BA6" w:rsidP="0040594E">
            <w:pPr>
              <w:pStyle w:val="Tablebody"/>
              <w:rPr>
                <w:sz w:val="24"/>
                <w:szCs w:val="24"/>
              </w:rPr>
            </w:pPr>
            <w:r w:rsidRPr="00AC36D1">
              <w:rPr>
                <w:sz w:val="24"/>
                <w:szCs w:val="24"/>
              </w:rPr>
              <w:t>15</w:t>
            </w:r>
          </w:p>
        </w:tc>
        <w:tc>
          <w:tcPr>
            <w:tcW w:w="1093"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1044AB73" w14:textId="77777777" w:rsidR="00F75BA6" w:rsidRPr="00AC36D1" w:rsidRDefault="00F75BA6" w:rsidP="0040594E">
            <w:pPr>
              <w:pStyle w:val="Tablebody"/>
              <w:rPr>
                <w:sz w:val="24"/>
                <w:szCs w:val="24"/>
              </w:rPr>
            </w:pPr>
            <w:r w:rsidRPr="00AC36D1">
              <w:rPr>
                <w:sz w:val="24"/>
                <w:szCs w:val="24"/>
              </w:rPr>
              <w:t>(54%)</w:t>
            </w:r>
          </w:p>
        </w:tc>
        <w:tc>
          <w:tcPr>
            <w:tcW w:w="628" w:type="dxa"/>
            <w:tcBorders>
              <w:left w:val="nil"/>
              <w:bottom w:val="single" w:sz="4" w:space="0" w:color="auto"/>
              <w:right w:val="nil"/>
            </w:tcBorders>
            <w:shd w:val="clear" w:color="auto" w:fill="D9D9D9" w:themeFill="background1" w:themeFillShade="D9"/>
            <w:noWrap/>
            <w:vAlign w:val="center"/>
          </w:tcPr>
          <w:p w14:paraId="35721466" w14:textId="77777777" w:rsidR="00F75BA6" w:rsidRPr="00AC36D1" w:rsidRDefault="00F75BA6" w:rsidP="0040594E">
            <w:pPr>
              <w:pStyle w:val="Tablebody"/>
              <w:rPr>
                <w:sz w:val="24"/>
                <w:szCs w:val="24"/>
              </w:rPr>
            </w:pPr>
            <w:r w:rsidRPr="00AC36D1">
              <w:rPr>
                <w:sz w:val="24"/>
                <w:szCs w:val="24"/>
              </w:rPr>
              <w:t>NC</w:t>
            </w:r>
          </w:p>
        </w:tc>
        <w:tc>
          <w:tcPr>
            <w:tcW w:w="1332" w:type="dxa"/>
            <w:gridSpan w:val="2"/>
            <w:tcBorders>
              <w:left w:val="nil"/>
              <w:bottom w:val="single" w:sz="4" w:space="0" w:color="auto"/>
              <w:right w:val="nil"/>
            </w:tcBorders>
            <w:shd w:val="clear" w:color="auto" w:fill="D9D9D9" w:themeFill="background1" w:themeFillShade="D9"/>
            <w:noWrap/>
            <w:vAlign w:val="center"/>
          </w:tcPr>
          <w:p w14:paraId="74855AAD" w14:textId="77777777" w:rsidR="00F75BA6" w:rsidRPr="00AC36D1" w:rsidRDefault="00F75BA6" w:rsidP="0040594E">
            <w:pPr>
              <w:pStyle w:val="Tablebody"/>
              <w:rPr>
                <w:sz w:val="24"/>
                <w:szCs w:val="24"/>
              </w:rPr>
            </w:pPr>
            <w:r w:rsidRPr="00AC36D1">
              <w:rPr>
                <w:sz w:val="24"/>
                <w:szCs w:val="24"/>
              </w:rPr>
              <w:t>NC</w:t>
            </w:r>
          </w:p>
        </w:tc>
        <w:tc>
          <w:tcPr>
            <w:tcW w:w="1070" w:type="dxa"/>
            <w:gridSpan w:val="2"/>
            <w:tcBorders>
              <w:left w:val="nil"/>
              <w:bottom w:val="single" w:sz="4" w:space="0" w:color="auto"/>
            </w:tcBorders>
            <w:shd w:val="clear" w:color="auto" w:fill="D9D9D9" w:themeFill="background1" w:themeFillShade="D9"/>
            <w:noWrap/>
            <w:vAlign w:val="center"/>
          </w:tcPr>
          <w:p w14:paraId="3AF4A5F2" w14:textId="77777777" w:rsidR="00F75BA6" w:rsidRPr="00AC36D1" w:rsidRDefault="00F75BA6" w:rsidP="0040594E">
            <w:pPr>
              <w:pStyle w:val="Tablebody"/>
              <w:rPr>
                <w:sz w:val="24"/>
                <w:szCs w:val="24"/>
              </w:rPr>
            </w:pPr>
            <w:r w:rsidRPr="00AC36D1">
              <w:rPr>
                <w:sz w:val="24"/>
                <w:szCs w:val="24"/>
              </w:rPr>
              <w:t>NC</w:t>
            </w:r>
          </w:p>
        </w:tc>
      </w:tr>
    </w:tbl>
    <w:p w14:paraId="4655F4E4" w14:textId="77777777" w:rsidR="00C67849" w:rsidRPr="00F939B0" w:rsidRDefault="00C67849" w:rsidP="0040594E">
      <w:pPr>
        <w:pStyle w:val="NoSpacing"/>
        <w:rPr>
          <w:sz w:val="22"/>
          <w:szCs w:val="22"/>
        </w:rPr>
      </w:pPr>
      <w:proofErr w:type="spellStart"/>
      <w:r w:rsidRPr="00F939B0">
        <w:rPr>
          <w:sz w:val="22"/>
          <w:szCs w:val="22"/>
          <w:vertAlign w:val="superscript"/>
        </w:rPr>
        <w:t>a</w:t>
      </w:r>
      <w:r w:rsidRPr="00F939B0">
        <w:rPr>
          <w:sz w:val="22"/>
          <w:szCs w:val="22"/>
        </w:rPr>
        <w:t>OR</w:t>
      </w:r>
      <w:proofErr w:type="spellEnd"/>
      <w:r w:rsidRPr="00F939B0">
        <w:rPr>
          <w:sz w:val="22"/>
          <w:szCs w:val="22"/>
        </w:rPr>
        <w:t xml:space="preserve"> = Matched Odds Ratio</w:t>
      </w:r>
    </w:p>
    <w:p w14:paraId="6AA0BB66" w14:textId="77777777" w:rsidR="00C67849" w:rsidRPr="00F939B0" w:rsidRDefault="00C67849" w:rsidP="0040594E">
      <w:pPr>
        <w:pStyle w:val="NoSpacing"/>
        <w:rPr>
          <w:sz w:val="22"/>
          <w:szCs w:val="22"/>
        </w:rPr>
      </w:pPr>
      <w:r w:rsidRPr="00F939B0">
        <w:rPr>
          <w:sz w:val="22"/>
          <w:szCs w:val="22"/>
          <w:vertAlign w:val="superscript"/>
        </w:rPr>
        <w:t>b</w:t>
      </w:r>
      <w:r w:rsidRPr="00F939B0">
        <w:rPr>
          <w:sz w:val="22"/>
          <w:szCs w:val="22"/>
        </w:rPr>
        <w:t>95% CI = 95% Confidence Interval</w:t>
      </w:r>
    </w:p>
    <w:p w14:paraId="33421976" w14:textId="3C5BC6B0" w:rsidR="007023DB" w:rsidRPr="00F939B0" w:rsidRDefault="007023DB" w:rsidP="00C96544">
      <w:pPr>
        <w:pStyle w:val="NoSpacing"/>
        <w:spacing w:after="360"/>
        <w:rPr>
          <w:sz w:val="22"/>
          <w:szCs w:val="22"/>
        </w:rPr>
      </w:pPr>
      <w:r w:rsidRPr="00F939B0">
        <w:rPr>
          <w:sz w:val="22"/>
          <w:szCs w:val="22"/>
        </w:rPr>
        <w:t>NC = Not calcula</w:t>
      </w:r>
      <w:r w:rsidR="00B210DD" w:rsidRPr="00F939B0">
        <w:rPr>
          <w:sz w:val="22"/>
          <w:szCs w:val="22"/>
        </w:rPr>
        <w:t>ble</w:t>
      </w:r>
      <w:r w:rsidRPr="00F939B0">
        <w:rPr>
          <w:sz w:val="22"/>
          <w:szCs w:val="22"/>
        </w:rPr>
        <w:t xml:space="preserve"> due to </w:t>
      </w:r>
      <w:r w:rsidR="001B2765" w:rsidRPr="00F939B0">
        <w:rPr>
          <w:sz w:val="22"/>
          <w:szCs w:val="22"/>
        </w:rPr>
        <w:t>insufficient</w:t>
      </w:r>
      <w:r w:rsidRPr="00F939B0">
        <w:rPr>
          <w:sz w:val="22"/>
          <w:szCs w:val="22"/>
        </w:rPr>
        <w:t xml:space="preserve"> data (i.e</w:t>
      </w:r>
      <w:r w:rsidR="00716072" w:rsidRPr="00F939B0">
        <w:rPr>
          <w:sz w:val="22"/>
          <w:szCs w:val="22"/>
        </w:rPr>
        <w:t xml:space="preserve">. </w:t>
      </w:r>
      <w:r w:rsidRPr="00F939B0">
        <w:rPr>
          <w:sz w:val="22"/>
          <w:szCs w:val="22"/>
        </w:rPr>
        <w:t>few discordant pairs)</w:t>
      </w:r>
    </w:p>
    <w:p w14:paraId="09D7A2CE" w14:textId="77777777" w:rsidR="00DE4B16" w:rsidRDefault="00DE4B16" w:rsidP="00B26D34">
      <w:pPr>
        <w:pStyle w:val="Heading5"/>
      </w:pPr>
      <w:r>
        <w:t>Categorical (zero/low/high) exposure potential</w:t>
      </w:r>
    </w:p>
    <w:p w14:paraId="23785075" w14:textId="77777777" w:rsidR="00977423" w:rsidRDefault="007A3DE2" w:rsidP="006C3ED9">
      <w:r>
        <w:t>Average TCE</w:t>
      </w:r>
      <w:r w:rsidRPr="00F80B1F">
        <w:t xml:space="preserve"> </w:t>
      </w:r>
      <w:r>
        <w:t>concentrations were</w:t>
      </w:r>
      <w:r w:rsidRPr="00F80B1F">
        <w:t xml:space="preserve"> also categorized into three groups as described in </w:t>
      </w:r>
      <w:r>
        <w:t>the m</w:t>
      </w:r>
      <w:r w:rsidRPr="00F80B1F">
        <w:t>ethods</w:t>
      </w:r>
      <w:r>
        <w:t xml:space="preserve"> section of this report</w:t>
      </w:r>
      <w:r w:rsidR="00716072">
        <w:t xml:space="preserve">. </w:t>
      </w:r>
      <w:r w:rsidR="00205CA6">
        <w:fldChar w:fldCharType="begin"/>
      </w:r>
      <w:r w:rsidR="00205CA6">
        <w:instrText xml:space="preserve"> REF  Table14 \h </w:instrText>
      </w:r>
      <w:r w:rsidR="006C3ED9">
        <w:instrText xml:space="preserve"> \* MERGEFORMAT </w:instrText>
      </w:r>
      <w:r w:rsidR="00205CA6">
        <w:fldChar w:fldCharType="separate"/>
      </w:r>
    </w:p>
    <w:p w14:paraId="4B8B0151" w14:textId="244A8B63" w:rsidR="0067445F" w:rsidRDefault="00977423" w:rsidP="006C3ED9">
      <w:r>
        <w:t xml:space="preserve">Table </w:t>
      </w:r>
      <w:r>
        <w:rPr>
          <w:noProof/>
        </w:rPr>
        <w:t>14</w:t>
      </w:r>
      <w:r w:rsidR="00205CA6">
        <w:fldChar w:fldCharType="end"/>
      </w:r>
      <w:r w:rsidR="001D183D">
        <w:t xml:space="preserve"> </w:t>
      </w:r>
      <w:r w:rsidR="007A3DE2" w:rsidRPr="00F80B1F">
        <w:t>present</w:t>
      </w:r>
      <w:r w:rsidR="001D183D">
        <w:t>s</w:t>
      </w:r>
      <w:r w:rsidR="007A3DE2" w:rsidRPr="00F80B1F">
        <w:t xml:space="preserve"> the results of conditional logistic regression models evaluating the association between d</w:t>
      </w:r>
      <w:r w:rsidR="00D1132F">
        <w:t xml:space="preserve">evelopment of childhood cancer </w:t>
      </w:r>
      <w:r w:rsidR="007A3DE2" w:rsidRPr="00F80B1F">
        <w:t xml:space="preserve">and </w:t>
      </w:r>
      <w:r w:rsidR="007A3DE2">
        <w:t>zero</w:t>
      </w:r>
      <w:r w:rsidR="007A3DE2" w:rsidRPr="00F80B1F">
        <w:t xml:space="preserve">, low, or high </w:t>
      </w:r>
      <w:r w:rsidR="007A3DE2">
        <w:t xml:space="preserve">average </w:t>
      </w:r>
      <w:r w:rsidR="001D183D">
        <w:t>TCE</w:t>
      </w:r>
      <w:r w:rsidR="007A3DE2" w:rsidRPr="00F80B1F">
        <w:t xml:space="preserve"> con</w:t>
      </w:r>
      <w:r w:rsidR="007A3DE2">
        <w:t>centra</w:t>
      </w:r>
      <w:r w:rsidR="007A3DE2" w:rsidRPr="00F80B1F">
        <w:t>tion</w:t>
      </w:r>
      <w:r w:rsidR="007A3DE2">
        <w:t>s</w:t>
      </w:r>
      <w:r w:rsidR="007A3DE2" w:rsidRPr="00F80B1F">
        <w:t xml:space="preserve"> in drinking water</w:t>
      </w:r>
      <w:r w:rsidR="00716072">
        <w:t xml:space="preserve">. </w:t>
      </w:r>
      <w:r w:rsidR="001D183D">
        <w:t xml:space="preserve">As shown in </w:t>
      </w:r>
      <w:r w:rsidR="00205CA6">
        <w:fldChar w:fldCharType="begin"/>
      </w:r>
      <w:r w:rsidR="00205CA6">
        <w:instrText xml:space="preserve"> REF  Table14 \h </w:instrText>
      </w:r>
      <w:r w:rsidR="006C3ED9">
        <w:instrText xml:space="preserve"> \* MERGEFORMAT </w:instrText>
      </w:r>
      <w:r w:rsidR="00205CA6">
        <w:fldChar w:fldCharType="separate"/>
      </w:r>
      <w:r>
        <w:t xml:space="preserve">Table </w:t>
      </w:r>
      <w:r>
        <w:rPr>
          <w:noProof/>
        </w:rPr>
        <w:t>14</w:t>
      </w:r>
      <w:r w:rsidR="00205CA6">
        <w:fldChar w:fldCharType="end"/>
      </w:r>
      <w:r w:rsidR="001D183D">
        <w:t xml:space="preserve">, results for </w:t>
      </w:r>
      <w:r w:rsidR="00D1132F">
        <w:t xml:space="preserve">childhood exposure </w:t>
      </w:r>
      <w:r w:rsidR="001D183D">
        <w:t xml:space="preserve">models restricted to the </w:t>
      </w:r>
      <w:r w:rsidR="007F74B7">
        <w:t>Leukemia/Lymphoma</w:t>
      </w:r>
      <w:r w:rsidR="001D183D">
        <w:t xml:space="preserve"> subgroup </w:t>
      </w:r>
      <w:r w:rsidR="00B210DD">
        <w:t xml:space="preserve">could </w:t>
      </w:r>
      <w:r w:rsidR="001D183D">
        <w:t xml:space="preserve">not </w:t>
      </w:r>
      <w:r w:rsidR="00B210DD">
        <w:t xml:space="preserve">be </w:t>
      </w:r>
      <w:r w:rsidR="001D183D">
        <w:t xml:space="preserve">calculated due to having too few </w:t>
      </w:r>
      <w:r w:rsidR="00D1132F">
        <w:t>discordant pairs for an</w:t>
      </w:r>
      <w:r w:rsidR="001D183D">
        <w:t>alysis</w:t>
      </w:r>
      <w:r w:rsidR="00716072">
        <w:t xml:space="preserve">. </w:t>
      </w:r>
      <w:r w:rsidR="001D183D">
        <w:t>There was an elevated probability for</w:t>
      </w:r>
      <w:r w:rsidR="007A3DE2" w:rsidRPr="00F80B1F">
        <w:t xml:space="preserve"> the development of </w:t>
      </w:r>
      <w:r w:rsidR="001D183D">
        <w:t xml:space="preserve">any </w:t>
      </w:r>
      <w:r w:rsidR="007A3DE2" w:rsidRPr="00F80B1F">
        <w:t>childhood cancer</w:t>
      </w:r>
      <w:r w:rsidR="001D183D">
        <w:t xml:space="preserve"> associated with the </w:t>
      </w:r>
      <w:r w:rsidR="004D1F87">
        <w:t>low</w:t>
      </w:r>
      <w:r w:rsidR="001D183D">
        <w:t xml:space="preserve"> TCE concentration </w:t>
      </w:r>
      <w:r w:rsidR="004D1F87">
        <w:t xml:space="preserve">category during the maternal exposure period </w:t>
      </w:r>
      <w:r w:rsidR="001D183D">
        <w:t>(</w:t>
      </w:r>
      <w:r w:rsidR="004D1F87">
        <w:t>OR</w:t>
      </w:r>
      <w:r w:rsidR="009D21C6">
        <w:t xml:space="preserve"> </w:t>
      </w:r>
      <w:r w:rsidR="004D1F87">
        <w:t>=</w:t>
      </w:r>
      <w:r w:rsidR="009D21C6">
        <w:t xml:space="preserve"> </w:t>
      </w:r>
      <w:r w:rsidR="001D183D">
        <w:t>4.2</w:t>
      </w:r>
      <w:r w:rsidR="004D1F87">
        <w:t xml:space="preserve">; 95% CI: 0.3-51), but </w:t>
      </w:r>
      <w:r w:rsidR="007A3DE2" w:rsidRPr="00F80B1F">
        <w:t>the</w:t>
      </w:r>
      <w:r w:rsidR="007A3DE2">
        <w:t xml:space="preserve"> </w:t>
      </w:r>
      <w:r w:rsidR="004D1F87">
        <w:t>result w</w:t>
      </w:r>
      <w:r w:rsidR="007A3DE2">
        <w:t xml:space="preserve">as </w:t>
      </w:r>
      <w:r w:rsidR="004D1F87">
        <w:t xml:space="preserve">not </w:t>
      </w:r>
      <w:r w:rsidR="007A3DE2">
        <w:t>statistically significant</w:t>
      </w:r>
      <w:r w:rsidR="00D1132F">
        <w:t>, confidence intervals were very wide,</w:t>
      </w:r>
      <w:r w:rsidR="004D1F87">
        <w:t xml:space="preserve"> and there was no consistent dose response effect</w:t>
      </w:r>
      <w:r w:rsidR="007063C5">
        <w:t xml:space="preserve"> (trend test </w:t>
      </w:r>
      <w:r w:rsidR="007063C5">
        <w:rPr>
          <w:i/>
        </w:rPr>
        <w:t>p</w:t>
      </w:r>
      <w:r w:rsidR="007063C5">
        <w:t>-value = 0.80)</w:t>
      </w:r>
      <w:r w:rsidR="00716072">
        <w:t xml:space="preserve">. </w:t>
      </w:r>
      <w:r w:rsidR="00D1132F">
        <w:t xml:space="preserve">A similar result was observed in the </w:t>
      </w:r>
      <w:r w:rsidR="007F74B7">
        <w:t>Leukemia/Lymphoma</w:t>
      </w:r>
      <w:r w:rsidR="00D1132F">
        <w:t xml:space="preserve"> subgroup analysis. </w:t>
      </w:r>
      <w:r w:rsidR="00BF3B9C">
        <w:t>W</w:t>
      </w:r>
      <w:r w:rsidR="007A3DE2" w:rsidRPr="00F80B1F">
        <w:t xml:space="preserve">hen evaluating </w:t>
      </w:r>
      <w:r w:rsidR="00BF3B9C" w:rsidRPr="00F80B1F">
        <w:t>childhood</w:t>
      </w:r>
      <w:r w:rsidR="00BF3B9C">
        <w:t xml:space="preserve"> TCE </w:t>
      </w:r>
      <w:r w:rsidR="007A3DE2">
        <w:t>concentration</w:t>
      </w:r>
      <w:r w:rsidR="007A3DE2" w:rsidRPr="00F80B1F">
        <w:t xml:space="preserve"> estimate</w:t>
      </w:r>
      <w:r w:rsidR="00BF3B9C">
        <w:t>s, th</w:t>
      </w:r>
      <w:r w:rsidR="007A3DE2" w:rsidRPr="00F80B1F">
        <w:t>ere was no evidence of a</w:t>
      </w:r>
      <w:r w:rsidR="007A3DE2">
        <w:t xml:space="preserve"> positive</w:t>
      </w:r>
      <w:r w:rsidR="007A3DE2" w:rsidRPr="00F80B1F">
        <w:t xml:space="preserve"> association </w:t>
      </w:r>
      <w:r w:rsidR="00BF3B9C">
        <w:t>with</w:t>
      </w:r>
      <w:r w:rsidR="007A3DE2" w:rsidRPr="00F80B1F">
        <w:t xml:space="preserve"> development of childhood cancer</w:t>
      </w:r>
      <w:r w:rsidR="00BF3B9C">
        <w:t>.</w:t>
      </w:r>
      <w:bookmarkStart w:id="169" w:name="_Ref12010366"/>
      <w:bookmarkStart w:id="170" w:name="Table14"/>
      <w:bookmarkStart w:id="171" w:name="_Toc12012877"/>
      <w:bookmarkStart w:id="172" w:name="_Toc12013071"/>
      <w:bookmarkStart w:id="173" w:name="_Toc45714893"/>
    </w:p>
    <w:p w14:paraId="2D90D72D" w14:textId="77777777" w:rsidR="00FB6843" w:rsidRDefault="00FB6843" w:rsidP="0067445F">
      <w:pPr>
        <w:spacing w:after="0" w:line="240" w:lineRule="auto"/>
      </w:pPr>
      <w:r>
        <w:br w:type="page"/>
      </w:r>
    </w:p>
    <w:p w14:paraId="3D4D218D" w14:textId="47F9AB3B" w:rsidR="0026215A" w:rsidRDefault="0026215A" w:rsidP="0067445F">
      <w:pPr>
        <w:spacing w:after="0" w:line="240" w:lineRule="auto"/>
      </w:pPr>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14</w:t>
      </w:r>
      <w:r w:rsidR="00D616DB">
        <w:rPr>
          <w:noProof/>
        </w:rPr>
        <w:fldChar w:fldCharType="end"/>
      </w:r>
      <w:bookmarkEnd w:id="169"/>
      <w:r w:rsidR="00716072">
        <w:t xml:space="preserve">. </w:t>
      </w:r>
      <w:bookmarkEnd w:id="170"/>
      <w:r w:rsidRPr="000E6DE7">
        <w:t>Average estimated concentration of TCE in drinking water</w:t>
      </w:r>
      <w:r w:rsidR="00B210DD">
        <w:t>*</w:t>
      </w:r>
      <w:r w:rsidRPr="000E6DE7">
        <w:t xml:space="preserve"> (zero, low, high) and odds of childhood cancer among children living in Wilmington, MA, 1981-2000</w:t>
      </w:r>
      <w:bookmarkEnd w:id="171"/>
      <w:bookmarkEnd w:id="172"/>
      <w:bookmarkEnd w:id="173"/>
    </w:p>
    <w:tbl>
      <w:tblPr>
        <w:tblW w:w="9394" w:type="dxa"/>
        <w:tblInd w:w="93" w:type="dxa"/>
        <w:tblLook w:val="04A0" w:firstRow="1" w:lastRow="0" w:firstColumn="1" w:lastColumn="0" w:noHBand="0" w:noVBand="1"/>
      </w:tblPr>
      <w:tblGrid>
        <w:gridCol w:w="1455"/>
        <w:gridCol w:w="589"/>
        <w:gridCol w:w="131"/>
        <w:gridCol w:w="981"/>
        <w:gridCol w:w="598"/>
        <w:gridCol w:w="1260"/>
        <w:gridCol w:w="14"/>
        <w:gridCol w:w="648"/>
        <w:gridCol w:w="14"/>
        <w:gridCol w:w="1421"/>
        <w:gridCol w:w="14"/>
        <w:gridCol w:w="1078"/>
        <w:gridCol w:w="69"/>
        <w:gridCol w:w="30"/>
        <w:gridCol w:w="985"/>
        <w:gridCol w:w="107"/>
      </w:tblGrid>
      <w:tr w:rsidR="004311C0" w14:paraId="63F31E75" w14:textId="76C07A8C" w:rsidTr="00AC36D1">
        <w:trPr>
          <w:trHeight w:val="395"/>
        </w:trPr>
        <w:tc>
          <w:tcPr>
            <w:tcW w:w="1455" w:type="dxa"/>
            <w:tcBorders>
              <w:top w:val="single" w:sz="4" w:space="0" w:color="auto"/>
              <w:bottom w:val="nil"/>
              <w:right w:val="nil"/>
            </w:tcBorders>
            <w:shd w:val="clear" w:color="auto" w:fill="auto"/>
            <w:noWrap/>
            <w:vAlign w:val="bottom"/>
            <w:hideMark/>
          </w:tcPr>
          <w:p w14:paraId="530D05EC" w14:textId="77777777" w:rsidR="004311C0" w:rsidRPr="00E77543" w:rsidRDefault="004311C0" w:rsidP="0040594E">
            <w:pPr>
              <w:pStyle w:val="Tablebody"/>
              <w:rPr>
                <w:b/>
                <w:bCs/>
                <w:sz w:val="24"/>
                <w:szCs w:val="24"/>
              </w:rPr>
            </w:pPr>
            <w:r w:rsidRPr="00E77543">
              <w:rPr>
                <w:b/>
                <w:bCs/>
                <w:sz w:val="24"/>
                <w:szCs w:val="24"/>
              </w:rPr>
              <w:t>All Cancers</w:t>
            </w:r>
          </w:p>
        </w:tc>
        <w:tc>
          <w:tcPr>
            <w:tcW w:w="1701" w:type="dxa"/>
            <w:gridSpan w:val="3"/>
            <w:tcBorders>
              <w:top w:val="single" w:sz="4" w:space="0" w:color="auto"/>
              <w:left w:val="nil"/>
              <w:right w:val="nil"/>
            </w:tcBorders>
            <w:shd w:val="clear" w:color="auto" w:fill="auto"/>
            <w:noWrap/>
            <w:vAlign w:val="bottom"/>
            <w:hideMark/>
          </w:tcPr>
          <w:p w14:paraId="35A9178F" w14:textId="77777777" w:rsidR="004311C0" w:rsidRPr="00E77543" w:rsidRDefault="004311C0" w:rsidP="0040594E">
            <w:pPr>
              <w:pStyle w:val="Tablebody"/>
              <w:rPr>
                <w:b/>
                <w:bCs/>
                <w:sz w:val="24"/>
                <w:szCs w:val="24"/>
              </w:rPr>
            </w:pPr>
            <w:r w:rsidRPr="00E77543">
              <w:rPr>
                <w:b/>
                <w:bCs/>
                <w:sz w:val="24"/>
                <w:szCs w:val="24"/>
              </w:rPr>
              <w:t>Cases (n=16)</w:t>
            </w:r>
          </w:p>
        </w:tc>
        <w:tc>
          <w:tcPr>
            <w:tcW w:w="1872" w:type="dxa"/>
            <w:gridSpan w:val="3"/>
            <w:tcBorders>
              <w:top w:val="single" w:sz="4" w:space="0" w:color="auto"/>
              <w:left w:val="nil"/>
              <w:right w:val="nil"/>
            </w:tcBorders>
            <w:shd w:val="clear" w:color="auto" w:fill="auto"/>
            <w:noWrap/>
            <w:vAlign w:val="bottom"/>
            <w:hideMark/>
          </w:tcPr>
          <w:p w14:paraId="32F9A736" w14:textId="77777777" w:rsidR="004311C0" w:rsidRPr="00E77543" w:rsidRDefault="004311C0" w:rsidP="0040594E">
            <w:pPr>
              <w:pStyle w:val="Tablebody"/>
              <w:rPr>
                <w:b/>
                <w:bCs/>
                <w:sz w:val="24"/>
                <w:szCs w:val="24"/>
              </w:rPr>
            </w:pPr>
            <w:r w:rsidRPr="00E77543">
              <w:rPr>
                <w:b/>
                <w:bCs/>
                <w:sz w:val="24"/>
                <w:szCs w:val="24"/>
              </w:rPr>
              <w:t>Controls (n=57)</w:t>
            </w:r>
          </w:p>
        </w:tc>
        <w:tc>
          <w:tcPr>
            <w:tcW w:w="662" w:type="dxa"/>
            <w:gridSpan w:val="2"/>
            <w:tcBorders>
              <w:top w:val="single" w:sz="4" w:space="0" w:color="auto"/>
              <w:left w:val="nil"/>
            </w:tcBorders>
            <w:shd w:val="clear" w:color="auto" w:fill="auto"/>
            <w:noWrap/>
            <w:vAlign w:val="bottom"/>
          </w:tcPr>
          <w:p w14:paraId="2E90896D" w14:textId="77777777" w:rsidR="004311C0" w:rsidRPr="00E77543" w:rsidRDefault="004311C0" w:rsidP="0040594E">
            <w:pPr>
              <w:pStyle w:val="Tablebody"/>
              <w:rPr>
                <w:b/>
                <w:bCs/>
                <w:sz w:val="24"/>
                <w:szCs w:val="24"/>
              </w:rPr>
            </w:pPr>
          </w:p>
        </w:tc>
        <w:tc>
          <w:tcPr>
            <w:tcW w:w="1435" w:type="dxa"/>
            <w:gridSpan w:val="2"/>
            <w:tcBorders>
              <w:top w:val="single" w:sz="4" w:space="0" w:color="auto"/>
            </w:tcBorders>
            <w:vAlign w:val="bottom"/>
          </w:tcPr>
          <w:p w14:paraId="79F4E705" w14:textId="77777777" w:rsidR="004311C0" w:rsidRPr="00E77543" w:rsidRDefault="004311C0" w:rsidP="0040594E">
            <w:pPr>
              <w:pStyle w:val="Tablebody"/>
              <w:rPr>
                <w:b/>
                <w:bCs/>
                <w:sz w:val="24"/>
                <w:szCs w:val="24"/>
              </w:rPr>
            </w:pPr>
          </w:p>
        </w:tc>
        <w:tc>
          <w:tcPr>
            <w:tcW w:w="1078" w:type="dxa"/>
            <w:tcBorders>
              <w:top w:val="single" w:sz="4" w:space="0" w:color="auto"/>
            </w:tcBorders>
            <w:shd w:val="clear" w:color="auto" w:fill="auto"/>
            <w:vAlign w:val="bottom"/>
          </w:tcPr>
          <w:p w14:paraId="434FB582" w14:textId="77777777" w:rsidR="004311C0" w:rsidRPr="00E77543" w:rsidRDefault="004311C0" w:rsidP="0040594E">
            <w:pPr>
              <w:pStyle w:val="Tablebody"/>
              <w:rPr>
                <w:b/>
                <w:bCs/>
                <w:sz w:val="24"/>
                <w:szCs w:val="24"/>
              </w:rPr>
            </w:pPr>
          </w:p>
        </w:tc>
        <w:tc>
          <w:tcPr>
            <w:tcW w:w="1191" w:type="dxa"/>
            <w:gridSpan w:val="4"/>
            <w:tcBorders>
              <w:top w:val="single" w:sz="4" w:space="0" w:color="auto"/>
            </w:tcBorders>
          </w:tcPr>
          <w:p w14:paraId="512A5621" w14:textId="27B82816" w:rsidR="004311C0" w:rsidRPr="00E77543" w:rsidRDefault="004311C0" w:rsidP="0040594E">
            <w:pPr>
              <w:pStyle w:val="Tablebody"/>
              <w:rPr>
                <w:b/>
                <w:bCs/>
                <w:sz w:val="24"/>
                <w:szCs w:val="24"/>
              </w:rPr>
            </w:pPr>
            <w:r w:rsidRPr="00E77543">
              <w:rPr>
                <w:b/>
                <w:bCs/>
                <w:sz w:val="24"/>
                <w:szCs w:val="24"/>
              </w:rPr>
              <w:t>Trend Analysis</w:t>
            </w:r>
          </w:p>
        </w:tc>
      </w:tr>
      <w:tr w:rsidR="004311C0" w:rsidRPr="004961A1" w14:paraId="0EACA4E9" w14:textId="603700D6" w:rsidTr="00B210DD">
        <w:trPr>
          <w:gridAfter w:val="1"/>
          <w:wAfter w:w="107" w:type="dxa"/>
          <w:trHeight w:val="300"/>
        </w:trPr>
        <w:tc>
          <w:tcPr>
            <w:tcW w:w="1455" w:type="dxa"/>
            <w:tcBorders>
              <w:top w:val="nil"/>
              <w:right w:val="nil"/>
            </w:tcBorders>
            <w:shd w:val="clear" w:color="auto" w:fill="auto"/>
            <w:noWrap/>
            <w:vAlign w:val="center"/>
          </w:tcPr>
          <w:p w14:paraId="00E44D5E" w14:textId="77777777" w:rsidR="004311C0" w:rsidRPr="00E77543" w:rsidRDefault="004311C0" w:rsidP="0040594E">
            <w:pPr>
              <w:pStyle w:val="Tablebody"/>
              <w:rPr>
                <w:sz w:val="24"/>
                <w:szCs w:val="24"/>
              </w:rPr>
            </w:pPr>
            <w:r w:rsidRPr="00E77543">
              <w:rPr>
                <w:sz w:val="24"/>
                <w:szCs w:val="24"/>
              </w:rPr>
              <w:t>Maternal</w:t>
            </w:r>
          </w:p>
        </w:tc>
        <w:tc>
          <w:tcPr>
            <w:tcW w:w="720" w:type="dxa"/>
            <w:gridSpan w:val="2"/>
            <w:tcBorders>
              <w:top w:val="nil"/>
              <w:left w:val="nil"/>
              <w:bottom w:val="single" w:sz="4" w:space="0" w:color="auto"/>
              <w:right w:val="nil"/>
            </w:tcBorders>
            <w:shd w:val="clear" w:color="auto" w:fill="auto"/>
            <w:noWrap/>
            <w:vAlign w:val="center"/>
            <w:hideMark/>
          </w:tcPr>
          <w:p w14:paraId="5178C0FA" w14:textId="77777777" w:rsidR="004311C0" w:rsidRPr="00E77543" w:rsidRDefault="004311C0" w:rsidP="0040594E">
            <w:pPr>
              <w:pStyle w:val="Tablebody"/>
              <w:rPr>
                <w:b/>
                <w:bCs/>
                <w:sz w:val="24"/>
                <w:szCs w:val="24"/>
              </w:rPr>
            </w:pPr>
            <w:r w:rsidRPr="00E77543">
              <w:rPr>
                <w:b/>
                <w:bCs/>
                <w:sz w:val="24"/>
                <w:szCs w:val="24"/>
              </w:rPr>
              <w:t>n</w:t>
            </w:r>
          </w:p>
        </w:tc>
        <w:tc>
          <w:tcPr>
            <w:tcW w:w="981" w:type="dxa"/>
            <w:tcBorders>
              <w:top w:val="nil"/>
              <w:left w:val="nil"/>
              <w:bottom w:val="single" w:sz="4" w:space="0" w:color="auto"/>
              <w:right w:val="nil"/>
            </w:tcBorders>
            <w:shd w:val="clear" w:color="auto" w:fill="auto"/>
            <w:noWrap/>
            <w:vAlign w:val="center"/>
            <w:hideMark/>
          </w:tcPr>
          <w:p w14:paraId="209008A5" w14:textId="77777777" w:rsidR="004311C0" w:rsidRPr="00E77543" w:rsidRDefault="004311C0" w:rsidP="0040594E">
            <w:pPr>
              <w:pStyle w:val="Tablebody"/>
              <w:rPr>
                <w:b/>
                <w:bCs/>
                <w:sz w:val="24"/>
                <w:szCs w:val="24"/>
              </w:rPr>
            </w:pPr>
            <w:r w:rsidRPr="00E77543">
              <w:rPr>
                <w:b/>
                <w:bCs/>
                <w:sz w:val="24"/>
                <w:szCs w:val="24"/>
              </w:rPr>
              <w:t>(%)</w:t>
            </w:r>
          </w:p>
        </w:tc>
        <w:tc>
          <w:tcPr>
            <w:tcW w:w="598" w:type="dxa"/>
            <w:tcBorders>
              <w:top w:val="nil"/>
              <w:left w:val="nil"/>
              <w:bottom w:val="single" w:sz="4" w:space="0" w:color="auto"/>
              <w:right w:val="nil"/>
            </w:tcBorders>
            <w:shd w:val="clear" w:color="auto" w:fill="auto"/>
            <w:noWrap/>
            <w:vAlign w:val="center"/>
            <w:hideMark/>
          </w:tcPr>
          <w:p w14:paraId="50A86E5E" w14:textId="77777777" w:rsidR="004311C0" w:rsidRPr="00E77543" w:rsidRDefault="004311C0" w:rsidP="0040594E">
            <w:pPr>
              <w:pStyle w:val="Tablebody"/>
              <w:rPr>
                <w:b/>
                <w:bCs/>
                <w:sz w:val="24"/>
                <w:szCs w:val="24"/>
              </w:rPr>
            </w:pPr>
            <w:r w:rsidRPr="00E77543">
              <w:rPr>
                <w:b/>
                <w:bCs/>
                <w:sz w:val="24"/>
                <w:szCs w:val="24"/>
              </w:rPr>
              <w:t>n</w:t>
            </w:r>
          </w:p>
        </w:tc>
        <w:tc>
          <w:tcPr>
            <w:tcW w:w="1260" w:type="dxa"/>
            <w:tcBorders>
              <w:top w:val="nil"/>
              <w:left w:val="nil"/>
              <w:bottom w:val="single" w:sz="4" w:space="0" w:color="auto"/>
              <w:right w:val="nil"/>
            </w:tcBorders>
            <w:shd w:val="clear" w:color="auto" w:fill="auto"/>
            <w:noWrap/>
            <w:vAlign w:val="center"/>
            <w:hideMark/>
          </w:tcPr>
          <w:p w14:paraId="689EF07A" w14:textId="77777777" w:rsidR="004311C0" w:rsidRPr="00E77543" w:rsidRDefault="004311C0" w:rsidP="0040594E">
            <w:pPr>
              <w:pStyle w:val="Tablebody"/>
              <w:rPr>
                <w:b/>
                <w:bCs/>
                <w:sz w:val="24"/>
                <w:szCs w:val="24"/>
              </w:rPr>
            </w:pPr>
            <w:r w:rsidRPr="00E77543">
              <w:rPr>
                <w:b/>
                <w:bCs/>
                <w:sz w:val="24"/>
                <w:szCs w:val="24"/>
              </w:rPr>
              <w:t>(%)</w:t>
            </w:r>
          </w:p>
        </w:tc>
        <w:tc>
          <w:tcPr>
            <w:tcW w:w="662" w:type="dxa"/>
            <w:gridSpan w:val="2"/>
            <w:tcBorders>
              <w:left w:val="nil"/>
              <w:bottom w:val="single" w:sz="4" w:space="0" w:color="auto"/>
            </w:tcBorders>
            <w:shd w:val="clear" w:color="auto" w:fill="auto"/>
            <w:vAlign w:val="center"/>
            <w:hideMark/>
          </w:tcPr>
          <w:p w14:paraId="347C5A7A" w14:textId="77777777" w:rsidR="004311C0" w:rsidRPr="00E77543" w:rsidRDefault="004311C0" w:rsidP="0040594E">
            <w:pPr>
              <w:pStyle w:val="Tablebody"/>
              <w:rPr>
                <w:b/>
                <w:bCs/>
                <w:sz w:val="24"/>
                <w:szCs w:val="24"/>
              </w:rPr>
            </w:pPr>
            <w:proofErr w:type="spellStart"/>
            <w:r w:rsidRPr="00E77543">
              <w:rPr>
                <w:b/>
                <w:bCs/>
                <w:sz w:val="24"/>
                <w:szCs w:val="24"/>
              </w:rPr>
              <w:t>OR</w:t>
            </w:r>
            <w:r w:rsidRPr="00E77543">
              <w:rPr>
                <w:b/>
                <w:bCs/>
                <w:sz w:val="24"/>
                <w:szCs w:val="24"/>
                <w:vertAlign w:val="superscript"/>
              </w:rPr>
              <w:t>a</w:t>
            </w:r>
            <w:proofErr w:type="spellEnd"/>
          </w:p>
        </w:tc>
        <w:tc>
          <w:tcPr>
            <w:tcW w:w="1435" w:type="dxa"/>
            <w:gridSpan w:val="2"/>
            <w:tcBorders>
              <w:bottom w:val="single" w:sz="4" w:space="0" w:color="auto"/>
            </w:tcBorders>
            <w:shd w:val="clear" w:color="auto" w:fill="auto"/>
            <w:vAlign w:val="center"/>
          </w:tcPr>
          <w:p w14:paraId="21A7D237" w14:textId="77777777" w:rsidR="004311C0" w:rsidRPr="00E77543" w:rsidRDefault="004311C0" w:rsidP="0040594E">
            <w:pPr>
              <w:pStyle w:val="Tablebody"/>
              <w:rPr>
                <w:b/>
                <w:bCs/>
                <w:sz w:val="24"/>
                <w:szCs w:val="24"/>
              </w:rPr>
            </w:pPr>
            <w:r w:rsidRPr="00E77543">
              <w:rPr>
                <w:b/>
                <w:bCs/>
                <w:sz w:val="24"/>
                <w:szCs w:val="24"/>
              </w:rPr>
              <w:t xml:space="preserve">95% </w:t>
            </w:r>
            <w:proofErr w:type="spellStart"/>
            <w:r w:rsidRPr="00E77543">
              <w:rPr>
                <w:b/>
                <w:bCs/>
                <w:sz w:val="24"/>
                <w:szCs w:val="24"/>
              </w:rPr>
              <w:t>CI</w:t>
            </w:r>
            <w:r w:rsidRPr="00E77543">
              <w:rPr>
                <w:b/>
                <w:bCs/>
                <w:sz w:val="24"/>
                <w:szCs w:val="24"/>
                <w:vertAlign w:val="superscript"/>
              </w:rPr>
              <w:t>b</w:t>
            </w:r>
            <w:proofErr w:type="spellEnd"/>
          </w:p>
        </w:tc>
        <w:tc>
          <w:tcPr>
            <w:tcW w:w="1191" w:type="dxa"/>
            <w:gridSpan w:val="4"/>
            <w:tcBorders>
              <w:bottom w:val="single" w:sz="4" w:space="0" w:color="auto"/>
            </w:tcBorders>
            <w:shd w:val="clear" w:color="auto" w:fill="auto"/>
            <w:vAlign w:val="center"/>
          </w:tcPr>
          <w:p w14:paraId="3E383DEE" w14:textId="77777777" w:rsidR="004311C0" w:rsidRPr="00E77543" w:rsidRDefault="004311C0" w:rsidP="0040594E">
            <w:pPr>
              <w:pStyle w:val="Tablebody"/>
              <w:rPr>
                <w:b/>
                <w:bCs/>
                <w:sz w:val="24"/>
                <w:szCs w:val="24"/>
              </w:rPr>
            </w:pPr>
            <w:r w:rsidRPr="00E77543">
              <w:rPr>
                <w:b/>
                <w:bCs/>
                <w:i/>
                <w:sz w:val="24"/>
                <w:szCs w:val="24"/>
              </w:rPr>
              <w:t>p</w:t>
            </w:r>
            <w:r w:rsidRPr="00E77543">
              <w:rPr>
                <w:b/>
                <w:bCs/>
                <w:sz w:val="24"/>
                <w:szCs w:val="24"/>
              </w:rPr>
              <w:t>-value</w:t>
            </w:r>
          </w:p>
        </w:tc>
        <w:tc>
          <w:tcPr>
            <w:tcW w:w="985" w:type="dxa"/>
            <w:tcBorders>
              <w:bottom w:val="single" w:sz="4" w:space="0" w:color="auto"/>
            </w:tcBorders>
          </w:tcPr>
          <w:p w14:paraId="3927EB35" w14:textId="3E4B3ADE" w:rsidR="004311C0" w:rsidRPr="00E77543" w:rsidRDefault="004311C0" w:rsidP="0040594E">
            <w:pPr>
              <w:pStyle w:val="Tablebody"/>
              <w:rPr>
                <w:b/>
                <w:bCs/>
                <w:i/>
                <w:sz w:val="24"/>
                <w:szCs w:val="24"/>
              </w:rPr>
            </w:pPr>
            <w:r w:rsidRPr="00E77543">
              <w:rPr>
                <w:b/>
                <w:bCs/>
                <w:i/>
                <w:sz w:val="24"/>
                <w:szCs w:val="24"/>
              </w:rPr>
              <w:t>p-</w:t>
            </w:r>
            <w:r w:rsidRPr="00E77543">
              <w:rPr>
                <w:b/>
                <w:bCs/>
                <w:sz w:val="24"/>
                <w:szCs w:val="24"/>
              </w:rPr>
              <w:t>value</w:t>
            </w:r>
          </w:p>
        </w:tc>
      </w:tr>
      <w:tr w:rsidR="00B210DD" w14:paraId="45001070" w14:textId="4B772572" w:rsidTr="00B210DD">
        <w:trPr>
          <w:gridAfter w:val="1"/>
          <w:wAfter w:w="107" w:type="dxa"/>
          <w:trHeight w:val="300"/>
        </w:trPr>
        <w:tc>
          <w:tcPr>
            <w:tcW w:w="1455" w:type="dxa"/>
            <w:tcBorders>
              <w:top w:val="nil"/>
              <w:right w:val="nil"/>
            </w:tcBorders>
            <w:shd w:val="clear" w:color="auto" w:fill="auto"/>
            <w:noWrap/>
            <w:vAlign w:val="center"/>
            <w:hideMark/>
          </w:tcPr>
          <w:p w14:paraId="103F4322" w14:textId="77777777" w:rsidR="00B210DD" w:rsidRPr="00E77543" w:rsidRDefault="00B210DD" w:rsidP="00273A7C">
            <w:pPr>
              <w:pStyle w:val="Tablebody"/>
              <w:ind w:left="250"/>
              <w:rPr>
                <w:sz w:val="24"/>
                <w:szCs w:val="24"/>
              </w:rPr>
            </w:pPr>
            <w:r w:rsidRPr="00E77543">
              <w:rPr>
                <w:sz w:val="24"/>
                <w:szCs w:val="24"/>
              </w:rPr>
              <w:t>Zero</w:t>
            </w:r>
          </w:p>
        </w:tc>
        <w:tc>
          <w:tcPr>
            <w:tcW w:w="589" w:type="dxa"/>
            <w:tcBorders>
              <w:left w:val="nil"/>
              <w:right w:val="nil"/>
            </w:tcBorders>
            <w:shd w:val="clear" w:color="auto" w:fill="auto"/>
            <w:noWrap/>
            <w:vAlign w:val="center"/>
          </w:tcPr>
          <w:p w14:paraId="65FF2393" w14:textId="77777777" w:rsidR="00B210DD" w:rsidRPr="00E77543" w:rsidRDefault="00B210DD" w:rsidP="0040594E">
            <w:pPr>
              <w:pStyle w:val="Tablebody"/>
              <w:rPr>
                <w:sz w:val="24"/>
                <w:szCs w:val="24"/>
              </w:rPr>
            </w:pPr>
            <w:r w:rsidRPr="00E77543">
              <w:rPr>
                <w:sz w:val="24"/>
                <w:szCs w:val="24"/>
              </w:rPr>
              <w:t>11</w:t>
            </w:r>
          </w:p>
        </w:tc>
        <w:tc>
          <w:tcPr>
            <w:tcW w:w="1112" w:type="dxa"/>
            <w:gridSpan w:val="2"/>
            <w:tcBorders>
              <w:left w:val="nil"/>
              <w:right w:val="nil"/>
            </w:tcBorders>
            <w:shd w:val="clear" w:color="auto" w:fill="auto"/>
            <w:noWrap/>
            <w:vAlign w:val="center"/>
          </w:tcPr>
          <w:p w14:paraId="0804AF66" w14:textId="77777777" w:rsidR="00B210DD" w:rsidRPr="00E77543" w:rsidRDefault="00B210DD" w:rsidP="0040594E">
            <w:pPr>
              <w:pStyle w:val="Tablebody"/>
              <w:rPr>
                <w:sz w:val="24"/>
                <w:szCs w:val="24"/>
              </w:rPr>
            </w:pPr>
            <w:r w:rsidRPr="00E77543">
              <w:rPr>
                <w:sz w:val="24"/>
                <w:szCs w:val="24"/>
              </w:rPr>
              <w:t>(69%)</w:t>
            </w:r>
          </w:p>
        </w:tc>
        <w:tc>
          <w:tcPr>
            <w:tcW w:w="598" w:type="dxa"/>
            <w:tcBorders>
              <w:left w:val="nil"/>
              <w:right w:val="nil"/>
            </w:tcBorders>
            <w:shd w:val="clear" w:color="auto" w:fill="auto"/>
            <w:noWrap/>
            <w:vAlign w:val="center"/>
          </w:tcPr>
          <w:p w14:paraId="36C98C3C" w14:textId="77777777" w:rsidR="00B210DD" w:rsidRPr="00E77543" w:rsidRDefault="00B210DD" w:rsidP="0040594E">
            <w:pPr>
              <w:pStyle w:val="Tablebody"/>
              <w:rPr>
                <w:sz w:val="24"/>
                <w:szCs w:val="24"/>
              </w:rPr>
            </w:pPr>
            <w:r w:rsidRPr="00E77543">
              <w:rPr>
                <w:sz w:val="24"/>
                <w:szCs w:val="24"/>
              </w:rPr>
              <w:t>43</w:t>
            </w:r>
          </w:p>
        </w:tc>
        <w:tc>
          <w:tcPr>
            <w:tcW w:w="1260" w:type="dxa"/>
            <w:tcBorders>
              <w:left w:val="nil"/>
              <w:right w:val="nil"/>
            </w:tcBorders>
            <w:shd w:val="clear" w:color="auto" w:fill="auto"/>
            <w:noWrap/>
            <w:vAlign w:val="center"/>
          </w:tcPr>
          <w:p w14:paraId="6D15ABC4" w14:textId="77777777" w:rsidR="00B210DD" w:rsidRPr="00E77543" w:rsidRDefault="00B210DD" w:rsidP="0040594E">
            <w:pPr>
              <w:pStyle w:val="Tablebody"/>
              <w:rPr>
                <w:sz w:val="24"/>
                <w:szCs w:val="24"/>
              </w:rPr>
            </w:pPr>
            <w:r w:rsidRPr="00E77543">
              <w:rPr>
                <w:sz w:val="24"/>
                <w:szCs w:val="24"/>
              </w:rPr>
              <w:t>(75%)</w:t>
            </w:r>
          </w:p>
        </w:tc>
        <w:tc>
          <w:tcPr>
            <w:tcW w:w="662" w:type="dxa"/>
            <w:gridSpan w:val="2"/>
            <w:tcBorders>
              <w:left w:val="nil"/>
              <w:right w:val="nil"/>
            </w:tcBorders>
            <w:shd w:val="clear" w:color="auto" w:fill="auto"/>
            <w:noWrap/>
            <w:vAlign w:val="center"/>
          </w:tcPr>
          <w:p w14:paraId="736B7377" w14:textId="77777777" w:rsidR="00B210DD" w:rsidRPr="00E77543" w:rsidRDefault="00B210DD" w:rsidP="0040594E">
            <w:pPr>
              <w:pStyle w:val="Tablebody"/>
              <w:rPr>
                <w:sz w:val="24"/>
                <w:szCs w:val="24"/>
              </w:rPr>
            </w:pPr>
            <w:r w:rsidRPr="00E77543">
              <w:rPr>
                <w:sz w:val="24"/>
                <w:szCs w:val="24"/>
              </w:rPr>
              <w:t>1.0</w:t>
            </w:r>
          </w:p>
        </w:tc>
        <w:tc>
          <w:tcPr>
            <w:tcW w:w="2626" w:type="dxa"/>
            <w:gridSpan w:val="6"/>
            <w:tcBorders>
              <w:left w:val="nil"/>
            </w:tcBorders>
            <w:shd w:val="clear" w:color="auto" w:fill="auto"/>
            <w:noWrap/>
            <w:vAlign w:val="center"/>
          </w:tcPr>
          <w:p w14:paraId="7C398068" w14:textId="77777777" w:rsidR="00B210DD" w:rsidRPr="00E77543" w:rsidRDefault="00B210DD" w:rsidP="0040594E">
            <w:pPr>
              <w:pStyle w:val="Tablebody"/>
              <w:rPr>
                <w:sz w:val="24"/>
                <w:szCs w:val="24"/>
              </w:rPr>
            </w:pPr>
            <w:r w:rsidRPr="00E77543">
              <w:rPr>
                <w:sz w:val="24"/>
                <w:szCs w:val="24"/>
              </w:rPr>
              <w:t>-ref-</w:t>
            </w:r>
          </w:p>
        </w:tc>
        <w:tc>
          <w:tcPr>
            <w:tcW w:w="985" w:type="dxa"/>
            <w:tcBorders>
              <w:left w:val="nil"/>
            </w:tcBorders>
            <w:vAlign w:val="bottom"/>
          </w:tcPr>
          <w:p w14:paraId="34E47469" w14:textId="63C49675" w:rsidR="00B210DD" w:rsidRPr="00E77543" w:rsidRDefault="00B210DD" w:rsidP="0040594E">
            <w:pPr>
              <w:pStyle w:val="Tablebody"/>
              <w:rPr>
                <w:sz w:val="24"/>
                <w:szCs w:val="24"/>
              </w:rPr>
            </w:pPr>
          </w:p>
        </w:tc>
      </w:tr>
      <w:tr w:rsidR="00B210DD" w14:paraId="352ACB8B" w14:textId="3B52AC7F" w:rsidTr="00B210DD">
        <w:trPr>
          <w:gridAfter w:val="1"/>
          <w:wAfter w:w="107" w:type="dxa"/>
          <w:trHeight w:val="300"/>
        </w:trPr>
        <w:tc>
          <w:tcPr>
            <w:tcW w:w="1455" w:type="dxa"/>
            <w:tcBorders>
              <w:right w:val="nil"/>
            </w:tcBorders>
            <w:shd w:val="clear" w:color="auto" w:fill="auto"/>
            <w:noWrap/>
            <w:vAlign w:val="center"/>
          </w:tcPr>
          <w:p w14:paraId="2E837FDD" w14:textId="77777777" w:rsidR="00B210DD" w:rsidRPr="00E77543" w:rsidRDefault="00B210DD" w:rsidP="00273A7C">
            <w:pPr>
              <w:pStyle w:val="Tablebody"/>
              <w:ind w:left="250"/>
              <w:rPr>
                <w:sz w:val="24"/>
                <w:szCs w:val="24"/>
              </w:rPr>
            </w:pPr>
            <w:r w:rsidRPr="00E77543">
              <w:rPr>
                <w:sz w:val="24"/>
                <w:szCs w:val="24"/>
              </w:rPr>
              <w:t>Low</w:t>
            </w:r>
          </w:p>
        </w:tc>
        <w:tc>
          <w:tcPr>
            <w:tcW w:w="589" w:type="dxa"/>
            <w:tcBorders>
              <w:left w:val="nil"/>
              <w:right w:val="nil"/>
            </w:tcBorders>
            <w:shd w:val="clear" w:color="auto" w:fill="auto"/>
            <w:noWrap/>
            <w:vAlign w:val="center"/>
          </w:tcPr>
          <w:p w14:paraId="05CD1FB3" w14:textId="77777777" w:rsidR="00B210DD" w:rsidRPr="00E77543" w:rsidRDefault="00B210DD" w:rsidP="0040594E">
            <w:pPr>
              <w:pStyle w:val="Tablebody"/>
              <w:rPr>
                <w:sz w:val="24"/>
                <w:szCs w:val="24"/>
              </w:rPr>
            </w:pPr>
            <w:r w:rsidRPr="00E77543">
              <w:rPr>
                <w:sz w:val="24"/>
                <w:szCs w:val="24"/>
              </w:rPr>
              <w:t>3</w:t>
            </w:r>
          </w:p>
        </w:tc>
        <w:tc>
          <w:tcPr>
            <w:tcW w:w="1112" w:type="dxa"/>
            <w:gridSpan w:val="2"/>
            <w:tcBorders>
              <w:left w:val="nil"/>
              <w:right w:val="nil"/>
            </w:tcBorders>
            <w:shd w:val="clear" w:color="auto" w:fill="auto"/>
            <w:noWrap/>
            <w:vAlign w:val="center"/>
          </w:tcPr>
          <w:p w14:paraId="2945C469" w14:textId="77777777" w:rsidR="00B210DD" w:rsidRPr="00E77543" w:rsidRDefault="00B210DD" w:rsidP="0040594E">
            <w:pPr>
              <w:pStyle w:val="Tablebody"/>
              <w:rPr>
                <w:sz w:val="24"/>
                <w:szCs w:val="24"/>
              </w:rPr>
            </w:pPr>
            <w:r w:rsidRPr="00E77543">
              <w:rPr>
                <w:sz w:val="24"/>
                <w:szCs w:val="24"/>
              </w:rPr>
              <w:t>(19%)</w:t>
            </w:r>
          </w:p>
        </w:tc>
        <w:tc>
          <w:tcPr>
            <w:tcW w:w="598" w:type="dxa"/>
            <w:tcBorders>
              <w:left w:val="nil"/>
              <w:right w:val="nil"/>
            </w:tcBorders>
            <w:shd w:val="clear" w:color="auto" w:fill="auto"/>
            <w:noWrap/>
            <w:vAlign w:val="center"/>
          </w:tcPr>
          <w:p w14:paraId="748CB454" w14:textId="77777777" w:rsidR="00B210DD" w:rsidRPr="00E77543" w:rsidRDefault="00B210DD" w:rsidP="0040594E">
            <w:pPr>
              <w:pStyle w:val="Tablebody"/>
              <w:rPr>
                <w:sz w:val="24"/>
                <w:szCs w:val="24"/>
              </w:rPr>
            </w:pPr>
            <w:r w:rsidRPr="00E77543">
              <w:rPr>
                <w:sz w:val="24"/>
                <w:szCs w:val="24"/>
              </w:rPr>
              <w:t>7</w:t>
            </w:r>
          </w:p>
        </w:tc>
        <w:tc>
          <w:tcPr>
            <w:tcW w:w="1260" w:type="dxa"/>
            <w:tcBorders>
              <w:left w:val="nil"/>
              <w:right w:val="nil"/>
            </w:tcBorders>
            <w:shd w:val="clear" w:color="auto" w:fill="auto"/>
            <w:noWrap/>
            <w:vAlign w:val="center"/>
          </w:tcPr>
          <w:p w14:paraId="54EEDF98" w14:textId="77777777" w:rsidR="00B210DD" w:rsidRPr="00E77543" w:rsidRDefault="00B210DD" w:rsidP="0040594E">
            <w:pPr>
              <w:pStyle w:val="Tablebody"/>
              <w:rPr>
                <w:sz w:val="24"/>
                <w:szCs w:val="24"/>
              </w:rPr>
            </w:pPr>
            <w:r w:rsidRPr="00E77543">
              <w:rPr>
                <w:sz w:val="24"/>
                <w:szCs w:val="24"/>
              </w:rPr>
              <w:t>(12%)</w:t>
            </w:r>
          </w:p>
        </w:tc>
        <w:tc>
          <w:tcPr>
            <w:tcW w:w="662" w:type="dxa"/>
            <w:gridSpan w:val="2"/>
            <w:tcBorders>
              <w:left w:val="nil"/>
              <w:right w:val="nil"/>
            </w:tcBorders>
            <w:shd w:val="clear" w:color="auto" w:fill="auto"/>
            <w:noWrap/>
            <w:vAlign w:val="center"/>
          </w:tcPr>
          <w:p w14:paraId="6B04A567" w14:textId="77777777" w:rsidR="00B210DD" w:rsidRPr="00E77543" w:rsidRDefault="00B210DD" w:rsidP="0040594E">
            <w:pPr>
              <w:pStyle w:val="Tablebody"/>
              <w:rPr>
                <w:sz w:val="24"/>
                <w:szCs w:val="24"/>
              </w:rPr>
            </w:pPr>
            <w:r w:rsidRPr="00E77543">
              <w:rPr>
                <w:sz w:val="24"/>
                <w:szCs w:val="24"/>
              </w:rPr>
              <w:t>4.2</w:t>
            </w:r>
          </w:p>
        </w:tc>
        <w:tc>
          <w:tcPr>
            <w:tcW w:w="1435" w:type="dxa"/>
            <w:gridSpan w:val="2"/>
            <w:tcBorders>
              <w:left w:val="nil"/>
              <w:right w:val="nil"/>
            </w:tcBorders>
            <w:shd w:val="clear" w:color="auto" w:fill="auto"/>
            <w:noWrap/>
            <w:vAlign w:val="center"/>
          </w:tcPr>
          <w:p w14:paraId="2C4A62CB" w14:textId="77777777" w:rsidR="00B210DD" w:rsidRPr="00E77543" w:rsidRDefault="00B210DD" w:rsidP="0040594E">
            <w:pPr>
              <w:pStyle w:val="Tablebody"/>
              <w:rPr>
                <w:sz w:val="24"/>
                <w:szCs w:val="24"/>
              </w:rPr>
            </w:pPr>
            <w:r w:rsidRPr="00E77543">
              <w:rPr>
                <w:sz w:val="24"/>
                <w:szCs w:val="24"/>
              </w:rPr>
              <w:t>(0.3, 51)</w:t>
            </w:r>
          </w:p>
        </w:tc>
        <w:tc>
          <w:tcPr>
            <w:tcW w:w="1191" w:type="dxa"/>
            <w:gridSpan w:val="4"/>
            <w:tcBorders>
              <w:left w:val="nil"/>
            </w:tcBorders>
            <w:shd w:val="clear" w:color="auto" w:fill="auto"/>
            <w:noWrap/>
            <w:vAlign w:val="center"/>
          </w:tcPr>
          <w:p w14:paraId="3CBCE1AF" w14:textId="77777777" w:rsidR="00B210DD" w:rsidRPr="00E77543" w:rsidRDefault="00B210DD" w:rsidP="0040594E">
            <w:pPr>
              <w:pStyle w:val="Tablebody"/>
              <w:rPr>
                <w:sz w:val="24"/>
                <w:szCs w:val="24"/>
              </w:rPr>
            </w:pPr>
            <w:r w:rsidRPr="00E77543">
              <w:rPr>
                <w:sz w:val="24"/>
                <w:szCs w:val="24"/>
              </w:rPr>
              <w:t>0.26</w:t>
            </w:r>
          </w:p>
        </w:tc>
        <w:tc>
          <w:tcPr>
            <w:tcW w:w="985" w:type="dxa"/>
            <w:tcBorders>
              <w:left w:val="nil"/>
            </w:tcBorders>
            <w:vAlign w:val="bottom"/>
          </w:tcPr>
          <w:p w14:paraId="6DB0617F" w14:textId="77777777" w:rsidR="00B210DD" w:rsidRPr="00E77543" w:rsidRDefault="00B210DD" w:rsidP="0040594E">
            <w:pPr>
              <w:pStyle w:val="Tablebody"/>
              <w:rPr>
                <w:sz w:val="24"/>
                <w:szCs w:val="24"/>
              </w:rPr>
            </w:pPr>
          </w:p>
        </w:tc>
      </w:tr>
      <w:tr w:rsidR="00B210DD" w14:paraId="53041D88" w14:textId="22992B6A" w:rsidTr="00B210DD">
        <w:trPr>
          <w:gridAfter w:val="1"/>
          <w:wAfter w:w="107" w:type="dxa"/>
          <w:trHeight w:val="300"/>
        </w:trPr>
        <w:tc>
          <w:tcPr>
            <w:tcW w:w="1455" w:type="dxa"/>
            <w:tcBorders>
              <w:right w:val="nil"/>
            </w:tcBorders>
            <w:shd w:val="clear" w:color="auto" w:fill="auto"/>
            <w:noWrap/>
            <w:vAlign w:val="center"/>
            <w:hideMark/>
          </w:tcPr>
          <w:p w14:paraId="45CF6C96" w14:textId="77777777" w:rsidR="00B210DD" w:rsidRPr="00E77543" w:rsidRDefault="00B210DD" w:rsidP="00273A7C">
            <w:pPr>
              <w:pStyle w:val="Tablebody"/>
              <w:ind w:left="250"/>
              <w:rPr>
                <w:sz w:val="24"/>
                <w:szCs w:val="24"/>
              </w:rPr>
            </w:pPr>
            <w:r w:rsidRPr="00E77543">
              <w:rPr>
                <w:sz w:val="24"/>
                <w:szCs w:val="24"/>
              </w:rPr>
              <w:t>High</w:t>
            </w:r>
          </w:p>
        </w:tc>
        <w:tc>
          <w:tcPr>
            <w:tcW w:w="589" w:type="dxa"/>
            <w:tcBorders>
              <w:left w:val="nil"/>
              <w:right w:val="nil"/>
            </w:tcBorders>
            <w:shd w:val="clear" w:color="auto" w:fill="auto"/>
            <w:noWrap/>
            <w:vAlign w:val="center"/>
          </w:tcPr>
          <w:p w14:paraId="41858F35" w14:textId="77777777" w:rsidR="00B210DD" w:rsidRPr="00E77543" w:rsidRDefault="00B210DD" w:rsidP="0040594E">
            <w:pPr>
              <w:pStyle w:val="Tablebody"/>
              <w:rPr>
                <w:sz w:val="24"/>
                <w:szCs w:val="24"/>
              </w:rPr>
            </w:pPr>
            <w:r w:rsidRPr="00E77543">
              <w:rPr>
                <w:sz w:val="24"/>
                <w:szCs w:val="24"/>
              </w:rPr>
              <w:t>2</w:t>
            </w:r>
          </w:p>
        </w:tc>
        <w:tc>
          <w:tcPr>
            <w:tcW w:w="1112" w:type="dxa"/>
            <w:gridSpan w:val="2"/>
            <w:tcBorders>
              <w:left w:val="nil"/>
              <w:right w:val="nil"/>
            </w:tcBorders>
            <w:shd w:val="clear" w:color="auto" w:fill="auto"/>
            <w:noWrap/>
            <w:vAlign w:val="center"/>
          </w:tcPr>
          <w:p w14:paraId="3BD3C07E" w14:textId="77777777" w:rsidR="00B210DD" w:rsidRPr="00E77543" w:rsidRDefault="00B210DD" w:rsidP="0040594E">
            <w:pPr>
              <w:pStyle w:val="Tablebody"/>
              <w:rPr>
                <w:sz w:val="24"/>
                <w:szCs w:val="24"/>
              </w:rPr>
            </w:pPr>
            <w:r w:rsidRPr="00E77543">
              <w:rPr>
                <w:sz w:val="24"/>
                <w:szCs w:val="24"/>
              </w:rPr>
              <w:t>(13%)</w:t>
            </w:r>
          </w:p>
        </w:tc>
        <w:tc>
          <w:tcPr>
            <w:tcW w:w="598" w:type="dxa"/>
            <w:tcBorders>
              <w:left w:val="nil"/>
              <w:right w:val="nil"/>
            </w:tcBorders>
            <w:shd w:val="clear" w:color="auto" w:fill="auto"/>
            <w:noWrap/>
            <w:vAlign w:val="center"/>
          </w:tcPr>
          <w:p w14:paraId="458C6C41" w14:textId="77777777" w:rsidR="00B210DD" w:rsidRPr="00E77543" w:rsidRDefault="00B210DD" w:rsidP="0040594E">
            <w:pPr>
              <w:pStyle w:val="Tablebody"/>
              <w:rPr>
                <w:sz w:val="24"/>
                <w:szCs w:val="24"/>
              </w:rPr>
            </w:pPr>
            <w:r w:rsidRPr="00E77543">
              <w:rPr>
                <w:sz w:val="24"/>
                <w:szCs w:val="24"/>
              </w:rPr>
              <w:t>7</w:t>
            </w:r>
          </w:p>
        </w:tc>
        <w:tc>
          <w:tcPr>
            <w:tcW w:w="1260" w:type="dxa"/>
            <w:tcBorders>
              <w:left w:val="nil"/>
              <w:right w:val="nil"/>
            </w:tcBorders>
            <w:shd w:val="clear" w:color="auto" w:fill="auto"/>
            <w:noWrap/>
            <w:vAlign w:val="center"/>
          </w:tcPr>
          <w:p w14:paraId="3721C238" w14:textId="77777777" w:rsidR="00B210DD" w:rsidRPr="00E77543" w:rsidRDefault="00B210DD" w:rsidP="0040594E">
            <w:pPr>
              <w:pStyle w:val="Tablebody"/>
              <w:rPr>
                <w:sz w:val="24"/>
                <w:szCs w:val="24"/>
              </w:rPr>
            </w:pPr>
            <w:r w:rsidRPr="00E77543">
              <w:rPr>
                <w:sz w:val="24"/>
                <w:szCs w:val="24"/>
              </w:rPr>
              <w:t>(12%)</w:t>
            </w:r>
          </w:p>
        </w:tc>
        <w:tc>
          <w:tcPr>
            <w:tcW w:w="662" w:type="dxa"/>
            <w:gridSpan w:val="2"/>
            <w:tcBorders>
              <w:left w:val="nil"/>
              <w:right w:val="nil"/>
            </w:tcBorders>
            <w:shd w:val="clear" w:color="auto" w:fill="auto"/>
            <w:noWrap/>
            <w:vAlign w:val="center"/>
          </w:tcPr>
          <w:p w14:paraId="2524B88F" w14:textId="77777777" w:rsidR="00B210DD" w:rsidRPr="00E77543" w:rsidRDefault="00B210DD" w:rsidP="0040594E">
            <w:pPr>
              <w:pStyle w:val="Tablebody"/>
              <w:rPr>
                <w:sz w:val="24"/>
                <w:szCs w:val="24"/>
              </w:rPr>
            </w:pPr>
            <w:r w:rsidRPr="00E77543">
              <w:rPr>
                <w:sz w:val="24"/>
                <w:szCs w:val="24"/>
              </w:rPr>
              <w:t>1.3</w:t>
            </w:r>
          </w:p>
        </w:tc>
        <w:tc>
          <w:tcPr>
            <w:tcW w:w="1435" w:type="dxa"/>
            <w:gridSpan w:val="2"/>
            <w:tcBorders>
              <w:left w:val="nil"/>
              <w:right w:val="nil"/>
            </w:tcBorders>
            <w:shd w:val="clear" w:color="auto" w:fill="auto"/>
            <w:noWrap/>
            <w:vAlign w:val="center"/>
          </w:tcPr>
          <w:p w14:paraId="0CC9141A" w14:textId="77777777" w:rsidR="00B210DD" w:rsidRPr="00E77543" w:rsidRDefault="00B210DD" w:rsidP="0040594E">
            <w:pPr>
              <w:pStyle w:val="Tablebody"/>
              <w:rPr>
                <w:sz w:val="24"/>
                <w:szCs w:val="24"/>
              </w:rPr>
            </w:pPr>
            <w:r w:rsidRPr="00E77543">
              <w:rPr>
                <w:sz w:val="24"/>
                <w:szCs w:val="24"/>
              </w:rPr>
              <w:t>(0.1, 13)</w:t>
            </w:r>
          </w:p>
        </w:tc>
        <w:tc>
          <w:tcPr>
            <w:tcW w:w="1191" w:type="dxa"/>
            <w:gridSpan w:val="4"/>
            <w:tcBorders>
              <w:left w:val="nil"/>
            </w:tcBorders>
            <w:shd w:val="clear" w:color="auto" w:fill="auto"/>
            <w:noWrap/>
            <w:vAlign w:val="center"/>
          </w:tcPr>
          <w:p w14:paraId="1914EE3B" w14:textId="77777777" w:rsidR="00B210DD" w:rsidRPr="00E77543" w:rsidRDefault="00B210DD" w:rsidP="0040594E">
            <w:pPr>
              <w:pStyle w:val="Tablebody"/>
              <w:rPr>
                <w:sz w:val="24"/>
                <w:szCs w:val="24"/>
              </w:rPr>
            </w:pPr>
            <w:r w:rsidRPr="00E77543">
              <w:rPr>
                <w:sz w:val="24"/>
                <w:szCs w:val="24"/>
              </w:rPr>
              <w:t>0.81</w:t>
            </w:r>
          </w:p>
        </w:tc>
        <w:tc>
          <w:tcPr>
            <w:tcW w:w="985" w:type="dxa"/>
            <w:tcBorders>
              <w:left w:val="nil"/>
            </w:tcBorders>
            <w:vAlign w:val="center"/>
          </w:tcPr>
          <w:p w14:paraId="69235919" w14:textId="0084F83C" w:rsidR="00B210DD" w:rsidRPr="00E77543" w:rsidRDefault="0013753B" w:rsidP="0040594E">
            <w:pPr>
              <w:pStyle w:val="Tablebody"/>
              <w:rPr>
                <w:sz w:val="24"/>
                <w:szCs w:val="24"/>
              </w:rPr>
            </w:pPr>
            <w:r w:rsidRPr="00E77543">
              <w:rPr>
                <w:sz w:val="24"/>
                <w:szCs w:val="24"/>
              </w:rPr>
              <w:t>0.</w:t>
            </w:r>
            <w:r w:rsidR="00542A0D" w:rsidRPr="00E77543">
              <w:rPr>
                <w:sz w:val="24"/>
                <w:szCs w:val="24"/>
              </w:rPr>
              <w:t>80</w:t>
            </w:r>
          </w:p>
        </w:tc>
      </w:tr>
      <w:tr w:rsidR="00B210DD" w14:paraId="2C703039" w14:textId="0C1DFAE3" w:rsidTr="00B210DD">
        <w:trPr>
          <w:gridAfter w:val="1"/>
          <w:wAfter w:w="107" w:type="dxa"/>
          <w:trHeight w:val="300"/>
        </w:trPr>
        <w:tc>
          <w:tcPr>
            <w:tcW w:w="1455" w:type="dxa"/>
            <w:tcBorders>
              <w:top w:val="nil"/>
              <w:bottom w:val="nil"/>
              <w:right w:val="nil"/>
            </w:tcBorders>
            <w:shd w:val="clear" w:color="auto" w:fill="D9D9D9" w:themeFill="background1" w:themeFillShade="D9"/>
            <w:noWrap/>
            <w:vAlign w:val="center"/>
            <w:hideMark/>
          </w:tcPr>
          <w:p w14:paraId="5FEDCAEA" w14:textId="77777777" w:rsidR="00B210DD" w:rsidRPr="00E77543" w:rsidRDefault="00B210DD" w:rsidP="0040594E">
            <w:pPr>
              <w:pStyle w:val="Tablebody"/>
              <w:rPr>
                <w:sz w:val="24"/>
                <w:szCs w:val="24"/>
              </w:rPr>
            </w:pPr>
          </w:p>
        </w:tc>
        <w:tc>
          <w:tcPr>
            <w:tcW w:w="1701" w:type="dxa"/>
            <w:gridSpan w:val="3"/>
            <w:tcBorders>
              <w:left w:val="nil"/>
              <w:right w:val="nil"/>
            </w:tcBorders>
            <w:shd w:val="clear" w:color="auto" w:fill="D9D9D9" w:themeFill="background1" w:themeFillShade="D9"/>
            <w:noWrap/>
            <w:vAlign w:val="center"/>
            <w:hideMark/>
          </w:tcPr>
          <w:p w14:paraId="408E4B0D" w14:textId="77777777" w:rsidR="00B210DD" w:rsidRPr="00E77543" w:rsidRDefault="00B210DD" w:rsidP="0040594E">
            <w:pPr>
              <w:pStyle w:val="Tablebody"/>
              <w:rPr>
                <w:sz w:val="24"/>
                <w:szCs w:val="24"/>
              </w:rPr>
            </w:pPr>
            <w:r w:rsidRPr="00E77543">
              <w:rPr>
                <w:sz w:val="24"/>
                <w:szCs w:val="24"/>
              </w:rPr>
              <w:t>Cases (n=13)</w:t>
            </w:r>
          </w:p>
        </w:tc>
        <w:tc>
          <w:tcPr>
            <w:tcW w:w="1858" w:type="dxa"/>
            <w:gridSpan w:val="2"/>
            <w:tcBorders>
              <w:left w:val="nil"/>
              <w:right w:val="nil"/>
            </w:tcBorders>
            <w:shd w:val="clear" w:color="auto" w:fill="D9D9D9" w:themeFill="background1" w:themeFillShade="D9"/>
            <w:noWrap/>
            <w:vAlign w:val="center"/>
            <w:hideMark/>
          </w:tcPr>
          <w:p w14:paraId="2DE1F59C" w14:textId="77777777" w:rsidR="00B210DD" w:rsidRPr="00E77543" w:rsidRDefault="00B210DD" w:rsidP="0040594E">
            <w:pPr>
              <w:pStyle w:val="Tablebody"/>
              <w:rPr>
                <w:sz w:val="24"/>
                <w:szCs w:val="24"/>
              </w:rPr>
            </w:pPr>
            <w:r w:rsidRPr="00E77543">
              <w:rPr>
                <w:sz w:val="24"/>
                <w:szCs w:val="24"/>
              </w:rPr>
              <w:t>Controls (n=45)</w:t>
            </w:r>
          </w:p>
        </w:tc>
        <w:tc>
          <w:tcPr>
            <w:tcW w:w="662" w:type="dxa"/>
            <w:gridSpan w:val="2"/>
            <w:tcBorders>
              <w:top w:val="nil"/>
              <w:left w:val="nil"/>
            </w:tcBorders>
            <w:shd w:val="clear" w:color="auto" w:fill="D9D9D9" w:themeFill="background1" w:themeFillShade="D9"/>
            <w:noWrap/>
            <w:vAlign w:val="center"/>
          </w:tcPr>
          <w:p w14:paraId="50982AE0" w14:textId="77777777" w:rsidR="00B210DD" w:rsidRPr="00E77543" w:rsidRDefault="00B210DD" w:rsidP="0040594E">
            <w:pPr>
              <w:pStyle w:val="Tablebody"/>
              <w:rPr>
                <w:sz w:val="24"/>
                <w:szCs w:val="24"/>
              </w:rPr>
            </w:pPr>
          </w:p>
        </w:tc>
        <w:tc>
          <w:tcPr>
            <w:tcW w:w="1435" w:type="dxa"/>
            <w:gridSpan w:val="2"/>
            <w:tcBorders>
              <w:top w:val="nil"/>
            </w:tcBorders>
            <w:shd w:val="clear" w:color="auto" w:fill="D9D9D9" w:themeFill="background1" w:themeFillShade="D9"/>
            <w:vAlign w:val="center"/>
          </w:tcPr>
          <w:p w14:paraId="78B1BEF8" w14:textId="77777777" w:rsidR="00B210DD" w:rsidRPr="00E77543" w:rsidRDefault="00B210DD" w:rsidP="0040594E">
            <w:pPr>
              <w:pStyle w:val="Tablebody"/>
              <w:rPr>
                <w:sz w:val="24"/>
                <w:szCs w:val="24"/>
              </w:rPr>
            </w:pPr>
          </w:p>
        </w:tc>
        <w:tc>
          <w:tcPr>
            <w:tcW w:w="1191" w:type="dxa"/>
            <w:gridSpan w:val="4"/>
            <w:tcBorders>
              <w:top w:val="nil"/>
            </w:tcBorders>
            <w:shd w:val="clear" w:color="auto" w:fill="D9D9D9" w:themeFill="background1" w:themeFillShade="D9"/>
            <w:vAlign w:val="center"/>
          </w:tcPr>
          <w:p w14:paraId="55F82A00" w14:textId="77777777" w:rsidR="00B210DD" w:rsidRPr="00E77543" w:rsidRDefault="00B210DD" w:rsidP="0040594E">
            <w:pPr>
              <w:pStyle w:val="Tablebody"/>
              <w:rPr>
                <w:sz w:val="24"/>
                <w:szCs w:val="24"/>
              </w:rPr>
            </w:pPr>
          </w:p>
        </w:tc>
        <w:tc>
          <w:tcPr>
            <w:tcW w:w="985" w:type="dxa"/>
            <w:shd w:val="clear" w:color="auto" w:fill="D9D9D9" w:themeFill="background1" w:themeFillShade="D9"/>
            <w:vAlign w:val="bottom"/>
          </w:tcPr>
          <w:p w14:paraId="752E9208" w14:textId="2F9A8735" w:rsidR="00B210DD" w:rsidRPr="00E77543" w:rsidRDefault="00B210DD" w:rsidP="0040594E">
            <w:pPr>
              <w:pStyle w:val="Tablebody"/>
              <w:rPr>
                <w:sz w:val="24"/>
                <w:szCs w:val="24"/>
              </w:rPr>
            </w:pPr>
          </w:p>
        </w:tc>
      </w:tr>
      <w:tr w:rsidR="00B210DD" w14:paraId="7D69D5F7" w14:textId="16A52642" w:rsidTr="00B210DD">
        <w:trPr>
          <w:gridAfter w:val="1"/>
          <w:wAfter w:w="107" w:type="dxa"/>
          <w:trHeight w:val="300"/>
        </w:trPr>
        <w:tc>
          <w:tcPr>
            <w:tcW w:w="1455" w:type="dxa"/>
            <w:tcBorders>
              <w:top w:val="nil"/>
              <w:right w:val="nil"/>
            </w:tcBorders>
            <w:shd w:val="clear" w:color="auto" w:fill="D9D9D9" w:themeFill="background1" w:themeFillShade="D9"/>
            <w:noWrap/>
            <w:vAlign w:val="center"/>
          </w:tcPr>
          <w:p w14:paraId="66F6B599" w14:textId="77777777" w:rsidR="00B210DD" w:rsidRPr="00E77543" w:rsidRDefault="00B210DD" w:rsidP="0040594E">
            <w:pPr>
              <w:pStyle w:val="Tablebody"/>
              <w:rPr>
                <w:sz w:val="24"/>
                <w:szCs w:val="24"/>
              </w:rPr>
            </w:pPr>
            <w:r w:rsidRPr="00E77543">
              <w:rPr>
                <w:sz w:val="24"/>
                <w:szCs w:val="24"/>
              </w:rPr>
              <w:t>Childhood</w:t>
            </w:r>
          </w:p>
        </w:tc>
        <w:tc>
          <w:tcPr>
            <w:tcW w:w="589" w:type="dxa"/>
            <w:tcBorders>
              <w:top w:val="nil"/>
              <w:left w:val="nil"/>
              <w:bottom w:val="single" w:sz="4" w:space="0" w:color="auto"/>
              <w:right w:val="nil"/>
            </w:tcBorders>
            <w:shd w:val="clear" w:color="auto" w:fill="D9D9D9" w:themeFill="background1" w:themeFillShade="D9"/>
            <w:noWrap/>
            <w:vAlign w:val="center"/>
            <w:hideMark/>
          </w:tcPr>
          <w:p w14:paraId="21A1A5F2" w14:textId="77777777" w:rsidR="00B210DD" w:rsidRPr="00E77543" w:rsidRDefault="00B210DD" w:rsidP="0040594E">
            <w:pPr>
              <w:pStyle w:val="Tablebody"/>
              <w:rPr>
                <w:sz w:val="24"/>
                <w:szCs w:val="24"/>
              </w:rPr>
            </w:pPr>
            <w:r w:rsidRPr="00E77543">
              <w:rPr>
                <w:sz w:val="24"/>
                <w:szCs w:val="24"/>
              </w:rPr>
              <w:t>n</w:t>
            </w:r>
          </w:p>
        </w:tc>
        <w:tc>
          <w:tcPr>
            <w:tcW w:w="1112" w:type="dxa"/>
            <w:gridSpan w:val="2"/>
            <w:tcBorders>
              <w:top w:val="nil"/>
              <w:left w:val="nil"/>
              <w:bottom w:val="single" w:sz="4" w:space="0" w:color="auto"/>
              <w:right w:val="nil"/>
            </w:tcBorders>
            <w:shd w:val="clear" w:color="auto" w:fill="D9D9D9" w:themeFill="background1" w:themeFillShade="D9"/>
            <w:noWrap/>
            <w:vAlign w:val="center"/>
            <w:hideMark/>
          </w:tcPr>
          <w:p w14:paraId="5167F5F3" w14:textId="77777777" w:rsidR="00B210DD" w:rsidRPr="00E77543" w:rsidRDefault="00B210DD" w:rsidP="0040594E">
            <w:pPr>
              <w:pStyle w:val="Tablebody"/>
              <w:rPr>
                <w:sz w:val="24"/>
                <w:szCs w:val="24"/>
              </w:rPr>
            </w:pPr>
            <w:r w:rsidRPr="00E77543">
              <w:rPr>
                <w:sz w:val="24"/>
                <w:szCs w:val="24"/>
              </w:rPr>
              <w:t>(%)</w:t>
            </w:r>
          </w:p>
        </w:tc>
        <w:tc>
          <w:tcPr>
            <w:tcW w:w="598" w:type="dxa"/>
            <w:tcBorders>
              <w:top w:val="nil"/>
              <w:left w:val="nil"/>
              <w:bottom w:val="single" w:sz="4" w:space="0" w:color="auto"/>
              <w:right w:val="nil"/>
            </w:tcBorders>
            <w:shd w:val="clear" w:color="auto" w:fill="D9D9D9" w:themeFill="background1" w:themeFillShade="D9"/>
            <w:noWrap/>
            <w:vAlign w:val="center"/>
            <w:hideMark/>
          </w:tcPr>
          <w:p w14:paraId="1C535E98" w14:textId="77777777" w:rsidR="00B210DD" w:rsidRPr="00E77543" w:rsidRDefault="00B210DD" w:rsidP="0040594E">
            <w:pPr>
              <w:pStyle w:val="Tablebody"/>
              <w:rPr>
                <w:sz w:val="24"/>
                <w:szCs w:val="24"/>
              </w:rPr>
            </w:pPr>
            <w:r w:rsidRPr="00E77543">
              <w:rPr>
                <w:sz w:val="24"/>
                <w:szCs w:val="24"/>
              </w:rPr>
              <w:t>n</w:t>
            </w:r>
          </w:p>
        </w:tc>
        <w:tc>
          <w:tcPr>
            <w:tcW w:w="1260" w:type="dxa"/>
            <w:tcBorders>
              <w:top w:val="nil"/>
              <w:left w:val="nil"/>
              <w:bottom w:val="single" w:sz="4" w:space="0" w:color="auto"/>
              <w:right w:val="nil"/>
            </w:tcBorders>
            <w:shd w:val="clear" w:color="auto" w:fill="D9D9D9" w:themeFill="background1" w:themeFillShade="D9"/>
            <w:noWrap/>
            <w:vAlign w:val="center"/>
            <w:hideMark/>
          </w:tcPr>
          <w:p w14:paraId="4560B599" w14:textId="77777777" w:rsidR="00B210DD" w:rsidRPr="00E77543" w:rsidRDefault="00B210DD" w:rsidP="0040594E">
            <w:pPr>
              <w:pStyle w:val="Tablebody"/>
              <w:rPr>
                <w:sz w:val="24"/>
                <w:szCs w:val="24"/>
              </w:rPr>
            </w:pPr>
            <w:r w:rsidRPr="00E77543">
              <w:rPr>
                <w:sz w:val="24"/>
                <w:szCs w:val="24"/>
              </w:rPr>
              <w:t>(%)</w:t>
            </w:r>
          </w:p>
        </w:tc>
        <w:tc>
          <w:tcPr>
            <w:tcW w:w="662" w:type="dxa"/>
            <w:gridSpan w:val="2"/>
            <w:tcBorders>
              <w:left w:val="nil"/>
            </w:tcBorders>
            <w:shd w:val="clear" w:color="auto" w:fill="D9D9D9" w:themeFill="background1" w:themeFillShade="D9"/>
            <w:vAlign w:val="center"/>
          </w:tcPr>
          <w:p w14:paraId="2A239A41" w14:textId="77777777" w:rsidR="00B210DD" w:rsidRPr="00E77543" w:rsidRDefault="00B210DD" w:rsidP="0040594E">
            <w:pPr>
              <w:pStyle w:val="Tablebody"/>
              <w:rPr>
                <w:sz w:val="24"/>
                <w:szCs w:val="24"/>
              </w:rPr>
            </w:pPr>
          </w:p>
        </w:tc>
        <w:tc>
          <w:tcPr>
            <w:tcW w:w="1435" w:type="dxa"/>
            <w:gridSpan w:val="2"/>
            <w:shd w:val="clear" w:color="auto" w:fill="D9D9D9" w:themeFill="background1" w:themeFillShade="D9"/>
            <w:vAlign w:val="center"/>
          </w:tcPr>
          <w:p w14:paraId="32E18A21" w14:textId="77777777" w:rsidR="00B210DD" w:rsidRPr="00E77543" w:rsidRDefault="00B210DD" w:rsidP="0040594E">
            <w:pPr>
              <w:pStyle w:val="Tablebody"/>
              <w:rPr>
                <w:sz w:val="24"/>
                <w:szCs w:val="24"/>
              </w:rPr>
            </w:pPr>
          </w:p>
        </w:tc>
        <w:tc>
          <w:tcPr>
            <w:tcW w:w="1191" w:type="dxa"/>
            <w:gridSpan w:val="4"/>
            <w:shd w:val="clear" w:color="auto" w:fill="D9D9D9" w:themeFill="background1" w:themeFillShade="D9"/>
            <w:vAlign w:val="center"/>
          </w:tcPr>
          <w:p w14:paraId="117CD7A7" w14:textId="77777777" w:rsidR="00B210DD" w:rsidRPr="00E77543" w:rsidRDefault="00B210DD" w:rsidP="0040594E">
            <w:pPr>
              <w:pStyle w:val="Tablebody"/>
              <w:rPr>
                <w:sz w:val="24"/>
                <w:szCs w:val="24"/>
              </w:rPr>
            </w:pPr>
          </w:p>
        </w:tc>
        <w:tc>
          <w:tcPr>
            <w:tcW w:w="985" w:type="dxa"/>
            <w:shd w:val="clear" w:color="auto" w:fill="D9D9D9" w:themeFill="background1" w:themeFillShade="D9"/>
            <w:vAlign w:val="bottom"/>
          </w:tcPr>
          <w:p w14:paraId="58B97449" w14:textId="25362761" w:rsidR="00B210DD" w:rsidRPr="00E77543" w:rsidRDefault="00B210DD" w:rsidP="0040594E">
            <w:pPr>
              <w:pStyle w:val="Tablebody"/>
              <w:rPr>
                <w:sz w:val="24"/>
                <w:szCs w:val="24"/>
              </w:rPr>
            </w:pPr>
          </w:p>
        </w:tc>
      </w:tr>
      <w:tr w:rsidR="00B210DD" w14:paraId="11ED7C8F" w14:textId="5DAF0B34" w:rsidTr="00B210DD">
        <w:trPr>
          <w:gridAfter w:val="1"/>
          <w:wAfter w:w="107" w:type="dxa"/>
          <w:trHeight w:val="300"/>
        </w:trPr>
        <w:tc>
          <w:tcPr>
            <w:tcW w:w="1455" w:type="dxa"/>
            <w:tcBorders>
              <w:right w:val="nil"/>
            </w:tcBorders>
            <w:shd w:val="clear" w:color="auto" w:fill="D9D9D9" w:themeFill="background1" w:themeFillShade="D9"/>
            <w:noWrap/>
            <w:vAlign w:val="center"/>
            <w:hideMark/>
          </w:tcPr>
          <w:p w14:paraId="60425CB0" w14:textId="77777777" w:rsidR="00B210DD" w:rsidRPr="00E77543" w:rsidRDefault="00B210DD" w:rsidP="009F25CA">
            <w:pPr>
              <w:pStyle w:val="Tablebody"/>
              <w:ind w:left="250"/>
              <w:rPr>
                <w:sz w:val="24"/>
                <w:szCs w:val="24"/>
              </w:rPr>
            </w:pPr>
            <w:r w:rsidRPr="00E77543">
              <w:rPr>
                <w:sz w:val="24"/>
                <w:szCs w:val="24"/>
              </w:rPr>
              <w:t>Zero</w:t>
            </w:r>
          </w:p>
        </w:tc>
        <w:tc>
          <w:tcPr>
            <w:tcW w:w="589" w:type="dxa"/>
            <w:tcBorders>
              <w:left w:val="nil"/>
              <w:right w:val="nil"/>
            </w:tcBorders>
            <w:shd w:val="clear" w:color="auto" w:fill="D9D9D9" w:themeFill="background1" w:themeFillShade="D9"/>
            <w:noWrap/>
            <w:vAlign w:val="center"/>
          </w:tcPr>
          <w:p w14:paraId="6CEAC4CB" w14:textId="77777777" w:rsidR="00B210DD" w:rsidRPr="00E77543" w:rsidRDefault="00B210DD" w:rsidP="0040594E">
            <w:pPr>
              <w:pStyle w:val="Tablebody"/>
              <w:rPr>
                <w:sz w:val="24"/>
                <w:szCs w:val="24"/>
              </w:rPr>
            </w:pPr>
            <w:r w:rsidRPr="00E77543">
              <w:rPr>
                <w:sz w:val="24"/>
                <w:szCs w:val="24"/>
              </w:rPr>
              <w:t>7</w:t>
            </w:r>
          </w:p>
        </w:tc>
        <w:tc>
          <w:tcPr>
            <w:tcW w:w="1112" w:type="dxa"/>
            <w:gridSpan w:val="2"/>
            <w:tcBorders>
              <w:left w:val="nil"/>
              <w:right w:val="nil"/>
            </w:tcBorders>
            <w:shd w:val="clear" w:color="auto" w:fill="D9D9D9" w:themeFill="background1" w:themeFillShade="D9"/>
            <w:noWrap/>
            <w:vAlign w:val="center"/>
          </w:tcPr>
          <w:p w14:paraId="058C9F6E" w14:textId="77777777" w:rsidR="00B210DD" w:rsidRPr="00E77543" w:rsidRDefault="00B210DD" w:rsidP="0040594E">
            <w:pPr>
              <w:pStyle w:val="Tablebody"/>
              <w:rPr>
                <w:sz w:val="24"/>
                <w:szCs w:val="24"/>
              </w:rPr>
            </w:pPr>
            <w:r w:rsidRPr="00E77543">
              <w:rPr>
                <w:sz w:val="24"/>
                <w:szCs w:val="24"/>
              </w:rPr>
              <w:t>(54%)</w:t>
            </w:r>
          </w:p>
        </w:tc>
        <w:tc>
          <w:tcPr>
            <w:tcW w:w="598" w:type="dxa"/>
            <w:tcBorders>
              <w:left w:val="nil"/>
              <w:right w:val="nil"/>
            </w:tcBorders>
            <w:shd w:val="clear" w:color="auto" w:fill="D9D9D9" w:themeFill="background1" w:themeFillShade="D9"/>
            <w:noWrap/>
            <w:vAlign w:val="center"/>
          </w:tcPr>
          <w:p w14:paraId="7ECCDFDA" w14:textId="77777777" w:rsidR="00B210DD" w:rsidRPr="00E77543" w:rsidRDefault="00B210DD" w:rsidP="0040594E">
            <w:pPr>
              <w:pStyle w:val="Tablebody"/>
              <w:rPr>
                <w:sz w:val="24"/>
                <w:szCs w:val="24"/>
              </w:rPr>
            </w:pPr>
            <w:r w:rsidRPr="00E77543">
              <w:rPr>
                <w:sz w:val="24"/>
                <w:szCs w:val="24"/>
              </w:rPr>
              <w:t>21</w:t>
            </w:r>
          </w:p>
        </w:tc>
        <w:tc>
          <w:tcPr>
            <w:tcW w:w="1260" w:type="dxa"/>
            <w:tcBorders>
              <w:left w:val="nil"/>
              <w:right w:val="nil"/>
            </w:tcBorders>
            <w:shd w:val="clear" w:color="auto" w:fill="D9D9D9" w:themeFill="background1" w:themeFillShade="D9"/>
            <w:noWrap/>
            <w:vAlign w:val="center"/>
          </w:tcPr>
          <w:p w14:paraId="14B4A46F" w14:textId="77777777" w:rsidR="00B210DD" w:rsidRPr="00E77543" w:rsidRDefault="00B210DD" w:rsidP="0040594E">
            <w:pPr>
              <w:pStyle w:val="Tablebody"/>
              <w:rPr>
                <w:sz w:val="24"/>
                <w:szCs w:val="24"/>
              </w:rPr>
            </w:pPr>
            <w:r w:rsidRPr="00E77543">
              <w:rPr>
                <w:sz w:val="24"/>
                <w:szCs w:val="24"/>
              </w:rPr>
              <w:t>(47%)</w:t>
            </w:r>
          </w:p>
        </w:tc>
        <w:tc>
          <w:tcPr>
            <w:tcW w:w="662" w:type="dxa"/>
            <w:gridSpan w:val="2"/>
            <w:tcBorders>
              <w:left w:val="nil"/>
              <w:right w:val="nil"/>
            </w:tcBorders>
            <w:shd w:val="clear" w:color="auto" w:fill="D9D9D9" w:themeFill="background1" w:themeFillShade="D9"/>
            <w:noWrap/>
            <w:vAlign w:val="center"/>
          </w:tcPr>
          <w:p w14:paraId="71150213" w14:textId="77777777" w:rsidR="00B210DD" w:rsidRPr="00E77543" w:rsidRDefault="00B210DD" w:rsidP="0040594E">
            <w:pPr>
              <w:pStyle w:val="Tablebody"/>
              <w:rPr>
                <w:sz w:val="24"/>
                <w:szCs w:val="24"/>
              </w:rPr>
            </w:pPr>
            <w:r w:rsidRPr="00E77543">
              <w:rPr>
                <w:sz w:val="24"/>
                <w:szCs w:val="24"/>
              </w:rPr>
              <w:t>1.0</w:t>
            </w:r>
          </w:p>
        </w:tc>
        <w:tc>
          <w:tcPr>
            <w:tcW w:w="2626" w:type="dxa"/>
            <w:gridSpan w:val="6"/>
            <w:tcBorders>
              <w:left w:val="nil"/>
            </w:tcBorders>
            <w:shd w:val="clear" w:color="auto" w:fill="D9D9D9" w:themeFill="background1" w:themeFillShade="D9"/>
            <w:noWrap/>
            <w:vAlign w:val="center"/>
          </w:tcPr>
          <w:p w14:paraId="4DFD853E" w14:textId="77777777" w:rsidR="00B210DD" w:rsidRPr="00E77543" w:rsidRDefault="00B210DD" w:rsidP="0040594E">
            <w:pPr>
              <w:pStyle w:val="Tablebody"/>
              <w:rPr>
                <w:sz w:val="24"/>
                <w:szCs w:val="24"/>
              </w:rPr>
            </w:pPr>
            <w:r w:rsidRPr="00E77543">
              <w:rPr>
                <w:sz w:val="24"/>
                <w:szCs w:val="24"/>
              </w:rPr>
              <w:t>-ref-</w:t>
            </w:r>
          </w:p>
        </w:tc>
        <w:tc>
          <w:tcPr>
            <w:tcW w:w="985" w:type="dxa"/>
            <w:tcBorders>
              <w:left w:val="nil"/>
            </w:tcBorders>
            <w:shd w:val="clear" w:color="auto" w:fill="D9D9D9" w:themeFill="background1" w:themeFillShade="D9"/>
            <w:vAlign w:val="bottom"/>
          </w:tcPr>
          <w:p w14:paraId="1F4DBF4E" w14:textId="77777777" w:rsidR="00B210DD" w:rsidRPr="00E77543" w:rsidRDefault="00B210DD" w:rsidP="0040594E">
            <w:pPr>
              <w:pStyle w:val="Tablebody"/>
              <w:rPr>
                <w:sz w:val="24"/>
                <w:szCs w:val="24"/>
              </w:rPr>
            </w:pPr>
          </w:p>
        </w:tc>
      </w:tr>
      <w:tr w:rsidR="00B210DD" w14:paraId="24EB88BA" w14:textId="04B0DF04" w:rsidTr="00B210DD">
        <w:trPr>
          <w:gridAfter w:val="1"/>
          <w:wAfter w:w="107" w:type="dxa"/>
          <w:trHeight w:val="300"/>
        </w:trPr>
        <w:tc>
          <w:tcPr>
            <w:tcW w:w="1455" w:type="dxa"/>
            <w:tcBorders>
              <w:right w:val="nil"/>
            </w:tcBorders>
            <w:shd w:val="clear" w:color="auto" w:fill="D9D9D9" w:themeFill="background1" w:themeFillShade="D9"/>
            <w:noWrap/>
            <w:vAlign w:val="center"/>
          </w:tcPr>
          <w:p w14:paraId="5ED0360A" w14:textId="77777777" w:rsidR="00B210DD" w:rsidRPr="00E77543" w:rsidRDefault="00B210DD" w:rsidP="009F25CA">
            <w:pPr>
              <w:pStyle w:val="Tablebody"/>
              <w:ind w:left="250"/>
              <w:rPr>
                <w:sz w:val="24"/>
                <w:szCs w:val="24"/>
              </w:rPr>
            </w:pPr>
            <w:r w:rsidRPr="00E77543">
              <w:rPr>
                <w:sz w:val="24"/>
                <w:szCs w:val="24"/>
              </w:rPr>
              <w:t>Low</w:t>
            </w:r>
          </w:p>
        </w:tc>
        <w:tc>
          <w:tcPr>
            <w:tcW w:w="589" w:type="dxa"/>
            <w:tcBorders>
              <w:left w:val="nil"/>
              <w:right w:val="nil"/>
            </w:tcBorders>
            <w:shd w:val="clear" w:color="auto" w:fill="D9D9D9" w:themeFill="background1" w:themeFillShade="D9"/>
            <w:noWrap/>
            <w:vAlign w:val="center"/>
          </w:tcPr>
          <w:p w14:paraId="74B61165" w14:textId="77777777" w:rsidR="00B210DD" w:rsidRPr="00E77543" w:rsidRDefault="00B210DD" w:rsidP="0040594E">
            <w:pPr>
              <w:pStyle w:val="Tablebody"/>
              <w:rPr>
                <w:sz w:val="24"/>
                <w:szCs w:val="24"/>
              </w:rPr>
            </w:pPr>
            <w:r w:rsidRPr="00E77543">
              <w:rPr>
                <w:sz w:val="24"/>
                <w:szCs w:val="24"/>
              </w:rPr>
              <w:t>2</w:t>
            </w:r>
          </w:p>
        </w:tc>
        <w:tc>
          <w:tcPr>
            <w:tcW w:w="1112" w:type="dxa"/>
            <w:gridSpan w:val="2"/>
            <w:tcBorders>
              <w:left w:val="nil"/>
              <w:right w:val="nil"/>
            </w:tcBorders>
            <w:shd w:val="clear" w:color="auto" w:fill="D9D9D9" w:themeFill="background1" w:themeFillShade="D9"/>
            <w:noWrap/>
            <w:vAlign w:val="center"/>
          </w:tcPr>
          <w:p w14:paraId="07C641E3" w14:textId="77777777" w:rsidR="00B210DD" w:rsidRPr="00E77543" w:rsidRDefault="00B210DD" w:rsidP="0040594E">
            <w:pPr>
              <w:pStyle w:val="Tablebody"/>
              <w:rPr>
                <w:sz w:val="24"/>
                <w:szCs w:val="24"/>
              </w:rPr>
            </w:pPr>
            <w:r w:rsidRPr="00E77543">
              <w:rPr>
                <w:sz w:val="24"/>
                <w:szCs w:val="24"/>
              </w:rPr>
              <w:t>(15%)</w:t>
            </w:r>
          </w:p>
        </w:tc>
        <w:tc>
          <w:tcPr>
            <w:tcW w:w="598" w:type="dxa"/>
            <w:tcBorders>
              <w:left w:val="nil"/>
              <w:right w:val="nil"/>
            </w:tcBorders>
            <w:shd w:val="clear" w:color="auto" w:fill="D9D9D9" w:themeFill="background1" w:themeFillShade="D9"/>
            <w:noWrap/>
            <w:vAlign w:val="center"/>
          </w:tcPr>
          <w:p w14:paraId="5BDA4E0C" w14:textId="77777777" w:rsidR="00B210DD" w:rsidRPr="00E77543" w:rsidRDefault="00B210DD" w:rsidP="0040594E">
            <w:pPr>
              <w:pStyle w:val="Tablebody"/>
              <w:rPr>
                <w:sz w:val="24"/>
                <w:szCs w:val="24"/>
              </w:rPr>
            </w:pPr>
            <w:r w:rsidRPr="00E77543">
              <w:rPr>
                <w:sz w:val="24"/>
                <w:szCs w:val="24"/>
              </w:rPr>
              <w:t>13</w:t>
            </w:r>
          </w:p>
        </w:tc>
        <w:tc>
          <w:tcPr>
            <w:tcW w:w="1260" w:type="dxa"/>
            <w:tcBorders>
              <w:left w:val="nil"/>
              <w:right w:val="nil"/>
            </w:tcBorders>
            <w:shd w:val="clear" w:color="auto" w:fill="D9D9D9" w:themeFill="background1" w:themeFillShade="D9"/>
            <w:noWrap/>
            <w:vAlign w:val="center"/>
          </w:tcPr>
          <w:p w14:paraId="60F0FF1E" w14:textId="77777777" w:rsidR="00B210DD" w:rsidRPr="00E77543" w:rsidRDefault="00B210DD" w:rsidP="0040594E">
            <w:pPr>
              <w:pStyle w:val="Tablebody"/>
              <w:rPr>
                <w:sz w:val="24"/>
                <w:szCs w:val="24"/>
              </w:rPr>
            </w:pPr>
            <w:r w:rsidRPr="00E77543">
              <w:rPr>
                <w:sz w:val="24"/>
                <w:szCs w:val="24"/>
              </w:rPr>
              <w:t>(29%)</w:t>
            </w:r>
          </w:p>
        </w:tc>
        <w:tc>
          <w:tcPr>
            <w:tcW w:w="662" w:type="dxa"/>
            <w:gridSpan w:val="2"/>
            <w:tcBorders>
              <w:left w:val="nil"/>
              <w:right w:val="nil"/>
            </w:tcBorders>
            <w:shd w:val="clear" w:color="auto" w:fill="D9D9D9" w:themeFill="background1" w:themeFillShade="D9"/>
            <w:noWrap/>
            <w:vAlign w:val="center"/>
          </w:tcPr>
          <w:p w14:paraId="18781D29" w14:textId="77777777" w:rsidR="00B210DD" w:rsidRPr="00E77543" w:rsidRDefault="00B210DD" w:rsidP="0040594E">
            <w:pPr>
              <w:pStyle w:val="Tablebody"/>
              <w:rPr>
                <w:sz w:val="24"/>
                <w:szCs w:val="24"/>
              </w:rPr>
            </w:pPr>
            <w:r w:rsidRPr="00E77543">
              <w:rPr>
                <w:sz w:val="24"/>
                <w:szCs w:val="24"/>
              </w:rPr>
              <w:t>0.2</w:t>
            </w:r>
          </w:p>
        </w:tc>
        <w:tc>
          <w:tcPr>
            <w:tcW w:w="1435" w:type="dxa"/>
            <w:gridSpan w:val="2"/>
            <w:tcBorders>
              <w:left w:val="nil"/>
              <w:right w:val="nil"/>
            </w:tcBorders>
            <w:shd w:val="clear" w:color="auto" w:fill="D9D9D9" w:themeFill="background1" w:themeFillShade="D9"/>
            <w:noWrap/>
            <w:vAlign w:val="center"/>
          </w:tcPr>
          <w:p w14:paraId="530359A7" w14:textId="77777777" w:rsidR="00B210DD" w:rsidRPr="00E77543" w:rsidRDefault="00B210DD" w:rsidP="0040594E">
            <w:pPr>
              <w:pStyle w:val="Tablebody"/>
              <w:rPr>
                <w:sz w:val="24"/>
                <w:szCs w:val="24"/>
              </w:rPr>
            </w:pPr>
            <w:r w:rsidRPr="00E77543">
              <w:rPr>
                <w:sz w:val="24"/>
                <w:szCs w:val="24"/>
              </w:rPr>
              <w:t>(0.02, 2.1)</w:t>
            </w:r>
          </w:p>
        </w:tc>
        <w:tc>
          <w:tcPr>
            <w:tcW w:w="1191" w:type="dxa"/>
            <w:gridSpan w:val="4"/>
            <w:tcBorders>
              <w:left w:val="nil"/>
            </w:tcBorders>
            <w:shd w:val="clear" w:color="auto" w:fill="D9D9D9" w:themeFill="background1" w:themeFillShade="D9"/>
            <w:noWrap/>
            <w:vAlign w:val="center"/>
          </w:tcPr>
          <w:p w14:paraId="42933881" w14:textId="77777777" w:rsidR="00B210DD" w:rsidRPr="00E77543" w:rsidRDefault="00B210DD" w:rsidP="0040594E">
            <w:pPr>
              <w:pStyle w:val="Tablebody"/>
              <w:rPr>
                <w:sz w:val="24"/>
                <w:szCs w:val="24"/>
              </w:rPr>
            </w:pPr>
            <w:r w:rsidRPr="00E77543">
              <w:rPr>
                <w:sz w:val="24"/>
                <w:szCs w:val="24"/>
              </w:rPr>
              <w:t>0.17</w:t>
            </w:r>
          </w:p>
        </w:tc>
        <w:tc>
          <w:tcPr>
            <w:tcW w:w="985" w:type="dxa"/>
            <w:tcBorders>
              <w:left w:val="nil"/>
            </w:tcBorders>
            <w:shd w:val="clear" w:color="auto" w:fill="D9D9D9" w:themeFill="background1" w:themeFillShade="D9"/>
            <w:vAlign w:val="bottom"/>
          </w:tcPr>
          <w:p w14:paraId="10686177" w14:textId="77777777" w:rsidR="00B210DD" w:rsidRPr="00E77543" w:rsidRDefault="00B210DD" w:rsidP="0040594E">
            <w:pPr>
              <w:pStyle w:val="Tablebody"/>
              <w:rPr>
                <w:sz w:val="24"/>
                <w:szCs w:val="24"/>
              </w:rPr>
            </w:pPr>
          </w:p>
        </w:tc>
      </w:tr>
      <w:tr w:rsidR="00B210DD" w14:paraId="3A048B67" w14:textId="0F6FD0E0" w:rsidTr="00E77543">
        <w:trPr>
          <w:gridAfter w:val="1"/>
          <w:wAfter w:w="107" w:type="dxa"/>
          <w:trHeight w:val="80"/>
        </w:trPr>
        <w:tc>
          <w:tcPr>
            <w:tcW w:w="1455" w:type="dxa"/>
            <w:tcBorders>
              <w:right w:val="nil"/>
            </w:tcBorders>
            <w:shd w:val="clear" w:color="auto" w:fill="D9D9D9" w:themeFill="background1" w:themeFillShade="D9"/>
            <w:noWrap/>
            <w:vAlign w:val="center"/>
            <w:hideMark/>
          </w:tcPr>
          <w:p w14:paraId="7AE91591" w14:textId="77777777" w:rsidR="00B210DD" w:rsidRPr="00E77543" w:rsidRDefault="00B210DD" w:rsidP="009F25CA">
            <w:pPr>
              <w:pStyle w:val="Tablebody"/>
              <w:ind w:left="250"/>
              <w:rPr>
                <w:sz w:val="24"/>
                <w:szCs w:val="24"/>
              </w:rPr>
            </w:pPr>
            <w:r w:rsidRPr="00E77543">
              <w:rPr>
                <w:sz w:val="24"/>
                <w:szCs w:val="24"/>
              </w:rPr>
              <w:t>High</w:t>
            </w:r>
          </w:p>
        </w:tc>
        <w:tc>
          <w:tcPr>
            <w:tcW w:w="589" w:type="dxa"/>
            <w:tcBorders>
              <w:left w:val="nil"/>
              <w:right w:val="nil"/>
            </w:tcBorders>
            <w:shd w:val="clear" w:color="auto" w:fill="D9D9D9" w:themeFill="background1" w:themeFillShade="D9"/>
            <w:noWrap/>
            <w:vAlign w:val="center"/>
          </w:tcPr>
          <w:p w14:paraId="5AED5F40" w14:textId="77777777" w:rsidR="00B210DD" w:rsidRPr="00E77543" w:rsidRDefault="00B210DD" w:rsidP="0040594E">
            <w:pPr>
              <w:pStyle w:val="Tablebody"/>
              <w:rPr>
                <w:sz w:val="24"/>
                <w:szCs w:val="24"/>
              </w:rPr>
            </w:pPr>
            <w:r w:rsidRPr="00E77543">
              <w:rPr>
                <w:sz w:val="24"/>
                <w:szCs w:val="24"/>
              </w:rPr>
              <w:t>4</w:t>
            </w:r>
          </w:p>
        </w:tc>
        <w:tc>
          <w:tcPr>
            <w:tcW w:w="1112" w:type="dxa"/>
            <w:gridSpan w:val="2"/>
            <w:tcBorders>
              <w:left w:val="nil"/>
              <w:right w:val="nil"/>
            </w:tcBorders>
            <w:shd w:val="clear" w:color="auto" w:fill="D9D9D9" w:themeFill="background1" w:themeFillShade="D9"/>
            <w:noWrap/>
            <w:vAlign w:val="center"/>
          </w:tcPr>
          <w:p w14:paraId="5F6BF297" w14:textId="77777777" w:rsidR="00B210DD" w:rsidRPr="00E77543" w:rsidRDefault="00B210DD" w:rsidP="0040594E">
            <w:pPr>
              <w:pStyle w:val="Tablebody"/>
              <w:rPr>
                <w:sz w:val="24"/>
                <w:szCs w:val="24"/>
              </w:rPr>
            </w:pPr>
            <w:r w:rsidRPr="00E77543">
              <w:rPr>
                <w:sz w:val="24"/>
                <w:szCs w:val="24"/>
              </w:rPr>
              <w:t>(31%)</w:t>
            </w:r>
          </w:p>
        </w:tc>
        <w:tc>
          <w:tcPr>
            <w:tcW w:w="598" w:type="dxa"/>
            <w:tcBorders>
              <w:left w:val="nil"/>
              <w:right w:val="nil"/>
            </w:tcBorders>
            <w:shd w:val="clear" w:color="auto" w:fill="D9D9D9" w:themeFill="background1" w:themeFillShade="D9"/>
            <w:noWrap/>
            <w:vAlign w:val="center"/>
          </w:tcPr>
          <w:p w14:paraId="4B466A9D" w14:textId="77777777" w:rsidR="00B210DD" w:rsidRPr="00E77543" w:rsidRDefault="00B210DD" w:rsidP="0040594E">
            <w:pPr>
              <w:pStyle w:val="Tablebody"/>
              <w:rPr>
                <w:sz w:val="24"/>
                <w:szCs w:val="24"/>
              </w:rPr>
            </w:pPr>
            <w:r w:rsidRPr="00E77543">
              <w:rPr>
                <w:sz w:val="24"/>
                <w:szCs w:val="24"/>
              </w:rPr>
              <w:t>11</w:t>
            </w:r>
          </w:p>
        </w:tc>
        <w:tc>
          <w:tcPr>
            <w:tcW w:w="1260" w:type="dxa"/>
            <w:tcBorders>
              <w:left w:val="nil"/>
              <w:right w:val="nil"/>
            </w:tcBorders>
            <w:shd w:val="clear" w:color="auto" w:fill="D9D9D9" w:themeFill="background1" w:themeFillShade="D9"/>
            <w:noWrap/>
            <w:vAlign w:val="center"/>
          </w:tcPr>
          <w:p w14:paraId="6774E81E" w14:textId="77777777" w:rsidR="00B210DD" w:rsidRPr="00E77543" w:rsidRDefault="00B210DD" w:rsidP="0040594E">
            <w:pPr>
              <w:pStyle w:val="Tablebody"/>
              <w:rPr>
                <w:sz w:val="24"/>
                <w:szCs w:val="24"/>
              </w:rPr>
            </w:pPr>
            <w:r w:rsidRPr="00E77543">
              <w:rPr>
                <w:sz w:val="24"/>
                <w:szCs w:val="24"/>
              </w:rPr>
              <w:t>(24%)</w:t>
            </w:r>
          </w:p>
        </w:tc>
        <w:tc>
          <w:tcPr>
            <w:tcW w:w="662" w:type="dxa"/>
            <w:gridSpan w:val="2"/>
            <w:tcBorders>
              <w:left w:val="nil"/>
              <w:right w:val="nil"/>
            </w:tcBorders>
            <w:shd w:val="clear" w:color="auto" w:fill="D9D9D9" w:themeFill="background1" w:themeFillShade="D9"/>
            <w:noWrap/>
            <w:vAlign w:val="center"/>
          </w:tcPr>
          <w:p w14:paraId="0AF9B3FF" w14:textId="77777777" w:rsidR="00B210DD" w:rsidRPr="00E77543" w:rsidRDefault="00B210DD" w:rsidP="0040594E">
            <w:pPr>
              <w:pStyle w:val="Tablebody"/>
              <w:rPr>
                <w:sz w:val="24"/>
                <w:szCs w:val="24"/>
              </w:rPr>
            </w:pPr>
            <w:r w:rsidRPr="00E77543">
              <w:rPr>
                <w:sz w:val="24"/>
                <w:szCs w:val="24"/>
              </w:rPr>
              <w:t>0.2</w:t>
            </w:r>
          </w:p>
        </w:tc>
        <w:tc>
          <w:tcPr>
            <w:tcW w:w="1435" w:type="dxa"/>
            <w:gridSpan w:val="2"/>
            <w:tcBorders>
              <w:left w:val="nil"/>
              <w:right w:val="nil"/>
            </w:tcBorders>
            <w:shd w:val="clear" w:color="auto" w:fill="D9D9D9" w:themeFill="background1" w:themeFillShade="D9"/>
            <w:noWrap/>
            <w:vAlign w:val="center"/>
          </w:tcPr>
          <w:p w14:paraId="287B0319" w14:textId="77777777" w:rsidR="00B210DD" w:rsidRPr="00E77543" w:rsidRDefault="00B210DD" w:rsidP="0040594E">
            <w:pPr>
              <w:pStyle w:val="Tablebody"/>
              <w:rPr>
                <w:sz w:val="24"/>
                <w:szCs w:val="24"/>
              </w:rPr>
            </w:pPr>
            <w:r w:rsidRPr="00E77543">
              <w:rPr>
                <w:sz w:val="24"/>
                <w:szCs w:val="24"/>
              </w:rPr>
              <w:t>(0.01, 4.6)</w:t>
            </w:r>
          </w:p>
        </w:tc>
        <w:tc>
          <w:tcPr>
            <w:tcW w:w="1191" w:type="dxa"/>
            <w:gridSpan w:val="4"/>
            <w:tcBorders>
              <w:left w:val="nil"/>
            </w:tcBorders>
            <w:shd w:val="clear" w:color="auto" w:fill="D9D9D9" w:themeFill="background1" w:themeFillShade="D9"/>
            <w:noWrap/>
            <w:vAlign w:val="center"/>
          </w:tcPr>
          <w:p w14:paraId="1232982C" w14:textId="77777777" w:rsidR="00B210DD" w:rsidRPr="00E77543" w:rsidRDefault="00B210DD" w:rsidP="0040594E">
            <w:pPr>
              <w:pStyle w:val="Tablebody"/>
              <w:rPr>
                <w:sz w:val="24"/>
                <w:szCs w:val="24"/>
              </w:rPr>
            </w:pPr>
            <w:r w:rsidRPr="00E77543">
              <w:rPr>
                <w:sz w:val="24"/>
                <w:szCs w:val="24"/>
              </w:rPr>
              <w:t>0.33</w:t>
            </w:r>
          </w:p>
        </w:tc>
        <w:tc>
          <w:tcPr>
            <w:tcW w:w="985" w:type="dxa"/>
            <w:tcBorders>
              <w:left w:val="nil"/>
            </w:tcBorders>
            <w:shd w:val="clear" w:color="auto" w:fill="D9D9D9" w:themeFill="background1" w:themeFillShade="D9"/>
            <w:vAlign w:val="center"/>
          </w:tcPr>
          <w:p w14:paraId="4FACCF28" w14:textId="29AA34AA" w:rsidR="00B210DD" w:rsidRPr="00E77543" w:rsidRDefault="0013753B" w:rsidP="0040594E">
            <w:pPr>
              <w:pStyle w:val="Tablebody"/>
              <w:rPr>
                <w:sz w:val="24"/>
                <w:szCs w:val="24"/>
              </w:rPr>
            </w:pPr>
            <w:r w:rsidRPr="00E77543">
              <w:rPr>
                <w:sz w:val="24"/>
                <w:szCs w:val="24"/>
              </w:rPr>
              <w:t>0.</w:t>
            </w:r>
            <w:r w:rsidR="00542A0D" w:rsidRPr="00E77543">
              <w:rPr>
                <w:sz w:val="24"/>
                <w:szCs w:val="24"/>
              </w:rPr>
              <w:t>96</w:t>
            </w:r>
          </w:p>
        </w:tc>
      </w:tr>
      <w:tr w:rsidR="004311C0" w14:paraId="0DF53FB1" w14:textId="17DDE473" w:rsidTr="00AC36D1">
        <w:trPr>
          <w:gridAfter w:val="1"/>
          <w:wAfter w:w="107" w:type="dxa"/>
          <w:trHeight w:val="198"/>
        </w:trPr>
        <w:tc>
          <w:tcPr>
            <w:tcW w:w="1455" w:type="dxa"/>
            <w:tcBorders>
              <w:top w:val="nil"/>
              <w:bottom w:val="nil"/>
              <w:right w:val="nil"/>
            </w:tcBorders>
            <w:shd w:val="clear" w:color="auto" w:fill="auto"/>
            <w:noWrap/>
            <w:vAlign w:val="bottom"/>
            <w:hideMark/>
          </w:tcPr>
          <w:p w14:paraId="5D814096" w14:textId="77777777" w:rsidR="004311C0" w:rsidRPr="00E77543" w:rsidRDefault="004311C0" w:rsidP="0040594E">
            <w:pPr>
              <w:pStyle w:val="Tablebody"/>
              <w:rPr>
                <w:b/>
                <w:bCs/>
                <w:sz w:val="24"/>
                <w:szCs w:val="24"/>
              </w:rPr>
            </w:pPr>
            <w:r w:rsidRPr="00E77543">
              <w:rPr>
                <w:b/>
                <w:bCs/>
                <w:sz w:val="24"/>
                <w:szCs w:val="24"/>
              </w:rPr>
              <w:t>Leukemia/</w:t>
            </w:r>
          </w:p>
          <w:p w14:paraId="3ED33266" w14:textId="429797C7" w:rsidR="004311C0" w:rsidRPr="00E77543" w:rsidRDefault="004311C0" w:rsidP="0040594E">
            <w:pPr>
              <w:pStyle w:val="Tablebody"/>
              <w:rPr>
                <w:sz w:val="24"/>
                <w:szCs w:val="24"/>
              </w:rPr>
            </w:pPr>
            <w:r w:rsidRPr="00E77543">
              <w:rPr>
                <w:b/>
                <w:bCs/>
                <w:sz w:val="24"/>
                <w:szCs w:val="24"/>
              </w:rPr>
              <w:t>Lymphoma</w:t>
            </w:r>
          </w:p>
        </w:tc>
        <w:tc>
          <w:tcPr>
            <w:tcW w:w="1701" w:type="dxa"/>
            <w:gridSpan w:val="3"/>
            <w:tcBorders>
              <w:left w:val="nil"/>
              <w:right w:val="nil"/>
            </w:tcBorders>
            <w:shd w:val="clear" w:color="auto" w:fill="auto"/>
            <w:noWrap/>
            <w:vAlign w:val="bottom"/>
            <w:hideMark/>
          </w:tcPr>
          <w:p w14:paraId="47414926" w14:textId="77777777" w:rsidR="004311C0" w:rsidRPr="00E77543" w:rsidRDefault="004311C0" w:rsidP="0040594E">
            <w:pPr>
              <w:pStyle w:val="Tablebody"/>
              <w:rPr>
                <w:b/>
                <w:bCs/>
                <w:sz w:val="24"/>
                <w:szCs w:val="24"/>
              </w:rPr>
            </w:pPr>
            <w:r w:rsidRPr="00E77543">
              <w:rPr>
                <w:b/>
                <w:bCs/>
                <w:sz w:val="24"/>
                <w:szCs w:val="24"/>
              </w:rPr>
              <w:t>Cases (n=10)</w:t>
            </w:r>
          </w:p>
        </w:tc>
        <w:tc>
          <w:tcPr>
            <w:tcW w:w="1858" w:type="dxa"/>
            <w:gridSpan w:val="2"/>
            <w:tcBorders>
              <w:left w:val="nil"/>
              <w:right w:val="nil"/>
            </w:tcBorders>
            <w:shd w:val="clear" w:color="auto" w:fill="auto"/>
            <w:noWrap/>
            <w:vAlign w:val="bottom"/>
            <w:hideMark/>
          </w:tcPr>
          <w:p w14:paraId="2EA00555" w14:textId="77777777" w:rsidR="004311C0" w:rsidRPr="00E77543" w:rsidRDefault="004311C0" w:rsidP="0040594E">
            <w:pPr>
              <w:pStyle w:val="Tablebody"/>
              <w:rPr>
                <w:b/>
                <w:bCs/>
                <w:sz w:val="24"/>
                <w:szCs w:val="24"/>
              </w:rPr>
            </w:pPr>
            <w:r w:rsidRPr="00E77543">
              <w:rPr>
                <w:b/>
                <w:bCs/>
                <w:sz w:val="24"/>
                <w:szCs w:val="24"/>
              </w:rPr>
              <w:t>Controls (n=39)</w:t>
            </w:r>
          </w:p>
        </w:tc>
        <w:tc>
          <w:tcPr>
            <w:tcW w:w="662" w:type="dxa"/>
            <w:gridSpan w:val="2"/>
            <w:tcBorders>
              <w:left w:val="nil"/>
              <w:right w:val="nil"/>
            </w:tcBorders>
            <w:shd w:val="clear" w:color="auto" w:fill="auto"/>
            <w:noWrap/>
            <w:vAlign w:val="center"/>
          </w:tcPr>
          <w:p w14:paraId="4BF94F24" w14:textId="5880073E" w:rsidR="004311C0" w:rsidRPr="00E77543" w:rsidRDefault="004311C0" w:rsidP="0040594E">
            <w:pPr>
              <w:pStyle w:val="Tablebody"/>
              <w:rPr>
                <w:sz w:val="24"/>
                <w:szCs w:val="24"/>
              </w:rPr>
            </w:pPr>
          </w:p>
        </w:tc>
        <w:tc>
          <w:tcPr>
            <w:tcW w:w="1435" w:type="dxa"/>
            <w:gridSpan w:val="2"/>
            <w:tcBorders>
              <w:left w:val="nil"/>
              <w:right w:val="nil"/>
            </w:tcBorders>
            <w:shd w:val="clear" w:color="auto" w:fill="auto"/>
            <w:noWrap/>
            <w:vAlign w:val="center"/>
          </w:tcPr>
          <w:p w14:paraId="365DF9EF" w14:textId="77777777" w:rsidR="004311C0" w:rsidRPr="00E77543" w:rsidRDefault="004311C0" w:rsidP="0040594E">
            <w:pPr>
              <w:pStyle w:val="Tablebody"/>
              <w:rPr>
                <w:sz w:val="24"/>
                <w:szCs w:val="24"/>
              </w:rPr>
            </w:pPr>
          </w:p>
        </w:tc>
        <w:tc>
          <w:tcPr>
            <w:tcW w:w="1161" w:type="dxa"/>
            <w:gridSpan w:val="3"/>
            <w:tcBorders>
              <w:left w:val="nil"/>
            </w:tcBorders>
            <w:shd w:val="clear" w:color="auto" w:fill="auto"/>
            <w:noWrap/>
            <w:vAlign w:val="center"/>
          </w:tcPr>
          <w:p w14:paraId="4E4A2834" w14:textId="77777777" w:rsidR="004311C0" w:rsidRPr="00E77543" w:rsidRDefault="004311C0" w:rsidP="0040594E">
            <w:pPr>
              <w:pStyle w:val="Tablebody"/>
              <w:rPr>
                <w:sz w:val="24"/>
                <w:szCs w:val="24"/>
              </w:rPr>
            </w:pPr>
          </w:p>
        </w:tc>
        <w:tc>
          <w:tcPr>
            <w:tcW w:w="1015" w:type="dxa"/>
            <w:gridSpan w:val="2"/>
            <w:tcBorders>
              <w:left w:val="nil"/>
            </w:tcBorders>
          </w:tcPr>
          <w:p w14:paraId="3691DAA2" w14:textId="402305C6" w:rsidR="004311C0" w:rsidRPr="00E77543" w:rsidRDefault="00E77543" w:rsidP="0040594E">
            <w:pPr>
              <w:pStyle w:val="Tablebody"/>
              <w:rPr>
                <w:sz w:val="24"/>
                <w:szCs w:val="24"/>
              </w:rPr>
            </w:pPr>
            <w:r w:rsidRPr="00E77543">
              <w:rPr>
                <w:b/>
                <w:bCs/>
                <w:sz w:val="24"/>
                <w:szCs w:val="24"/>
              </w:rPr>
              <w:t>Trend Analysis</w:t>
            </w:r>
          </w:p>
        </w:tc>
      </w:tr>
      <w:tr w:rsidR="00B210DD" w14:paraId="1CE64844" w14:textId="147D3DF0" w:rsidTr="00E77543">
        <w:trPr>
          <w:gridAfter w:val="1"/>
          <w:wAfter w:w="107" w:type="dxa"/>
          <w:trHeight w:val="300"/>
        </w:trPr>
        <w:tc>
          <w:tcPr>
            <w:tcW w:w="1455" w:type="dxa"/>
            <w:tcBorders>
              <w:top w:val="nil"/>
              <w:right w:val="nil"/>
            </w:tcBorders>
            <w:shd w:val="clear" w:color="auto" w:fill="auto"/>
            <w:noWrap/>
            <w:vAlign w:val="center"/>
            <w:hideMark/>
          </w:tcPr>
          <w:p w14:paraId="149912E4" w14:textId="77777777" w:rsidR="00B210DD" w:rsidRPr="00E77543" w:rsidRDefault="00B210DD" w:rsidP="0040594E">
            <w:pPr>
              <w:pStyle w:val="Tablebody"/>
              <w:rPr>
                <w:sz w:val="24"/>
                <w:szCs w:val="24"/>
              </w:rPr>
            </w:pPr>
            <w:r w:rsidRPr="00E77543">
              <w:rPr>
                <w:sz w:val="24"/>
                <w:szCs w:val="24"/>
              </w:rPr>
              <w:t>Maternal</w:t>
            </w:r>
          </w:p>
        </w:tc>
        <w:tc>
          <w:tcPr>
            <w:tcW w:w="589" w:type="dxa"/>
            <w:tcBorders>
              <w:top w:val="nil"/>
              <w:left w:val="nil"/>
              <w:bottom w:val="single" w:sz="4" w:space="0" w:color="auto"/>
              <w:right w:val="nil"/>
            </w:tcBorders>
            <w:shd w:val="clear" w:color="auto" w:fill="auto"/>
            <w:noWrap/>
            <w:vAlign w:val="center"/>
            <w:hideMark/>
          </w:tcPr>
          <w:p w14:paraId="4F766109" w14:textId="77777777" w:rsidR="00B210DD" w:rsidRPr="00E77543" w:rsidRDefault="00B210DD" w:rsidP="0040594E">
            <w:pPr>
              <w:pStyle w:val="Tablebody"/>
              <w:rPr>
                <w:b/>
                <w:bCs/>
                <w:sz w:val="24"/>
                <w:szCs w:val="24"/>
              </w:rPr>
            </w:pPr>
            <w:r w:rsidRPr="00E77543">
              <w:rPr>
                <w:b/>
                <w:bCs/>
                <w:sz w:val="24"/>
                <w:szCs w:val="24"/>
              </w:rPr>
              <w:t>n</w:t>
            </w:r>
          </w:p>
        </w:tc>
        <w:tc>
          <w:tcPr>
            <w:tcW w:w="1112" w:type="dxa"/>
            <w:gridSpan w:val="2"/>
            <w:tcBorders>
              <w:top w:val="nil"/>
              <w:left w:val="nil"/>
              <w:bottom w:val="single" w:sz="4" w:space="0" w:color="auto"/>
              <w:right w:val="nil"/>
            </w:tcBorders>
            <w:shd w:val="clear" w:color="auto" w:fill="auto"/>
            <w:noWrap/>
            <w:vAlign w:val="center"/>
            <w:hideMark/>
          </w:tcPr>
          <w:p w14:paraId="0B75768E" w14:textId="77777777" w:rsidR="00B210DD" w:rsidRPr="00E77543" w:rsidRDefault="00B210DD" w:rsidP="0040594E">
            <w:pPr>
              <w:pStyle w:val="Tablebody"/>
              <w:rPr>
                <w:b/>
                <w:bCs/>
                <w:sz w:val="24"/>
                <w:szCs w:val="24"/>
              </w:rPr>
            </w:pPr>
            <w:r w:rsidRPr="00E77543">
              <w:rPr>
                <w:b/>
                <w:bCs/>
                <w:sz w:val="24"/>
                <w:szCs w:val="24"/>
              </w:rPr>
              <w:t>(%)</w:t>
            </w:r>
          </w:p>
        </w:tc>
        <w:tc>
          <w:tcPr>
            <w:tcW w:w="598" w:type="dxa"/>
            <w:tcBorders>
              <w:top w:val="nil"/>
              <w:left w:val="nil"/>
              <w:bottom w:val="single" w:sz="4" w:space="0" w:color="auto"/>
              <w:right w:val="nil"/>
            </w:tcBorders>
            <w:shd w:val="clear" w:color="auto" w:fill="auto"/>
            <w:noWrap/>
            <w:vAlign w:val="center"/>
            <w:hideMark/>
          </w:tcPr>
          <w:p w14:paraId="3451E8B9" w14:textId="77777777" w:rsidR="00B210DD" w:rsidRPr="00E77543" w:rsidRDefault="00B210DD" w:rsidP="0040594E">
            <w:pPr>
              <w:pStyle w:val="Tablebody"/>
              <w:rPr>
                <w:b/>
                <w:bCs/>
                <w:sz w:val="24"/>
                <w:szCs w:val="24"/>
              </w:rPr>
            </w:pPr>
            <w:r w:rsidRPr="00E77543">
              <w:rPr>
                <w:b/>
                <w:bCs/>
                <w:sz w:val="24"/>
                <w:szCs w:val="24"/>
              </w:rPr>
              <w:t>n</w:t>
            </w:r>
          </w:p>
        </w:tc>
        <w:tc>
          <w:tcPr>
            <w:tcW w:w="1260" w:type="dxa"/>
            <w:tcBorders>
              <w:top w:val="nil"/>
              <w:left w:val="nil"/>
              <w:bottom w:val="single" w:sz="4" w:space="0" w:color="auto"/>
              <w:right w:val="nil"/>
            </w:tcBorders>
            <w:shd w:val="clear" w:color="auto" w:fill="auto"/>
            <w:noWrap/>
            <w:vAlign w:val="center"/>
            <w:hideMark/>
          </w:tcPr>
          <w:p w14:paraId="4559D175" w14:textId="77777777" w:rsidR="00B210DD" w:rsidRPr="00E77543" w:rsidRDefault="00B210DD" w:rsidP="0040594E">
            <w:pPr>
              <w:pStyle w:val="Tablebody"/>
              <w:rPr>
                <w:b/>
                <w:bCs/>
                <w:sz w:val="24"/>
                <w:szCs w:val="24"/>
              </w:rPr>
            </w:pPr>
            <w:r w:rsidRPr="00E77543">
              <w:rPr>
                <w:b/>
                <w:bCs/>
                <w:sz w:val="24"/>
                <w:szCs w:val="24"/>
              </w:rPr>
              <w:t>(%)</w:t>
            </w:r>
          </w:p>
        </w:tc>
        <w:tc>
          <w:tcPr>
            <w:tcW w:w="662" w:type="dxa"/>
            <w:gridSpan w:val="2"/>
            <w:tcBorders>
              <w:top w:val="nil"/>
              <w:left w:val="nil"/>
              <w:bottom w:val="single" w:sz="4" w:space="0" w:color="auto"/>
              <w:right w:val="nil"/>
            </w:tcBorders>
            <w:shd w:val="clear" w:color="auto" w:fill="auto"/>
            <w:vAlign w:val="center"/>
          </w:tcPr>
          <w:p w14:paraId="21C53D96" w14:textId="42A2BE20" w:rsidR="00B210DD" w:rsidRPr="00E77543" w:rsidRDefault="00E77543" w:rsidP="0040594E">
            <w:pPr>
              <w:pStyle w:val="Tablebody"/>
              <w:rPr>
                <w:sz w:val="24"/>
                <w:szCs w:val="24"/>
              </w:rPr>
            </w:pPr>
            <w:proofErr w:type="spellStart"/>
            <w:r w:rsidRPr="00E77543">
              <w:rPr>
                <w:b/>
                <w:bCs/>
                <w:sz w:val="24"/>
                <w:szCs w:val="24"/>
              </w:rPr>
              <w:t>OR</w:t>
            </w:r>
            <w:r w:rsidRPr="00E77543">
              <w:rPr>
                <w:b/>
                <w:bCs/>
                <w:sz w:val="24"/>
                <w:szCs w:val="24"/>
                <w:vertAlign w:val="superscript"/>
              </w:rPr>
              <w:t>a</w:t>
            </w:r>
            <w:proofErr w:type="spellEnd"/>
          </w:p>
        </w:tc>
        <w:tc>
          <w:tcPr>
            <w:tcW w:w="1435" w:type="dxa"/>
            <w:gridSpan w:val="2"/>
            <w:tcBorders>
              <w:top w:val="nil"/>
              <w:left w:val="nil"/>
              <w:bottom w:val="single" w:sz="4" w:space="0" w:color="auto"/>
              <w:right w:val="nil"/>
            </w:tcBorders>
            <w:shd w:val="clear" w:color="auto" w:fill="auto"/>
            <w:vAlign w:val="center"/>
          </w:tcPr>
          <w:p w14:paraId="26D8734B" w14:textId="2BBC0883" w:rsidR="00B210DD" w:rsidRPr="00E77543" w:rsidRDefault="00E77543" w:rsidP="0040594E">
            <w:pPr>
              <w:pStyle w:val="Tablebody"/>
              <w:rPr>
                <w:sz w:val="24"/>
                <w:szCs w:val="24"/>
              </w:rPr>
            </w:pPr>
            <w:r w:rsidRPr="00E77543">
              <w:rPr>
                <w:b/>
                <w:bCs/>
                <w:sz w:val="24"/>
                <w:szCs w:val="24"/>
              </w:rPr>
              <w:t xml:space="preserve">95% </w:t>
            </w:r>
            <w:proofErr w:type="spellStart"/>
            <w:r w:rsidRPr="00E77543">
              <w:rPr>
                <w:b/>
                <w:bCs/>
                <w:sz w:val="24"/>
                <w:szCs w:val="24"/>
              </w:rPr>
              <w:t>CI</w:t>
            </w:r>
            <w:r w:rsidRPr="00E77543">
              <w:rPr>
                <w:b/>
                <w:bCs/>
                <w:sz w:val="24"/>
                <w:szCs w:val="24"/>
                <w:vertAlign w:val="superscript"/>
              </w:rPr>
              <w:t>b</w:t>
            </w:r>
            <w:proofErr w:type="spellEnd"/>
          </w:p>
        </w:tc>
        <w:tc>
          <w:tcPr>
            <w:tcW w:w="1191" w:type="dxa"/>
            <w:gridSpan w:val="4"/>
            <w:tcBorders>
              <w:top w:val="nil"/>
              <w:left w:val="nil"/>
              <w:bottom w:val="single" w:sz="4" w:space="0" w:color="auto"/>
            </w:tcBorders>
            <w:shd w:val="clear" w:color="auto" w:fill="auto"/>
            <w:vAlign w:val="center"/>
          </w:tcPr>
          <w:p w14:paraId="58CBC8E1" w14:textId="51133729" w:rsidR="00B210DD" w:rsidRPr="00E77543" w:rsidRDefault="00E77543" w:rsidP="0040594E">
            <w:pPr>
              <w:pStyle w:val="Tablebody"/>
              <w:rPr>
                <w:sz w:val="24"/>
                <w:szCs w:val="24"/>
              </w:rPr>
            </w:pPr>
            <w:r w:rsidRPr="00E77543">
              <w:rPr>
                <w:b/>
                <w:bCs/>
                <w:i/>
                <w:sz w:val="24"/>
                <w:szCs w:val="24"/>
              </w:rPr>
              <w:t>p</w:t>
            </w:r>
            <w:r w:rsidRPr="00E77543">
              <w:rPr>
                <w:b/>
                <w:bCs/>
                <w:sz w:val="24"/>
                <w:szCs w:val="24"/>
              </w:rPr>
              <w:t>-value</w:t>
            </w:r>
          </w:p>
        </w:tc>
        <w:tc>
          <w:tcPr>
            <w:tcW w:w="985" w:type="dxa"/>
            <w:tcBorders>
              <w:top w:val="nil"/>
              <w:left w:val="nil"/>
              <w:bottom w:val="single" w:sz="4" w:space="0" w:color="auto"/>
            </w:tcBorders>
            <w:vAlign w:val="bottom"/>
          </w:tcPr>
          <w:p w14:paraId="23BDE5CC" w14:textId="6C0042D6" w:rsidR="00B210DD" w:rsidRPr="00E77543" w:rsidRDefault="00E77543" w:rsidP="0040594E">
            <w:pPr>
              <w:pStyle w:val="Tablebody"/>
              <w:rPr>
                <w:sz w:val="24"/>
                <w:szCs w:val="24"/>
              </w:rPr>
            </w:pPr>
            <w:r w:rsidRPr="00E77543">
              <w:rPr>
                <w:b/>
                <w:bCs/>
                <w:i/>
                <w:sz w:val="24"/>
                <w:szCs w:val="24"/>
              </w:rPr>
              <w:t>p-</w:t>
            </w:r>
            <w:r w:rsidRPr="00E77543">
              <w:rPr>
                <w:b/>
                <w:bCs/>
                <w:sz w:val="24"/>
                <w:szCs w:val="24"/>
              </w:rPr>
              <w:t>value</w:t>
            </w:r>
          </w:p>
        </w:tc>
      </w:tr>
      <w:tr w:rsidR="00B210DD" w14:paraId="72FDCAE0" w14:textId="47259322" w:rsidTr="00E77543">
        <w:trPr>
          <w:gridAfter w:val="1"/>
          <w:wAfter w:w="107" w:type="dxa"/>
          <w:trHeight w:val="300"/>
        </w:trPr>
        <w:tc>
          <w:tcPr>
            <w:tcW w:w="1455" w:type="dxa"/>
            <w:tcBorders>
              <w:top w:val="nil"/>
              <w:right w:val="nil"/>
            </w:tcBorders>
            <w:shd w:val="clear" w:color="auto" w:fill="auto"/>
            <w:noWrap/>
            <w:vAlign w:val="center"/>
            <w:hideMark/>
          </w:tcPr>
          <w:p w14:paraId="496F1B17" w14:textId="77777777" w:rsidR="00B210DD" w:rsidRPr="00E77543" w:rsidRDefault="00B210DD" w:rsidP="009F25CA">
            <w:pPr>
              <w:pStyle w:val="Tablebody"/>
              <w:ind w:left="250"/>
              <w:rPr>
                <w:sz w:val="24"/>
                <w:szCs w:val="24"/>
              </w:rPr>
            </w:pPr>
            <w:r w:rsidRPr="00E77543">
              <w:rPr>
                <w:sz w:val="24"/>
                <w:szCs w:val="24"/>
              </w:rPr>
              <w:t>Zero</w:t>
            </w:r>
          </w:p>
        </w:tc>
        <w:tc>
          <w:tcPr>
            <w:tcW w:w="589" w:type="dxa"/>
            <w:tcBorders>
              <w:left w:val="nil"/>
              <w:right w:val="nil"/>
            </w:tcBorders>
            <w:shd w:val="clear" w:color="auto" w:fill="auto"/>
            <w:noWrap/>
            <w:vAlign w:val="center"/>
          </w:tcPr>
          <w:p w14:paraId="466F18A6" w14:textId="77777777" w:rsidR="00B210DD" w:rsidRPr="00E77543" w:rsidRDefault="00B210DD" w:rsidP="0040594E">
            <w:pPr>
              <w:pStyle w:val="Tablebody"/>
              <w:rPr>
                <w:sz w:val="24"/>
                <w:szCs w:val="24"/>
              </w:rPr>
            </w:pPr>
            <w:r w:rsidRPr="00E77543">
              <w:rPr>
                <w:sz w:val="24"/>
                <w:szCs w:val="24"/>
              </w:rPr>
              <w:t>7</w:t>
            </w:r>
          </w:p>
        </w:tc>
        <w:tc>
          <w:tcPr>
            <w:tcW w:w="1112" w:type="dxa"/>
            <w:gridSpan w:val="2"/>
            <w:tcBorders>
              <w:left w:val="nil"/>
              <w:right w:val="nil"/>
            </w:tcBorders>
            <w:shd w:val="clear" w:color="auto" w:fill="auto"/>
            <w:noWrap/>
            <w:vAlign w:val="center"/>
          </w:tcPr>
          <w:p w14:paraId="2F11633C" w14:textId="77777777" w:rsidR="00B210DD" w:rsidRPr="00E77543" w:rsidRDefault="00B210DD" w:rsidP="0040594E">
            <w:pPr>
              <w:pStyle w:val="Tablebody"/>
              <w:rPr>
                <w:sz w:val="24"/>
                <w:szCs w:val="24"/>
              </w:rPr>
            </w:pPr>
            <w:r w:rsidRPr="00E77543">
              <w:rPr>
                <w:sz w:val="24"/>
                <w:szCs w:val="24"/>
              </w:rPr>
              <w:t>(70%)</w:t>
            </w:r>
          </w:p>
        </w:tc>
        <w:tc>
          <w:tcPr>
            <w:tcW w:w="598" w:type="dxa"/>
            <w:tcBorders>
              <w:top w:val="single" w:sz="4" w:space="0" w:color="auto"/>
              <w:left w:val="nil"/>
              <w:right w:val="nil"/>
            </w:tcBorders>
            <w:shd w:val="clear" w:color="auto" w:fill="auto"/>
            <w:noWrap/>
            <w:vAlign w:val="center"/>
          </w:tcPr>
          <w:p w14:paraId="4918C0D9" w14:textId="77777777" w:rsidR="00B210DD" w:rsidRPr="00E77543" w:rsidRDefault="00B210DD" w:rsidP="0040594E">
            <w:pPr>
              <w:pStyle w:val="Tablebody"/>
              <w:rPr>
                <w:sz w:val="24"/>
                <w:szCs w:val="24"/>
              </w:rPr>
            </w:pPr>
            <w:r w:rsidRPr="00E77543">
              <w:rPr>
                <w:sz w:val="24"/>
                <w:szCs w:val="24"/>
              </w:rPr>
              <w:t>30</w:t>
            </w:r>
          </w:p>
        </w:tc>
        <w:tc>
          <w:tcPr>
            <w:tcW w:w="1260" w:type="dxa"/>
            <w:tcBorders>
              <w:top w:val="single" w:sz="4" w:space="0" w:color="auto"/>
              <w:left w:val="nil"/>
              <w:right w:val="nil"/>
            </w:tcBorders>
            <w:shd w:val="clear" w:color="auto" w:fill="auto"/>
            <w:noWrap/>
            <w:vAlign w:val="center"/>
          </w:tcPr>
          <w:p w14:paraId="55AB2CAF" w14:textId="77777777" w:rsidR="00B210DD" w:rsidRPr="00E77543" w:rsidRDefault="00B210DD" w:rsidP="0040594E">
            <w:pPr>
              <w:pStyle w:val="Tablebody"/>
              <w:rPr>
                <w:sz w:val="24"/>
                <w:szCs w:val="24"/>
              </w:rPr>
            </w:pPr>
            <w:r w:rsidRPr="00E77543">
              <w:rPr>
                <w:sz w:val="24"/>
                <w:szCs w:val="24"/>
              </w:rPr>
              <w:t>(77%)</w:t>
            </w:r>
          </w:p>
        </w:tc>
        <w:tc>
          <w:tcPr>
            <w:tcW w:w="662" w:type="dxa"/>
            <w:gridSpan w:val="2"/>
            <w:tcBorders>
              <w:top w:val="single" w:sz="4" w:space="0" w:color="auto"/>
              <w:left w:val="nil"/>
              <w:right w:val="nil"/>
            </w:tcBorders>
            <w:shd w:val="clear" w:color="auto" w:fill="auto"/>
            <w:noWrap/>
            <w:vAlign w:val="center"/>
          </w:tcPr>
          <w:p w14:paraId="22DE05F9" w14:textId="77777777" w:rsidR="00B210DD" w:rsidRPr="00E77543" w:rsidRDefault="00B210DD" w:rsidP="0040594E">
            <w:pPr>
              <w:pStyle w:val="Tablebody"/>
              <w:rPr>
                <w:sz w:val="24"/>
                <w:szCs w:val="24"/>
              </w:rPr>
            </w:pPr>
            <w:r w:rsidRPr="00E77543">
              <w:rPr>
                <w:sz w:val="24"/>
                <w:szCs w:val="24"/>
              </w:rPr>
              <w:t>1.0</w:t>
            </w:r>
          </w:p>
        </w:tc>
        <w:tc>
          <w:tcPr>
            <w:tcW w:w="2626" w:type="dxa"/>
            <w:gridSpan w:val="6"/>
            <w:tcBorders>
              <w:top w:val="single" w:sz="4" w:space="0" w:color="auto"/>
              <w:left w:val="nil"/>
            </w:tcBorders>
            <w:shd w:val="clear" w:color="auto" w:fill="auto"/>
            <w:noWrap/>
            <w:vAlign w:val="center"/>
          </w:tcPr>
          <w:p w14:paraId="3A97F77A" w14:textId="77777777" w:rsidR="00B210DD" w:rsidRPr="00E77543" w:rsidRDefault="00B210DD" w:rsidP="0040594E">
            <w:pPr>
              <w:pStyle w:val="Tablebody"/>
              <w:rPr>
                <w:sz w:val="24"/>
                <w:szCs w:val="24"/>
              </w:rPr>
            </w:pPr>
            <w:r w:rsidRPr="00E77543">
              <w:rPr>
                <w:sz w:val="24"/>
                <w:szCs w:val="24"/>
              </w:rPr>
              <w:t>-ref-</w:t>
            </w:r>
          </w:p>
        </w:tc>
        <w:tc>
          <w:tcPr>
            <w:tcW w:w="985" w:type="dxa"/>
            <w:tcBorders>
              <w:top w:val="single" w:sz="4" w:space="0" w:color="auto"/>
              <w:left w:val="nil"/>
            </w:tcBorders>
          </w:tcPr>
          <w:p w14:paraId="078A58E5" w14:textId="77777777" w:rsidR="00B210DD" w:rsidRPr="00E77543" w:rsidRDefault="00B210DD" w:rsidP="0040594E">
            <w:pPr>
              <w:pStyle w:val="Tablebody"/>
              <w:rPr>
                <w:sz w:val="24"/>
                <w:szCs w:val="24"/>
              </w:rPr>
            </w:pPr>
          </w:p>
        </w:tc>
      </w:tr>
      <w:tr w:rsidR="00B210DD" w14:paraId="00E582DE" w14:textId="6180FEFD" w:rsidTr="00B210DD">
        <w:trPr>
          <w:gridAfter w:val="1"/>
          <w:wAfter w:w="107" w:type="dxa"/>
          <w:trHeight w:val="300"/>
        </w:trPr>
        <w:tc>
          <w:tcPr>
            <w:tcW w:w="1455" w:type="dxa"/>
            <w:tcBorders>
              <w:right w:val="nil"/>
            </w:tcBorders>
            <w:shd w:val="clear" w:color="auto" w:fill="auto"/>
            <w:noWrap/>
            <w:vAlign w:val="center"/>
          </w:tcPr>
          <w:p w14:paraId="0D5CDF20" w14:textId="77777777" w:rsidR="00B210DD" w:rsidRPr="00E77543" w:rsidRDefault="00B210DD" w:rsidP="009F25CA">
            <w:pPr>
              <w:pStyle w:val="Tablebody"/>
              <w:ind w:left="250"/>
              <w:rPr>
                <w:sz w:val="24"/>
                <w:szCs w:val="24"/>
              </w:rPr>
            </w:pPr>
            <w:r w:rsidRPr="00E77543">
              <w:rPr>
                <w:sz w:val="24"/>
                <w:szCs w:val="24"/>
              </w:rPr>
              <w:t>Low</w:t>
            </w:r>
          </w:p>
        </w:tc>
        <w:tc>
          <w:tcPr>
            <w:tcW w:w="589" w:type="dxa"/>
            <w:tcBorders>
              <w:left w:val="nil"/>
              <w:right w:val="nil"/>
            </w:tcBorders>
            <w:shd w:val="clear" w:color="auto" w:fill="auto"/>
            <w:noWrap/>
            <w:vAlign w:val="center"/>
          </w:tcPr>
          <w:p w14:paraId="3EE889E5" w14:textId="77777777" w:rsidR="00B210DD" w:rsidRPr="00E77543" w:rsidRDefault="00B210DD" w:rsidP="0040594E">
            <w:pPr>
              <w:pStyle w:val="Tablebody"/>
              <w:rPr>
                <w:sz w:val="24"/>
                <w:szCs w:val="24"/>
              </w:rPr>
            </w:pPr>
            <w:r w:rsidRPr="00E77543">
              <w:rPr>
                <w:sz w:val="24"/>
                <w:szCs w:val="24"/>
              </w:rPr>
              <w:t>2</w:t>
            </w:r>
          </w:p>
        </w:tc>
        <w:tc>
          <w:tcPr>
            <w:tcW w:w="1112" w:type="dxa"/>
            <w:gridSpan w:val="2"/>
            <w:tcBorders>
              <w:left w:val="nil"/>
              <w:right w:val="nil"/>
            </w:tcBorders>
            <w:shd w:val="clear" w:color="auto" w:fill="auto"/>
            <w:noWrap/>
            <w:vAlign w:val="center"/>
          </w:tcPr>
          <w:p w14:paraId="79FEE3AA" w14:textId="77777777" w:rsidR="00B210DD" w:rsidRPr="00E77543" w:rsidRDefault="00B210DD" w:rsidP="0040594E">
            <w:pPr>
              <w:pStyle w:val="Tablebody"/>
              <w:rPr>
                <w:sz w:val="24"/>
                <w:szCs w:val="24"/>
              </w:rPr>
            </w:pPr>
            <w:r w:rsidRPr="00E77543">
              <w:rPr>
                <w:sz w:val="24"/>
                <w:szCs w:val="24"/>
              </w:rPr>
              <w:t>(20%)</w:t>
            </w:r>
          </w:p>
        </w:tc>
        <w:tc>
          <w:tcPr>
            <w:tcW w:w="598" w:type="dxa"/>
            <w:tcBorders>
              <w:left w:val="nil"/>
              <w:right w:val="nil"/>
            </w:tcBorders>
            <w:shd w:val="clear" w:color="auto" w:fill="auto"/>
            <w:noWrap/>
            <w:vAlign w:val="center"/>
          </w:tcPr>
          <w:p w14:paraId="4270E9EB" w14:textId="77777777" w:rsidR="00B210DD" w:rsidRPr="00E77543" w:rsidRDefault="00B210DD" w:rsidP="0040594E">
            <w:pPr>
              <w:pStyle w:val="Tablebody"/>
              <w:rPr>
                <w:sz w:val="24"/>
                <w:szCs w:val="24"/>
              </w:rPr>
            </w:pPr>
            <w:r w:rsidRPr="00E77543">
              <w:rPr>
                <w:sz w:val="24"/>
                <w:szCs w:val="24"/>
              </w:rPr>
              <w:t>5</w:t>
            </w:r>
          </w:p>
        </w:tc>
        <w:tc>
          <w:tcPr>
            <w:tcW w:w="1260" w:type="dxa"/>
            <w:tcBorders>
              <w:left w:val="nil"/>
              <w:right w:val="nil"/>
            </w:tcBorders>
            <w:shd w:val="clear" w:color="auto" w:fill="auto"/>
            <w:noWrap/>
            <w:vAlign w:val="center"/>
          </w:tcPr>
          <w:p w14:paraId="00CAAB46" w14:textId="77777777" w:rsidR="00B210DD" w:rsidRPr="00E77543" w:rsidRDefault="00B210DD" w:rsidP="0040594E">
            <w:pPr>
              <w:pStyle w:val="Tablebody"/>
              <w:rPr>
                <w:sz w:val="24"/>
                <w:szCs w:val="24"/>
              </w:rPr>
            </w:pPr>
            <w:r w:rsidRPr="00E77543">
              <w:rPr>
                <w:sz w:val="24"/>
                <w:szCs w:val="24"/>
              </w:rPr>
              <w:t>(13%)</w:t>
            </w:r>
          </w:p>
        </w:tc>
        <w:tc>
          <w:tcPr>
            <w:tcW w:w="662" w:type="dxa"/>
            <w:gridSpan w:val="2"/>
            <w:tcBorders>
              <w:left w:val="nil"/>
              <w:right w:val="nil"/>
            </w:tcBorders>
            <w:shd w:val="clear" w:color="auto" w:fill="auto"/>
            <w:noWrap/>
            <w:vAlign w:val="center"/>
          </w:tcPr>
          <w:p w14:paraId="7A195A2B" w14:textId="77777777" w:rsidR="00B210DD" w:rsidRPr="00E77543" w:rsidRDefault="00B210DD" w:rsidP="0040594E">
            <w:pPr>
              <w:pStyle w:val="Tablebody"/>
              <w:rPr>
                <w:sz w:val="24"/>
                <w:szCs w:val="24"/>
              </w:rPr>
            </w:pPr>
            <w:r w:rsidRPr="00E77543">
              <w:rPr>
                <w:sz w:val="24"/>
                <w:szCs w:val="24"/>
              </w:rPr>
              <w:t>1.9</w:t>
            </w:r>
          </w:p>
        </w:tc>
        <w:tc>
          <w:tcPr>
            <w:tcW w:w="1435" w:type="dxa"/>
            <w:gridSpan w:val="2"/>
            <w:tcBorders>
              <w:left w:val="nil"/>
              <w:right w:val="nil"/>
            </w:tcBorders>
            <w:shd w:val="clear" w:color="auto" w:fill="auto"/>
            <w:noWrap/>
            <w:vAlign w:val="center"/>
          </w:tcPr>
          <w:p w14:paraId="39A5173D" w14:textId="77777777" w:rsidR="00B210DD" w:rsidRPr="00E77543" w:rsidRDefault="00B210DD" w:rsidP="0040594E">
            <w:pPr>
              <w:pStyle w:val="Tablebody"/>
              <w:rPr>
                <w:sz w:val="24"/>
                <w:szCs w:val="24"/>
              </w:rPr>
            </w:pPr>
            <w:r w:rsidRPr="00E77543">
              <w:rPr>
                <w:sz w:val="24"/>
                <w:szCs w:val="24"/>
              </w:rPr>
              <w:t>(0.3, 12)</w:t>
            </w:r>
          </w:p>
        </w:tc>
        <w:tc>
          <w:tcPr>
            <w:tcW w:w="1191" w:type="dxa"/>
            <w:gridSpan w:val="4"/>
            <w:tcBorders>
              <w:left w:val="nil"/>
            </w:tcBorders>
            <w:shd w:val="clear" w:color="auto" w:fill="auto"/>
            <w:noWrap/>
            <w:vAlign w:val="center"/>
          </w:tcPr>
          <w:p w14:paraId="0D7948AB" w14:textId="77777777" w:rsidR="00B210DD" w:rsidRPr="00E77543" w:rsidRDefault="00B210DD" w:rsidP="0040594E">
            <w:pPr>
              <w:pStyle w:val="Tablebody"/>
              <w:rPr>
                <w:sz w:val="24"/>
                <w:szCs w:val="24"/>
              </w:rPr>
            </w:pPr>
            <w:r w:rsidRPr="00E77543">
              <w:rPr>
                <w:sz w:val="24"/>
                <w:szCs w:val="24"/>
              </w:rPr>
              <w:t>0.51</w:t>
            </w:r>
          </w:p>
        </w:tc>
        <w:tc>
          <w:tcPr>
            <w:tcW w:w="985" w:type="dxa"/>
            <w:tcBorders>
              <w:left w:val="nil"/>
            </w:tcBorders>
            <w:vAlign w:val="bottom"/>
          </w:tcPr>
          <w:p w14:paraId="2CC319C9" w14:textId="1FFBD5EE" w:rsidR="00B210DD" w:rsidRPr="00E77543" w:rsidRDefault="00B210DD" w:rsidP="0040594E">
            <w:pPr>
              <w:pStyle w:val="Tablebody"/>
              <w:rPr>
                <w:sz w:val="24"/>
                <w:szCs w:val="24"/>
              </w:rPr>
            </w:pPr>
          </w:p>
        </w:tc>
      </w:tr>
      <w:tr w:rsidR="00B210DD" w14:paraId="62ACB28F" w14:textId="53C100BF" w:rsidTr="00B210DD">
        <w:trPr>
          <w:gridAfter w:val="1"/>
          <w:wAfter w:w="107" w:type="dxa"/>
          <w:trHeight w:val="225"/>
        </w:trPr>
        <w:tc>
          <w:tcPr>
            <w:tcW w:w="1455" w:type="dxa"/>
            <w:vMerge w:val="restart"/>
            <w:tcBorders>
              <w:right w:val="nil"/>
            </w:tcBorders>
            <w:shd w:val="clear" w:color="auto" w:fill="auto"/>
            <w:noWrap/>
            <w:vAlign w:val="center"/>
            <w:hideMark/>
          </w:tcPr>
          <w:p w14:paraId="7FDA41B5" w14:textId="16624A67" w:rsidR="00B210DD" w:rsidRPr="00E77543" w:rsidRDefault="00B210DD" w:rsidP="009F25CA">
            <w:pPr>
              <w:pStyle w:val="Tablebody"/>
              <w:ind w:left="250"/>
              <w:rPr>
                <w:sz w:val="24"/>
                <w:szCs w:val="24"/>
              </w:rPr>
            </w:pPr>
            <w:r w:rsidRPr="00E77543">
              <w:rPr>
                <w:sz w:val="24"/>
                <w:szCs w:val="24"/>
              </w:rPr>
              <w:t>High</w:t>
            </w:r>
          </w:p>
        </w:tc>
        <w:tc>
          <w:tcPr>
            <w:tcW w:w="589" w:type="dxa"/>
            <w:vMerge w:val="restart"/>
            <w:tcBorders>
              <w:left w:val="nil"/>
              <w:right w:val="nil"/>
            </w:tcBorders>
            <w:shd w:val="clear" w:color="auto" w:fill="auto"/>
            <w:noWrap/>
            <w:vAlign w:val="center"/>
          </w:tcPr>
          <w:p w14:paraId="7317AC65" w14:textId="77777777" w:rsidR="00B210DD" w:rsidRPr="00E77543" w:rsidRDefault="00B210DD" w:rsidP="0040594E">
            <w:pPr>
              <w:pStyle w:val="Tablebody"/>
              <w:rPr>
                <w:sz w:val="24"/>
                <w:szCs w:val="24"/>
              </w:rPr>
            </w:pPr>
            <w:r w:rsidRPr="00E77543">
              <w:rPr>
                <w:sz w:val="24"/>
                <w:szCs w:val="24"/>
              </w:rPr>
              <w:t>1</w:t>
            </w:r>
          </w:p>
        </w:tc>
        <w:tc>
          <w:tcPr>
            <w:tcW w:w="1112" w:type="dxa"/>
            <w:gridSpan w:val="2"/>
            <w:vMerge w:val="restart"/>
            <w:tcBorders>
              <w:left w:val="nil"/>
              <w:right w:val="nil"/>
            </w:tcBorders>
            <w:shd w:val="clear" w:color="auto" w:fill="auto"/>
            <w:noWrap/>
            <w:vAlign w:val="center"/>
          </w:tcPr>
          <w:p w14:paraId="6E3D9CCB" w14:textId="77777777" w:rsidR="00B210DD" w:rsidRPr="00E77543" w:rsidRDefault="00B210DD" w:rsidP="0040594E">
            <w:pPr>
              <w:pStyle w:val="Tablebody"/>
              <w:rPr>
                <w:sz w:val="24"/>
                <w:szCs w:val="24"/>
              </w:rPr>
            </w:pPr>
            <w:r w:rsidRPr="00E77543">
              <w:rPr>
                <w:sz w:val="24"/>
                <w:szCs w:val="24"/>
              </w:rPr>
              <w:t>(10%)</w:t>
            </w:r>
          </w:p>
        </w:tc>
        <w:tc>
          <w:tcPr>
            <w:tcW w:w="598" w:type="dxa"/>
            <w:vMerge w:val="restart"/>
            <w:tcBorders>
              <w:left w:val="nil"/>
              <w:right w:val="nil"/>
            </w:tcBorders>
            <w:shd w:val="clear" w:color="auto" w:fill="auto"/>
            <w:noWrap/>
            <w:vAlign w:val="center"/>
          </w:tcPr>
          <w:p w14:paraId="4CB50C8F" w14:textId="77777777" w:rsidR="00B210DD" w:rsidRPr="00E77543" w:rsidRDefault="00B210DD" w:rsidP="0040594E">
            <w:pPr>
              <w:pStyle w:val="Tablebody"/>
              <w:rPr>
                <w:sz w:val="24"/>
                <w:szCs w:val="24"/>
              </w:rPr>
            </w:pPr>
            <w:r w:rsidRPr="00E77543">
              <w:rPr>
                <w:sz w:val="24"/>
                <w:szCs w:val="24"/>
              </w:rPr>
              <w:t>4</w:t>
            </w:r>
          </w:p>
        </w:tc>
        <w:tc>
          <w:tcPr>
            <w:tcW w:w="1260" w:type="dxa"/>
            <w:vMerge w:val="restart"/>
            <w:tcBorders>
              <w:left w:val="nil"/>
              <w:right w:val="nil"/>
            </w:tcBorders>
            <w:shd w:val="clear" w:color="auto" w:fill="auto"/>
            <w:noWrap/>
            <w:vAlign w:val="center"/>
          </w:tcPr>
          <w:p w14:paraId="58AFAAAE" w14:textId="77777777" w:rsidR="00B210DD" w:rsidRPr="00E77543" w:rsidRDefault="00B210DD" w:rsidP="0040594E">
            <w:pPr>
              <w:pStyle w:val="Tablebody"/>
              <w:rPr>
                <w:sz w:val="24"/>
                <w:szCs w:val="24"/>
              </w:rPr>
            </w:pPr>
            <w:r w:rsidRPr="00E77543">
              <w:rPr>
                <w:sz w:val="24"/>
                <w:szCs w:val="24"/>
              </w:rPr>
              <w:t>(10%)</w:t>
            </w:r>
          </w:p>
        </w:tc>
        <w:tc>
          <w:tcPr>
            <w:tcW w:w="662" w:type="dxa"/>
            <w:gridSpan w:val="2"/>
            <w:vMerge w:val="restart"/>
            <w:tcBorders>
              <w:left w:val="nil"/>
              <w:right w:val="nil"/>
            </w:tcBorders>
            <w:shd w:val="clear" w:color="auto" w:fill="auto"/>
            <w:noWrap/>
            <w:vAlign w:val="center"/>
          </w:tcPr>
          <w:p w14:paraId="6633C228" w14:textId="77777777" w:rsidR="00B210DD" w:rsidRPr="00E77543" w:rsidRDefault="00B210DD" w:rsidP="0040594E">
            <w:pPr>
              <w:pStyle w:val="Tablebody"/>
              <w:rPr>
                <w:sz w:val="24"/>
                <w:szCs w:val="24"/>
              </w:rPr>
            </w:pPr>
            <w:r w:rsidRPr="00E77543">
              <w:rPr>
                <w:sz w:val="24"/>
                <w:szCs w:val="24"/>
              </w:rPr>
              <w:t>1.2</w:t>
            </w:r>
          </w:p>
        </w:tc>
        <w:tc>
          <w:tcPr>
            <w:tcW w:w="1435" w:type="dxa"/>
            <w:gridSpan w:val="2"/>
            <w:vMerge w:val="restart"/>
            <w:tcBorders>
              <w:left w:val="nil"/>
              <w:right w:val="nil"/>
            </w:tcBorders>
            <w:shd w:val="clear" w:color="auto" w:fill="auto"/>
            <w:noWrap/>
            <w:vAlign w:val="center"/>
          </w:tcPr>
          <w:p w14:paraId="6AAC566A" w14:textId="77777777" w:rsidR="00B210DD" w:rsidRPr="00E77543" w:rsidRDefault="00B210DD" w:rsidP="0040594E">
            <w:pPr>
              <w:pStyle w:val="Tablebody"/>
              <w:rPr>
                <w:sz w:val="24"/>
                <w:szCs w:val="24"/>
              </w:rPr>
            </w:pPr>
            <w:r w:rsidRPr="00E77543">
              <w:rPr>
                <w:sz w:val="24"/>
                <w:szCs w:val="24"/>
              </w:rPr>
              <w:t>(0.03, 49)</w:t>
            </w:r>
          </w:p>
        </w:tc>
        <w:tc>
          <w:tcPr>
            <w:tcW w:w="1191" w:type="dxa"/>
            <w:gridSpan w:val="4"/>
            <w:vMerge w:val="restart"/>
            <w:tcBorders>
              <w:left w:val="nil"/>
            </w:tcBorders>
            <w:shd w:val="clear" w:color="auto" w:fill="auto"/>
            <w:noWrap/>
            <w:vAlign w:val="center"/>
          </w:tcPr>
          <w:p w14:paraId="707C1133" w14:textId="77777777" w:rsidR="00B210DD" w:rsidRPr="00E77543" w:rsidRDefault="00B210DD" w:rsidP="0040594E">
            <w:pPr>
              <w:pStyle w:val="Tablebody"/>
              <w:rPr>
                <w:sz w:val="24"/>
                <w:szCs w:val="24"/>
              </w:rPr>
            </w:pPr>
            <w:r w:rsidRPr="00E77543">
              <w:rPr>
                <w:sz w:val="24"/>
                <w:szCs w:val="24"/>
              </w:rPr>
              <w:t>0.92</w:t>
            </w:r>
          </w:p>
        </w:tc>
        <w:tc>
          <w:tcPr>
            <w:tcW w:w="985" w:type="dxa"/>
            <w:tcBorders>
              <w:left w:val="nil"/>
            </w:tcBorders>
            <w:vAlign w:val="bottom"/>
          </w:tcPr>
          <w:p w14:paraId="2E46793A" w14:textId="436DE94C" w:rsidR="00B210DD" w:rsidRPr="00E77543" w:rsidRDefault="00542A0D" w:rsidP="0040594E">
            <w:pPr>
              <w:pStyle w:val="Tablebody"/>
              <w:rPr>
                <w:sz w:val="24"/>
                <w:szCs w:val="24"/>
              </w:rPr>
            </w:pPr>
            <w:r w:rsidRPr="00E77543">
              <w:rPr>
                <w:sz w:val="24"/>
                <w:szCs w:val="24"/>
              </w:rPr>
              <w:t>0.94</w:t>
            </w:r>
          </w:p>
        </w:tc>
      </w:tr>
      <w:tr w:rsidR="00B210DD" w:rsidRPr="00E77543" w14:paraId="01C55CE1" w14:textId="77777777" w:rsidTr="009F25CA">
        <w:trPr>
          <w:gridAfter w:val="2"/>
          <w:wAfter w:w="1092" w:type="dxa"/>
          <w:trHeight w:val="293"/>
        </w:trPr>
        <w:tc>
          <w:tcPr>
            <w:tcW w:w="1455" w:type="dxa"/>
            <w:vMerge/>
            <w:tcBorders>
              <w:right w:val="nil"/>
            </w:tcBorders>
            <w:shd w:val="clear" w:color="auto" w:fill="auto"/>
            <w:noWrap/>
            <w:vAlign w:val="center"/>
          </w:tcPr>
          <w:p w14:paraId="559E6F14" w14:textId="77777777" w:rsidR="00B210DD" w:rsidRPr="00E77543" w:rsidRDefault="00B210DD" w:rsidP="0040594E">
            <w:pPr>
              <w:pStyle w:val="Tablebody"/>
              <w:rPr>
                <w:sz w:val="24"/>
                <w:szCs w:val="24"/>
              </w:rPr>
            </w:pPr>
          </w:p>
        </w:tc>
        <w:tc>
          <w:tcPr>
            <w:tcW w:w="589" w:type="dxa"/>
            <w:vMerge/>
            <w:tcBorders>
              <w:left w:val="nil"/>
              <w:right w:val="nil"/>
            </w:tcBorders>
            <w:shd w:val="clear" w:color="auto" w:fill="auto"/>
            <w:noWrap/>
            <w:vAlign w:val="center"/>
          </w:tcPr>
          <w:p w14:paraId="3A1833AC" w14:textId="77777777" w:rsidR="00B210DD" w:rsidRPr="00E77543" w:rsidRDefault="00B210DD" w:rsidP="0040594E">
            <w:pPr>
              <w:pStyle w:val="Tablebody"/>
              <w:rPr>
                <w:sz w:val="24"/>
                <w:szCs w:val="24"/>
              </w:rPr>
            </w:pPr>
          </w:p>
        </w:tc>
        <w:tc>
          <w:tcPr>
            <w:tcW w:w="1112" w:type="dxa"/>
            <w:gridSpan w:val="2"/>
            <w:vMerge/>
            <w:tcBorders>
              <w:left w:val="nil"/>
              <w:right w:val="nil"/>
            </w:tcBorders>
            <w:shd w:val="clear" w:color="auto" w:fill="auto"/>
            <w:noWrap/>
            <w:vAlign w:val="center"/>
          </w:tcPr>
          <w:p w14:paraId="4D832C6B" w14:textId="77777777" w:rsidR="00B210DD" w:rsidRPr="00E77543" w:rsidRDefault="00B210DD" w:rsidP="0040594E">
            <w:pPr>
              <w:pStyle w:val="Tablebody"/>
              <w:rPr>
                <w:sz w:val="24"/>
                <w:szCs w:val="24"/>
              </w:rPr>
            </w:pPr>
          </w:p>
        </w:tc>
        <w:tc>
          <w:tcPr>
            <w:tcW w:w="598" w:type="dxa"/>
            <w:vMerge/>
            <w:tcBorders>
              <w:left w:val="nil"/>
              <w:right w:val="nil"/>
            </w:tcBorders>
            <w:shd w:val="clear" w:color="auto" w:fill="auto"/>
            <w:noWrap/>
            <w:vAlign w:val="center"/>
          </w:tcPr>
          <w:p w14:paraId="3C4BE408" w14:textId="77777777" w:rsidR="00B210DD" w:rsidRPr="00E77543" w:rsidRDefault="00B210DD" w:rsidP="0040594E">
            <w:pPr>
              <w:pStyle w:val="Tablebody"/>
              <w:rPr>
                <w:sz w:val="24"/>
                <w:szCs w:val="24"/>
              </w:rPr>
            </w:pPr>
          </w:p>
        </w:tc>
        <w:tc>
          <w:tcPr>
            <w:tcW w:w="1260" w:type="dxa"/>
            <w:vMerge/>
            <w:tcBorders>
              <w:left w:val="nil"/>
              <w:right w:val="nil"/>
            </w:tcBorders>
            <w:shd w:val="clear" w:color="auto" w:fill="auto"/>
            <w:noWrap/>
            <w:vAlign w:val="center"/>
          </w:tcPr>
          <w:p w14:paraId="4677D49B" w14:textId="77777777" w:rsidR="00B210DD" w:rsidRPr="00E77543" w:rsidRDefault="00B210DD" w:rsidP="0040594E">
            <w:pPr>
              <w:pStyle w:val="Tablebody"/>
              <w:rPr>
                <w:sz w:val="24"/>
                <w:szCs w:val="24"/>
              </w:rPr>
            </w:pPr>
          </w:p>
        </w:tc>
        <w:tc>
          <w:tcPr>
            <w:tcW w:w="662" w:type="dxa"/>
            <w:gridSpan w:val="2"/>
            <w:vMerge/>
            <w:tcBorders>
              <w:left w:val="nil"/>
              <w:right w:val="nil"/>
            </w:tcBorders>
            <w:shd w:val="clear" w:color="auto" w:fill="auto"/>
            <w:noWrap/>
            <w:vAlign w:val="center"/>
          </w:tcPr>
          <w:p w14:paraId="7E242602" w14:textId="77777777" w:rsidR="00B210DD" w:rsidRPr="00E77543" w:rsidRDefault="00B210DD" w:rsidP="0040594E">
            <w:pPr>
              <w:pStyle w:val="Tablebody"/>
              <w:rPr>
                <w:sz w:val="24"/>
                <w:szCs w:val="24"/>
              </w:rPr>
            </w:pPr>
          </w:p>
        </w:tc>
        <w:tc>
          <w:tcPr>
            <w:tcW w:w="1435" w:type="dxa"/>
            <w:gridSpan w:val="2"/>
            <w:vMerge/>
            <w:tcBorders>
              <w:left w:val="nil"/>
              <w:right w:val="nil"/>
            </w:tcBorders>
            <w:shd w:val="clear" w:color="auto" w:fill="auto"/>
            <w:noWrap/>
            <w:vAlign w:val="center"/>
          </w:tcPr>
          <w:p w14:paraId="4BD3038D" w14:textId="77777777" w:rsidR="00B210DD" w:rsidRPr="00E77543" w:rsidRDefault="00B210DD" w:rsidP="0040594E">
            <w:pPr>
              <w:pStyle w:val="Tablebody"/>
              <w:rPr>
                <w:sz w:val="24"/>
                <w:szCs w:val="24"/>
              </w:rPr>
            </w:pPr>
          </w:p>
        </w:tc>
        <w:tc>
          <w:tcPr>
            <w:tcW w:w="1191" w:type="dxa"/>
            <w:gridSpan w:val="4"/>
            <w:vMerge/>
            <w:tcBorders>
              <w:left w:val="nil"/>
            </w:tcBorders>
            <w:shd w:val="clear" w:color="auto" w:fill="auto"/>
            <w:noWrap/>
            <w:vAlign w:val="center"/>
          </w:tcPr>
          <w:p w14:paraId="793C168E" w14:textId="77777777" w:rsidR="00B210DD" w:rsidRPr="00E77543" w:rsidRDefault="00B210DD" w:rsidP="0040594E">
            <w:pPr>
              <w:pStyle w:val="Tablebody"/>
              <w:rPr>
                <w:sz w:val="24"/>
                <w:szCs w:val="24"/>
              </w:rPr>
            </w:pPr>
          </w:p>
        </w:tc>
      </w:tr>
      <w:tr w:rsidR="00B210DD" w14:paraId="18F1D6E4" w14:textId="1541CEBE" w:rsidTr="00AC36D1">
        <w:trPr>
          <w:gridAfter w:val="1"/>
          <w:wAfter w:w="107" w:type="dxa"/>
          <w:trHeight w:val="153"/>
        </w:trPr>
        <w:tc>
          <w:tcPr>
            <w:tcW w:w="1455" w:type="dxa"/>
            <w:tcBorders>
              <w:top w:val="nil"/>
              <w:bottom w:val="nil"/>
              <w:right w:val="nil"/>
            </w:tcBorders>
            <w:shd w:val="clear" w:color="auto" w:fill="D9D9D9" w:themeFill="background1" w:themeFillShade="D9"/>
            <w:noWrap/>
            <w:vAlign w:val="center"/>
            <w:hideMark/>
          </w:tcPr>
          <w:p w14:paraId="164AFA7C" w14:textId="77777777" w:rsidR="00B210DD" w:rsidRPr="00E77543" w:rsidRDefault="00B210DD" w:rsidP="0040594E">
            <w:pPr>
              <w:pStyle w:val="Tablebody"/>
              <w:rPr>
                <w:sz w:val="24"/>
                <w:szCs w:val="24"/>
              </w:rPr>
            </w:pPr>
            <w:r w:rsidRPr="00E77543">
              <w:rPr>
                <w:sz w:val="24"/>
                <w:szCs w:val="24"/>
              </w:rPr>
              <w:t> </w:t>
            </w:r>
          </w:p>
        </w:tc>
        <w:tc>
          <w:tcPr>
            <w:tcW w:w="1701" w:type="dxa"/>
            <w:gridSpan w:val="3"/>
            <w:tcBorders>
              <w:left w:val="nil"/>
              <w:right w:val="nil"/>
            </w:tcBorders>
            <w:shd w:val="clear" w:color="auto" w:fill="D9D9D9" w:themeFill="background1" w:themeFillShade="D9"/>
            <w:noWrap/>
            <w:vAlign w:val="center"/>
            <w:hideMark/>
          </w:tcPr>
          <w:p w14:paraId="5578150D" w14:textId="77777777" w:rsidR="00B210DD" w:rsidRPr="00E77543" w:rsidRDefault="00B210DD" w:rsidP="0040594E">
            <w:pPr>
              <w:pStyle w:val="Tablebody"/>
              <w:rPr>
                <w:sz w:val="24"/>
                <w:szCs w:val="24"/>
              </w:rPr>
            </w:pPr>
            <w:r w:rsidRPr="00E77543">
              <w:rPr>
                <w:sz w:val="24"/>
                <w:szCs w:val="24"/>
              </w:rPr>
              <w:t>Cases (n=8)</w:t>
            </w:r>
          </w:p>
        </w:tc>
        <w:tc>
          <w:tcPr>
            <w:tcW w:w="1858" w:type="dxa"/>
            <w:gridSpan w:val="2"/>
            <w:tcBorders>
              <w:left w:val="nil"/>
              <w:right w:val="nil"/>
            </w:tcBorders>
            <w:shd w:val="clear" w:color="auto" w:fill="D9D9D9" w:themeFill="background1" w:themeFillShade="D9"/>
            <w:noWrap/>
            <w:vAlign w:val="center"/>
            <w:hideMark/>
          </w:tcPr>
          <w:p w14:paraId="7ACC81CA" w14:textId="77777777" w:rsidR="00B210DD" w:rsidRPr="00E77543" w:rsidRDefault="00B210DD" w:rsidP="0040594E">
            <w:pPr>
              <w:pStyle w:val="Tablebody"/>
              <w:rPr>
                <w:sz w:val="24"/>
                <w:szCs w:val="24"/>
              </w:rPr>
            </w:pPr>
            <w:r w:rsidRPr="00E77543">
              <w:rPr>
                <w:sz w:val="24"/>
                <w:szCs w:val="24"/>
              </w:rPr>
              <w:t>Controls (n=28)</w:t>
            </w:r>
          </w:p>
        </w:tc>
        <w:tc>
          <w:tcPr>
            <w:tcW w:w="662" w:type="dxa"/>
            <w:gridSpan w:val="2"/>
            <w:tcBorders>
              <w:left w:val="nil"/>
              <w:right w:val="nil"/>
            </w:tcBorders>
            <w:shd w:val="clear" w:color="auto" w:fill="D9D9D9" w:themeFill="background1" w:themeFillShade="D9"/>
            <w:noWrap/>
            <w:vAlign w:val="center"/>
          </w:tcPr>
          <w:p w14:paraId="129C1C12" w14:textId="77777777" w:rsidR="00B210DD" w:rsidRPr="00E77543" w:rsidRDefault="00B210DD" w:rsidP="0040594E">
            <w:pPr>
              <w:pStyle w:val="Tablebody"/>
              <w:rPr>
                <w:sz w:val="24"/>
                <w:szCs w:val="24"/>
              </w:rPr>
            </w:pPr>
          </w:p>
        </w:tc>
        <w:tc>
          <w:tcPr>
            <w:tcW w:w="1435" w:type="dxa"/>
            <w:gridSpan w:val="2"/>
            <w:tcBorders>
              <w:left w:val="nil"/>
              <w:right w:val="nil"/>
            </w:tcBorders>
            <w:shd w:val="clear" w:color="auto" w:fill="D9D9D9" w:themeFill="background1" w:themeFillShade="D9"/>
            <w:noWrap/>
            <w:vAlign w:val="center"/>
          </w:tcPr>
          <w:p w14:paraId="09ED916B" w14:textId="77777777" w:rsidR="00B210DD" w:rsidRPr="00E77543" w:rsidRDefault="00B210DD" w:rsidP="0040594E">
            <w:pPr>
              <w:pStyle w:val="Tablebody"/>
              <w:rPr>
                <w:sz w:val="24"/>
                <w:szCs w:val="24"/>
              </w:rPr>
            </w:pPr>
          </w:p>
        </w:tc>
        <w:tc>
          <w:tcPr>
            <w:tcW w:w="1161" w:type="dxa"/>
            <w:gridSpan w:val="3"/>
            <w:tcBorders>
              <w:left w:val="nil"/>
            </w:tcBorders>
            <w:shd w:val="clear" w:color="auto" w:fill="D9D9D9" w:themeFill="background1" w:themeFillShade="D9"/>
            <w:noWrap/>
            <w:vAlign w:val="center"/>
          </w:tcPr>
          <w:p w14:paraId="79F07628" w14:textId="77777777" w:rsidR="00B210DD" w:rsidRPr="00E77543" w:rsidRDefault="00B210DD" w:rsidP="0040594E">
            <w:pPr>
              <w:pStyle w:val="Tablebody"/>
              <w:rPr>
                <w:sz w:val="24"/>
                <w:szCs w:val="24"/>
              </w:rPr>
            </w:pPr>
          </w:p>
        </w:tc>
        <w:tc>
          <w:tcPr>
            <w:tcW w:w="1015" w:type="dxa"/>
            <w:gridSpan w:val="2"/>
            <w:tcBorders>
              <w:left w:val="nil"/>
            </w:tcBorders>
            <w:shd w:val="clear" w:color="auto" w:fill="D9D9D9" w:themeFill="background1" w:themeFillShade="D9"/>
          </w:tcPr>
          <w:p w14:paraId="46EF8D6A" w14:textId="77777777" w:rsidR="00B210DD" w:rsidRPr="00E77543" w:rsidRDefault="00B210DD" w:rsidP="0040594E">
            <w:pPr>
              <w:pStyle w:val="Tablebody"/>
              <w:rPr>
                <w:sz w:val="24"/>
                <w:szCs w:val="24"/>
              </w:rPr>
            </w:pPr>
          </w:p>
        </w:tc>
      </w:tr>
      <w:tr w:rsidR="00B210DD" w14:paraId="150103EE" w14:textId="6F10E9BB" w:rsidTr="00B210DD">
        <w:trPr>
          <w:gridAfter w:val="1"/>
          <w:wAfter w:w="107" w:type="dxa"/>
          <w:trHeight w:val="300"/>
        </w:trPr>
        <w:tc>
          <w:tcPr>
            <w:tcW w:w="1455" w:type="dxa"/>
            <w:tcBorders>
              <w:top w:val="nil"/>
              <w:right w:val="nil"/>
            </w:tcBorders>
            <w:shd w:val="clear" w:color="auto" w:fill="D9D9D9" w:themeFill="background1" w:themeFillShade="D9"/>
            <w:noWrap/>
            <w:vAlign w:val="center"/>
            <w:hideMark/>
          </w:tcPr>
          <w:p w14:paraId="10CDB422" w14:textId="77777777" w:rsidR="00B210DD" w:rsidRPr="00E77543" w:rsidRDefault="00B210DD" w:rsidP="0040594E">
            <w:pPr>
              <w:pStyle w:val="Tablebody"/>
              <w:rPr>
                <w:sz w:val="24"/>
                <w:szCs w:val="24"/>
              </w:rPr>
            </w:pPr>
            <w:r w:rsidRPr="00E77543">
              <w:rPr>
                <w:sz w:val="24"/>
                <w:szCs w:val="24"/>
              </w:rPr>
              <w:t>Childhood</w:t>
            </w:r>
          </w:p>
        </w:tc>
        <w:tc>
          <w:tcPr>
            <w:tcW w:w="589" w:type="dxa"/>
            <w:tcBorders>
              <w:top w:val="nil"/>
              <w:left w:val="nil"/>
              <w:bottom w:val="single" w:sz="4" w:space="0" w:color="auto"/>
              <w:right w:val="nil"/>
            </w:tcBorders>
            <w:shd w:val="clear" w:color="auto" w:fill="D9D9D9" w:themeFill="background1" w:themeFillShade="D9"/>
            <w:noWrap/>
            <w:vAlign w:val="center"/>
            <w:hideMark/>
          </w:tcPr>
          <w:p w14:paraId="3E8444E2" w14:textId="77777777" w:rsidR="00B210DD" w:rsidRPr="00E77543" w:rsidRDefault="00B210DD" w:rsidP="0040594E">
            <w:pPr>
              <w:pStyle w:val="Tablebody"/>
              <w:rPr>
                <w:sz w:val="24"/>
                <w:szCs w:val="24"/>
              </w:rPr>
            </w:pPr>
            <w:r w:rsidRPr="00E77543">
              <w:rPr>
                <w:sz w:val="24"/>
                <w:szCs w:val="24"/>
              </w:rPr>
              <w:t>n</w:t>
            </w:r>
          </w:p>
        </w:tc>
        <w:tc>
          <w:tcPr>
            <w:tcW w:w="1112" w:type="dxa"/>
            <w:gridSpan w:val="2"/>
            <w:tcBorders>
              <w:top w:val="nil"/>
              <w:left w:val="nil"/>
              <w:bottom w:val="single" w:sz="4" w:space="0" w:color="auto"/>
              <w:right w:val="nil"/>
            </w:tcBorders>
            <w:shd w:val="clear" w:color="auto" w:fill="D9D9D9" w:themeFill="background1" w:themeFillShade="D9"/>
            <w:noWrap/>
            <w:vAlign w:val="center"/>
            <w:hideMark/>
          </w:tcPr>
          <w:p w14:paraId="73536558" w14:textId="77777777" w:rsidR="00B210DD" w:rsidRPr="00E77543" w:rsidRDefault="00B210DD" w:rsidP="0040594E">
            <w:pPr>
              <w:pStyle w:val="Tablebody"/>
              <w:rPr>
                <w:sz w:val="24"/>
                <w:szCs w:val="24"/>
              </w:rPr>
            </w:pPr>
            <w:r w:rsidRPr="00E77543">
              <w:rPr>
                <w:sz w:val="24"/>
                <w:szCs w:val="24"/>
              </w:rPr>
              <w:t>(%)</w:t>
            </w:r>
          </w:p>
        </w:tc>
        <w:tc>
          <w:tcPr>
            <w:tcW w:w="598" w:type="dxa"/>
            <w:tcBorders>
              <w:top w:val="nil"/>
              <w:left w:val="nil"/>
              <w:bottom w:val="single" w:sz="4" w:space="0" w:color="auto"/>
              <w:right w:val="nil"/>
            </w:tcBorders>
            <w:shd w:val="clear" w:color="auto" w:fill="D9D9D9" w:themeFill="background1" w:themeFillShade="D9"/>
            <w:noWrap/>
            <w:vAlign w:val="center"/>
            <w:hideMark/>
          </w:tcPr>
          <w:p w14:paraId="6163D99A" w14:textId="77777777" w:rsidR="00B210DD" w:rsidRPr="00E77543" w:rsidRDefault="00B210DD" w:rsidP="0040594E">
            <w:pPr>
              <w:pStyle w:val="Tablebody"/>
              <w:rPr>
                <w:sz w:val="24"/>
                <w:szCs w:val="24"/>
              </w:rPr>
            </w:pPr>
            <w:r w:rsidRPr="00E77543">
              <w:rPr>
                <w:sz w:val="24"/>
                <w:szCs w:val="24"/>
              </w:rPr>
              <w:t>n</w:t>
            </w:r>
          </w:p>
        </w:tc>
        <w:tc>
          <w:tcPr>
            <w:tcW w:w="1260" w:type="dxa"/>
            <w:tcBorders>
              <w:top w:val="nil"/>
              <w:left w:val="nil"/>
              <w:bottom w:val="single" w:sz="4" w:space="0" w:color="auto"/>
              <w:right w:val="nil"/>
            </w:tcBorders>
            <w:shd w:val="clear" w:color="auto" w:fill="D9D9D9" w:themeFill="background1" w:themeFillShade="D9"/>
            <w:noWrap/>
            <w:vAlign w:val="center"/>
            <w:hideMark/>
          </w:tcPr>
          <w:p w14:paraId="4E9FD3DE" w14:textId="77777777" w:rsidR="00B210DD" w:rsidRPr="00E77543" w:rsidRDefault="00B210DD" w:rsidP="0040594E">
            <w:pPr>
              <w:pStyle w:val="Tablebody"/>
              <w:rPr>
                <w:sz w:val="24"/>
                <w:szCs w:val="24"/>
              </w:rPr>
            </w:pPr>
            <w:r w:rsidRPr="00E77543">
              <w:rPr>
                <w:sz w:val="24"/>
                <w:szCs w:val="24"/>
              </w:rPr>
              <w:t>(%)</w:t>
            </w:r>
          </w:p>
        </w:tc>
        <w:tc>
          <w:tcPr>
            <w:tcW w:w="662" w:type="dxa"/>
            <w:gridSpan w:val="2"/>
            <w:tcBorders>
              <w:top w:val="nil"/>
              <w:left w:val="nil"/>
              <w:right w:val="nil"/>
            </w:tcBorders>
            <w:shd w:val="clear" w:color="auto" w:fill="D9D9D9" w:themeFill="background1" w:themeFillShade="D9"/>
            <w:vAlign w:val="center"/>
          </w:tcPr>
          <w:p w14:paraId="648FCD34" w14:textId="77777777" w:rsidR="00B210DD" w:rsidRPr="00E77543" w:rsidRDefault="00B210DD" w:rsidP="0040594E">
            <w:pPr>
              <w:pStyle w:val="Tablebody"/>
              <w:rPr>
                <w:sz w:val="24"/>
                <w:szCs w:val="24"/>
              </w:rPr>
            </w:pPr>
          </w:p>
        </w:tc>
        <w:tc>
          <w:tcPr>
            <w:tcW w:w="1435" w:type="dxa"/>
            <w:gridSpan w:val="2"/>
            <w:tcBorders>
              <w:top w:val="nil"/>
              <w:left w:val="nil"/>
              <w:right w:val="nil"/>
            </w:tcBorders>
            <w:shd w:val="clear" w:color="auto" w:fill="D9D9D9" w:themeFill="background1" w:themeFillShade="D9"/>
            <w:vAlign w:val="center"/>
          </w:tcPr>
          <w:p w14:paraId="7BC030C2" w14:textId="77777777" w:rsidR="00B210DD" w:rsidRPr="00E77543" w:rsidRDefault="00B210DD" w:rsidP="0040594E">
            <w:pPr>
              <w:pStyle w:val="Tablebody"/>
              <w:rPr>
                <w:sz w:val="24"/>
                <w:szCs w:val="24"/>
              </w:rPr>
            </w:pPr>
          </w:p>
        </w:tc>
        <w:tc>
          <w:tcPr>
            <w:tcW w:w="1191" w:type="dxa"/>
            <w:gridSpan w:val="4"/>
            <w:tcBorders>
              <w:top w:val="nil"/>
              <w:left w:val="nil"/>
            </w:tcBorders>
            <w:shd w:val="clear" w:color="auto" w:fill="D9D9D9" w:themeFill="background1" w:themeFillShade="D9"/>
            <w:vAlign w:val="center"/>
          </w:tcPr>
          <w:p w14:paraId="171B7FC2" w14:textId="77777777" w:rsidR="00B210DD" w:rsidRPr="00E77543" w:rsidRDefault="00B210DD" w:rsidP="0040594E">
            <w:pPr>
              <w:pStyle w:val="Tablebody"/>
              <w:rPr>
                <w:sz w:val="24"/>
                <w:szCs w:val="24"/>
              </w:rPr>
            </w:pPr>
          </w:p>
        </w:tc>
        <w:tc>
          <w:tcPr>
            <w:tcW w:w="985" w:type="dxa"/>
            <w:tcBorders>
              <w:top w:val="nil"/>
              <w:left w:val="nil"/>
            </w:tcBorders>
            <w:shd w:val="clear" w:color="auto" w:fill="D9D9D9" w:themeFill="background1" w:themeFillShade="D9"/>
            <w:vAlign w:val="bottom"/>
          </w:tcPr>
          <w:p w14:paraId="76E39D0C" w14:textId="77777777" w:rsidR="00B210DD" w:rsidRPr="00E77543" w:rsidRDefault="00B210DD" w:rsidP="0040594E">
            <w:pPr>
              <w:pStyle w:val="Tablebody"/>
              <w:rPr>
                <w:sz w:val="24"/>
                <w:szCs w:val="24"/>
              </w:rPr>
            </w:pPr>
          </w:p>
        </w:tc>
      </w:tr>
      <w:tr w:rsidR="00B210DD" w14:paraId="102F20E2" w14:textId="791129BC" w:rsidTr="00B210DD">
        <w:trPr>
          <w:gridAfter w:val="1"/>
          <w:wAfter w:w="107" w:type="dxa"/>
          <w:trHeight w:val="300"/>
        </w:trPr>
        <w:tc>
          <w:tcPr>
            <w:tcW w:w="1455" w:type="dxa"/>
            <w:tcBorders>
              <w:right w:val="nil"/>
            </w:tcBorders>
            <w:shd w:val="clear" w:color="auto" w:fill="D9D9D9" w:themeFill="background1" w:themeFillShade="D9"/>
            <w:noWrap/>
            <w:vAlign w:val="center"/>
            <w:hideMark/>
          </w:tcPr>
          <w:p w14:paraId="63007BC1" w14:textId="77777777" w:rsidR="00B210DD" w:rsidRPr="00E77543" w:rsidRDefault="00B210DD" w:rsidP="009F25CA">
            <w:pPr>
              <w:pStyle w:val="Tablebody"/>
              <w:ind w:left="250"/>
              <w:rPr>
                <w:sz w:val="24"/>
                <w:szCs w:val="24"/>
              </w:rPr>
            </w:pPr>
            <w:r w:rsidRPr="00E77543">
              <w:rPr>
                <w:sz w:val="24"/>
                <w:szCs w:val="24"/>
              </w:rPr>
              <w:t>Zero</w:t>
            </w:r>
          </w:p>
        </w:tc>
        <w:tc>
          <w:tcPr>
            <w:tcW w:w="589" w:type="dxa"/>
            <w:tcBorders>
              <w:left w:val="nil"/>
              <w:right w:val="nil"/>
            </w:tcBorders>
            <w:shd w:val="clear" w:color="auto" w:fill="D9D9D9" w:themeFill="background1" w:themeFillShade="D9"/>
            <w:noWrap/>
            <w:vAlign w:val="center"/>
          </w:tcPr>
          <w:p w14:paraId="24988118" w14:textId="77777777" w:rsidR="00B210DD" w:rsidRPr="00E77543" w:rsidRDefault="00B210DD" w:rsidP="0040594E">
            <w:pPr>
              <w:pStyle w:val="Tablebody"/>
              <w:rPr>
                <w:sz w:val="24"/>
                <w:szCs w:val="24"/>
              </w:rPr>
            </w:pPr>
            <w:r w:rsidRPr="00E77543">
              <w:rPr>
                <w:sz w:val="24"/>
                <w:szCs w:val="24"/>
              </w:rPr>
              <w:t>5</w:t>
            </w:r>
          </w:p>
        </w:tc>
        <w:tc>
          <w:tcPr>
            <w:tcW w:w="1112" w:type="dxa"/>
            <w:gridSpan w:val="2"/>
            <w:tcBorders>
              <w:left w:val="nil"/>
              <w:right w:val="nil"/>
            </w:tcBorders>
            <w:shd w:val="clear" w:color="auto" w:fill="D9D9D9" w:themeFill="background1" w:themeFillShade="D9"/>
            <w:noWrap/>
            <w:vAlign w:val="center"/>
          </w:tcPr>
          <w:p w14:paraId="099D315E" w14:textId="77777777" w:rsidR="00B210DD" w:rsidRPr="00E77543" w:rsidRDefault="00B210DD" w:rsidP="0040594E">
            <w:pPr>
              <w:pStyle w:val="Tablebody"/>
              <w:rPr>
                <w:sz w:val="24"/>
                <w:szCs w:val="24"/>
              </w:rPr>
            </w:pPr>
            <w:r w:rsidRPr="00E77543">
              <w:rPr>
                <w:sz w:val="24"/>
                <w:szCs w:val="24"/>
              </w:rPr>
              <w:t>(63%)</w:t>
            </w:r>
          </w:p>
        </w:tc>
        <w:tc>
          <w:tcPr>
            <w:tcW w:w="598" w:type="dxa"/>
            <w:tcBorders>
              <w:left w:val="nil"/>
              <w:right w:val="nil"/>
            </w:tcBorders>
            <w:shd w:val="clear" w:color="auto" w:fill="D9D9D9" w:themeFill="background1" w:themeFillShade="D9"/>
            <w:noWrap/>
            <w:vAlign w:val="center"/>
          </w:tcPr>
          <w:p w14:paraId="6E7B86BD" w14:textId="77777777" w:rsidR="00B210DD" w:rsidRPr="00E77543" w:rsidRDefault="00B210DD" w:rsidP="0040594E">
            <w:pPr>
              <w:pStyle w:val="Tablebody"/>
              <w:rPr>
                <w:sz w:val="24"/>
                <w:szCs w:val="24"/>
              </w:rPr>
            </w:pPr>
            <w:r w:rsidRPr="00E77543">
              <w:rPr>
                <w:sz w:val="24"/>
                <w:szCs w:val="24"/>
              </w:rPr>
              <w:t>13</w:t>
            </w:r>
          </w:p>
        </w:tc>
        <w:tc>
          <w:tcPr>
            <w:tcW w:w="1260" w:type="dxa"/>
            <w:tcBorders>
              <w:left w:val="nil"/>
              <w:right w:val="nil"/>
            </w:tcBorders>
            <w:shd w:val="clear" w:color="auto" w:fill="D9D9D9" w:themeFill="background1" w:themeFillShade="D9"/>
            <w:noWrap/>
            <w:vAlign w:val="center"/>
          </w:tcPr>
          <w:p w14:paraId="13ECE538" w14:textId="77777777" w:rsidR="00B210DD" w:rsidRPr="00E77543" w:rsidRDefault="00B210DD" w:rsidP="0040594E">
            <w:pPr>
              <w:pStyle w:val="Tablebody"/>
              <w:rPr>
                <w:sz w:val="24"/>
                <w:szCs w:val="24"/>
              </w:rPr>
            </w:pPr>
            <w:r w:rsidRPr="00E77543">
              <w:rPr>
                <w:sz w:val="24"/>
                <w:szCs w:val="24"/>
              </w:rPr>
              <w:t>(46%)</w:t>
            </w:r>
          </w:p>
        </w:tc>
        <w:tc>
          <w:tcPr>
            <w:tcW w:w="662" w:type="dxa"/>
            <w:gridSpan w:val="2"/>
            <w:tcBorders>
              <w:left w:val="nil"/>
              <w:right w:val="nil"/>
            </w:tcBorders>
            <w:shd w:val="clear" w:color="auto" w:fill="D9D9D9" w:themeFill="background1" w:themeFillShade="D9"/>
            <w:noWrap/>
            <w:vAlign w:val="center"/>
          </w:tcPr>
          <w:p w14:paraId="02223FD5" w14:textId="77777777" w:rsidR="00B210DD" w:rsidRPr="00E77543" w:rsidRDefault="00B210DD" w:rsidP="0040594E">
            <w:pPr>
              <w:pStyle w:val="Tablebody"/>
              <w:rPr>
                <w:sz w:val="24"/>
                <w:szCs w:val="24"/>
              </w:rPr>
            </w:pPr>
            <w:r w:rsidRPr="00E77543">
              <w:rPr>
                <w:sz w:val="24"/>
                <w:szCs w:val="24"/>
              </w:rPr>
              <w:t>1.0</w:t>
            </w:r>
          </w:p>
        </w:tc>
        <w:tc>
          <w:tcPr>
            <w:tcW w:w="2626" w:type="dxa"/>
            <w:gridSpan w:val="6"/>
            <w:tcBorders>
              <w:left w:val="nil"/>
            </w:tcBorders>
            <w:shd w:val="clear" w:color="auto" w:fill="D9D9D9" w:themeFill="background1" w:themeFillShade="D9"/>
            <w:noWrap/>
            <w:vAlign w:val="center"/>
          </w:tcPr>
          <w:p w14:paraId="76F7817A" w14:textId="77777777" w:rsidR="00B210DD" w:rsidRPr="00E77543" w:rsidRDefault="00B210DD" w:rsidP="0040594E">
            <w:pPr>
              <w:pStyle w:val="Tablebody"/>
              <w:rPr>
                <w:sz w:val="24"/>
                <w:szCs w:val="24"/>
              </w:rPr>
            </w:pPr>
            <w:r w:rsidRPr="00E77543">
              <w:rPr>
                <w:sz w:val="24"/>
                <w:szCs w:val="24"/>
              </w:rPr>
              <w:t>-ref-</w:t>
            </w:r>
          </w:p>
        </w:tc>
        <w:tc>
          <w:tcPr>
            <w:tcW w:w="985" w:type="dxa"/>
            <w:tcBorders>
              <w:left w:val="nil"/>
            </w:tcBorders>
            <w:shd w:val="clear" w:color="auto" w:fill="D9D9D9" w:themeFill="background1" w:themeFillShade="D9"/>
          </w:tcPr>
          <w:p w14:paraId="2658DEDB" w14:textId="77777777" w:rsidR="00B210DD" w:rsidRPr="00E77543" w:rsidRDefault="00B210DD" w:rsidP="0040594E">
            <w:pPr>
              <w:pStyle w:val="Tablebody"/>
              <w:rPr>
                <w:sz w:val="24"/>
                <w:szCs w:val="24"/>
              </w:rPr>
            </w:pPr>
          </w:p>
        </w:tc>
      </w:tr>
      <w:tr w:rsidR="00B210DD" w14:paraId="2902C606" w14:textId="3A6A4EED" w:rsidTr="00B210DD">
        <w:trPr>
          <w:gridAfter w:val="1"/>
          <w:wAfter w:w="107" w:type="dxa"/>
          <w:trHeight w:val="300"/>
        </w:trPr>
        <w:tc>
          <w:tcPr>
            <w:tcW w:w="1455" w:type="dxa"/>
            <w:tcBorders>
              <w:right w:val="nil"/>
            </w:tcBorders>
            <w:shd w:val="clear" w:color="auto" w:fill="D9D9D9" w:themeFill="background1" w:themeFillShade="D9"/>
            <w:noWrap/>
            <w:vAlign w:val="center"/>
          </w:tcPr>
          <w:p w14:paraId="7B0D365F" w14:textId="77777777" w:rsidR="00B210DD" w:rsidRPr="00E77543" w:rsidRDefault="00B210DD" w:rsidP="009F25CA">
            <w:pPr>
              <w:pStyle w:val="Tablebody"/>
              <w:ind w:left="250"/>
              <w:rPr>
                <w:sz w:val="24"/>
                <w:szCs w:val="24"/>
              </w:rPr>
            </w:pPr>
            <w:r w:rsidRPr="00E77543">
              <w:rPr>
                <w:sz w:val="24"/>
                <w:szCs w:val="24"/>
              </w:rPr>
              <w:t>Low</w:t>
            </w:r>
          </w:p>
        </w:tc>
        <w:tc>
          <w:tcPr>
            <w:tcW w:w="589" w:type="dxa"/>
            <w:tcBorders>
              <w:left w:val="nil"/>
              <w:right w:val="nil"/>
            </w:tcBorders>
            <w:shd w:val="clear" w:color="auto" w:fill="D9D9D9" w:themeFill="background1" w:themeFillShade="D9"/>
            <w:noWrap/>
            <w:vAlign w:val="center"/>
          </w:tcPr>
          <w:p w14:paraId="44EBC429" w14:textId="77777777" w:rsidR="00B210DD" w:rsidRPr="00E77543" w:rsidRDefault="00B210DD" w:rsidP="0040594E">
            <w:pPr>
              <w:pStyle w:val="Tablebody"/>
              <w:rPr>
                <w:sz w:val="24"/>
                <w:szCs w:val="24"/>
              </w:rPr>
            </w:pPr>
            <w:r w:rsidRPr="00E77543">
              <w:rPr>
                <w:sz w:val="24"/>
                <w:szCs w:val="24"/>
              </w:rPr>
              <w:t>0</w:t>
            </w:r>
          </w:p>
        </w:tc>
        <w:tc>
          <w:tcPr>
            <w:tcW w:w="1112" w:type="dxa"/>
            <w:gridSpan w:val="2"/>
            <w:tcBorders>
              <w:left w:val="nil"/>
              <w:right w:val="nil"/>
            </w:tcBorders>
            <w:shd w:val="clear" w:color="auto" w:fill="D9D9D9" w:themeFill="background1" w:themeFillShade="D9"/>
            <w:noWrap/>
            <w:vAlign w:val="center"/>
          </w:tcPr>
          <w:p w14:paraId="23D1373B" w14:textId="77777777" w:rsidR="00B210DD" w:rsidRPr="00E77543" w:rsidRDefault="00B210DD" w:rsidP="0040594E">
            <w:pPr>
              <w:pStyle w:val="Tablebody"/>
              <w:rPr>
                <w:sz w:val="24"/>
                <w:szCs w:val="24"/>
              </w:rPr>
            </w:pPr>
            <w:r w:rsidRPr="00E77543">
              <w:rPr>
                <w:sz w:val="24"/>
                <w:szCs w:val="24"/>
              </w:rPr>
              <w:t>(0%)</w:t>
            </w:r>
          </w:p>
        </w:tc>
        <w:tc>
          <w:tcPr>
            <w:tcW w:w="598" w:type="dxa"/>
            <w:tcBorders>
              <w:left w:val="nil"/>
              <w:right w:val="nil"/>
            </w:tcBorders>
            <w:shd w:val="clear" w:color="auto" w:fill="D9D9D9" w:themeFill="background1" w:themeFillShade="D9"/>
            <w:noWrap/>
            <w:vAlign w:val="center"/>
          </w:tcPr>
          <w:p w14:paraId="2C40A036" w14:textId="77777777" w:rsidR="00B210DD" w:rsidRPr="00E77543" w:rsidRDefault="00B210DD" w:rsidP="0040594E">
            <w:pPr>
              <w:pStyle w:val="Tablebody"/>
              <w:rPr>
                <w:sz w:val="24"/>
                <w:szCs w:val="24"/>
              </w:rPr>
            </w:pPr>
            <w:r w:rsidRPr="00E77543">
              <w:rPr>
                <w:sz w:val="24"/>
                <w:szCs w:val="24"/>
              </w:rPr>
              <w:t>9</w:t>
            </w:r>
          </w:p>
        </w:tc>
        <w:tc>
          <w:tcPr>
            <w:tcW w:w="1260" w:type="dxa"/>
            <w:tcBorders>
              <w:left w:val="nil"/>
              <w:right w:val="nil"/>
            </w:tcBorders>
            <w:shd w:val="clear" w:color="auto" w:fill="D9D9D9" w:themeFill="background1" w:themeFillShade="D9"/>
            <w:noWrap/>
            <w:vAlign w:val="center"/>
          </w:tcPr>
          <w:p w14:paraId="464EFFEC" w14:textId="77777777" w:rsidR="00B210DD" w:rsidRPr="00E77543" w:rsidRDefault="00B210DD" w:rsidP="0040594E">
            <w:pPr>
              <w:pStyle w:val="Tablebody"/>
              <w:rPr>
                <w:sz w:val="24"/>
                <w:szCs w:val="24"/>
              </w:rPr>
            </w:pPr>
            <w:r w:rsidRPr="00E77543">
              <w:rPr>
                <w:sz w:val="24"/>
                <w:szCs w:val="24"/>
              </w:rPr>
              <w:t>(32%)</w:t>
            </w:r>
          </w:p>
        </w:tc>
        <w:tc>
          <w:tcPr>
            <w:tcW w:w="662" w:type="dxa"/>
            <w:gridSpan w:val="2"/>
            <w:tcBorders>
              <w:left w:val="nil"/>
              <w:right w:val="nil"/>
            </w:tcBorders>
            <w:shd w:val="clear" w:color="auto" w:fill="D9D9D9" w:themeFill="background1" w:themeFillShade="D9"/>
            <w:noWrap/>
            <w:vAlign w:val="center"/>
          </w:tcPr>
          <w:p w14:paraId="5FBCE570" w14:textId="77777777" w:rsidR="00B210DD" w:rsidRPr="00E77543" w:rsidRDefault="00B210DD" w:rsidP="0040594E">
            <w:pPr>
              <w:pStyle w:val="Tablebody"/>
              <w:rPr>
                <w:sz w:val="24"/>
                <w:szCs w:val="24"/>
              </w:rPr>
            </w:pPr>
            <w:r w:rsidRPr="00E77543">
              <w:rPr>
                <w:sz w:val="24"/>
                <w:szCs w:val="24"/>
              </w:rPr>
              <w:t>NC</w:t>
            </w:r>
          </w:p>
        </w:tc>
        <w:tc>
          <w:tcPr>
            <w:tcW w:w="1435" w:type="dxa"/>
            <w:gridSpan w:val="2"/>
            <w:tcBorders>
              <w:left w:val="nil"/>
              <w:right w:val="nil"/>
            </w:tcBorders>
            <w:shd w:val="clear" w:color="auto" w:fill="D9D9D9" w:themeFill="background1" w:themeFillShade="D9"/>
            <w:noWrap/>
            <w:vAlign w:val="center"/>
          </w:tcPr>
          <w:p w14:paraId="6CBAD852" w14:textId="77777777" w:rsidR="00B210DD" w:rsidRPr="00E77543" w:rsidRDefault="00B210DD" w:rsidP="0040594E">
            <w:pPr>
              <w:pStyle w:val="Tablebody"/>
              <w:rPr>
                <w:sz w:val="24"/>
                <w:szCs w:val="24"/>
              </w:rPr>
            </w:pPr>
            <w:r w:rsidRPr="00E77543">
              <w:rPr>
                <w:sz w:val="24"/>
                <w:szCs w:val="24"/>
              </w:rPr>
              <w:t>NC</w:t>
            </w:r>
          </w:p>
        </w:tc>
        <w:tc>
          <w:tcPr>
            <w:tcW w:w="1191" w:type="dxa"/>
            <w:gridSpan w:val="4"/>
            <w:tcBorders>
              <w:left w:val="nil"/>
            </w:tcBorders>
            <w:shd w:val="clear" w:color="auto" w:fill="D9D9D9" w:themeFill="background1" w:themeFillShade="D9"/>
            <w:noWrap/>
            <w:vAlign w:val="center"/>
          </w:tcPr>
          <w:p w14:paraId="5709AB70" w14:textId="77777777" w:rsidR="00B210DD" w:rsidRPr="00E77543" w:rsidRDefault="00B210DD" w:rsidP="0040594E">
            <w:pPr>
              <w:pStyle w:val="Tablebody"/>
              <w:rPr>
                <w:sz w:val="24"/>
                <w:szCs w:val="24"/>
              </w:rPr>
            </w:pPr>
            <w:r w:rsidRPr="00E77543">
              <w:rPr>
                <w:sz w:val="24"/>
                <w:szCs w:val="24"/>
              </w:rPr>
              <w:t>NC</w:t>
            </w:r>
          </w:p>
        </w:tc>
        <w:tc>
          <w:tcPr>
            <w:tcW w:w="985" w:type="dxa"/>
            <w:tcBorders>
              <w:left w:val="nil"/>
            </w:tcBorders>
            <w:shd w:val="clear" w:color="auto" w:fill="D9D9D9" w:themeFill="background1" w:themeFillShade="D9"/>
            <w:vAlign w:val="bottom"/>
          </w:tcPr>
          <w:p w14:paraId="1B62ABFF" w14:textId="01C1B901" w:rsidR="00B210DD" w:rsidRPr="00E77543" w:rsidRDefault="00B210DD" w:rsidP="0040594E">
            <w:pPr>
              <w:pStyle w:val="Tablebody"/>
              <w:rPr>
                <w:sz w:val="24"/>
                <w:szCs w:val="24"/>
              </w:rPr>
            </w:pPr>
          </w:p>
        </w:tc>
      </w:tr>
      <w:tr w:rsidR="00B210DD" w14:paraId="43EFE81E" w14:textId="336D1D92" w:rsidTr="00B210DD">
        <w:trPr>
          <w:gridAfter w:val="1"/>
          <w:wAfter w:w="107" w:type="dxa"/>
          <w:trHeight w:val="300"/>
        </w:trPr>
        <w:tc>
          <w:tcPr>
            <w:tcW w:w="1455" w:type="dxa"/>
            <w:tcBorders>
              <w:bottom w:val="single" w:sz="4" w:space="0" w:color="auto"/>
              <w:right w:val="nil"/>
            </w:tcBorders>
            <w:shd w:val="clear" w:color="auto" w:fill="D9D9D9" w:themeFill="background1" w:themeFillShade="D9"/>
            <w:noWrap/>
            <w:vAlign w:val="center"/>
            <w:hideMark/>
          </w:tcPr>
          <w:p w14:paraId="6A73A1F4" w14:textId="77777777" w:rsidR="00B210DD" w:rsidRPr="00E77543" w:rsidRDefault="00B210DD" w:rsidP="009F25CA">
            <w:pPr>
              <w:pStyle w:val="Tablebody"/>
              <w:ind w:left="250"/>
              <w:rPr>
                <w:sz w:val="24"/>
                <w:szCs w:val="24"/>
              </w:rPr>
            </w:pPr>
            <w:r w:rsidRPr="00E77543">
              <w:rPr>
                <w:sz w:val="24"/>
                <w:szCs w:val="24"/>
              </w:rPr>
              <w:t>High</w:t>
            </w:r>
          </w:p>
        </w:tc>
        <w:tc>
          <w:tcPr>
            <w:tcW w:w="589" w:type="dxa"/>
            <w:tcBorders>
              <w:left w:val="nil"/>
              <w:bottom w:val="single" w:sz="4" w:space="0" w:color="auto"/>
              <w:right w:val="nil"/>
            </w:tcBorders>
            <w:shd w:val="clear" w:color="auto" w:fill="D9D9D9" w:themeFill="background1" w:themeFillShade="D9"/>
            <w:noWrap/>
            <w:vAlign w:val="center"/>
          </w:tcPr>
          <w:p w14:paraId="7118FC4F" w14:textId="77777777" w:rsidR="00B210DD" w:rsidRPr="00E77543" w:rsidRDefault="00B210DD" w:rsidP="0040594E">
            <w:pPr>
              <w:pStyle w:val="Tablebody"/>
              <w:rPr>
                <w:sz w:val="24"/>
                <w:szCs w:val="24"/>
              </w:rPr>
            </w:pPr>
            <w:r w:rsidRPr="00E77543">
              <w:rPr>
                <w:sz w:val="24"/>
                <w:szCs w:val="24"/>
              </w:rPr>
              <w:t>3</w:t>
            </w:r>
          </w:p>
        </w:tc>
        <w:tc>
          <w:tcPr>
            <w:tcW w:w="1112" w:type="dxa"/>
            <w:gridSpan w:val="2"/>
            <w:tcBorders>
              <w:left w:val="nil"/>
              <w:bottom w:val="single" w:sz="4" w:space="0" w:color="auto"/>
              <w:right w:val="nil"/>
            </w:tcBorders>
            <w:shd w:val="clear" w:color="auto" w:fill="D9D9D9" w:themeFill="background1" w:themeFillShade="D9"/>
            <w:noWrap/>
            <w:vAlign w:val="center"/>
          </w:tcPr>
          <w:p w14:paraId="66944767" w14:textId="77777777" w:rsidR="00B210DD" w:rsidRPr="00E77543" w:rsidRDefault="00B210DD" w:rsidP="0040594E">
            <w:pPr>
              <w:pStyle w:val="Tablebody"/>
              <w:rPr>
                <w:sz w:val="24"/>
                <w:szCs w:val="24"/>
              </w:rPr>
            </w:pPr>
            <w:r w:rsidRPr="00E77543">
              <w:rPr>
                <w:sz w:val="24"/>
                <w:szCs w:val="24"/>
              </w:rPr>
              <w:t>(38%)</w:t>
            </w:r>
          </w:p>
        </w:tc>
        <w:tc>
          <w:tcPr>
            <w:tcW w:w="598" w:type="dxa"/>
            <w:tcBorders>
              <w:left w:val="nil"/>
              <w:bottom w:val="single" w:sz="4" w:space="0" w:color="auto"/>
              <w:right w:val="nil"/>
            </w:tcBorders>
            <w:shd w:val="clear" w:color="auto" w:fill="D9D9D9" w:themeFill="background1" w:themeFillShade="D9"/>
            <w:noWrap/>
            <w:vAlign w:val="center"/>
          </w:tcPr>
          <w:p w14:paraId="6184190D" w14:textId="77777777" w:rsidR="00B210DD" w:rsidRPr="00E77543" w:rsidRDefault="00B210DD" w:rsidP="0040594E">
            <w:pPr>
              <w:pStyle w:val="Tablebody"/>
              <w:rPr>
                <w:sz w:val="24"/>
                <w:szCs w:val="24"/>
              </w:rPr>
            </w:pPr>
            <w:r w:rsidRPr="00E77543">
              <w:rPr>
                <w:sz w:val="24"/>
                <w:szCs w:val="24"/>
              </w:rPr>
              <w:t>6</w:t>
            </w:r>
          </w:p>
        </w:tc>
        <w:tc>
          <w:tcPr>
            <w:tcW w:w="1260" w:type="dxa"/>
            <w:tcBorders>
              <w:left w:val="nil"/>
              <w:bottom w:val="single" w:sz="4" w:space="0" w:color="auto"/>
              <w:right w:val="nil"/>
            </w:tcBorders>
            <w:shd w:val="clear" w:color="auto" w:fill="D9D9D9" w:themeFill="background1" w:themeFillShade="D9"/>
            <w:noWrap/>
            <w:vAlign w:val="center"/>
          </w:tcPr>
          <w:p w14:paraId="23C1F160" w14:textId="77777777" w:rsidR="00B210DD" w:rsidRPr="00E77543" w:rsidRDefault="00B210DD" w:rsidP="0040594E">
            <w:pPr>
              <w:pStyle w:val="Tablebody"/>
              <w:rPr>
                <w:sz w:val="24"/>
                <w:szCs w:val="24"/>
              </w:rPr>
            </w:pPr>
            <w:r w:rsidRPr="00E77543">
              <w:rPr>
                <w:sz w:val="24"/>
                <w:szCs w:val="24"/>
              </w:rPr>
              <w:t>(21%)</w:t>
            </w:r>
          </w:p>
        </w:tc>
        <w:tc>
          <w:tcPr>
            <w:tcW w:w="662" w:type="dxa"/>
            <w:gridSpan w:val="2"/>
            <w:tcBorders>
              <w:left w:val="nil"/>
              <w:bottom w:val="single" w:sz="4" w:space="0" w:color="auto"/>
              <w:right w:val="nil"/>
            </w:tcBorders>
            <w:shd w:val="clear" w:color="auto" w:fill="D9D9D9" w:themeFill="background1" w:themeFillShade="D9"/>
            <w:noWrap/>
            <w:vAlign w:val="center"/>
          </w:tcPr>
          <w:p w14:paraId="6255A7B2" w14:textId="77777777" w:rsidR="00B210DD" w:rsidRPr="00E77543" w:rsidRDefault="00B210DD" w:rsidP="0040594E">
            <w:pPr>
              <w:pStyle w:val="Tablebody"/>
              <w:rPr>
                <w:sz w:val="24"/>
                <w:szCs w:val="24"/>
              </w:rPr>
            </w:pPr>
            <w:r w:rsidRPr="00E77543">
              <w:rPr>
                <w:sz w:val="24"/>
                <w:szCs w:val="24"/>
              </w:rPr>
              <w:t>NC</w:t>
            </w:r>
          </w:p>
        </w:tc>
        <w:tc>
          <w:tcPr>
            <w:tcW w:w="1435" w:type="dxa"/>
            <w:gridSpan w:val="2"/>
            <w:tcBorders>
              <w:left w:val="nil"/>
              <w:bottom w:val="single" w:sz="4" w:space="0" w:color="auto"/>
              <w:right w:val="nil"/>
            </w:tcBorders>
            <w:shd w:val="clear" w:color="auto" w:fill="D9D9D9" w:themeFill="background1" w:themeFillShade="D9"/>
            <w:noWrap/>
            <w:vAlign w:val="center"/>
          </w:tcPr>
          <w:p w14:paraId="0B0F3DDF" w14:textId="77777777" w:rsidR="00B210DD" w:rsidRPr="00E77543" w:rsidRDefault="00B210DD" w:rsidP="0040594E">
            <w:pPr>
              <w:pStyle w:val="Tablebody"/>
              <w:rPr>
                <w:sz w:val="24"/>
                <w:szCs w:val="24"/>
              </w:rPr>
            </w:pPr>
            <w:r w:rsidRPr="00E77543">
              <w:rPr>
                <w:sz w:val="24"/>
                <w:szCs w:val="24"/>
              </w:rPr>
              <w:t>NC</w:t>
            </w:r>
          </w:p>
        </w:tc>
        <w:tc>
          <w:tcPr>
            <w:tcW w:w="1191" w:type="dxa"/>
            <w:gridSpan w:val="4"/>
            <w:tcBorders>
              <w:left w:val="nil"/>
              <w:bottom w:val="single" w:sz="4" w:space="0" w:color="auto"/>
            </w:tcBorders>
            <w:shd w:val="clear" w:color="auto" w:fill="D9D9D9" w:themeFill="background1" w:themeFillShade="D9"/>
            <w:noWrap/>
            <w:vAlign w:val="center"/>
          </w:tcPr>
          <w:p w14:paraId="62C53E32" w14:textId="77777777" w:rsidR="00B210DD" w:rsidRPr="00E77543" w:rsidRDefault="00B210DD" w:rsidP="0040594E">
            <w:pPr>
              <w:pStyle w:val="Tablebody"/>
              <w:rPr>
                <w:sz w:val="24"/>
                <w:szCs w:val="24"/>
              </w:rPr>
            </w:pPr>
            <w:r w:rsidRPr="00E77543">
              <w:rPr>
                <w:sz w:val="24"/>
                <w:szCs w:val="24"/>
              </w:rPr>
              <w:t>NC</w:t>
            </w:r>
          </w:p>
        </w:tc>
        <w:tc>
          <w:tcPr>
            <w:tcW w:w="985" w:type="dxa"/>
            <w:tcBorders>
              <w:left w:val="nil"/>
              <w:bottom w:val="single" w:sz="4" w:space="0" w:color="auto"/>
            </w:tcBorders>
            <w:shd w:val="clear" w:color="auto" w:fill="D9D9D9" w:themeFill="background1" w:themeFillShade="D9"/>
            <w:vAlign w:val="bottom"/>
          </w:tcPr>
          <w:p w14:paraId="7C142BE6" w14:textId="5384F3A7" w:rsidR="00B210DD" w:rsidRPr="00E77543" w:rsidRDefault="00141510" w:rsidP="0040594E">
            <w:pPr>
              <w:pStyle w:val="Tablebody"/>
              <w:rPr>
                <w:sz w:val="24"/>
                <w:szCs w:val="24"/>
              </w:rPr>
            </w:pPr>
            <w:r w:rsidRPr="00E77543">
              <w:rPr>
                <w:sz w:val="24"/>
                <w:szCs w:val="24"/>
              </w:rPr>
              <w:t>0.27</w:t>
            </w:r>
          </w:p>
        </w:tc>
      </w:tr>
    </w:tbl>
    <w:p w14:paraId="65A8AC93" w14:textId="77777777" w:rsidR="00641C78" w:rsidRPr="00F939B0" w:rsidRDefault="00641C78" w:rsidP="0040594E">
      <w:pPr>
        <w:pStyle w:val="NoSpacing"/>
        <w:rPr>
          <w:sz w:val="22"/>
          <w:szCs w:val="22"/>
        </w:rPr>
      </w:pPr>
      <w:proofErr w:type="spellStart"/>
      <w:r w:rsidRPr="00F939B0">
        <w:rPr>
          <w:sz w:val="22"/>
          <w:szCs w:val="22"/>
          <w:vertAlign w:val="superscript"/>
        </w:rPr>
        <w:t>a</w:t>
      </w:r>
      <w:r w:rsidRPr="00F939B0">
        <w:rPr>
          <w:sz w:val="22"/>
          <w:szCs w:val="22"/>
        </w:rPr>
        <w:t>OR</w:t>
      </w:r>
      <w:proofErr w:type="spellEnd"/>
      <w:r w:rsidRPr="00F939B0">
        <w:rPr>
          <w:sz w:val="22"/>
          <w:szCs w:val="22"/>
        </w:rPr>
        <w:t xml:space="preserve"> = Matched Odds Ratio</w:t>
      </w:r>
    </w:p>
    <w:p w14:paraId="12F16FE7" w14:textId="77777777" w:rsidR="00641C78" w:rsidRPr="00F939B0" w:rsidRDefault="00641C78" w:rsidP="0040594E">
      <w:pPr>
        <w:pStyle w:val="NoSpacing"/>
        <w:rPr>
          <w:sz w:val="22"/>
          <w:szCs w:val="22"/>
        </w:rPr>
      </w:pPr>
      <w:r w:rsidRPr="00F939B0">
        <w:rPr>
          <w:sz w:val="22"/>
          <w:szCs w:val="22"/>
          <w:vertAlign w:val="superscript"/>
        </w:rPr>
        <w:t>b</w:t>
      </w:r>
      <w:r w:rsidRPr="00F939B0">
        <w:rPr>
          <w:sz w:val="22"/>
          <w:szCs w:val="22"/>
        </w:rPr>
        <w:t>95% CI = 95% Confidence Interval</w:t>
      </w:r>
    </w:p>
    <w:p w14:paraId="535EA4FE" w14:textId="347DDBDD" w:rsidR="00C67849" w:rsidRPr="00F939B0" w:rsidRDefault="00641C78" w:rsidP="0040594E">
      <w:pPr>
        <w:pStyle w:val="NoSpacing"/>
        <w:rPr>
          <w:sz w:val="22"/>
          <w:szCs w:val="22"/>
        </w:rPr>
      </w:pPr>
      <w:r w:rsidRPr="00F939B0">
        <w:rPr>
          <w:sz w:val="22"/>
          <w:szCs w:val="22"/>
        </w:rPr>
        <w:t xml:space="preserve">NC = Not </w:t>
      </w:r>
      <w:r w:rsidR="00B210DD" w:rsidRPr="00F939B0">
        <w:rPr>
          <w:sz w:val="22"/>
          <w:szCs w:val="22"/>
        </w:rPr>
        <w:t xml:space="preserve">calculable </w:t>
      </w:r>
      <w:r w:rsidRPr="00F939B0">
        <w:rPr>
          <w:sz w:val="22"/>
          <w:szCs w:val="22"/>
        </w:rPr>
        <w:t xml:space="preserve">due to </w:t>
      </w:r>
      <w:r w:rsidR="001B2765" w:rsidRPr="00F939B0">
        <w:rPr>
          <w:sz w:val="22"/>
          <w:szCs w:val="22"/>
        </w:rPr>
        <w:t>insufficient</w:t>
      </w:r>
      <w:r w:rsidRPr="00F939B0">
        <w:rPr>
          <w:sz w:val="22"/>
          <w:szCs w:val="22"/>
        </w:rPr>
        <w:t xml:space="preserve"> data (i.e</w:t>
      </w:r>
      <w:r w:rsidR="00716072" w:rsidRPr="00F939B0">
        <w:rPr>
          <w:sz w:val="22"/>
          <w:szCs w:val="22"/>
        </w:rPr>
        <w:t xml:space="preserve">. </w:t>
      </w:r>
      <w:r w:rsidRPr="00F939B0">
        <w:rPr>
          <w:sz w:val="22"/>
          <w:szCs w:val="22"/>
        </w:rPr>
        <w:t>few discordant pairs)</w:t>
      </w:r>
    </w:p>
    <w:p w14:paraId="205E2591" w14:textId="574BA0EE" w:rsidR="000C1D74" w:rsidRPr="0094068B" w:rsidRDefault="00B210DD" w:rsidP="0040594E">
      <w:pPr>
        <w:pStyle w:val="NoSpacing"/>
        <w:rPr>
          <w:rFonts w:eastAsiaTheme="minorHAnsi"/>
          <w:sz w:val="22"/>
          <w:szCs w:val="22"/>
        </w:rPr>
      </w:pPr>
      <w:r w:rsidRPr="00F939B0">
        <w:rPr>
          <w:rFonts w:eastAsiaTheme="minorHAnsi"/>
          <w:sz w:val="22"/>
          <w:szCs w:val="22"/>
        </w:rPr>
        <w:t>*</w:t>
      </w:r>
      <w:r w:rsidR="007F65F8" w:rsidRPr="00F939B0">
        <w:rPr>
          <w:rFonts w:eastAsiaTheme="minorHAnsi"/>
          <w:sz w:val="22"/>
          <w:szCs w:val="22"/>
        </w:rPr>
        <w:t xml:space="preserve">NOTES: </w:t>
      </w:r>
      <w:r w:rsidR="007F65F8" w:rsidRPr="00F939B0">
        <w:rPr>
          <w:sz w:val="22"/>
          <w:szCs w:val="22"/>
        </w:rPr>
        <w:t xml:space="preserve">Average concentrations include months of non-zero estimates only. For the </w:t>
      </w:r>
      <w:proofErr w:type="gramStart"/>
      <w:r w:rsidR="007F65F8" w:rsidRPr="00F939B0">
        <w:rPr>
          <w:sz w:val="22"/>
          <w:szCs w:val="22"/>
        </w:rPr>
        <w:t>All Cancers</w:t>
      </w:r>
      <w:proofErr w:type="gramEnd"/>
      <w:r w:rsidR="007F65F8" w:rsidRPr="00F939B0">
        <w:rPr>
          <w:sz w:val="22"/>
          <w:szCs w:val="22"/>
        </w:rPr>
        <w:t xml:space="preserve"> analysis, average maternal concentrations ranged from 0.06 to 1.0 ng/L in the low category and 1.0 to 19 ng/L in the high category; average childhood concentrations ranged from 0.05 to 2.4 ng/L in the low category and 3.</w:t>
      </w:r>
      <w:r w:rsidR="00446984" w:rsidRPr="00F939B0">
        <w:rPr>
          <w:sz w:val="22"/>
          <w:szCs w:val="22"/>
        </w:rPr>
        <w:t>2</w:t>
      </w:r>
      <w:r w:rsidR="007F65F8" w:rsidRPr="00F939B0">
        <w:rPr>
          <w:sz w:val="22"/>
          <w:szCs w:val="22"/>
        </w:rPr>
        <w:t xml:space="preserve"> to 9.2 ng/L in the high category. For the Leukemia/Lymphoma analysis, average maternal concentrations ranged from </w:t>
      </w:r>
      <w:r w:rsidR="00AD40E0" w:rsidRPr="00F939B0">
        <w:rPr>
          <w:sz w:val="22"/>
          <w:szCs w:val="22"/>
        </w:rPr>
        <w:t>0.1</w:t>
      </w:r>
      <w:r w:rsidR="007F65F8" w:rsidRPr="00F939B0">
        <w:rPr>
          <w:sz w:val="22"/>
          <w:szCs w:val="22"/>
        </w:rPr>
        <w:t xml:space="preserve"> to </w:t>
      </w:r>
      <w:r w:rsidR="00AD40E0" w:rsidRPr="00F939B0">
        <w:rPr>
          <w:sz w:val="22"/>
          <w:szCs w:val="22"/>
        </w:rPr>
        <w:t>6.4</w:t>
      </w:r>
      <w:r w:rsidR="007F65F8" w:rsidRPr="00F939B0">
        <w:rPr>
          <w:sz w:val="22"/>
          <w:szCs w:val="22"/>
        </w:rPr>
        <w:t xml:space="preserve"> ng/L in the low category and </w:t>
      </w:r>
      <w:r w:rsidR="00AD40E0" w:rsidRPr="00F939B0">
        <w:rPr>
          <w:sz w:val="22"/>
          <w:szCs w:val="22"/>
        </w:rPr>
        <w:t>10</w:t>
      </w:r>
      <w:r w:rsidR="007F65F8" w:rsidRPr="00F939B0">
        <w:rPr>
          <w:sz w:val="22"/>
          <w:szCs w:val="22"/>
        </w:rPr>
        <w:t xml:space="preserve"> to </w:t>
      </w:r>
      <w:r w:rsidR="00AD40E0" w:rsidRPr="00F939B0">
        <w:rPr>
          <w:sz w:val="22"/>
          <w:szCs w:val="22"/>
        </w:rPr>
        <w:t>19</w:t>
      </w:r>
      <w:r w:rsidR="007F65F8" w:rsidRPr="00F939B0">
        <w:rPr>
          <w:sz w:val="22"/>
          <w:szCs w:val="22"/>
        </w:rPr>
        <w:t xml:space="preserve"> ng/L in the high category; average childhood concentrations ranged from </w:t>
      </w:r>
      <w:r w:rsidR="00AD40E0" w:rsidRPr="00F939B0">
        <w:rPr>
          <w:sz w:val="22"/>
          <w:szCs w:val="22"/>
        </w:rPr>
        <w:t xml:space="preserve">0.07 </w:t>
      </w:r>
      <w:r w:rsidR="007F65F8" w:rsidRPr="00F939B0">
        <w:rPr>
          <w:sz w:val="22"/>
          <w:szCs w:val="22"/>
        </w:rPr>
        <w:t xml:space="preserve">to </w:t>
      </w:r>
      <w:r w:rsidR="00AD40E0" w:rsidRPr="00F939B0">
        <w:rPr>
          <w:sz w:val="22"/>
          <w:szCs w:val="22"/>
        </w:rPr>
        <w:t>3.4</w:t>
      </w:r>
      <w:r w:rsidR="007F65F8" w:rsidRPr="00F939B0">
        <w:rPr>
          <w:sz w:val="22"/>
          <w:szCs w:val="22"/>
        </w:rPr>
        <w:t xml:space="preserve"> ng/L in the low category and </w:t>
      </w:r>
      <w:r w:rsidR="00AD40E0" w:rsidRPr="00F939B0">
        <w:rPr>
          <w:sz w:val="22"/>
          <w:szCs w:val="22"/>
        </w:rPr>
        <w:t>5.3</w:t>
      </w:r>
      <w:r w:rsidR="007F65F8" w:rsidRPr="00F939B0">
        <w:rPr>
          <w:sz w:val="22"/>
          <w:szCs w:val="22"/>
        </w:rPr>
        <w:t xml:space="preserve"> to </w:t>
      </w:r>
      <w:r w:rsidR="00AD40E0" w:rsidRPr="00F939B0">
        <w:rPr>
          <w:sz w:val="22"/>
          <w:szCs w:val="22"/>
        </w:rPr>
        <w:t>9.2</w:t>
      </w:r>
      <w:r w:rsidR="007F65F8" w:rsidRPr="00F939B0">
        <w:rPr>
          <w:sz w:val="22"/>
          <w:szCs w:val="22"/>
        </w:rPr>
        <w:t xml:space="preserve"> ng/L in the high category.</w:t>
      </w:r>
    </w:p>
    <w:p w14:paraId="70EC8753" w14:textId="77777777" w:rsidR="00891FE8" w:rsidRDefault="00891FE8" w:rsidP="00B26D34">
      <w:pPr>
        <w:pStyle w:val="Heading5"/>
      </w:pPr>
      <w:r>
        <w:t>Duration of Exposure</w:t>
      </w:r>
    </w:p>
    <w:p w14:paraId="3D10804D" w14:textId="6936BDCC" w:rsidR="004B6028" w:rsidRPr="004B6028" w:rsidRDefault="004B6028" w:rsidP="006C3ED9">
      <w:r>
        <w:t xml:space="preserve">Duration of potential exposure to TCE was </w:t>
      </w:r>
      <w:r w:rsidR="00C511E6">
        <w:t>also evaluated and</w:t>
      </w:r>
      <w:r>
        <w:t xml:space="preserve"> calculated as the number of months with an estimated non-zero TCE concentration</w:t>
      </w:r>
      <w:r w:rsidR="00716072">
        <w:t xml:space="preserve">. </w:t>
      </w:r>
      <w:r w:rsidR="00C511E6">
        <w:t>Duration of exposure to TCE</w:t>
      </w:r>
      <w:r w:rsidR="00A3544C">
        <w:t xml:space="preserve">, whether during the maternal or childhood exposure periods, </w:t>
      </w:r>
      <w:r w:rsidR="00C511E6">
        <w:t>was not significantly associated with the odds of childhood cancer (</w:t>
      </w:r>
      <w:r w:rsidR="00C67EB4" w:rsidRPr="00372442">
        <w:rPr>
          <w:i/>
        </w:rPr>
        <w:t>p</w:t>
      </w:r>
      <w:r w:rsidR="005E41AE">
        <w:t>-values</w:t>
      </w:r>
      <w:r w:rsidR="00C511E6">
        <w:t xml:space="preserve"> &gt; 0.60)</w:t>
      </w:r>
      <w:r w:rsidR="00716072">
        <w:t xml:space="preserve">. </w:t>
      </w:r>
      <w:r w:rsidR="00A3544C">
        <w:t xml:space="preserve">However, when duration variables were included in logistic regression models evaluating average TCE concentration as a predictor of childhood cancer, the associated odds ratios were </w:t>
      </w:r>
      <w:r w:rsidR="00A3544C">
        <w:lastRenderedPageBreak/>
        <w:t>moderately increased for estimated maternal TCE concentrations</w:t>
      </w:r>
      <w:r w:rsidR="00716072">
        <w:t xml:space="preserve">. </w:t>
      </w:r>
      <w:r w:rsidR="00A3544C">
        <w:t xml:space="preserve">None of the results were statistically significant with the lowest </w:t>
      </w:r>
      <w:r w:rsidR="00C67EB4" w:rsidRPr="00372442">
        <w:rPr>
          <w:i/>
        </w:rPr>
        <w:t>p</w:t>
      </w:r>
      <w:r w:rsidR="00C67EB4">
        <w:t>-value</w:t>
      </w:r>
      <w:r w:rsidR="00A3544C">
        <w:t xml:space="preserve"> observed being 0.18 for the high category of TCE concentration in the model adjusting for total time of Wilmington residence (OR</w:t>
      </w:r>
      <w:r w:rsidR="009D21C6">
        <w:t xml:space="preserve"> </w:t>
      </w:r>
      <w:r w:rsidR="00A3544C">
        <w:t>=</w:t>
      </w:r>
      <w:r w:rsidR="009D21C6">
        <w:t xml:space="preserve"> </w:t>
      </w:r>
      <w:r w:rsidR="00A3544C">
        <w:t>6.9; 95% CI: 0.4-119)</w:t>
      </w:r>
      <w:r w:rsidR="00716072">
        <w:t xml:space="preserve">. </w:t>
      </w:r>
      <w:r w:rsidR="00506FA7">
        <w:t>Results for childhood TCE concentrations remained mostly unchanged when models were adjusted for duration of exposure</w:t>
      </w:r>
      <w:r w:rsidR="00716072">
        <w:t xml:space="preserve">. </w:t>
      </w:r>
      <w:r w:rsidR="00506FA7">
        <w:t>Leukemia/Lymphoma subgroup results for TCE concentrations were not adjusted for duration due to small sample sizes.</w:t>
      </w:r>
    </w:p>
    <w:p w14:paraId="3D16DB45" w14:textId="77777777" w:rsidR="00891FE8" w:rsidRDefault="00891FE8" w:rsidP="0010161F">
      <w:pPr>
        <w:pStyle w:val="Heading3"/>
      </w:pPr>
      <w:r>
        <w:t>Bottled Water Usage during Maternal Exposure Period</w:t>
      </w:r>
    </w:p>
    <w:p w14:paraId="30E6C2FB" w14:textId="5AD229A2" w:rsidR="00891FE8" w:rsidRPr="004859EE" w:rsidRDefault="0028021A" w:rsidP="006C3ED9">
      <w:r>
        <w:fldChar w:fldCharType="begin"/>
      </w:r>
      <w:r>
        <w:instrText xml:space="preserve"> REF  Table15 \h </w:instrText>
      </w:r>
      <w:r w:rsidR="0040594E">
        <w:instrText xml:space="preserve"> \* MERGEFORMAT </w:instrText>
      </w:r>
      <w:r>
        <w:fldChar w:fldCharType="separate"/>
      </w:r>
      <w:r w:rsidR="00977423">
        <w:t xml:space="preserve">Table </w:t>
      </w:r>
      <w:r w:rsidR="00977423">
        <w:rPr>
          <w:noProof/>
        </w:rPr>
        <w:t>15</w:t>
      </w:r>
      <w:r w:rsidR="00977423">
        <w:t xml:space="preserve"> </w:t>
      </w:r>
      <w:r>
        <w:fldChar w:fldCharType="end"/>
      </w:r>
      <w:r w:rsidR="00891FE8">
        <w:t>presents information about the use of bottled water during the maternal exposure period</w:t>
      </w:r>
      <w:r w:rsidR="00716072">
        <w:t xml:space="preserve">. </w:t>
      </w:r>
      <w:r w:rsidR="00891FE8">
        <w:t xml:space="preserve">Based on information collected during interviews, case mothers were approximately twice as likely to report using bottled water as the primary source of home drinking water compared to control mothers (39% </w:t>
      </w:r>
      <w:r w:rsidR="00FF7171">
        <w:t>vs.</w:t>
      </w:r>
      <w:r w:rsidR="00891FE8">
        <w:t xml:space="preserve"> 20%)</w:t>
      </w:r>
      <w:r w:rsidR="00716072">
        <w:t xml:space="preserve">. </w:t>
      </w:r>
      <w:r w:rsidR="00891FE8">
        <w:t xml:space="preserve">Among the </w:t>
      </w:r>
      <w:r w:rsidR="007F74B7">
        <w:t>Leukemia/Lymphoma</w:t>
      </w:r>
      <w:r w:rsidR="00891FE8">
        <w:t xml:space="preserve"> subgroup, a similar pattern was observed with 46% of case mothers, but only 24% of control mothers, reporting bottled water as the primary source of home drinking water</w:t>
      </w:r>
      <w:r w:rsidR="00716072">
        <w:t xml:space="preserve">. </w:t>
      </w:r>
      <w:r w:rsidR="00660435">
        <w:t>Similarly, for those in the TCE analysis, 44% of case mothers and only 26% of control mothers reported primarily drinking bottled water.</w:t>
      </w:r>
    </w:p>
    <w:p w14:paraId="1FD2D3A7" w14:textId="1B9589A8" w:rsidR="0026215A" w:rsidRDefault="0026215A" w:rsidP="0067445F">
      <w:pPr>
        <w:pStyle w:val="Caption"/>
        <w:keepNext/>
        <w:ind w:right="-612"/>
      </w:pPr>
      <w:bookmarkStart w:id="174" w:name="_Ref12010420"/>
      <w:bookmarkStart w:id="175" w:name="Table15"/>
      <w:bookmarkStart w:id="176" w:name="_Toc12012878"/>
      <w:bookmarkStart w:id="177" w:name="_Toc12013072"/>
      <w:bookmarkStart w:id="178" w:name="_Toc45714894"/>
      <w:r>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15</w:t>
      </w:r>
      <w:r w:rsidR="00D616DB">
        <w:rPr>
          <w:noProof/>
        </w:rPr>
        <w:fldChar w:fldCharType="end"/>
      </w:r>
      <w:bookmarkEnd w:id="174"/>
      <w:r w:rsidR="00716072">
        <w:t xml:space="preserve">. </w:t>
      </w:r>
      <w:bookmarkEnd w:id="175"/>
      <w:r w:rsidRPr="00794A27">
        <w:t>Reported use of bottled water as the primary source of home drinking water by mothers during the year before child’s birth among participants of the Wilmington Cancer Study, 1972-2000</w:t>
      </w:r>
      <w:bookmarkEnd w:id="176"/>
      <w:bookmarkEnd w:id="177"/>
      <w:bookmarkEnd w:id="178"/>
    </w:p>
    <w:tbl>
      <w:tblPr>
        <w:tblStyle w:val="TableGrid"/>
        <w:tblW w:w="9329" w:type="dxa"/>
        <w:jc w:val="center"/>
        <w:tblLayout w:type="fixed"/>
        <w:tblLook w:val="04A0" w:firstRow="1" w:lastRow="0" w:firstColumn="1" w:lastColumn="0" w:noHBand="0" w:noVBand="1"/>
      </w:tblPr>
      <w:tblGrid>
        <w:gridCol w:w="2069"/>
        <w:gridCol w:w="907"/>
        <w:gridCol w:w="908"/>
        <w:gridCol w:w="907"/>
        <w:gridCol w:w="908"/>
        <w:gridCol w:w="7"/>
        <w:gridCol w:w="900"/>
        <w:gridCol w:w="908"/>
        <w:gridCol w:w="907"/>
        <w:gridCol w:w="899"/>
        <w:gridCol w:w="9"/>
      </w:tblGrid>
      <w:tr w:rsidR="007B1A8C" w:rsidRPr="0067445F" w14:paraId="26697621" w14:textId="77777777" w:rsidTr="0067445F">
        <w:trPr>
          <w:gridAfter w:val="1"/>
          <w:wAfter w:w="9" w:type="dxa"/>
          <w:trHeight w:val="199"/>
          <w:jc w:val="center"/>
        </w:trPr>
        <w:tc>
          <w:tcPr>
            <w:tcW w:w="2069" w:type="dxa"/>
            <w:tcBorders>
              <w:top w:val="single" w:sz="4" w:space="0" w:color="auto"/>
              <w:left w:val="nil"/>
              <w:right w:val="nil"/>
            </w:tcBorders>
            <w:vAlign w:val="center"/>
          </w:tcPr>
          <w:p w14:paraId="760E778B" w14:textId="77777777" w:rsidR="00E67D74" w:rsidRPr="0067445F" w:rsidRDefault="007B1A8C" w:rsidP="006312FD">
            <w:pPr>
              <w:pStyle w:val="Tableheaders"/>
            </w:pPr>
            <w:r w:rsidRPr="0067445F">
              <w:t>Primary home drinking water</w:t>
            </w:r>
          </w:p>
          <w:p w14:paraId="240D1372" w14:textId="77777777" w:rsidR="007B1A8C" w:rsidRPr="0067445F" w:rsidRDefault="007B1A8C" w:rsidP="006312FD">
            <w:pPr>
              <w:pStyle w:val="Tableheaders"/>
            </w:pPr>
            <w:r w:rsidRPr="0067445F">
              <w:t xml:space="preserve"> source</w:t>
            </w:r>
          </w:p>
        </w:tc>
        <w:tc>
          <w:tcPr>
            <w:tcW w:w="3637" w:type="dxa"/>
            <w:gridSpan w:val="5"/>
            <w:tcBorders>
              <w:top w:val="single" w:sz="4" w:space="0" w:color="auto"/>
              <w:left w:val="nil"/>
              <w:bottom w:val="single" w:sz="4" w:space="0" w:color="auto"/>
              <w:right w:val="nil"/>
            </w:tcBorders>
          </w:tcPr>
          <w:p w14:paraId="24AFD14F" w14:textId="77777777" w:rsidR="007B1A8C" w:rsidRPr="0067445F" w:rsidRDefault="007B1A8C" w:rsidP="006312FD">
            <w:pPr>
              <w:pStyle w:val="Tableheaders"/>
            </w:pPr>
            <w:r w:rsidRPr="0067445F">
              <w:t>All Cancers</w:t>
            </w:r>
          </w:p>
        </w:tc>
        <w:tc>
          <w:tcPr>
            <w:tcW w:w="3614" w:type="dxa"/>
            <w:gridSpan w:val="4"/>
            <w:tcBorders>
              <w:top w:val="single" w:sz="4" w:space="0" w:color="auto"/>
              <w:left w:val="nil"/>
              <w:bottom w:val="single" w:sz="4" w:space="0" w:color="auto"/>
              <w:right w:val="nil"/>
            </w:tcBorders>
            <w:shd w:val="clear" w:color="auto" w:fill="auto"/>
          </w:tcPr>
          <w:p w14:paraId="07FD95D3" w14:textId="77777777" w:rsidR="007B1A8C" w:rsidRPr="0067445F" w:rsidRDefault="007B1A8C" w:rsidP="006312FD">
            <w:pPr>
              <w:pStyle w:val="Tableheaders"/>
            </w:pPr>
            <w:r w:rsidRPr="0067445F">
              <w:t>Leukemia/Lymphoma</w:t>
            </w:r>
          </w:p>
        </w:tc>
      </w:tr>
      <w:tr w:rsidR="007B1A8C" w:rsidRPr="006B5F3B" w14:paraId="710FFC97" w14:textId="77777777" w:rsidTr="0067445F">
        <w:trPr>
          <w:trHeight w:val="199"/>
          <w:jc w:val="center"/>
        </w:trPr>
        <w:tc>
          <w:tcPr>
            <w:tcW w:w="2069" w:type="dxa"/>
            <w:tcBorders>
              <w:left w:val="nil"/>
              <w:bottom w:val="nil"/>
              <w:right w:val="nil"/>
            </w:tcBorders>
            <w:vAlign w:val="center"/>
          </w:tcPr>
          <w:p w14:paraId="36E5857D" w14:textId="77777777" w:rsidR="007B1A8C" w:rsidRPr="0067445F" w:rsidRDefault="007B1A8C" w:rsidP="0040594E">
            <w:pPr>
              <w:pStyle w:val="NoSpacing"/>
              <w:rPr>
                <w:rFonts w:asciiTheme="minorHAnsi" w:hAnsiTheme="minorHAnsi"/>
              </w:rPr>
            </w:pPr>
          </w:p>
        </w:tc>
        <w:tc>
          <w:tcPr>
            <w:tcW w:w="1815" w:type="dxa"/>
            <w:gridSpan w:val="2"/>
            <w:tcBorders>
              <w:top w:val="nil"/>
              <w:left w:val="nil"/>
              <w:bottom w:val="single" w:sz="4" w:space="0" w:color="auto"/>
              <w:right w:val="nil"/>
            </w:tcBorders>
            <w:vAlign w:val="center"/>
          </w:tcPr>
          <w:p w14:paraId="1E3EDA6A"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Cases (n=18)</w:t>
            </w:r>
          </w:p>
        </w:tc>
        <w:tc>
          <w:tcPr>
            <w:tcW w:w="1815" w:type="dxa"/>
            <w:gridSpan w:val="2"/>
            <w:tcBorders>
              <w:top w:val="nil"/>
              <w:left w:val="nil"/>
              <w:bottom w:val="single" w:sz="4" w:space="0" w:color="auto"/>
              <w:right w:val="nil"/>
            </w:tcBorders>
            <w:vAlign w:val="center"/>
          </w:tcPr>
          <w:p w14:paraId="6C4DCB5A"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Controls (n=74)</w:t>
            </w:r>
          </w:p>
        </w:tc>
        <w:tc>
          <w:tcPr>
            <w:tcW w:w="1815" w:type="dxa"/>
            <w:gridSpan w:val="3"/>
            <w:tcBorders>
              <w:top w:val="nil"/>
              <w:left w:val="nil"/>
              <w:bottom w:val="single" w:sz="4" w:space="0" w:color="auto"/>
              <w:right w:val="nil"/>
            </w:tcBorders>
            <w:shd w:val="clear" w:color="auto" w:fill="auto"/>
            <w:vAlign w:val="center"/>
          </w:tcPr>
          <w:p w14:paraId="7F7F3A65"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Cases (n=11)</w:t>
            </w:r>
          </w:p>
        </w:tc>
        <w:tc>
          <w:tcPr>
            <w:tcW w:w="1815" w:type="dxa"/>
            <w:gridSpan w:val="3"/>
            <w:tcBorders>
              <w:top w:val="nil"/>
              <w:left w:val="nil"/>
              <w:bottom w:val="single" w:sz="4" w:space="0" w:color="auto"/>
              <w:right w:val="nil"/>
            </w:tcBorders>
            <w:shd w:val="clear" w:color="auto" w:fill="auto"/>
            <w:vAlign w:val="center"/>
          </w:tcPr>
          <w:p w14:paraId="4EF03AE3"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Controls (n=45)</w:t>
            </w:r>
          </w:p>
        </w:tc>
      </w:tr>
      <w:tr w:rsidR="007B1A8C" w:rsidRPr="006B5F3B" w14:paraId="1B35B56F" w14:textId="77777777" w:rsidTr="0067445F">
        <w:trPr>
          <w:trHeight w:val="199"/>
          <w:jc w:val="center"/>
        </w:trPr>
        <w:tc>
          <w:tcPr>
            <w:tcW w:w="2069" w:type="dxa"/>
            <w:tcBorders>
              <w:top w:val="nil"/>
              <w:left w:val="nil"/>
              <w:bottom w:val="nil"/>
              <w:right w:val="nil"/>
            </w:tcBorders>
            <w:vAlign w:val="center"/>
          </w:tcPr>
          <w:p w14:paraId="0D5A1CCD" w14:textId="77777777" w:rsidR="007B1A8C" w:rsidRPr="0067445F" w:rsidRDefault="007B1A8C" w:rsidP="0040594E">
            <w:pPr>
              <w:pStyle w:val="NoSpacing"/>
              <w:rPr>
                <w:rFonts w:asciiTheme="minorHAnsi" w:hAnsiTheme="minorHAnsi"/>
              </w:rPr>
            </w:pPr>
            <w:r w:rsidRPr="0067445F">
              <w:rPr>
                <w:rFonts w:asciiTheme="minorHAnsi" w:hAnsiTheme="minorHAnsi"/>
              </w:rPr>
              <w:t>NDMA Study Population</w:t>
            </w:r>
          </w:p>
        </w:tc>
        <w:tc>
          <w:tcPr>
            <w:tcW w:w="907" w:type="dxa"/>
            <w:tcBorders>
              <w:top w:val="single" w:sz="4" w:space="0" w:color="auto"/>
              <w:left w:val="nil"/>
              <w:bottom w:val="nil"/>
              <w:right w:val="nil"/>
            </w:tcBorders>
            <w:vAlign w:val="center"/>
          </w:tcPr>
          <w:p w14:paraId="550FA655" w14:textId="77777777" w:rsidR="007B1A8C" w:rsidRPr="0067445F" w:rsidRDefault="007B1A8C" w:rsidP="0040594E">
            <w:pPr>
              <w:pStyle w:val="NoSpacing"/>
              <w:ind w:right="144"/>
              <w:jc w:val="right"/>
              <w:rPr>
                <w:rFonts w:asciiTheme="minorHAnsi" w:hAnsiTheme="minorHAnsi"/>
                <w:u w:val="single"/>
              </w:rPr>
            </w:pPr>
            <w:r w:rsidRPr="0067445F">
              <w:rPr>
                <w:rFonts w:asciiTheme="minorHAnsi" w:hAnsiTheme="minorHAnsi"/>
                <w:u w:val="single"/>
              </w:rPr>
              <w:t>#</w:t>
            </w:r>
          </w:p>
        </w:tc>
        <w:tc>
          <w:tcPr>
            <w:tcW w:w="907" w:type="dxa"/>
            <w:tcBorders>
              <w:top w:val="single" w:sz="4" w:space="0" w:color="auto"/>
              <w:left w:val="nil"/>
              <w:bottom w:val="nil"/>
              <w:right w:val="nil"/>
            </w:tcBorders>
            <w:vAlign w:val="center"/>
          </w:tcPr>
          <w:p w14:paraId="546CFE1E" w14:textId="77777777" w:rsidR="007B1A8C" w:rsidRPr="0067445F" w:rsidRDefault="007B1A8C" w:rsidP="0040594E">
            <w:pPr>
              <w:pStyle w:val="NoSpacing"/>
              <w:ind w:right="144"/>
              <w:jc w:val="center"/>
              <w:rPr>
                <w:rFonts w:asciiTheme="minorHAnsi" w:hAnsiTheme="minorHAnsi"/>
                <w:u w:val="single"/>
              </w:rPr>
            </w:pPr>
            <w:r w:rsidRPr="0067445F">
              <w:rPr>
                <w:rFonts w:asciiTheme="minorHAnsi" w:hAnsiTheme="minorHAnsi"/>
                <w:u w:val="single"/>
              </w:rPr>
              <w:t>%</w:t>
            </w:r>
          </w:p>
        </w:tc>
        <w:tc>
          <w:tcPr>
            <w:tcW w:w="907" w:type="dxa"/>
            <w:tcBorders>
              <w:top w:val="single" w:sz="4" w:space="0" w:color="auto"/>
              <w:left w:val="nil"/>
              <w:bottom w:val="nil"/>
              <w:right w:val="nil"/>
            </w:tcBorders>
            <w:vAlign w:val="center"/>
          </w:tcPr>
          <w:p w14:paraId="745DACAC" w14:textId="77777777" w:rsidR="007B1A8C" w:rsidRPr="0067445F" w:rsidRDefault="007B1A8C" w:rsidP="0040594E">
            <w:pPr>
              <w:pStyle w:val="NoSpacing"/>
              <w:ind w:right="144"/>
              <w:jc w:val="right"/>
              <w:rPr>
                <w:rFonts w:asciiTheme="minorHAnsi" w:hAnsiTheme="minorHAnsi"/>
                <w:u w:val="single"/>
              </w:rPr>
            </w:pPr>
            <w:r w:rsidRPr="0067445F">
              <w:rPr>
                <w:rFonts w:asciiTheme="minorHAnsi" w:hAnsiTheme="minorHAnsi"/>
                <w:u w:val="single"/>
              </w:rPr>
              <w:t>#</w:t>
            </w:r>
          </w:p>
        </w:tc>
        <w:tc>
          <w:tcPr>
            <w:tcW w:w="907" w:type="dxa"/>
            <w:tcBorders>
              <w:top w:val="single" w:sz="4" w:space="0" w:color="auto"/>
              <w:left w:val="nil"/>
              <w:bottom w:val="nil"/>
              <w:right w:val="nil"/>
            </w:tcBorders>
            <w:vAlign w:val="center"/>
          </w:tcPr>
          <w:p w14:paraId="48B63247" w14:textId="77777777" w:rsidR="007B1A8C" w:rsidRPr="0067445F" w:rsidRDefault="007B1A8C" w:rsidP="0040594E">
            <w:pPr>
              <w:pStyle w:val="NoSpacing"/>
              <w:ind w:right="144"/>
              <w:jc w:val="center"/>
              <w:rPr>
                <w:rFonts w:asciiTheme="minorHAnsi" w:hAnsiTheme="minorHAnsi"/>
                <w:u w:val="single"/>
              </w:rPr>
            </w:pPr>
            <w:r w:rsidRPr="0067445F">
              <w:rPr>
                <w:rFonts w:asciiTheme="minorHAnsi" w:hAnsiTheme="minorHAnsi"/>
                <w:u w:val="single"/>
              </w:rPr>
              <w:t>%</w:t>
            </w:r>
          </w:p>
        </w:tc>
        <w:tc>
          <w:tcPr>
            <w:tcW w:w="907" w:type="dxa"/>
            <w:gridSpan w:val="2"/>
            <w:tcBorders>
              <w:top w:val="single" w:sz="4" w:space="0" w:color="auto"/>
              <w:left w:val="nil"/>
              <w:bottom w:val="nil"/>
              <w:right w:val="nil"/>
            </w:tcBorders>
            <w:shd w:val="clear" w:color="auto" w:fill="auto"/>
            <w:vAlign w:val="center"/>
          </w:tcPr>
          <w:p w14:paraId="10B3A7EF" w14:textId="77777777" w:rsidR="007B1A8C" w:rsidRPr="0067445F" w:rsidRDefault="007B1A8C" w:rsidP="0040594E">
            <w:pPr>
              <w:pStyle w:val="NoSpacing"/>
              <w:ind w:right="144"/>
              <w:jc w:val="right"/>
              <w:rPr>
                <w:rFonts w:asciiTheme="minorHAnsi" w:hAnsiTheme="minorHAnsi"/>
                <w:u w:val="single"/>
              </w:rPr>
            </w:pPr>
            <w:r w:rsidRPr="0067445F">
              <w:rPr>
                <w:rFonts w:asciiTheme="minorHAnsi" w:hAnsiTheme="minorHAnsi"/>
                <w:u w:val="single"/>
              </w:rPr>
              <w:t>#</w:t>
            </w:r>
          </w:p>
        </w:tc>
        <w:tc>
          <w:tcPr>
            <w:tcW w:w="907" w:type="dxa"/>
            <w:tcBorders>
              <w:top w:val="single" w:sz="4" w:space="0" w:color="auto"/>
              <w:left w:val="nil"/>
              <w:bottom w:val="nil"/>
              <w:right w:val="nil"/>
            </w:tcBorders>
            <w:shd w:val="clear" w:color="auto" w:fill="auto"/>
            <w:vAlign w:val="center"/>
          </w:tcPr>
          <w:p w14:paraId="573E4301" w14:textId="77777777" w:rsidR="007B1A8C" w:rsidRPr="0067445F" w:rsidRDefault="007B1A8C" w:rsidP="0040594E">
            <w:pPr>
              <w:pStyle w:val="NoSpacing"/>
              <w:ind w:right="144"/>
              <w:jc w:val="center"/>
              <w:rPr>
                <w:rFonts w:asciiTheme="minorHAnsi" w:hAnsiTheme="minorHAnsi"/>
                <w:u w:val="single"/>
              </w:rPr>
            </w:pPr>
            <w:r w:rsidRPr="0067445F">
              <w:rPr>
                <w:rFonts w:asciiTheme="minorHAnsi" w:hAnsiTheme="minorHAnsi"/>
                <w:u w:val="single"/>
              </w:rPr>
              <w:t>%</w:t>
            </w:r>
          </w:p>
        </w:tc>
        <w:tc>
          <w:tcPr>
            <w:tcW w:w="907" w:type="dxa"/>
            <w:tcBorders>
              <w:top w:val="nil"/>
              <w:left w:val="nil"/>
              <w:bottom w:val="nil"/>
              <w:right w:val="nil"/>
            </w:tcBorders>
            <w:shd w:val="clear" w:color="auto" w:fill="auto"/>
            <w:vAlign w:val="center"/>
          </w:tcPr>
          <w:p w14:paraId="0A9D6CA3" w14:textId="77777777" w:rsidR="007B1A8C" w:rsidRPr="0067445F" w:rsidRDefault="007B1A8C" w:rsidP="0040594E">
            <w:pPr>
              <w:pStyle w:val="NoSpacing"/>
              <w:ind w:right="144"/>
              <w:jc w:val="right"/>
              <w:rPr>
                <w:rFonts w:asciiTheme="minorHAnsi" w:hAnsiTheme="minorHAnsi"/>
                <w:u w:val="single"/>
              </w:rPr>
            </w:pPr>
            <w:r w:rsidRPr="0067445F">
              <w:rPr>
                <w:rFonts w:asciiTheme="minorHAnsi" w:hAnsiTheme="minorHAnsi"/>
                <w:u w:val="single"/>
              </w:rPr>
              <w:t>#</w:t>
            </w:r>
          </w:p>
        </w:tc>
        <w:tc>
          <w:tcPr>
            <w:tcW w:w="907" w:type="dxa"/>
            <w:gridSpan w:val="2"/>
            <w:tcBorders>
              <w:top w:val="nil"/>
              <w:left w:val="nil"/>
              <w:bottom w:val="nil"/>
              <w:right w:val="nil"/>
            </w:tcBorders>
            <w:shd w:val="clear" w:color="auto" w:fill="auto"/>
            <w:vAlign w:val="center"/>
          </w:tcPr>
          <w:p w14:paraId="545D5293" w14:textId="77777777" w:rsidR="007B1A8C" w:rsidRPr="0067445F" w:rsidRDefault="007B1A8C" w:rsidP="0040594E">
            <w:pPr>
              <w:pStyle w:val="NoSpacing"/>
              <w:ind w:right="144"/>
              <w:jc w:val="center"/>
              <w:rPr>
                <w:rFonts w:asciiTheme="minorHAnsi" w:hAnsiTheme="minorHAnsi"/>
                <w:u w:val="single"/>
              </w:rPr>
            </w:pPr>
            <w:r w:rsidRPr="0067445F">
              <w:rPr>
                <w:rFonts w:asciiTheme="minorHAnsi" w:hAnsiTheme="minorHAnsi"/>
                <w:u w:val="single"/>
              </w:rPr>
              <w:t>%</w:t>
            </w:r>
          </w:p>
        </w:tc>
      </w:tr>
      <w:tr w:rsidR="007B1A8C" w:rsidRPr="000420AE" w14:paraId="1AF1F76F" w14:textId="77777777" w:rsidTr="0067445F">
        <w:trPr>
          <w:trHeight w:val="199"/>
          <w:jc w:val="center"/>
        </w:trPr>
        <w:tc>
          <w:tcPr>
            <w:tcW w:w="2069" w:type="dxa"/>
            <w:tcBorders>
              <w:top w:val="nil"/>
              <w:left w:val="nil"/>
              <w:bottom w:val="nil"/>
              <w:right w:val="nil"/>
            </w:tcBorders>
            <w:vAlign w:val="center"/>
          </w:tcPr>
          <w:p w14:paraId="767E299B" w14:textId="77777777" w:rsidR="007B1A8C" w:rsidRPr="0067445F" w:rsidRDefault="007B1A8C" w:rsidP="0040594E">
            <w:pPr>
              <w:pStyle w:val="NoSpacing"/>
              <w:ind w:left="432"/>
              <w:rPr>
                <w:rFonts w:asciiTheme="minorHAnsi" w:hAnsiTheme="minorHAnsi"/>
              </w:rPr>
            </w:pPr>
            <w:r w:rsidRPr="0067445F">
              <w:rPr>
                <w:rFonts w:asciiTheme="minorHAnsi" w:hAnsiTheme="minorHAnsi"/>
              </w:rPr>
              <w:t>Tap Water</w:t>
            </w:r>
          </w:p>
        </w:tc>
        <w:tc>
          <w:tcPr>
            <w:tcW w:w="907" w:type="dxa"/>
            <w:tcBorders>
              <w:top w:val="nil"/>
              <w:left w:val="nil"/>
              <w:bottom w:val="nil"/>
              <w:right w:val="nil"/>
            </w:tcBorders>
            <w:vAlign w:val="center"/>
          </w:tcPr>
          <w:p w14:paraId="610F07AF"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5</w:t>
            </w:r>
          </w:p>
        </w:tc>
        <w:tc>
          <w:tcPr>
            <w:tcW w:w="907" w:type="dxa"/>
            <w:tcBorders>
              <w:top w:val="nil"/>
              <w:left w:val="nil"/>
              <w:bottom w:val="nil"/>
              <w:right w:val="nil"/>
            </w:tcBorders>
            <w:vAlign w:val="center"/>
          </w:tcPr>
          <w:p w14:paraId="18A69F77" w14:textId="77777777" w:rsidR="007B1A8C" w:rsidRPr="0067445F" w:rsidRDefault="007B1A8C" w:rsidP="0040594E">
            <w:pPr>
              <w:spacing w:after="0" w:line="240" w:lineRule="auto"/>
              <w:ind w:right="144"/>
              <w:jc w:val="right"/>
              <w:rPr>
                <w:rFonts w:asciiTheme="minorHAnsi" w:hAnsiTheme="minorHAnsi"/>
              </w:rPr>
            </w:pPr>
            <w:r w:rsidRPr="0067445F">
              <w:rPr>
                <w:rFonts w:asciiTheme="minorHAnsi" w:hAnsiTheme="minorHAnsi"/>
              </w:rPr>
              <w:t>28%</w:t>
            </w:r>
          </w:p>
        </w:tc>
        <w:tc>
          <w:tcPr>
            <w:tcW w:w="907" w:type="dxa"/>
            <w:tcBorders>
              <w:top w:val="nil"/>
              <w:left w:val="nil"/>
              <w:bottom w:val="nil"/>
              <w:right w:val="nil"/>
            </w:tcBorders>
            <w:vAlign w:val="center"/>
          </w:tcPr>
          <w:p w14:paraId="4B40585E" w14:textId="77777777" w:rsidR="007B1A8C" w:rsidRPr="0067445F" w:rsidRDefault="007B1A8C" w:rsidP="0040594E">
            <w:pPr>
              <w:spacing w:after="0" w:line="240" w:lineRule="auto"/>
              <w:ind w:right="144"/>
              <w:jc w:val="right"/>
              <w:rPr>
                <w:rFonts w:asciiTheme="minorHAnsi" w:hAnsiTheme="minorHAnsi"/>
              </w:rPr>
            </w:pPr>
            <w:r w:rsidRPr="0067445F">
              <w:rPr>
                <w:rFonts w:asciiTheme="minorHAnsi" w:hAnsiTheme="minorHAnsi"/>
              </w:rPr>
              <w:t>33</w:t>
            </w:r>
          </w:p>
        </w:tc>
        <w:tc>
          <w:tcPr>
            <w:tcW w:w="907" w:type="dxa"/>
            <w:tcBorders>
              <w:top w:val="nil"/>
              <w:left w:val="nil"/>
              <w:bottom w:val="nil"/>
              <w:right w:val="nil"/>
            </w:tcBorders>
            <w:vAlign w:val="center"/>
          </w:tcPr>
          <w:p w14:paraId="7E8AFA91" w14:textId="77777777" w:rsidR="007B1A8C" w:rsidRPr="0067445F" w:rsidRDefault="007B1A8C" w:rsidP="0040594E">
            <w:pPr>
              <w:spacing w:after="0" w:line="240" w:lineRule="auto"/>
              <w:ind w:right="144"/>
              <w:jc w:val="right"/>
              <w:rPr>
                <w:rFonts w:asciiTheme="minorHAnsi" w:hAnsiTheme="minorHAnsi"/>
              </w:rPr>
            </w:pPr>
            <w:r w:rsidRPr="0067445F">
              <w:rPr>
                <w:rFonts w:asciiTheme="minorHAnsi" w:hAnsiTheme="minorHAnsi"/>
              </w:rPr>
              <w:t>45%</w:t>
            </w:r>
          </w:p>
        </w:tc>
        <w:tc>
          <w:tcPr>
            <w:tcW w:w="907" w:type="dxa"/>
            <w:gridSpan w:val="2"/>
            <w:tcBorders>
              <w:top w:val="nil"/>
              <w:left w:val="nil"/>
              <w:bottom w:val="nil"/>
              <w:right w:val="nil"/>
            </w:tcBorders>
            <w:shd w:val="clear" w:color="auto" w:fill="auto"/>
            <w:vAlign w:val="center"/>
          </w:tcPr>
          <w:p w14:paraId="34BB8683"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w:t>
            </w:r>
          </w:p>
        </w:tc>
        <w:tc>
          <w:tcPr>
            <w:tcW w:w="907" w:type="dxa"/>
            <w:tcBorders>
              <w:top w:val="nil"/>
              <w:left w:val="nil"/>
              <w:bottom w:val="nil"/>
              <w:right w:val="nil"/>
            </w:tcBorders>
            <w:shd w:val="clear" w:color="auto" w:fill="auto"/>
            <w:vAlign w:val="center"/>
          </w:tcPr>
          <w:p w14:paraId="1924108E"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27%</w:t>
            </w:r>
          </w:p>
        </w:tc>
        <w:tc>
          <w:tcPr>
            <w:tcW w:w="907" w:type="dxa"/>
            <w:tcBorders>
              <w:top w:val="nil"/>
              <w:left w:val="nil"/>
              <w:bottom w:val="nil"/>
              <w:right w:val="nil"/>
            </w:tcBorders>
            <w:shd w:val="clear" w:color="auto" w:fill="auto"/>
            <w:vAlign w:val="center"/>
          </w:tcPr>
          <w:p w14:paraId="179BDD92"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17</w:t>
            </w:r>
          </w:p>
        </w:tc>
        <w:tc>
          <w:tcPr>
            <w:tcW w:w="907" w:type="dxa"/>
            <w:gridSpan w:val="2"/>
            <w:tcBorders>
              <w:top w:val="nil"/>
              <w:left w:val="nil"/>
              <w:bottom w:val="nil"/>
              <w:right w:val="nil"/>
            </w:tcBorders>
            <w:shd w:val="clear" w:color="auto" w:fill="auto"/>
            <w:vAlign w:val="center"/>
          </w:tcPr>
          <w:p w14:paraId="518FF68A"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38%</w:t>
            </w:r>
          </w:p>
        </w:tc>
      </w:tr>
      <w:tr w:rsidR="007B1A8C" w:rsidRPr="000420AE" w14:paraId="3FB9FB66" w14:textId="77777777" w:rsidTr="0067445F">
        <w:trPr>
          <w:trHeight w:val="199"/>
          <w:jc w:val="center"/>
        </w:trPr>
        <w:tc>
          <w:tcPr>
            <w:tcW w:w="2069" w:type="dxa"/>
            <w:tcBorders>
              <w:top w:val="nil"/>
              <w:left w:val="nil"/>
              <w:bottom w:val="nil"/>
              <w:right w:val="nil"/>
            </w:tcBorders>
            <w:vAlign w:val="center"/>
          </w:tcPr>
          <w:p w14:paraId="4FAE14FF" w14:textId="77777777" w:rsidR="007B1A8C" w:rsidRPr="0067445F" w:rsidRDefault="007B1A8C" w:rsidP="0040594E">
            <w:pPr>
              <w:pStyle w:val="NoSpacing"/>
              <w:ind w:left="432"/>
              <w:rPr>
                <w:rFonts w:asciiTheme="minorHAnsi" w:hAnsiTheme="minorHAnsi"/>
                <w:vertAlign w:val="superscript"/>
              </w:rPr>
            </w:pPr>
            <w:r w:rsidRPr="0067445F">
              <w:rPr>
                <w:rFonts w:asciiTheme="minorHAnsi" w:hAnsiTheme="minorHAnsi"/>
              </w:rPr>
              <w:t>Bottled Water</w:t>
            </w:r>
          </w:p>
        </w:tc>
        <w:tc>
          <w:tcPr>
            <w:tcW w:w="907" w:type="dxa"/>
            <w:tcBorders>
              <w:top w:val="nil"/>
              <w:left w:val="nil"/>
              <w:bottom w:val="nil"/>
              <w:right w:val="nil"/>
            </w:tcBorders>
            <w:vAlign w:val="center"/>
          </w:tcPr>
          <w:p w14:paraId="646852E6"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7</w:t>
            </w:r>
          </w:p>
        </w:tc>
        <w:tc>
          <w:tcPr>
            <w:tcW w:w="907" w:type="dxa"/>
            <w:tcBorders>
              <w:top w:val="nil"/>
              <w:left w:val="nil"/>
              <w:bottom w:val="nil"/>
              <w:right w:val="nil"/>
            </w:tcBorders>
            <w:vAlign w:val="center"/>
          </w:tcPr>
          <w:p w14:paraId="114140B6"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39%</w:t>
            </w:r>
          </w:p>
        </w:tc>
        <w:tc>
          <w:tcPr>
            <w:tcW w:w="907" w:type="dxa"/>
            <w:tcBorders>
              <w:top w:val="nil"/>
              <w:left w:val="nil"/>
              <w:bottom w:val="nil"/>
              <w:right w:val="nil"/>
            </w:tcBorders>
            <w:vAlign w:val="center"/>
          </w:tcPr>
          <w:p w14:paraId="0F5C42F6"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15</w:t>
            </w:r>
          </w:p>
        </w:tc>
        <w:tc>
          <w:tcPr>
            <w:tcW w:w="907" w:type="dxa"/>
            <w:tcBorders>
              <w:top w:val="nil"/>
              <w:left w:val="nil"/>
              <w:bottom w:val="nil"/>
              <w:right w:val="nil"/>
            </w:tcBorders>
            <w:vAlign w:val="center"/>
          </w:tcPr>
          <w:p w14:paraId="61819DB9"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20%</w:t>
            </w:r>
          </w:p>
        </w:tc>
        <w:tc>
          <w:tcPr>
            <w:tcW w:w="907" w:type="dxa"/>
            <w:gridSpan w:val="2"/>
            <w:tcBorders>
              <w:top w:val="nil"/>
              <w:left w:val="nil"/>
              <w:bottom w:val="nil"/>
              <w:right w:val="nil"/>
            </w:tcBorders>
            <w:shd w:val="clear" w:color="auto" w:fill="auto"/>
            <w:vAlign w:val="center"/>
          </w:tcPr>
          <w:p w14:paraId="448CB18D"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5</w:t>
            </w:r>
          </w:p>
        </w:tc>
        <w:tc>
          <w:tcPr>
            <w:tcW w:w="907" w:type="dxa"/>
            <w:tcBorders>
              <w:top w:val="nil"/>
              <w:left w:val="nil"/>
              <w:bottom w:val="nil"/>
              <w:right w:val="nil"/>
            </w:tcBorders>
            <w:shd w:val="clear" w:color="auto" w:fill="auto"/>
            <w:vAlign w:val="center"/>
          </w:tcPr>
          <w:p w14:paraId="648444EA"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46%</w:t>
            </w:r>
          </w:p>
        </w:tc>
        <w:tc>
          <w:tcPr>
            <w:tcW w:w="907" w:type="dxa"/>
            <w:tcBorders>
              <w:top w:val="nil"/>
              <w:left w:val="nil"/>
              <w:bottom w:val="nil"/>
              <w:right w:val="nil"/>
            </w:tcBorders>
            <w:shd w:val="clear" w:color="auto" w:fill="auto"/>
            <w:vAlign w:val="center"/>
          </w:tcPr>
          <w:p w14:paraId="4154A4EB"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11</w:t>
            </w:r>
          </w:p>
        </w:tc>
        <w:tc>
          <w:tcPr>
            <w:tcW w:w="907" w:type="dxa"/>
            <w:gridSpan w:val="2"/>
            <w:tcBorders>
              <w:top w:val="nil"/>
              <w:left w:val="nil"/>
              <w:bottom w:val="nil"/>
              <w:right w:val="nil"/>
            </w:tcBorders>
            <w:shd w:val="clear" w:color="auto" w:fill="auto"/>
            <w:vAlign w:val="center"/>
          </w:tcPr>
          <w:p w14:paraId="67479207"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24%</w:t>
            </w:r>
          </w:p>
        </w:tc>
      </w:tr>
      <w:tr w:rsidR="007B1A8C" w:rsidRPr="006B5F3B" w14:paraId="5A8C8ABF" w14:textId="77777777" w:rsidTr="0067445F">
        <w:trPr>
          <w:trHeight w:val="199"/>
          <w:jc w:val="center"/>
        </w:trPr>
        <w:tc>
          <w:tcPr>
            <w:tcW w:w="2069" w:type="dxa"/>
            <w:tcBorders>
              <w:top w:val="nil"/>
              <w:left w:val="nil"/>
              <w:bottom w:val="nil"/>
              <w:right w:val="nil"/>
            </w:tcBorders>
            <w:vAlign w:val="center"/>
          </w:tcPr>
          <w:p w14:paraId="5CEE3E43" w14:textId="77777777" w:rsidR="007B1A8C" w:rsidRPr="0067445F" w:rsidRDefault="007B1A8C" w:rsidP="0040594E">
            <w:pPr>
              <w:pStyle w:val="NoSpacing"/>
              <w:ind w:left="432"/>
              <w:rPr>
                <w:rFonts w:asciiTheme="minorHAnsi" w:hAnsiTheme="minorHAnsi"/>
              </w:rPr>
            </w:pPr>
            <w:r w:rsidRPr="0067445F">
              <w:rPr>
                <w:rFonts w:asciiTheme="minorHAnsi" w:hAnsiTheme="minorHAnsi"/>
              </w:rPr>
              <w:t>Non-</w:t>
            </w:r>
            <w:proofErr w:type="spellStart"/>
            <w:r w:rsidRPr="0067445F">
              <w:rPr>
                <w:rFonts w:asciiTheme="minorHAnsi" w:hAnsiTheme="minorHAnsi"/>
              </w:rPr>
              <w:t>Resident</w:t>
            </w:r>
            <w:r w:rsidRPr="0067445F">
              <w:rPr>
                <w:rFonts w:asciiTheme="minorHAnsi" w:hAnsiTheme="minorHAnsi"/>
                <w:vertAlign w:val="superscript"/>
              </w:rPr>
              <w:t>a</w:t>
            </w:r>
            <w:proofErr w:type="spellEnd"/>
          </w:p>
        </w:tc>
        <w:tc>
          <w:tcPr>
            <w:tcW w:w="907" w:type="dxa"/>
            <w:tcBorders>
              <w:top w:val="nil"/>
              <w:left w:val="nil"/>
              <w:bottom w:val="nil"/>
              <w:right w:val="nil"/>
            </w:tcBorders>
            <w:vAlign w:val="center"/>
          </w:tcPr>
          <w:p w14:paraId="3AD771BF"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6</w:t>
            </w:r>
          </w:p>
        </w:tc>
        <w:tc>
          <w:tcPr>
            <w:tcW w:w="907" w:type="dxa"/>
            <w:tcBorders>
              <w:top w:val="nil"/>
              <w:left w:val="nil"/>
              <w:bottom w:val="nil"/>
              <w:right w:val="nil"/>
            </w:tcBorders>
            <w:vAlign w:val="center"/>
          </w:tcPr>
          <w:p w14:paraId="76338B51"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33%</w:t>
            </w:r>
          </w:p>
        </w:tc>
        <w:tc>
          <w:tcPr>
            <w:tcW w:w="907" w:type="dxa"/>
            <w:tcBorders>
              <w:top w:val="nil"/>
              <w:left w:val="nil"/>
              <w:bottom w:val="nil"/>
              <w:right w:val="nil"/>
            </w:tcBorders>
            <w:vAlign w:val="center"/>
          </w:tcPr>
          <w:p w14:paraId="3274A7F3"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26</w:t>
            </w:r>
          </w:p>
        </w:tc>
        <w:tc>
          <w:tcPr>
            <w:tcW w:w="907" w:type="dxa"/>
            <w:tcBorders>
              <w:top w:val="nil"/>
              <w:left w:val="nil"/>
              <w:bottom w:val="nil"/>
              <w:right w:val="nil"/>
            </w:tcBorders>
            <w:vAlign w:val="center"/>
          </w:tcPr>
          <w:p w14:paraId="405BE321"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35%</w:t>
            </w:r>
          </w:p>
        </w:tc>
        <w:tc>
          <w:tcPr>
            <w:tcW w:w="907" w:type="dxa"/>
            <w:gridSpan w:val="2"/>
            <w:tcBorders>
              <w:top w:val="nil"/>
              <w:left w:val="nil"/>
              <w:bottom w:val="nil"/>
              <w:right w:val="nil"/>
            </w:tcBorders>
            <w:shd w:val="clear" w:color="auto" w:fill="auto"/>
            <w:vAlign w:val="center"/>
          </w:tcPr>
          <w:p w14:paraId="20253844"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w:t>
            </w:r>
          </w:p>
        </w:tc>
        <w:tc>
          <w:tcPr>
            <w:tcW w:w="907" w:type="dxa"/>
            <w:tcBorders>
              <w:top w:val="nil"/>
              <w:left w:val="nil"/>
              <w:bottom w:val="nil"/>
              <w:right w:val="nil"/>
            </w:tcBorders>
            <w:shd w:val="clear" w:color="auto" w:fill="auto"/>
            <w:vAlign w:val="center"/>
          </w:tcPr>
          <w:p w14:paraId="4EEC42EC"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27%</w:t>
            </w:r>
          </w:p>
        </w:tc>
        <w:tc>
          <w:tcPr>
            <w:tcW w:w="907" w:type="dxa"/>
            <w:tcBorders>
              <w:top w:val="nil"/>
              <w:left w:val="nil"/>
              <w:bottom w:val="nil"/>
              <w:right w:val="nil"/>
            </w:tcBorders>
            <w:shd w:val="clear" w:color="auto" w:fill="auto"/>
            <w:vAlign w:val="center"/>
          </w:tcPr>
          <w:p w14:paraId="58D036BE"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17</w:t>
            </w:r>
          </w:p>
        </w:tc>
        <w:tc>
          <w:tcPr>
            <w:tcW w:w="907" w:type="dxa"/>
            <w:gridSpan w:val="2"/>
            <w:tcBorders>
              <w:top w:val="nil"/>
              <w:left w:val="nil"/>
              <w:bottom w:val="nil"/>
              <w:right w:val="nil"/>
            </w:tcBorders>
            <w:shd w:val="clear" w:color="auto" w:fill="auto"/>
            <w:vAlign w:val="center"/>
          </w:tcPr>
          <w:p w14:paraId="46D0FD27"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38%</w:t>
            </w:r>
          </w:p>
        </w:tc>
      </w:tr>
      <w:tr w:rsidR="007B1A8C" w:rsidRPr="006B5F3B" w14:paraId="1058C2A7" w14:textId="77777777" w:rsidTr="0067445F">
        <w:trPr>
          <w:trHeight w:val="199"/>
          <w:jc w:val="center"/>
        </w:trPr>
        <w:tc>
          <w:tcPr>
            <w:tcW w:w="2069" w:type="dxa"/>
            <w:tcBorders>
              <w:top w:val="nil"/>
              <w:left w:val="nil"/>
              <w:bottom w:val="nil"/>
              <w:right w:val="nil"/>
            </w:tcBorders>
            <w:vAlign w:val="center"/>
          </w:tcPr>
          <w:p w14:paraId="5CB3A976" w14:textId="77777777" w:rsidR="007B1A8C" w:rsidRPr="0067445F" w:rsidRDefault="007B1A8C" w:rsidP="0040594E">
            <w:pPr>
              <w:pStyle w:val="NoSpacing"/>
              <w:ind w:left="432"/>
              <w:rPr>
                <w:rFonts w:asciiTheme="minorHAnsi" w:hAnsiTheme="minorHAnsi"/>
                <w:vertAlign w:val="superscript"/>
              </w:rPr>
            </w:pPr>
          </w:p>
        </w:tc>
        <w:tc>
          <w:tcPr>
            <w:tcW w:w="907" w:type="dxa"/>
            <w:tcBorders>
              <w:top w:val="nil"/>
              <w:left w:val="nil"/>
              <w:bottom w:val="single" w:sz="4" w:space="0" w:color="auto"/>
              <w:right w:val="nil"/>
            </w:tcBorders>
            <w:vAlign w:val="center"/>
          </w:tcPr>
          <w:p w14:paraId="7378F92B" w14:textId="77777777" w:rsidR="007B1A8C" w:rsidRPr="0067445F" w:rsidRDefault="007B1A8C" w:rsidP="0040594E">
            <w:pPr>
              <w:pStyle w:val="NoSpacing"/>
              <w:ind w:right="144"/>
              <w:jc w:val="right"/>
              <w:rPr>
                <w:rFonts w:asciiTheme="minorHAnsi" w:hAnsiTheme="minorHAnsi"/>
              </w:rPr>
            </w:pPr>
          </w:p>
        </w:tc>
        <w:tc>
          <w:tcPr>
            <w:tcW w:w="907" w:type="dxa"/>
            <w:tcBorders>
              <w:top w:val="nil"/>
              <w:left w:val="nil"/>
              <w:bottom w:val="nil"/>
              <w:right w:val="nil"/>
            </w:tcBorders>
          </w:tcPr>
          <w:p w14:paraId="02FBD6A5" w14:textId="77777777" w:rsidR="007B1A8C" w:rsidRPr="0067445F" w:rsidRDefault="007B1A8C" w:rsidP="0040594E">
            <w:pPr>
              <w:pStyle w:val="NoSpacing"/>
              <w:ind w:right="144"/>
              <w:jc w:val="right"/>
              <w:rPr>
                <w:rFonts w:asciiTheme="minorHAnsi" w:hAnsiTheme="minorHAnsi"/>
              </w:rPr>
            </w:pPr>
          </w:p>
        </w:tc>
        <w:tc>
          <w:tcPr>
            <w:tcW w:w="907" w:type="dxa"/>
            <w:tcBorders>
              <w:top w:val="nil"/>
              <w:left w:val="nil"/>
              <w:bottom w:val="nil"/>
              <w:right w:val="nil"/>
            </w:tcBorders>
            <w:shd w:val="clear" w:color="auto" w:fill="auto"/>
          </w:tcPr>
          <w:p w14:paraId="12661A56" w14:textId="77777777" w:rsidR="007B1A8C" w:rsidRPr="0067445F" w:rsidRDefault="007B1A8C" w:rsidP="0040594E">
            <w:pPr>
              <w:pStyle w:val="NoSpacing"/>
              <w:ind w:right="144"/>
              <w:jc w:val="right"/>
              <w:rPr>
                <w:rFonts w:asciiTheme="minorHAnsi" w:hAnsiTheme="minorHAnsi"/>
              </w:rPr>
            </w:pPr>
          </w:p>
        </w:tc>
        <w:tc>
          <w:tcPr>
            <w:tcW w:w="907" w:type="dxa"/>
            <w:tcBorders>
              <w:top w:val="nil"/>
              <w:left w:val="nil"/>
              <w:bottom w:val="single" w:sz="4" w:space="0" w:color="auto"/>
              <w:right w:val="nil"/>
            </w:tcBorders>
            <w:shd w:val="clear" w:color="auto" w:fill="auto"/>
            <w:vAlign w:val="center"/>
          </w:tcPr>
          <w:p w14:paraId="720D1707" w14:textId="77777777" w:rsidR="007B1A8C" w:rsidRPr="0067445F" w:rsidRDefault="007B1A8C" w:rsidP="0040594E">
            <w:pPr>
              <w:pStyle w:val="NoSpacing"/>
              <w:ind w:right="144"/>
              <w:jc w:val="right"/>
              <w:rPr>
                <w:rFonts w:asciiTheme="minorHAnsi" w:hAnsiTheme="minorHAnsi"/>
              </w:rPr>
            </w:pPr>
          </w:p>
        </w:tc>
        <w:tc>
          <w:tcPr>
            <w:tcW w:w="907" w:type="dxa"/>
            <w:gridSpan w:val="2"/>
            <w:tcBorders>
              <w:top w:val="nil"/>
              <w:left w:val="nil"/>
              <w:bottom w:val="single" w:sz="4" w:space="0" w:color="auto"/>
              <w:right w:val="nil"/>
            </w:tcBorders>
            <w:shd w:val="clear" w:color="auto" w:fill="auto"/>
            <w:vAlign w:val="center"/>
          </w:tcPr>
          <w:p w14:paraId="7B396AD0" w14:textId="77777777" w:rsidR="007B1A8C" w:rsidRPr="0067445F" w:rsidRDefault="007B1A8C" w:rsidP="0040594E">
            <w:pPr>
              <w:pStyle w:val="NoSpacing"/>
              <w:ind w:right="144"/>
              <w:jc w:val="right"/>
              <w:rPr>
                <w:rFonts w:asciiTheme="minorHAnsi" w:hAnsiTheme="minorHAnsi"/>
              </w:rPr>
            </w:pPr>
          </w:p>
        </w:tc>
        <w:tc>
          <w:tcPr>
            <w:tcW w:w="907" w:type="dxa"/>
            <w:tcBorders>
              <w:top w:val="nil"/>
              <w:left w:val="nil"/>
              <w:bottom w:val="nil"/>
              <w:right w:val="nil"/>
            </w:tcBorders>
          </w:tcPr>
          <w:p w14:paraId="64C3B6C1" w14:textId="77777777" w:rsidR="007B1A8C" w:rsidRPr="0067445F" w:rsidRDefault="007B1A8C" w:rsidP="0040594E">
            <w:pPr>
              <w:pStyle w:val="NoSpacing"/>
              <w:ind w:right="144"/>
              <w:jc w:val="right"/>
              <w:rPr>
                <w:rFonts w:asciiTheme="minorHAnsi" w:hAnsiTheme="minorHAnsi"/>
              </w:rPr>
            </w:pPr>
          </w:p>
        </w:tc>
        <w:tc>
          <w:tcPr>
            <w:tcW w:w="907" w:type="dxa"/>
            <w:tcBorders>
              <w:top w:val="nil"/>
              <w:left w:val="nil"/>
              <w:bottom w:val="nil"/>
              <w:right w:val="nil"/>
            </w:tcBorders>
            <w:shd w:val="clear" w:color="auto" w:fill="auto"/>
            <w:vAlign w:val="center"/>
          </w:tcPr>
          <w:p w14:paraId="4346FA6E" w14:textId="77777777" w:rsidR="007B1A8C" w:rsidRPr="0067445F" w:rsidRDefault="007B1A8C" w:rsidP="0040594E">
            <w:pPr>
              <w:pStyle w:val="NoSpacing"/>
              <w:ind w:right="144"/>
              <w:jc w:val="right"/>
              <w:rPr>
                <w:rFonts w:asciiTheme="minorHAnsi" w:hAnsiTheme="minorHAnsi"/>
              </w:rPr>
            </w:pPr>
          </w:p>
        </w:tc>
        <w:tc>
          <w:tcPr>
            <w:tcW w:w="907" w:type="dxa"/>
            <w:gridSpan w:val="2"/>
            <w:tcBorders>
              <w:top w:val="nil"/>
              <w:left w:val="nil"/>
              <w:bottom w:val="nil"/>
              <w:right w:val="nil"/>
            </w:tcBorders>
            <w:shd w:val="clear" w:color="auto" w:fill="auto"/>
            <w:vAlign w:val="center"/>
          </w:tcPr>
          <w:p w14:paraId="15023285" w14:textId="77777777" w:rsidR="007B1A8C" w:rsidRPr="0067445F" w:rsidRDefault="007B1A8C" w:rsidP="0040594E">
            <w:pPr>
              <w:pStyle w:val="NoSpacing"/>
              <w:ind w:right="144"/>
              <w:jc w:val="right"/>
              <w:rPr>
                <w:rFonts w:asciiTheme="minorHAnsi" w:hAnsiTheme="minorHAnsi"/>
              </w:rPr>
            </w:pPr>
          </w:p>
        </w:tc>
      </w:tr>
      <w:tr w:rsidR="007B1A8C" w:rsidRPr="006B5F3B" w14:paraId="66AA2C2B" w14:textId="77777777" w:rsidTr="0067445F">
        <w:trPr>
          <w:trHeight w:val="199"/>
          <w:jc w:val="center"/>
        </w:trPr>
        <w:tc>
          <w:tcPr>
            <w:tcW w:w="2069" w:type="dxa"/>
            <w:tcBorders>
              <w:top w:val="nil"/>
              <w:left w:val="nil"/>
              <w:bottom w:val="nil"/>
              <w:right w:val="nil"/>
            </w:tcBorders>
            <w:shd w:val="clear" w:color="auto" w:fill="D9D9D9" w:themeFill="background1" w:themeFillShade="D9"/>
            <w:vAlign w:val="center"/>
          </w:tcPr>
          <w:p w14:paraId="38304C32" w14:textId="77777777" w:rsidR="007B1A8C" w:rsidRPr="0067445F" w:rsidRDefault="007B1A8C" w:rsidP="0040594E">
            <w:pPr>
              <w:pStyle w:val="NoSpacing"/>
              <w:rPr>
                <w:rFonts w:asciiTheme="minorHAnsi" w:hAnsiTheme="minorHAnsi"/>
              </w:rPr>
            </w:pPr>
          </w:p>
        </w:tc>
        <w:tc>
          <w:tcPr>
            <w:tcW w:w="1815" w:type="dxa"/>
            <w:gridSpan w:val="2"/>
            <w:tcBorders>
              <w:top w:val="single" w:sz="4" w:space="0" w:color="auto"/>
              <w:left w:val="nil"/>
              <w:bottom w:val="single" w:sz="4" w:space="0" w:color="auto"/>
              <w:right w:val="nil"/>
            </w:tcBorders>
            <w:shd w:val="clear" w:color="auto" w:fill="D9D9D9" w:themeFill="background1" w:themeFillShade="D9"/>
            <w:vAlign w:val="center"/>
          </w:tcPr>
          <w:p w14:paraId="2FE7F79A"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Cases (n= 16)</w:t>
            </w:r>
          </w:p>
        </w:tc>
        <w:tc>
          <w:tcPr>
            <w:tcW w:w="1815" w:type="dxa"/>
            <w:gridSpan w:val="2"/>
            <w:tcBorders>
              <w:top w:val="single" w:sz="4" w:space="0" w:color="auto"/>
              <w:left w:val="nil"/>
              <w:bottom w:val="single" w:sz="4" w:space="0" w:color="auto"/>
              <w:right w:val="nil"/>
            </w:tcBorders>
            <w:shd w:val="clear" w:color="auto" w:fill="D9D9D9" w:themeFill="background1" w:themeFillShade="D9"/>
            <w:vAlign w:val="center"/>
          </w:tcPr>
          <w:p w14:paraId="711295D3"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Controls (n=57)</w:t>
            </w:r>
          </w:p>
        </w:tc>
        <w:tc>
          <w:tcPr>
            <w:tcW w:w="1815" w:type="dxa"/>
            <w:gridSpan w:val="3"/>
            <w:tcBorders>
              <w:top w:val="single" w:sz="4" w:space="0" w:color="auto"/>
              <w:left w:val="nil"/>
              <w:bottom w:val="single" w:sz="4" w:space="0" w:color="auto"/>
              <w:right w:val="nil"/>
            </w:tcBorders>
            <w:shd w:val="clear" w:color="auto" w:fill="D9D9D9" w:themeFill="background1" w:themeFillShade="D9"/>
            <w:vAlign w:val="center"/>
          </w:tcPr>
          <w:p w14:paraId="710AB968"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Cases (n=10)</w:t>
            </w:r>
          </w:p>
        </w:tc>
        <w:tc>
          <w:tcPr>
            <w:tcW w:w="1815" w:type="dxa"/>
            <w:gridSpan w:val="3"/>
            <w:tcBorders>
              <w:top w:val="single" w:sz="4" w:space="0" w:color="auto"/>
              <w:left w:val="nil"/>
              <w:bottom w:val="single" w:sz="4" w:space="0" w:color="auto"/>
              <w:right w:val="nil"/>
            </w:tcBorders>
            <w:shd w:val="clear" w:color="auto" w:fill="D9D9D9" w:themeFill="background1" w:themeFillShade="D9"/>
            <w:vAlign w:val="center"/>
          </w:tcPr>
          <w:p w14:paraId="4377D16D" w14:textId="77777777" w:rsidR="007B1A8C" w:rsidRPr="0067445F" w:rsidRDefault="007B1A8C" w:rsidP="0040594E">
            <w:pPr>
              <w:pStyle w:val="NoSpacing"/>
              <w:jc w:val="center"/>
              <w:rPr>
                <w:rFonts w:asciiTheme="minorHAnsi" w:hAnsiTheme="minorHAnsi"/>
              </w:rPr>
            </w:pPr>
            <w:r w:rsidRPr="0067445F">
              <w:rPr>
                <w:rFonts w:asciiTheme="minorHAnsi" w:hAnsiTheme="minorHAnsi"/>
              </w:rPr>
              <w:t>Controls (n=39)</w:t>
            </w:r>
          </w:p>
        </w:tc>
      </w:tr>
      <w:tr w:rsidR="007B1A8C" w:rsidRPr="006B5F3B" w14:paraId="0F585816" w14:textId="77777777" w:rsidTr="0067445F">
        <w:trPr>
          <w:trHeight w:val="199"/>
          <w:jc w:val="center"/>
        </w:trPr>
        <w:tc>
          <w:tcPr>
            <w:tcW w:w="2069" w:type="dxa"/>
            <w:tcBorders>
              <w:top w:val="nil"/>
              <w:left w:val="nil"/>
              <w:bottom w:val="nil"/>
              <w:right w:val="nil"/>
            </w:tcBorders>
            <w:shd w:val="clear" w:color="auto" w:fill="D9D9D9" w:themeFill="background1" w:themeFillShade="D9"/>
            <w:vAlign w:val="center"/>
          </w:tcPr>
          <w:p w14:paraId="296D6B34" w14:textId="77777777" w:rsidR="007B1A8C" w:rsidRPr="0067445F" w:rsidRDefault="007B1A8C" w:rsidP="0040594E">
            <w:pPr>
              <w:pStyle w:val="NoSpacing"/>
              <w:rPr>
                <w:rFonts w:asciiTheme="minorHAnsi" w:hAnsiTheme="minorHAnsi"/>
              </w:rPr>
            </w:pPr>
            <w:r w:rsidRPr="0067445F">
              <w:rPr>
                <w:rFonts w:asciiTheme="minorHAnsi" w:hAnsiTheme="minorHAnsi"/>
              </w:rPr>
              <w:t>TCE Study Population</w:t>
            </w:r>
          </w:p>
        </w:tc>
        <w:tc>
          <w:tcPr>
            <w:tcW w:w="907" w:type="dxa"/>
            <w:tcBorders>
              <w:top w:val="nil"/>
              <w:left w:val="nil"/>
              <w:bottom w:val="nil"/>
              <w:right w:val="nil"/>
            </w:tcBorders>
            <w:shd w:val="clear" w:color="auto" w:fill="D9D9D9" w:themeFill="background1" w:themeFillShade="D9"/>
            <w:vAlign w:val="center"/>
          </w:tcPr>
          <w:p w14:paraId="65B66DD9" w14:textId="77777777" w:rsidR="007B1A8C" w:rsidRPr="0067445F" w:rsidRDefault="007B1A8C" w:rsidP="0040594E">
            <w:pPr>
              <w:pStyle w:val="NoSpacing"/>
              <w:ind w:right="144"/>
              <w:jc w:val="right"/>
              <w:rPr>
                <w:rFonts w:asciiTheme="minorHAnsi" w:hAnsiTheme="minorHAnsi"/>
                <w:u w:val="single"/>
              </w:rPr>
            </w:pPr>
            <w:r w:rsidRPr="0067445F">
              <w:rPr>
                <w:rFonts w:asciiTheme="minorHAnsi" w:hAnsiTheme="minorHAnsi"/>
                <w:u w:val="single"/>
              </w:rPr>
              <w:t>#</w:t>
            </w:r>
          </w:p>
        </w:tc>
        <w:tc>
          <w:tcPr>
            <w:tcW w:w="907" w:type="dxa"/>
            <w:tcBorders>
              <w:top w:val="nil"/>
              <w:left w:val="nil"/>
              <w:bottom w:val="nil"/>
              <w:right w:val="nil"/>
            </w:tcBorders>
            <w:shd w:val="clear" w:color="auto" w:fill="D9D9D9" w:themeFill="background1" w:themeFillShade="D9"/>
            <w:vAlign w:val="center"/>
          </w:tcPr>
          <w:p w14:paraId="22A1145F" w14:textId="77777777" w:rsidR="007B1A8C" w:rsidRPr="0067445F" w:rsidRDefault="007B1A8C" w:rsidP="0040594E">
            <w:pPr>
              <w:pStyle w:val="NoSpacing"/>
              <w:ind w:right="144"/>
              <w:jc w:val="center"/>
              <w:rPr>
                <w:rFonts w:asciiTheme="minorHAnsi" w:hAnsiTheme="minorHAnsi"/>
                <w:u w:val="single"/>
              </w:rPr>
            </w:pPr>
            <w:r w:rsidRPr="0067445F">
              <w:rPr>
                <w:rFonts w:asciiTheme="minorHAnsi" w:hAnsiTheme="minorHAnsi"/>
                <w:u w:val="single"/>
              </w:rPr>
              <w:t>%</w:t>
            </w:r>
          </w:p>
        </w:tc>
        <w:tc>
          <w:tcPr>
            <w:tcW w:w="907" w:type="dxa"/>
            <w:tcBorders>
              <w:top w:val="nil"/>
              <w:left w:val="nil"/>
              <w:bottom w:val="nil"/>
              <w:right w:val="nil"/>
            </w:tcBorders>
            <w:shd w:val="clear" w:color="auto" w:fill="D9D9D9" w:themeFill="background1" w:themeFillShade="D9"/>
            <w:vAlign w:val="center"/>
          </w:tcPr>
          <w:p w14:paraId="189741A1" w14:textId="77777777" w:rsidR="007B1A8C" w:rsidRPr="0067445F" w:rsidRDefault="007B1A8C" w:rsidP="0040594E">
            <w:pPr>
              <w:pStyle w:val="NoSpacing"/>
              <w:ind w:right="144"/>
              <w:jc w:val="right"/>
              <w:rPr>
                <w:rFonts w:asciiTheme="minorHAnsi" w:hAnsiTheme="minorHAnsi"/>
                <w:u w:val="single"/>
              </w:rPr>
            </w:pPr>
            <w:r w:rsidRPr="0067445F">
              <w:rPr>
                <w:rFonts w:asciiTheme="minorHAnsi" w:hAnsiTheme="minorHAnsi"/>
                <w:u w:val="single"/>
              </w:rPr>
              <w:t>#</w:t>
            </w:r>
          </w:p>
        </w:tc>
        <w:tc>
          <w:tcPr>
            <w:tcW w:w="907" w:type="dxa"/>
            <w:tcBorders>
              <w:top w:val="nil"/>
              <w:left w:val="nil"/>
              <w:bottom w:val="nil"/>
              <w:right w:val="nil"/>
            </w:tcBorders>
            <w:shd w:val="clear" w:color="auto" w:fill="D9D9D9" w:themeFill="background1" w:themeFillShade="D9"/>
            <w:vAlign w:val="center"/>
          </w:tcPr>
          <w:p w14:paraId="7DBD6B0B" w14:textId="77777777" w:rsidR="007B1A8C" w:rsidRPr="0067445F" w:rsidRDefault="007B1A8C" w:rsidP="0040594E">
            <w:pPr>
              <w:pStyle w:val="NoSpacing"/>
              <w:ind w:right="144"/>
              <w:jc w:val="center"/>
              <w:rPr>
                <w:rFonts w:asciiTheme="minorHAnsi" w:hAnsiTheme="minorHAnsi"/>
                <w:u w:val="single"/>
              </w:rPr>
            </w:pPr>
            <w:r w:rsidRPr="0067445F">
              <w:rPr>
                <w:rFonts w:asciiTheme="minorHAnsi" w:hAnsiTheme="minorHAnsi"/>
                <w:u w:val="single"/>
              </w:rPr>
              <w:t>%</w:t>
            </w:r>
          </w:p>
        </w:tc>
        <w:tc>
          <w:tcPr>
            <w:tcW w:w="907" w:type="dxa"/>
            <w:gridSpan w:val="2"/>
            <w:tcBorders>
              <w:top w:val="nil"/>
              <w:left w:val="nil"/>
              <w:bottom w:val="nil"/>
              <w:right w:val="nil"/>
            </w:tcBorders>
            <w:shd w:val="clear" w:color="auto" w:fill="D9D9D9" w:themeFill="background1" w:themeFillShade="D9"/>
            <w:vAlign w:val="center"/>
          </w:tcPr>
          <w:p w14:paraId="66C06F9E" w14:textId="77777777" w:rsidR="007B1A8C" w:rsidRPr="0067445F" w:rsidRDefault="007B1A8C" w:rsidP="0040594E">
            <w:pPr>
              <w:pStyle w:val="NoSpacing"/>
              <w:ind w:right="144"/>
              <w:jc w:val="right"/>
              <w:rPr>
                <w:rFonts w:asciiTheme="minorHAnsi" w:hAnsiTheme="minorHAnsi"/>
                <w:u w:val="single"/>
              </w:rPr>
            </w:pPr>
            <w:r w:rsidRPr="0067445F">
              <w:rPr>
                <w:rFonts w:asciiTheme="minorHAnsi" w:hAnsiTheme="minorHAnsi"/>
                <w:u w:val="single"/>
              </w:rPr>
              <w:t>#</w:t>
            </w:r>
          </w:p>
        </w:tc>
        <w:tc>
          <w:tcPr>
            <w:tcW w:w="907" w:type="dxa"/>
            <w:tcBorders>
              <w:top w:val="nil"/>
              <w:left w:val="nil"/>
              <w:bottom w:val="nil"/>
              <w:right w:val="nil"/>
            </w:tcBorders>
            <w:shd w:val="clear" w:color="auto" w:fill="D9D9D9" w:themeFill="background1" w:themeFillShade="D9"/>
            <w:vAlign w:val="center"/>
          </w:tcPr>
          <w:p w14:paraId="7F86EC84" w14:textId="77777777" w:rsidR="007B1A8C" w:rsidRPr="0067445F" w:rsidRDefault="007B1A8C" w:rsidP="0040594E">
            <w:pPr>
              <w:spacing w:after="0" w:line="240" w:lineRule="auto"/>
              <w:ind w:right="144"/>
              <w:jc w:val="center"/>
              <w:rPr>
                <w:rFonts w:asciiTheme="minorHAnsi" w:hAnsiTheme="minorHAnsi"/>
                <w:u w:val="single"/>
              </w:rPr>
            </w:pPr>
            <w:r w:rsidRPr="0067445F">
              <w:rPr>
                <w:rFonts w:asciiTheme="minorHAnsi" w:hAnsiTheme="minorHAnsi"/>
                <w:u w:val="single"/>
              </w:rPr>
              <w:t>%</w:t>
            </w:r>
          </w:p>
        </w:tc>
        <w:tc>
          <w:tcPr>
            <w:tcW w:w="907" w:type="dxa"/>
            <w:tcBorders>
              <w:top w:val="nil"/>
              <w:left w:val="nil"/>
              <w:bottom w:val="nil"/>
              <w:right w:val="nil"/>
            </w:tcBorders>
            <w:shd w:val="clear" w:color="auto" w:fill="D9D9D9" w:themeFill="background1" w:themeFillShade="D9"/>
            <w:vAlign w:val="center"/>
          </w:tcPr>
          <w:p w14:paraId="762C8846" w14:textId="77777777" w:rsidR="007B1A8C" w:rsidRPr="0067445F" w:rsidRDefault="007B1A8C" w:rsidP="0040594E">
            <w:pPr>
              <w:spacing w:after="0" w:line="240" w:lineRule="auto"/>
              <w:ind w:right="144"/>
              <w:jc w:val="right"/>
              <w:rPr>
                <w:rFonts w:asciiTheme="minorHAnsi" w:hAnsiTheme="minorHAnsi"/>
                <w:u w:val="single"/>
              </w:rPr>
            </w:pPr>
            <w:r w:rsidRPr="0067445F">
              <w:rPr>
                <w:rFonts w:asciiTheme="minorHAnsi" w:hAnsiTheme="minorHAnsi"/>
                <w:u w:val="single"/>
              </w:rPr>
              <w:t>#</w:t>
            </w:r>
          </w:p>
        </w:tc>
        <w:tc>
          <w:tcPr>
            <w:tcW w:w="907" w:type="dxa"/>
            <w:gridSpan w:val="2"/>
            <w:tcBorders>
              <w:top w:val="nil"/>
              <w:left w:val="nil"/>
              <w:bottom w:val="nil"/>
              <w:right w:val="nil"/>
            </w:tcBorders>
            <w:shd w:val="clear" w:color="auto" w:fill="D9D9D9" w:themeFill="background1" w:themeFillShade="D9"/>
            <w:vAlign w:val="center"/>
          </w:tcPr>
          <w:p w14:paraId="2574DD3E" w14:textId="77777777" w:rsidR="007B1A8C" w:rsidRPr="0067445F" w:rsidRDefault="007B1A8C" w:rsidP="0040594E">
            <w:pPr>
              <w:spacing w:after="0" w:line="240" w:lineRule="auto"/>
              <w:ind w:right="144"/>
              <w:jc w:val="center"/>
              <w:rPr>
                <w:rFonts w:asciiTheme="minorHAnsi" w:hAnsiTheme="minorHAnsi"/>
                <w:u w:val="single"/>
              </w:rPr>
            </w:pPr>
            <w:r w:rsidRPr="0067445F">
              <w:rPr>
                <w:rFonts w:asciiTheme="minorHAnsi" w:hAnsiTheme="minorHAnsi"/>
                <w:u w:val="single"/>
              </w:rPr>
              <w:t>%</w:t>
            </w:r>
          </w:p>
        </w:tc>
      </w:tr>
      <w:tr w:rsidR="007B1A8C" w:rsidRPr="000420AE" w14:paraId="123A5DFA" w14:textId="77777777" w:rsidTr="0067445F">
        <w:trPr>
          <w:trHeight w:val="199"/>
          <w:jc w:val="center"/>
        </w:trPr>
        <w:tc>
          <w:tcPr>
            <w:tcW w:w="2069" w:type="dxa"/>
            <w:tcBorders>
              <w:top w:val="nil"/>
              <w:left w:val="nil"/>
              <w:bottom w:val="nil"/>
              <w:right w:val="nil"/>
            </w:tcBorders>
            <w:shd w:val="clear" w:color="auto" w:fill="D9D9D9" w:themeFill="background1" w:themeFillShade="D9"/>
            <w:vAlign w:val="center"/>
          </w:tcPr>
          <w:p w14:paraId="4B37FF2F" w14:textId="77777777" w:rsidR="007B1A8C" w:rsidRPr="0067445F" w:rsidRDefault="007B1A8C" w:rsidP="0040594E">
            <w:pPr>
              <w:pStyle w:val="NoSpacing"/>
              <w:ind w:left="432"/>
              <w:rPr>
                <w:rFonts w:asciiTheme="minorHAnsi" w:hAnsiTheme="minorHAnsi"/>
              </w:rPr>
            </w:pPr>
            <w:r w:rsidRPr="0067445F">
              <w:rPr>
                <w:rFonts w:asciiTheme="minorHAnsi" w:hAnsiTheme="minorHAnsi"/>
              </w:rPr>
              <w:t>Tap Water</w:t>
            </w:r>
          </w:p>
        </w:tc>
        <w:tc>
          <w:tcPr>
            <w:tcW w:w="907" w:type="dxa"/>
            <w:tcBorders>
              <w:top w:val="nil"/>
              <w:left w:val="nil"/>
              <w:bottom w:val="nil"/>
              <w:right w:val="nil"/>
            </w:tcBorders>
            <w:shd w:val="clear" w:color="auto" w:fill="D9D9D9" w:themeFill="background1" w:themeFillShade="D9"/>
            <w:vAlign w:val="center"/>
          </w:tcPr>
          <w:p w14:paraId="3E459AF2"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w:t>
            </w:r>
          </w:p>
        </w:tc>
        <w:tc>
          <w:tcPr>
            <w:tcW w:w="907" w:type="dxa"/>
            <w:tcBorders>
              <w:top w:val="nil"/>
              <w:left w:val="nil"/>
              <w:bottom w:val="nil"/>
              <w:right w:val="nil"/>
            </w:tcBorders>
            <w:shd w:val="clear" w:color="auto" w:fill="D9D9D9" w:themeFill="background1" w:themeFillShade="D9"/>
            <w:vAlign w:val="center"/>
          </w:tcPr>
          <w:p w14:paraId="0F560CD6" w14:textId="77777777" w:rsidR="007B1A8C" w:rsidRPr="0067445F" w:rsidRDefault="007B1A8C" w:rsidP="0040594E">
            <w:pPr>
              <w:spacing w:after="0" w:line="240" w:lineRule="auto"/>
              <w:ind w:right="144"/>
              <w:jc w:val="right"/>
              <w:rPr>
                <w:rFonts w:asciiTheme="minorHAnsi" w:hAnsiTheme="minorHAnsi"/>
              </w:rPr>
            </w:pPr>
            <w:r w:rsidRPr="0067445F">
              <w:rPr>
                <w:rFonts w:asciiTheme="minorHAnsi" w:hAnsiTheme="minorHAnsi"/>
              </w:rPr>
              <w:t>19%</w:t>
            </w:r>
          </w:p>
        </w:tc>
        <w:tc>
          <w:tcPr>
            <w:tcW w:w="907" w:type="dxa"/>
            <w:tcBorders>
              <w:top w:val="nil"/>
              <w:left w:val="nil"/>
              <w:bottom w:val="nil"/>
              <w:right w:val="nil"/>
            </w:tcBorders>
            <w:shd w:val="clear" w:color="auto" w:fill="D9D9D9" w:themeFill="background1" w:themeFillShade="D9"/>
            <w:vAlign w:val="center"/>
          </w:tcPr>
          <w:p w14:paraId="733715D3" w14:textId="77777777" w:rsidR="007B1A8C" w:rsidRPr="0067445F" w:rsidRDefault="007B1A8C" w:rsidP="0040594E">
            <w:pPr>
              <w:spacing w:after="0" w:line="240" w:lineRule="auto"/>
              <w:ind w:right="144"/>
              <w:jc w:val="right"/>
              <w:rPr>
                <w:rFonts w:asciiTheme="minorHAnsi" w:hAnsiTheme="minorHAnsi"/>
              </w:rPr>
            </w:pPr>
            <w:r w:rsidRPr="0067445F">
              <w:rPr>
                <w:rFonts w:asciiTheme="minorHAnsi" w:hAnsiTheme="minorHAnsi"/>
              </w:rPr>
              <w:t>20</w:t>
            </w:r>
          </w:p>
        </w:tc>
        <w:tc>
          <w:tcPr>
            <w:tcW w:w="907" w:type="dxa"/>
            <w:tcBorders>
              <w:top w:val="nil"/>
              <w:left w:val="nil"/>
              <w:bottom w:val="nil"/>
              <w:right w:val="nil"/>
            </w:tcBorders>
            <w:shd w:val="clear" w:color="auto" w:fill="D9D9D9" w:themeFill="background1" w:themeFillShade="D9"/>
            <w:vAlign w:val="center"/>
          </w:tcPr>
          <w:p w14:paraId="234D46AD" w14:textId="77777777" w:rsidR="007B1A8C" w:rsidRPr="0067445F" w:rsidRDefault="007B1A8C" w:rsidP="0040594E">
            <w:pPr>
              <w:spacing w:after="0" w:line="240" w:lineRule="auto"/>
              <w:ind w:right="144"/>
              <w:jc w:val="right"/>
              <w:rPr>
                <w:rFonts w:asciiTheme="minorHAnsi" w:hAnsiTheme="minorHAnsi"/>
              </w:rPr>
            </w:pPr>
            <w:r w:rsidRPr="0067445F">
              <w:rPr>
                <w:rFonts w:asciiTheme="minorHAnsi" w:hAnsiTheme="minorHAnsi"/>
              </w:rPr>
              <w:t>35%</w:t>
            </w:r>
          </w:p>
        </w:tc>
        <w:tc>
          <w:tcPr>
            <w:tcW w:w="907" w:type="dxa"/>
            <w:gridSpan w:val="2"/>
            <w:tcBorders>
              <w:top w:val="nil"/>
              <w:left w:val="nil"/>
              <w:bottom w:val="nil"/>
              <w:right w:val="nil"/>
            </w:tcBorders>
            <w:shd w:val="clear" w:color="auto" w:fill="D9D9D9" w:themeFill="background1" w:themeFillShade="D9"/>
            <w:vAlign w:val="center"/>
          </w:tcPr>
          <w:p w14:paraId="669D1A9C"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w:t>
            </w:r>
          </w:p>
        </w:tc>
        <w:tc>
          <w:tcPr>
            <w:tcW w:w="907" w:type="dxa"/>
            <w:tcBorders>
              <w:top w:val="nil"/>
              <w:left w:val="nil"/>
              <w:bottom w:val="nil"/>
              <w:right w:val="nil"/>
            </w:tcBorders>
            <w:shd w:val="clear" w:color="auto" w:fill="D9D9D9" w:themeFill="background1" w:themeFillShade="D9"/>
            <w:vAlign w:val="center"/>
          </w:tcPr>
          <w:p w14:paraId="3412C29E"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20%</w:t>
            </w:r>
          </w:p>
        </w:tc>
        <w:tc>
          <w:tcPr>
            <w:tcW w:w="907" w:type="dxa"/>
            <w:tcBorders>
              <w:top w:val="nil"/>
              <w:left w:val="nil"/>
              <w:bottom w:val="nil"/>
              <w:right w:val="nil"/>
            </w:tcBorders>
            <w:shd w:val="clear" w:color="auto" w:fill="D9D9D9" w:themeFill="background1" w:themeFillShade="D9"/>
            <w:vAlign w:val="center"/>
          </w:tcPr>
          <w:p w14:paraId="4EC0E91C"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13</w:t>
            </w:r>
          </w:p>
        </w:tc>
        <w:tc>
          <w:tcPr>
            <w:tcW w:w="907" w:type="dxa"/>
            <w:gridSpan w:val="2"/>
            <w:tcBorders>
              <w:top w:val="nil"/>
              <w:left w:val="nil"/>
              <w:bottom w:val="nil"/>
              <w:right w:val="nil"/>
            </w:tcBorders>
            <w:shd w:val="clear" w:color="auto" w:fill="D9D9D9" w:themeFill="background1" w:themeFillShade="D9"/>
            <w:vAlign w:val="center"/>
          </w:tcPr>
          <w:p w14:paraId="59BBBC79"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33%</w:t>
            </w:r>
          </w:p>
        </w:tc>
      </w:tr>
      <w:tr w:rsidR="007B1A8C" w:rsidRPr="000420AE" w14:paraId="71304B53" w14:textId="77777777" w:rsidTr="0067445F">
        <w:trPr>
          <w:trHeight w:val="199"/>
          <w:jc w:val="center"/>
        </w:trPr>
        <w:tc>
          <w:tcPr>
            <w:tcW w:w="2069" w:type="dxa"/>
            <w:tcBorders>
              <w:top w:val="nil"/>
              <w:left w:val="nil"/>
              <w:bottom w:val="nil"/>
              <w:right w:val="nil"/>
            </w:tcBorders>
            <w:shd w:val="clear" w:color="auto" w:fill="D9D9D9" w:themeFill="background1" w:themeFillShade="D9"/>
            <w:vAlign w:val="center"/>
          </w:tcPr>
          <w:p w14:paraId="64340880" w14:textId="77777777" w:rsidR="007B1A8C" w:rsidRPr="0067445F" w:rsidRDefault="007B1A8C" w:rsidP="0040594E">
            <w:pPr>
              <w:pStyle w:val="NoSpacing"/>
              <w:ind w:left="432"/>
              <w:rPr>
                <w:rFonts w:asciiTheme="minorHAnsi" w:hAnsiTheme="minorHAnsi"/>
              </w:rPr>
            </w:pPr>
            <w:r w:rsidRPr="0067445F">
              <w:rPr>
                <w:rFonts w:asciiTheme="minorHAnsi" w:hAnsiTheme="minorHAnsi"/>
              </w:rPr>
              <w:t>Bottled Water</w:t>
            </w:r>
          </w:p>
        </w:tc>
        <w:tc>
          <w:tcPr>
            <w:tcW w:w="907" w:type="dxa"/>
            <w:tcBorders>
              <w:top w:val="nil"/>
              <w:left w:val="nil"/>
              <w:bottom w:val="nil"/>
              <w:right w:val="nil"/>
            </w:tcBorders>
            <w:shd w:val="clear" w:color="auto" w:fill="D9D9D9" w:themeFill="background1" w:themeFillShade="D9"/>
            <w:vAlign w:val="center"/>
          </w:tcPr>
          <w:p w14:paraId="3B36F7AF"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7</w:t>
            </w:r>
          </w:p>
        </w:tc>
        <w:tc>
          <w:tcPr>
            <w:tcW w:w="907" w:type="dxa"/>
            <w:tcBorders>
              <w:top w:val="nil"/>
              <w:left w:val="nil"/>
              <w:bottom w:val="nil"/>
              <w:right w:val="nil"/>
            </w:tcBorders>
            <w:shd w:val="clear" w:color="auto" w:fill="D9D9D9" w:themeFill="background1" w:themeFillShade="D9"/>
            <w:vAlign w:val="center"/>
          </w:tcPr>
          <w:p w14:paraId="46C8BE9A"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44%</w:t>
            </w:r>
          </w:p>
        </w:tc>
        <w:tc>
          <w:tcPr>
            <w:tcW w:w="907" w:type="dxa"/>
            <w:tcBorders>
              <w:top w:val="nil"/>
              <w:left w:val="nil"/>
              <w:bottom w:val="nil"/>
              <w:right w:val="nil"/>
            </w:tcBorders>
            <w:shd w:val="clear" w:color="auto" w:fill="D9D9D9" w:themeFill="background1" w:themeFillShade="D9"/>
            <w:vAlign w:val="center"/>
          </w:tcPr>
          <w:p w14:paraId="1E450578"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15</w:t>
            </w:r>
          </w:p>
        </w:tc>
        <w:tc>
          <w:tcPr>
            <w:tcW w:w="907" w:type="dxa"/>
            <w:tcBorders>
              <w:top w:val="nil"/>
              <w:left w:val="nil"/>
              <w:bottom w:val="nil"/>
              <w:right w:val="nil"/>
            </w:tcBorders>
            <w:shd w:val="clear" w:color="auto" w:fill="D9D9D9" w:themeFill="background1" w:themeFillShade="D9"/>
            <w:vAlign w:val="center"/>
          </w:tcPr>
          <w:p w14:paraId="58EF992B"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26%</w:t>
            </w:r>
          </w:p>
        </w:tc>
        <w:tc>
          <w:tcPr>
            <w:tcW w:w="907" w:type="dxa"/>
            <w:gridSpan w:val="2"/>
            <w:tcBorders>
              <w:top w:val="nil"/>
              <w:left w:val="nil"/>
              <w:bottom w:val="nil"/>
              <w:right w:val="nil"/>
            </w:tcBorders>
            <w:shd w:val="clear" w:color="auto" w:fill="D9D9D9" w:themeFill="background1" w:themeFillShade="D9"/>
            <w:vAlign w:val="center"/>
          </w:tcPr>
          <w:p w14:paraId="7AD3F8E2"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5</w:t>
            </w:r>
          </w:p>
        </w:tc>
        <w:tc>
          <w:tcPr>
            <w:tcW w:w="907" w:type="dxa"/>
            <w:tcBorders>
              <w:top w:val="nil"/>
              <w:left w:val="nil"/>
              <w:bottom w:val="nil"/>
              <w:right w:val="nil"/>
            </w:tcBorders>
            <w:shd w:val="clear" w:color="auto" w:fill="D9D9D9" w:themeFill="background1" w:themeFillShade="D9"/>
            <w:vAlign w:val="center"/>
          </w:tcPr>
          <w:p w14:paraId="30FFF661"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50%</w:t>
            </w:r>
          </w:p>
        </w:tc>
        <w:tc>
          <w:tcPr>
            <w:tcW w:w="907" w:type="dxa"/>
            <w:tcBorders>
              <w:top w:val="nil"/>
              <w:left w:val="nil"/>
              <w:bottom w:val="nil"/>
              <w:right w:val="nil"/>
            </w:tcBorders>
            <w:shd w:val="clear" w:color="auto" w:fill="D9D9D9" w:themeFill="background1" w:themeFillShade="D9"/>
            <w:vAlign w:val="center"/>
          </w:tcPr>
          <w:p w14:paraId="669BBFE0"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11</w:t>
            </w:r>
          </w:p>
        </w:tc>
        <w:tc>
          <w:tcPr>
            <w:tcW w:w="907" w:type="dxa"/>
            <w:gridSpan w:val="2"/>
            <w:tcBorders>
              <w:top w:val="nil"/>
              <w:left w:val="nil"/>
              <w:bottom w:val="nil"/>
              <w:right w:val="nil"/>
            </w:tcBorders>
            <w:shd w:val="clear" w:color="auto" w:fill="D9D9D9" w:themeFill="background1" w:themeFillShade="D9"/>
            <w:vAlign w:val="center"/>
          </w:tcPr>
          <w:p w14:paraId="001CF003"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28%</w:t>
            </w:r>
          </w:p>
        </w:tc>
      </w:tr>
      <w:tr w:rsidR="007B1A8C" w:rsidRPr="006B5F3B" w14:paraId="7EEC9097" w14:textId="77777777" w:rsidTr="0067445F">
        <w:trPr>
          <w:trHeight w:val="199"/>
          <w:jc w:val="center"/>
        </w:trPr>
        <w:tc>
          <w:tcPr>
            <w:tcW w:w="2069" w:type="dxa"/>
            <w:tcBorders>
              <w:top w:val="nil"/>
              <w:left w:val="nil"/>
              <w:bottom w:val="single" w:sz="4" w:space="0" w:color="auto"/>
              <w:right w:val="nil"/>
            </w:tcBorders>
            <w:shd w:val="clear" w:color="auto" w:fill="D9D9D9" w:themeFill="background1" w:themeFillShade="D9"/>
            <w:vAlign w:val="center"/>
          </w:tcPr>
          <w:p w14:paraId="64C69DBF" w14:textId="77777777" w:rsidR="007B1A8C" w:rsidRPr="0067445F" w:rsidRDefault="007B1A8C" w:rsidP="0040594E">
            <w:pPr>
              <w:pStyle w:val="NoSpacing"/>
              <w:ind w:left="432"/>
              <w:rPr>
                <w:rFonts w:asciiTheme="minorHAnsi" w:hAnsiTheme="minorHAnsi"/>
              </w:rPr>
            </w:pPr>
            <w:r w:rsidRPr="0067445F">
              <w:rPr>
                <w:rFonts w:asciiTheme="minorHAnsi" w:hAnsiTheme="minorHAnsi"/>
              </w:rPr>
              <w:t>Non-</w:t>
            </w:r>
            <w:proofErr w:type="spellStart"/>
            <w:r w:rsidRPr="0067445F">
              <w:rPr>
                <w:rFonts w:asciiTheme="minorHAnsi" w:hAnsiTheme="minorHAnsi"/>
              </w:rPr>
              <w:t>Resident</w:t>
            </w:r>
            <w:r w:rsidRPr="0067445F">
              <w:rPr>
                <w:rFonts w:asciiTheme="minorHAnsi" w:hAnsiTheme="minorHAnsi"/>
                <w:vertAlign w:val="superscript"/>
              </w:rPr>
              <w:t>a</w:t>
            </w:r>
            <w:proofErr w:type="spellEnd"/>
          </w:p>
        </w:tc>
        <w:tc>
          <w:tcPr>
            <w:tcW w:w="907" w:type="dxa"/>
            <w:tcBorders>
              <w:top w:val="nil"/>
              <w:left w:val="nil"/>
              <w:bottom w:val="single" w:sz="4" w:space="0" w:color="auto"/>
              <w:right w:val="nil"/>
            </w:tcBorders>
            <w:shd w:val="clear" w:color="auto" w:fill="D9D9D9" w:themeFill="background1" w:themeFillShade="D9"/>
            <w:vAlign w:val="center"/>
          </w:tcPr>
          <w:p w14:paraId="329E9482"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6</w:t>
            </w:r>
          </w:p>
        </w:tc>
        <w:tc>
          <w:tcPr>
            <w:tcW w:w="907" w:type="dxa"/>
            <w:tcBorders>
              <w:top w:val="nil"/>
              <w:left w:val="nil"/>
              <w:bottom w:val="single" w:sz="4" w:space="0" w:color="auto"/>
              <w:right w:val="nil"/>
            </w:tcBorders>
            <w:shd w:val="clear" w:color="auto" w:fill="D9D9D9" w:themeFill="background1" w:themeFillShade="D9"/>
            <w:vAlign w:val="center"/>
          </w:tcPr>
          <w:p w14:paraId="08B41D31"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38%</w:t>
            </w:r>
          </w:p>
        </w:tc>
        <w:tc>
          <w:tcPr>
            <w:tcW w:w="907" w:type="dxa"/>
            <w:tcBorders>
              <w:top w:val="nil"/>
              <w:left w:val="nil"/>
              <w:bottom w:val="single" w:sz="4" w:space="0" w:color="auto"/>
              <w:right w:val="nil"/>
            </w:tcBorders>
            <w:shd w:val="clear" w:color="auto" w:fill="D9D9D9" w:themeFill="background1" w:themeFillShade="D9"/>
            <w:vAlign w:val="center"/>
          </w:tcPr>
          <w:p w14:paraId="00D08BBD"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22</w:t>
            </w:r>
          </w:p>
        </w:tc>
        <w:tc>
          <w:tcPr>
            <w:tcW w:w="907" w:type="dxa"/>
            <w:tcBorders>
              <w:top w:val="nil"/>
              <w:left w:val="nil"/>
              <w:bottom w:val="single" w:sz="4" w:space="0" w:color="auto"/>
              <w:right w:val="nil"/>
            </w:tcBorders>
            <w:shd w:val="clear" w:color="auto" w:fill="D9D9D9" w:themeFill="background1" w:themeFillShade="D9"/>
            <w:vAlign w:val="center"/>
          </w:tcPr>
          <w:p w14:paraId="5B8D8835"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39%</w:t>
            </w:r>
          </w:p>
        </w:tc>
        <w:tc>
          <w:tcPr>
            <w:tcW w:w="907" w:type="dxa"/>
            <w:gridSpan w:val="2"/>
            <w:tcBorders>
              <w:top w:val="nil"/>
              <w:left w:val="nil"/>
              <w:bottom w:val="single" w:sz="4" w:space="0" w:color="auto"/>
              <w:right w:val="nil"/>
            </w:tcBorders>
            <w:shd w:val="clear" w:color="auto" w:fill="D9D9D9" w:themeFill="background1" w:themeFillShade="D9"/>
            <w:vAlign w:val="center"/>
          </w:tcPr>
          <w:p w14:paraId="5FAF3C15"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w:t>
            </w:r>
          </w:p>
        </w:tc>
        <w:tc>
          <w:tcPr>
            <w:tcW w:w="907" w:type="dxa"/>
            <w:tcBorders>
              <w:top w:val="nil"/>
              <w:left w:val="nil"/>
              <w:bottom w:val="single" w:sz="4" w:space="0" w:color="auto"/>
              <w:right w:val="nil"/>
            </w:tcBorders>
            <w:shd w:val="clear" w:color="auto" w:fill="D9D9D9" w:themeFill="background1" w:themeFillShade="D9"/>
            <w:vAlign w:val="center"/>
          </w:tcPr>
          <w:p w14:paraId="60A0ED55"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30%</w:t>
            </w:r>
          </w:p>
        </w:tc>
        <w:tc>
          <w:tcPr>
            <w:tcW w:w="907" w:type="dxa"/>
            <w:tcBorders>
              <w:top w:val="nil"/>
              <w:left w:val="nil"/>
              <w:bottom w:val="single" w:sz="4" w:space="0" w:color="auto"/>
              <w:right w:val="nil"/>
            </w:tcBorders>
            <w:shd w:val="clear" w:color="auto" w:fill="D9D9D9" w:themeFill="background1" w:themeFillShade="D9"/>
            <w:vAlign w:val="center"/>
          </w:tcPr>
          <w:p w14:paraId="18BDD1D0"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15</w:t>
            </w:r>
          </w:p>
        </w:tc>
        <w:tc>
          <w:tcPr>
            <w:tcW w:w="907" w:type="dxa"/>
            <w:gridSpan w:val="2"/>
            <w:tcBorders>
              <w:top w:val="nil"/>
              <w:left w:val="nil"/>
              <w:bottom w:val="single" w:sz="4" w:space="0" w:color="auto"/>
              <w:right w:val="nil"/>
            </w:tcBorders>
            <w:shd w:val="clear" w:color="auto" w:fill="D9D9D9" w:themeFill="background1" w:themeFillShade="D9"/>
            <w:vAlign w:val="center"/>
          </w:tcPr>
          <w:p w14:paraId="4526DCAC" w14:textId="77777777" w:rsidR="007B1A8C" w:rsidRPr="0067445F" w:rsidRDefault="007B1A8C" w:rsidP="0040594E">
            <w:pPr>
              <w:pStyle w:val="NoSpacing"/>
              <w:ind w:right="144"/>
              <w:jc w:val="right"/>
              <w:rPr>
                <w:rFonts w:asciiTheme="minorHAnsi" w:hAnsiTheme="minorHAnsi"/>
              </w:rPr>
            </w:pPr>
            <w:r w:rsidRPr="0067445F">
              <w:rPr>
                <w:rFonts w:asciiTheme="minorHAnsi" w:hAnsiTheme="minorHAnsi"/>
              </w:rPr>
              <w:t>38%</w:t>
            </w:r>
          </w:p>
        </w:tc>
      </w:tr>
    </w:tbl>
    <w:p w14:paraId="5473F674" w14:textId="77777777" w:rsidR="00891FE8" w:rsidRPr="00F939B0" w:rsidRDefault="00891FE8" w:rsidP="0040594E">
      <w:pPr>
        <w:spacing w:line="240" w:lineRule="auto"/>
        <w:rPr>
          <w:rFonts w:asciiTheme="majorHAnsi" w:hAnsiTheme="majorHAnsi"/>
          <w:sz w:val="22"/>
          <w:szCs w:val="22"/>
        </w:rPr>
      </w:pPr>
      <w:proofErr w:type="spellStart"/>
      <w:r w:rsidRPr="00F939B0">
        <w:rPr>
          <w:rFonts w:asciiTheme="majorHAnsi" w:hAnsiTheme="majorHAnsi"/>
          <w:sz w:val="22"/>
          <w:szCs w:val="22"/>
          <w:vertAlign w:val="superscript"/>
        </w:rPr>
        <w:t>a</w:t>
      </w:r>
      <w:r w:rsidRPr="00F939B0">
        <w:rPr>
          <w:rFonts w:asciiTheme="majorHAnsi" w:hAnsiTheme="majorHAnsi"/>
          <w:sz w:val="22"/>
          <w:szCs w:val="22"/>
        </w:rPr>
        <w:t>Mothers</w:t>
      </w:r>
      <w:proofErr w:type="spellEnd"/>
      <w:r w:rsidRPr="00F939B0">
        <w:rPr>
          <w:rFonts w:asciiTheme="majorHAnsi" w:hAnsiTheme="majorHAnsi"/>
          <w:sz w:val="22"/>
          <w:szCs w:val="22"/>
        </w:rPr>
        <w:t xml:space="preserve"> who did not reside in Wilmington during the year before their child’s birth</w:t>
      </w:r>
      <w:r w:rsidR="00E67D74" w:rsidRPr="00F939B0">
        <w:rPr>
          <w:rFonts w:asciiTheme="majorHAnsi" w:hAnsiTheme="majorHAnsi"/>
          <w:sz w:val="22"/>
          <w:szCs w:val="22"/>
        </w:rPr>
        <w:t>.</w:t>
      </w:r>
    </w:p>
    <w:p w14:paraId="66D68CA6" w14:textId="6F7F4B36" w:rsidR="008012AE" w:rsidRDefault="008012AE" w:rsidP="0063071E">
      <w:pPr>
        <w:pStyle w:val="StyleHeading4Linespacingsingle"/>
      </w:pPr>
      <w:r>
        <w:lastRenderedPageBreak/>
        <w:t>NDMA and Childhood Cancer, Maternal Bottled Water Use Adjusted</w:t>
      </w:r>
    </w:p>
    <w:p w14:paraId="5C4AF55E" w14:textId="0EA21304" w:rsidR="00EE0D05" w:rsidRDefault="00891FE8" w:rsidP="006C3ED9">
      <w:pPr>
        <w:spacing w:after="0"/>
      </w:pPr>
      <w:r>
        <w:t xml:space="preserve">When mothers were assigned zero values for NDMA during months that they primarily drank bottled water, the association between NDMA concentrations in drinking water and the odds of a childhood cancer diagnosis largely disappeared (see </w:t>
      </w:r>
      <w:r w:rsidR="00D62F67">
        <w:fldChar w:fldCharType="begin"/>
      </w:r>
      <w:r w:rsidR="00D62F67">
        <w:instrText xml:space="preserve"> REF  Table16 \h </w:instrText>
      </w:r>
      <w:r w:rsidR="0040594E">
        <w:instrText xml:space="preserve"> \* MERGEFORMAT </w:instrText>
      </w:r>
      <w:r w:rsidR="00D62F67">
        <w:fldChar w:fldCharType="separate"/>
      </w:r>
      <w:r w:rsidR="00977423">
        <w:t xml:space="preserve">Table </w:t>
      </w:r>
      <w:r w:rsidR="00977423">
        <w:rPr>
          <w:noProof/>
        </w:rPr>
        <w:t>16.</w:t>
      </w:r>
      <w:r w:rsidR="00977423">
        <w:t xml:space="preserve"> </w:t>
      </w:r>
      <w:r w:rsidR="00D62F67">
        <w:fldChar w:fldCharType="end"/>
      </w:r>
      <w:r w:rsidR="008012AE">
        <w:t>and</w:t>
      </w:r>
      <w:r w:rsidR="00D62F67">
        <w:t xml:space="preserve"> </w:t>
      </w:r>
      <w:r w:rsidR="00D62F67">
        <w:fldChar w:fldCharType="begin"/>
      </w:r>
      <w:r w:rsidR="00D62F67">
        <w:instrText xml:space="preserve"> REF  Figure16 \h </w:instrText>
      </w:r>
      <w:r w:rsidR="0040594E">
        <w:instrText xml:space="preserve"> \* MERGEFORMAT </w:instrText>
      </w:r>
      <w:r w:rsidR="00D62F67">
        <w:fldChar w:fldCharType="separate"/>
      </w:r>
      <w:r w:rsidR="00977423">
        <w:t xml:space="preserve">Figure </w:t>
      </w:r>
      <w:r w:rsidR="00977423">
        <w:rPr>
          <w:noProof/>
        </w:rPr>
        <w:t>16</w:t>
      </w:r>
      <w:r w:rsidR="00D62F67">
        <w:fldChar w:fldCharType="end"/>
      </w:r>
      <w:r>
        <w:t>)</w:t>
      </w:r>
      <w:r w:rsidR="00716072">
        <w:t xml:space="preserve">. </w:t>
      </w:r>
      <w:r>
        <w:t>In contrast, when mothers were assigned 49% of modeled NDMA values during months that they primarily drank bottled water, the association between NDMA concentrations in drinking water and the odds of childhood cancer were once again apparent</w:t>
      </w:r>
      <w:r w:rsidR="009E5678">
        <w:t xml:space="preserve">, but </w:t>
      </w:r>
      <w:r w:rsidR="001B53B9">
        <w:t>there was no</w:t>
      </w:r>
      <w:r w:rsidR="009E5678">
        <w:t xml:space="preserve"> clear</w:t>
      </w:r>
      <w:r>
        <w:t xml:space="preserve"> dose-response trend</w:t>
      </w:r>
      <w:r w:rsidR="009E5678">
        <w:t>.</w:t>
      </w:r>
      <w:r>
        <w:t xml:space="preserve"> </w:t>
      </w:r>
      <w:r w:rsidR="005547EF">
        <w:t xml:space="preserve">Instead of </w:t>
      </w:r>
      <w:r w:rsidR="009E5678">
        <w:t xml:space="preserve">odds ratios </w:t>
      </w:r>
      <w:r w:rsidR="005547EF">
        <w:t xml:space="preserve">that increase </w:t>
      </w:r>
      <w:r w:rsidR="009E5678">
        <w:t xml:space="preserve">from the zero </w:t>
      </w:r>
      <w:proofErr w:type="spellStart"/>
      <w:r w:rsidR="009E5678">
        <w:t>to</w:t>
      </w:r>
      <w:proofErr w:type="spellEnd"/>
      <w:r w:rsidR="009E5678">
        <w:t xml:space="preserve"> low to high concentration categories, </w:t>
      </w:r>
      <w:r>
        <w:t xml:space="preserve">odds ratios were </w:t>
      </w:r>
      <w:r w:rsidR="005547EF">
        <w:t>highest</w:t>
      </w:r>
      <w:r>
        <w:t xml:space="preserve"> for the low concentration category</w:t>
      </w:r>
      <w:r w:rsidR="005547EF">
        <w:t xml:space="preserve">. In the </w:t>
      </w:r>
      <w:r w:rsidR="007F74B7">
        <w:t>All Cancers</w:t>
      </w:r>
      <w:r w:rsidR="005547EF">
        <w:t xml:space="preserve"> analysis, </w:t>
      </w:r>
      <w:r>
        <w:t>the high concentration category</w:t>
      </w:r>
      <w:r w:rsidR="001B53B9">
        <w:t xml:space="preserve"> was not associated with childhood cancer and in the </w:t>
      </w:r>
      <w:r w:rsidR="00490BBC">
        <w:t>L</w:t>
      </w:r>
      <w:r w:rsidR="001B53B9">
        <w:t>eukemia/</w:t>
      </w:r>
      <w:r w:rsidR="00490BBC">
        <w:t>L</w:t>
      </w:r>
      <w:r w:rsidR="001B53B9">
        <w:t>ymphoma analysis, the high category odds ratio was modestly elevated (OR = 1.7; 95% CI: 0.3-9.8)</w:t>
      </w:r>
      <w:r w:rsidR="00716072">
        <w:t xml:space="preserve">. </w:t>
      </w:r>
      <w:r>
        <w:t xml:space="preserve">Nevertheless, the estimated higher odds of childhood cancer among those in the low category was statistically significant for the </w:t>
      </w:r>
      <w:r w:rsidR="007F74B7">
        <w:t>All Cancers</w:t>
      </w:r>
      <w:r>
        <w:t xml:space="preserve"> analysis (OR</w:t>
      </w:r>
      <w:r w:rsidR="009D21C6">
        <w:t xml:space="preserve"> </w:t>
      </w:r>
      <w:r>
        <w:t>=</w:t>
      </w:r>
      <w:r w:rsidR="009D21C6">
        <w:t xml:space="preserve"> </w:t>
      </w:r>
      <w:r>
        <w:t xml:space="preserve">4.4; 95% CI: 1.1-18) and very close to statistical significance for the </w:t>
      </w:r>
      <w:r w:rsidR="007F74B7">
        <w:t>Leukemia/Lymphoma</w:t>
      </w:r>
      <w:r>
        <w:t xml:space="preserve"> subgroup (</w:t>
      </w:r>
      <w:r w:rsidR="009D21C6">
        <w:t xml:space="preserve">OR </w:t>
      </w:r>
      <w:r>
        <w:t>=</w:t>
      </w:r>
      <w:r w:rsidR="009D21C6">
        <w:t xml:space="preserve"> </w:t>
      </w:r>
      <w:r>
        <w:t>5.0; 95% CI: 0.97-26) (</w:t>
      </w:r>
      <w:r w:rsidR="00D562F1">
        <w:fldChar w:fldCharType="begin"/>
      </w:r>
      <w:r w:rsidR="00D562F1">
        <w:instrText xml:space="preserve"> REF  Table16 \h </w:instrText>
      </w:r>
      <w:r w:rsidR="006C3ED9">
        <w:instrText xml:space="preserve"> \* MERGEFORMAT </w:instrText>
      </w:r>
      <w:r w:rsidR="00D562F1">
        <w:fldChar w:fldCharType="separate"/>
      </w:r>
      <w:r w:rsidR="00977423">
        <w:t xml:space="preserve">Table </w:t>
      </w:r>
      <w:r w:rsidR="00977423">
        <w:rPr>
          <w:noProof/>
        </w:rPr>
        <w:t>16</w:t>
      </w:r>
      <w:r w:rsidR="00D562F1">
        <w:fldChar w:fldCharType="end"/>
      </w:r>
      <w:r w:rsidR="00B53CAA">
        <w:t xml:space="preserve"> </w:t>
      </w:r>
      <w:r w:rsidR="00266829">
        <w:t xml:space="preserve">and </w:t>
      </w:r>
      <w:r w:rsidR="00D562F1">
        <w:fldChar w:fldCharType="begin"/>
      </w:r>
      <w:r w:rsidR="00D562F1">
        <w:instrText xml:space="preserve"> REF  Figure16 \h </w:instrText>
      </w:r>
      <w:r w:rsidR="006C3ED9">
        <w:instrText xml:space="preserve"> \* MERGEFORMAT </w:instrText>
      </w:r>
      <w:r w:rsidR="00D562F1">
        <w:fldChar w:fldCharType="separate"/>
      </w:r>
      <w:r w:rsidR="00977423">
        <w:t xml:space="preserve">Figure </w:t>
      </w:r>
      <w:r w:rsidR="00977423">
        <w:rPr>
          <w:noProof/>
        </w:rPr>
        <w:t>16</w:t>
      </w:r>
      <w:r w:rsidR="00D562F1">
        <w:fldChar w:fldCharType="end"/>
      </w:r>
      <w:r>
        <w:t>).</w:t>
      </w:r>
      <w:bookmarkStart w:id="179" w:name="_Ref12010486"/>
      <w:bookmarkStart w:id="180" w:name="_Toc12012879"/>
      <w:bookmarkStart w:id="181" w:name="_Toc12013073"/>
    </w:p>
    <w:p w14:paraId="6BB7D826" w14:textId="77777777" w:rsidR="006C3ED9" w:rsidRPr="00F939B0" w:rsidRDefault="006C3ED9" w:rsidP="006C3ED9">
      <w:pPr>
        <w:spacing w:after="0"/>
      </w:pPr>
    </w:p>
    <w:p w14:paraId="2AE7C775" w14:textId="2DDD092A" w:rsidR="0026215A" w:rsidRDefault="0026215A" w:rsidP="006C3ED9">
      <w:pPr>
        <w:pStyle w:val="Caption"/>
        <w:keepNext/>
        <w:spacing w:after="0"/>
        <w:ind w:right="-612"/>
      </w:pPr>
      <w:bookmarkStart w:id="182" w:name="_Ref30087300"/>
      <w:bookmarkStart w:id="183" w:name="Table16"/>
      <w:bookmarkStart w:id="184" w:name="_Toc45714895"/>
      <w:r>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16</w:t>
      </w:r>
      <w:r w:rsidR="00D616DB">
        <w:rPr>
          <w:noProof/>
        </w:rPr>
        <w:fldChar w:fldCharType="end"/>
      </w:r>
      <w:bookmarkEnd w:id="179"/>
      <w:bookmarkEnd w:id="182"/>
      <w:r w:rsidR="00716072">
        <w:t xml:space="preserve">. </w:t>
      </w:r>
      <w:bookmarkEnd w:id="183"/>
      <w:r w:rsidRPr="008707C7">
        <w:t>Maternal average estimated concentration of NDMA in drinking water (zero, low, high), after accounting for reported bottled water usage, and odds of childhood cancer among children living in Wilmington, MA, 1974-2000</w:t>
      </w:r>
      <w:bookmarkEnd w:id="180"/>
      <w:bookmarkEnd w:id="181"/>
      <w:bookmarkEnd w:id="184"/>
    </w:p>
    <w:tbl>
      <w:tblPr>
        <w:tblW w:w="9442" w:type="dxa"/>
        <w:tblInd w:w="93" w:type="dxa"/>
        <w:tblLook w:val="04A0" w:firstRow="1" w:lastRow="0" w:firstColumn="1" w:lastColumn="0" w:noHBand="0" w:noVBand="1"/>
      </w:tblPr>
      <w:tblGrid>
        <w:gridCol w:w="2690"/>
        <w:gridCol w:w="726"/>
        <w:gridCol w:w="990"/>
        <w:gridCol w:w="726"/>
        <w:gridCol w:w="1163"/>
        <w:gridCol w:w="668"/>
        <w:gridCol w:w="1271"/>
        <w:gridCol w:w="7"/>
        <w:gridCol w:w="79"/>
        <w:gridCol w:w="1003"/>
        <w:gridCol w:w="92"/>
        <w:gridCol w:w="27"/>
      </w:tblGrid>
      <w:tr w:rsidR="00F75BA6" w14:paraId="3CA1B125" w14:textId="77777777" w:rsidTr="006C3ED9">
        <w:trPr>
          <w:trHeight w:val="293"/>
        </w:trPr>
        <w:tc>
          <w:tcPr>
            <w:tcW w:w="9442" w:type="dxa"/>
            <w:gridSpan w:val="12"/>
            <w:tcBorders>
              <w:top w:val="single" w:sz="4" w:space="0" w:color="auto"/>
            </w:tcBorders>
            <w:shd w:val="clear" w:color="auto" w:fill="auto"/>
            <w:noWrap/>
            <w:vAlign w:val="bottom"/>
            <w:hideMark/>
          </w:tcPr>
          <w:p w14:paraId="18DBA04F" w14:textId="77777777" w:rsidR="00F75BA6" w:rsidRPr="00A516C5" w:rsidRDefault="00F75BA6" w:rsidP="006312FD">
            <w:pPr>
              <w:pStyle w:val="Tableheaders"/>
            </w:pPr>
          </w:p>
        </w:tc>
      </w:tr>
      <w:tr w:rsidR="00F75BA6" w:rsidRPr="00D562F1" w14:paraId="46E8D7F2" w14:textId="77777777" w:rsidTr="006C3ED9">
        <w:trPr>
          <w:gridAfter w:val="2"/>
          <w:wAfter w:w="119" w:type="dxa"/>
          <w:trHeight w:val="293"/>
        </w:trPr>
        <w:tc>
          <w:tcPr>
            <w:tcW w:w="2690" w:type="dxa"/>
            <w:tcBorders>
              <w:top w:val="nil"/>
              <w:bottom w:val="nil"/>
              <w:right w:val="nil"/>
            </w:tcBorders>
            <w:shd w:val="clear" w:color="auto" w:fill="auto"/>
            <w:noWrap/>
            <w:vAlign w:val="bottom"/>
            <w:hideMark/>
          </w:tcPr>
          <w:p w14:paraId="2215A5FF" w14:textId="77777777" w:rsidR="00F75BA6" w:rsidRPr="00D562F1" w:rsidRDefault="00D61393" w:rsidP="0040594E">
            <w:pPr>
              <w:pStyle w:val="Tablebody"/>
              <w:rPr>
                <w:b/>
                <w:bCs/>
                <w:sz w:val="24"/>
                <w:szCs w:val="24"/>
              </w:rPr>
            </w:pPr>
            <w:r w:rsidRPr="00D562F1">
              <w:rPr>
                <w:b/>
                <w:bCs/>
                <w:sz w:val="24"/>
                <w:szCs w:val="24"/>
              </w:rPr>
              <w:t>All Cancers </w:t>
            </w:r>
          </w:p>
        </w:tc>
        <w:tc>
          <w:tcPr>
            <w:tcW w:w="1716" w:type="dxa"/>
            <w:gridSpan w:val="2"/>
            <w:tcBorders>
              <w:left w:val="nil"/>
              <w:right w:val="nil"/>
            </w:tcBorders>
            <w:shd w:val="clear" w:color="auto" w:fill="auto"/>
            <w:noWrap/>
            <w:vAlign w:val="bottom"/>
            <w:hideMark/>
          </w:tcPr>
          <w:p w14:paraId="338DDB0A" w14:textId="77777777" w:rsidR="00F75BA6" w:rsidRPr="00D562F1" w:rsidRDefault="00F75BA6" w:rsidP="0040594E">
            <w:pPr>
              <w:pStyle w:val="Tablebody"/>
              <w:rPr>
                <w:b/>
                <w:bCs/>
                <w:sz w:val="24"/>
                <w:szCs w:val="24"/>
              </w:rPr>
            </w:pPr>
            <w:r w:rsidRPr="00D562F1">
              <w:rPr>
                <w:b/>
                <w:bCs/>
                <w:sz w:val="24"/>
                <w:szCs w:val="24"/>
              </w:rPr>
              <w:t>Cases (n=18)</w:t>
            </w:r>
          </w:p>
        </w:tc>
        <w:tc>
          <w:tcPr>
            <w:tcW w:w="1889" w:type="dxa"/>
            <w:gridSpan w:val="2"/>
            <w:tcBorders>
              <w:left w:val="nil"/>
              <w:right w:val="nil"/>
            </w:tcBorders>
            <w:shd w:val="clear" w:color="auto" w:fill="auto"/>
            <w:noWrap/>
            <w:vAlign w:val="bottom"/>
            <w:hideMark/>
          </w:tcPr>
          <w:p w14:paraId="6418D956" w14:textId="77777777" w:rsidR="00F75BA6" w:rsidRPr="00D562F1" w:rsidRDefault="00F75BA6" w:rsidP="0040594E">
            <w:pPr>
              <w:pStyle w:val="Tablebody"/>
              <w:rPr>
                <w:b/>
                <w:bCs/>
                <w:sz w:val="24"/>
                <w:szCs w:val="24"/>
              </w:rPr>
            </w:pPr>
            <w:r w:rsidRPr="00D562F1">
              <w:rPr>
                <w:b/>
                <w:bCs/>
                <w:sz w:val="24"/>
                <w:szCs w:val="24"/>
              </w:rPr>
              <w:t>Controls (n=74)</w:t>
            </w:r>
          </w:p>
        </w:tc>
        <w:tc>
          <w:tcPr>
            <w:tcW w:w="668" w:type="dxa"/>
            <w:tcBorders>
              <w:top w:val="nil"/>
              <w:left w:val="nil"/>
            </w:tcBorders>
            <w:shd w:val="clear" w:color="auto" w:fill="auto"/>
            <w:noWrap/>
            <w:vAlign w:val="bottom"/>
          </w:tcPr>
          <w:p w14:paraId="285695C1" w14:textId="77777777" w:rsidR="00F75BA6" w:rsidRPr="00D562F1" w:rsidRDefault="00F75BA6" w:rsidP="0040594E">
            <w:pPr>
              <w:pStyle w:val="Tablebody"/>
              <w:rPr>
                <w:b/>
                <w:bCs/>
                <w:sz w:val="24"/>
                <w:szCs w:val="24"/>
              </w:rPr>
            </w:pPr>
          </w:p>
        </w:tc>
        <w:tc>
          <w:tcPr>
            <w:tcW w:w="1271" w:type="dxa"/>
            <w:tcBorders>
              <w:top w:val="nil"/>
            </w:tcBorders>
            <w:vAlign w:val="bottom"/>
          </w:tcPr>
          <w:p w14:paraId="1CBBDAF7" w14:textId="77777777" w:rsidR="00F75BA6" w:rsidRPr="00D562F1" w:rsidRDefault="00F75BA6" w:rsidP="0040594E">
            <w:pPr>
              <w:pStyle w:val="Tablebody"/>
              <w:rPr>
                <w:b/>
                <w:bCs/>
                <w:sz w:val="24"/>
                <w:szCs w:val="24"/>
              </w:rPr>
            </w:pPr>
          </w:p>
        </w:tc>
        <w:tc>
          <w:tcPr>
            <w:tcW w:w="1089" w:type="dxa"/>
            <w:gridSpan w:val="3"/>
            <w:tcBorders>
              <w:top w:val="nil"/>
            </w:tcBorders>
            <w:shd w:val="clear" w:color="auto" w:fill="auto"/>
            <w:vAlign w:val="bottom"/>
          </w:tcPr>
          <w:p w14:paraId="6DCC0501" w14:textId="77777777" w:rsidR="00F75BA6" w:rsidRPr="00D562F1" w:rsidRDefault="00F75BA6" w:rsidP="0040594E">
            <w:pPr>
              <w:pStyle w:val="Tablebody"/>
              <w:rPr>
                <w:b/>
                <w:bCs/>
                <w:sz w:val="24"/>
                <w:szCs w:val="24"/>
              </w:rPr>
            </w:pPr>
          </w:p>
        </w:tc>
      </w:tr>
      <w:tr w:rsidR="00F75BA6" w:rsidRPr="00D562F1" w14:paraId="35E50386" w14:textId="77777777" w:rsidTr="006C3ED9">
        <w:trPr>
          <w:gridAfter w:val="1"/>
          <w:wAfter w:w="27" w:type="dxa"/>
          <w:trHeight w:val="293"/>
        </w:trPr>
        <w:tc>
          <w:tcPr>
            <w:tcW w:w="2690" w:type="dxa"/>
            <w:tcBorders>
              <w:top w:val="nil"/>
              <w:right w:val="nil"/>
            </w:tcBorders>
            <w:shd w:val="clear" w:color="auto" w:fill="auto"/>
            <w:noWrap/>
            <w:vAlign w:val="bottom"/>
          </w:tcPr>
          <w:p w14:paraId="6DB13DFF" w14:textId="77777777" w:rsidR="00F75BA6" w:rsidRPr="00D562F1" w:rsidRDefault="00F75BA6" w:rsidP="0040594E">
            <w:pPr>
              <w:pStyle w:val="Tablebody"/>
              <w:rPr>
                <w:b/>
                <w:bCs/>
                <w:sz w:val="24"/>
                <w:szCs w:val="24"/>
              </w:rPr>
            </w:pPr>
          </w:p>
        </w:tc>
        <w:tc>
          <w:tcPr>
            <w:tcW w:w="726" w:type="dxa"/>
            <w:tcBorders>
              <w:top w:val="nil"/>
              <w:left w:val="nil"/>
              <w:bottom w:val="single" w:sz="4" w:space="0" w:color="auto"/>
              <w:right w:val="nil"/>
            </w:tcBorders>
            <w:shd w:val="clear" w:color="auto" w:fill="auto"/>
            <w:noWrap/>
            <w:vAlign w:val="bottom"/>
            <w:hideMark/>
          </w:tcPr>
          <w:p w14:paraId="43A44CBB" w14:textId="77777777" w:rsidR="00F75BA6" w:rsidRPr="00D562F1" w:rsidRDefault="00F75BA6" w:rsidP="0040594E">
            <w:pPr>
              <w:pStyle w:val="Tablebody"/>
              <w:rPr>
                <w:b/>
                <w:bCs/>
                <w:sz w:val="24"/>
                <w:szCs w:val="24"/>
              </w:rPr>
            </w:pPr>
            <w:r w:rsidRPr="00D562F1">
              <w:rPr>
                <w:b/>
                <w:bCs/>
                <w:sz w:val="24"/>
                <w:szCs w:val="24"/>
              </w:rPr>
              <w:t>n</w:t>
            </w:r>
          </w:p>
        </w:tc>
        <w:tc>
          <w:tcPr>
            <w:tcW w:w="990" w:type="dxa"/>
            <w:tcBorders>
              <w:top w:val="nil"/>
              <w:left w:val="nil"/>
              <w:bottom w:val="single" w:sz="4" w:space="0" w:color="auto"/>
              <w:right w:val="nil"/>
            </w:tcBorders>
            <w:shd w:val="clear" w:color="auto" w:fill="auto"/>
            <w:noWrap/>
            <w:vAlign w:val="bottom"/>
            <w:hideMark/>
          </w:tcPr>
          <w:p w14:paraId="11208DC2" w14:textId="77777777" w:rsidR="00F75BA6" w:rsidRPr="00D562F1" w:rsidRDefault="00F75BA6" w:rsidP="0040594E">
            <w:pPr>
              <w:pStyle w:val="Tablebody"/>
              <w:rPr>
                <w:b/>
                <w:bCs/>
                <w:sz w:val="24"/>
                <w:szCs w:val="24"/>
              </w:rPr>
            </w:pPr>
            <w:r w:rsidRPr="00D562F1">
              <w:rPr>
                <w:b/>
                <w:bCs/>
                <w:sz w:val="24"/>
                <w:szCs w:val="24"/>
              </w:rPr>
              <w:t>(%)</w:t>
            </w:r>
          </w:p>
        </w:tc>
        <w:tc>
          <w:tcPr>
            <w:tcW w:w="726" w:type="dxa"/>
            <w:tcBorders>
              <w:top w:val="nil"/>
              <w:left w:val="nil"/>
              <w:bottom w:val="single" w:sz="4" w:space="0" w:color="auto"/>
              <w:right w:val="nil"/>
            </w:tcBorders>
            <w:shd w:val="clear" w:color="auto" w:fill="auto"/>
            <w:noWrap/>
            <w:vAlign w:val="bottom"/>
            <w:hideMark/>
          </w:tcPr>
          <w:p w14:paraId="28EB0D91" w14:textId="77777777" w:rsidR="00F75BA6" w:rsidRPr="00D562F1" w:rsidRDefault="00F75BA6" w:rsidP="0040594E">
            <w:pPr>
              <w:pStyle w:val="Tablebody"/>
              <w:rPr>
                <w:b/>
                <w:bCs/>
                <w:sz w:val="24"/>
                <w:szCs w:val="24"/>
              </w:rPr>
            </w:pPr>
            <w:r w:rsidRPr="00D562F1">
              <w:rPr>
                <w:b/>
                <w:bCs/>
                <w:sz w:val="24"/>
                <w:szCs w:val="24"/>
              </w:rPr>
              <w:t>n</w:t>
            </w:r>
          </w:p>
        </w:tc>
        <w:tc>
          <w:tcPr>
            <w:tcW w:w="1163" w:type="dxa"/>
            <w:tcBorders>
              <w:top w:val="nil"/>
              <w:left w:val="nil"/>
              <w:bottom w:val="single" w:sz="4" w:space="0" w:color="auto"/>
              <w:right w:val="nil"/>
            </w:tcBorders>
            <w:shd w:val="clear" w:color="auto" w:fill="auto"/>
            <w:noWrap/>
            <w:vAlign w:val="bottom"/>
            <w:hideMark/>
          </w:tcPr>
          <w:p w14:paraId="5C742F18" w14:textId="77777777" w:rsidR="00F75BA6" w:rsidRPr="00D562F1" w:rsidRDefault="00F75BA6" w:rsidP="0040594E">
            <w:pPr>
              <w:pStyle w:val="Tablebody"/>
              <w:rPr>
                <w:b/>
                <w:bCs/>
                <w:sz w:val="24"/>
                <w:szCs w:val="24"/>
              </w:rPr>
            </w:pPr>
            <w:r w:rsidRPr="00D562F1">
              <w:rPr>
                <w:b/>
                <w:bCs/>
                <w:sz w:val="24"/>
                <w:szCs w:val="24"/>
              </w:rPr>
              <w:t>(%)</w:t>
            </w:r>
          </w:p>
        </w:tc>
        <w:tc>
          <w:tcPr>
            <w:tcW w:w="668" w:type="dxa"/>
            <w:tcBorders>
              <w:left w:val="nil"/>
              <w:bottom w:val="single" w:sz="4" w:space="0" w:color="auto"/>
            </w:tcBorders>
            <w:shd w:val="clear" w:color="auto" w:fill="auto"/>
            <w:vAlign w:val="bottom"/>
            <w:hideMark/>
          </w:tcPr>
          <w:p w14:paraId="703F8721" w14:textId="77777777" w:rsidR="00F75BA6" w:rsidRPr="00D562F1" w:rsidRDefault="00F75BA6" w:rsidP="0040594E">
            <w:pPr>
              <w:pStyle w:val="Tablebody"/>
              <w:rPr>
                <w:b/>
                <w:bCs/>
                <w:sz w:val="24"/>
                <w:szCs w:val="24"/>
              </w:rPr>
            </w:pPr>
            <w:proofErr w:type="spellStart"/>
            <w:r w:rsidRPr="00D562F1">
              <w:rPr>
                <w:b/>
                <w:bCs/>
                <w:sz w:val="24"/>
                <w:szCs w:val="24"/>
              </w:rPr>
              <w:t>OR</w:t>
            </w:r>
            <w:r w:rsidRPr="00D562F1">
              <w:rPr>
                <w:b/>
                <w:bCs/>
                <w:sz w:val="24"/>
                <w:szCs w:val="24"/>
                <w:vertAlign w:val="superscript"/>
              </w:rPr>
              <w:t>a</w:t>
            </w:r>
            <w:proofErr w:type="spellEnd"/>
          </w:p>
        </w:tc>
        <w:tc>
          <w:tcPr>
            <w:tcW w:w="1271" w:type="dxa"/>
            <w:tcBorders>
              <w:bottom w:val="single" w:sz="4" w:space="0" w:color="auto"/>
            </w:tcBorders>
            <w:shd w:val="clear" w:color="auto" w:fill="auto"/>
            <w:vAlign w:val="bottom"/>
          </w:tcPr>
          <w:p w14:paraId="502FEDE8" w14:textId="77777777" w:rsidR="00F75BA6" w:rsidRPr="00D562F1" w:rsidRDefault="00F75BA6" w:rsidP="0040594E">
            <w:pPr>
              <w:pStyle w:val="Tablebody"/>
              <w:rPr>
                <w:b/>
                <w:bCs/>
                <w:sz w:val="24"/>
                <w:szCs w:val="24"/>
              </w:rPr>
            </w:pPr>
            <w:r w:rsidRPr="00D562F1">
              <w:rPr>
                <w:b/>
                <w:bCs/>
                <w:sz w:val="24"/>
                <w:szCs w:val="24"/>
              </w:rPr>
              <w:t xml:space="preserve">95% </w:t>
            </w:r>
            <w:proofErr w:type="spellStart"/>
            <w:r w:rsidRPr="00D562F1">
              <w:rPr>
                <w:b/>
                <w:bCs/>
                <w:sz w:val="24"/>
                <w:szCs w:val="24"/>
              </w:rPr>
              <w:t>CI</w:t>
            </w:r>
            <w:r w:rsidRPr="00D562F1">
              <w:rPr>
                <w:b/>
                <w:bCs/>
                <w:sz w:val="24"/>
                <w:szCs w:val="24"/>
                <w:vertAlign w:val="superscript"/>
              </w:rPr>
              <w:t>b</w:t>
            </w:r>
            <w:proofErr w:type="spellEnd"/>
          </w:p>
        </w:tc>
        <w:tc>
          <w:tcPr>
            <w:tcW w:w="1181" w:type="dxa"/>
            <w:gridSpan w:val="4"/>
            <w:tcBorders>
              <w:bottom w:val="single" w:sz="4" w:space="0" w:color="auto"/>
            </w:tcBorders>
            <w:shd w:val="clear" w:color="auto" w:fill="auto"/>
            <w:vAlign w:val="bottom"/>
          </w:tcPr>
          <w:p w14:paraId="59C6ACEE" w14:textId="77777777" w:rsidR="00F75BA6" w:rsidRPr="00D562F1" w:rsidRDefault="00C67EB4" w:rsidP="0040594E">
            <w:pPr>
              <w:pStyle w:val="Tablebody"/>
              <w:rPr>
                <w:b/>
                <w:bCs/>
                <w:sz w:val="24"/>
                <w:szCs w:val="24"/>
              </w:rPr>
            </w:pPr>
            <w:r w:rsidRPr="00D562F1">
              <w:rPr>
                <w:b/>
                <w:bCs/>
                <w:i/>
                <w:sz w:val="24"/>
                <w:szCs w:val="24"/>
              </w:rPr>
              <w:t>p</w:t>
            </w:r>
            <w:r w:rsidRPr="00D562F1">
              <w:rPr>
                <w:b/>
                <w:bCs/>
                <w:sz w:val="24"/>
                <w:szCs w:val="24"/>
              </w:rPr>
              <w:t>-value</w:t>
            </w:r>
          </w:p>
        </w:tc>
      </w:tr>
      <w:tr w:rsidR="00F75BA6" w:rsidRPr="00D562F1" w14:paraId="277DCDA0" w14:textId="77777777" w:rsidTr="006C3ED9">
        <w:trPr>
          <w:gridAfter w:val="1"/>
          <w:wAfter w:w="27" w:type="dxa"/>
          <w:trHeight w:val="293"/>
        </w:trPr>
        <w:tc>
          <w:tcPr>
            <w:tcW w:w="2690" w:type="dxa"/>
            <w:tcBorders>
              <w:top w:val="nil"/>
              <w:right w:val="nil"/>
            </w:tcBorders>
            <w:shd w:val="clear" w:color="auto" w:fill="auto"/>
            <w:noWrap/>
            <w:vAlign w:val="bottom"/>
          </w:tcPr>
          <w:p w14:paraId="2DC4F616" w14:textId="77777777" w:rsidR="00F75BA6" w:rsidRPr="00D562F1" w:rsidRDefault="00F75BA6" w:rsidP="0040594E">
            <w:pPr>
              <w:pStyle w:val="Tablebody"/>
              <w:rPr>
                <w:sz w:val="24"/>
                <w:szCs w:val="24"/>
              </w:rPr>
            </w:pPr>
            <w:r w:rsidRPr="00D562F1">
              <w:rPr>
                <w:sz w:val="24"/>
                <w:szCs w:val="24"/>
              </w:rPr>
              <w:t>Bottled Water</w:t>
            </w:r>
            <w:r w:rsidR="009D21C6" w:rsidRPr="00D562F1">
              <w:rPr>
                <w:sz w:val="24"/>
                <w:szCs w:val="24"/>
              </w:rPr>
              <w:t xml:space="preserve"> </w:t>
            </w:r>
            <w:r w:rsidRPr="00D562F1">
              <w:rPr>
                <w:sz w:val="24"/>
                <w:szCs w:val="24"/>
              </w:rPr>
              <w:t>=</w:t>
            </w:r>
            <w:r w:rsidR="009D21C6" w:rsidRPr="00D562F1">
              <w:rPr>
                <w:sz w:val="24"/>
                <w:szCs w:val="24"/>
              </w:rPr>
              <w:t xml:space="preserve"> </w:t>
            </w:r>
            <w:r w:rsidRPr="00D562F1">
              <w:rPr>
                <w:sz w:val="24"/>
                <w:szCs w:val="24"/>
              </w:rPr>
              <w:t>0</w:t>
            </w:r>
          </w:p>
        </w:tc>
        <w:tc>
          <w:tcPr>
            <w:tcW w:w="726" w:type="dxa"/>
            <w:tcBorders>
              <w:top w:val="single" w:sz="4" w:space="0" w:color="auto"/>
              <w:left w:val="nil"/>
              <w:right w:val="nil"/>
            </w:tcBorders>
            <w:shd w:val="clear" w:color="auto" w:fill="auto"/>
            <w:noWrap/>
            <w:vAlign w:val="bottom"/>
          </w:tcPr>
          <w:p w14:paraId="78216BA0" w14:textId="77777777" w:rsidR="00F75BA6" w:rsidRPr="00D562F1" w:rsidRDefault="00F75BA6" w:rsidP="0040594E">
            <w:pPr>
              <w:pStyle w:val="Tablebody"/>
              <w:rPr>
                <w:sz w:val="24"/>
                <w:szCs w:val="24"/>
              </w:rPr>
            </w:pPr>
          </w:p>
        </w:tc>
        <w:tc>
          <w:tcPr>
            <w:tcW w:w="990" w:type="dxa"/>
            <w:tcBorders>
              <w:top w:val="single" w:sz="4" w:space="0" w:color="auto"/>
              <w:left w:val="nil"/>
              <w:right w:val="nil"/>
            </w:tcBorders>
            <w:shd w:val="clear" w:color="auto" w:fill="auto"/>
            <w:noWrap/>
            <w:vAlign w:val="bottom"/>
          </w:tcPr>
          <w:p w14:paraId="352ADDD3" w14:textId="77777777" w:rsidR="00F75BA6" w:rsidRPr="00D562F1" w:rsidRDefault="00F75BA6" w:rsidP="0040594E">
            <w:pPr>
              <w:pStyle w:val="Tablebody"/>
              <w:rPr>
                <w:sz w:val="24"/>
                <w:szCs w:val="24"/>
              </w:rPr>
            </w:pPr>
          </w:p>
        </w:tc>
        <w:tc>
          <w:tcPr>
            <w:tcW w:w="726" w:type="dxa"/>
            <w:tcBorders>
              <w:top w:val="single" w:sz="4" w:space="0" w:color="auto"/>
              <w:left w:val="nil"/>
              <w:right w:val="nil"/>
            </w:tcBorders>
            <w:shd w:val="clear" w:color="auto" w:fill="auto"/>
            <w:noWrap/>
            <w:vAlign w:val="bottom"/>
          </w:tcPr>
          <w:p w14:paraId="488CB581" w14:textId="77777777" w:rsidR="00F75BA6" w:rsidRPr="00D562F1" w:rsidRDefault="00F75BA6" w:rsidP="0040594E">
            <w:pPr>
              <w:pStyle w:val="Tablebody"/>
              <w:rPr>
                <w:sz w:val="24"/>
                <w:szCs w:val="24"/>
              </w:rPr>
            </w:pPr>
          </w:p>
        </w:tc>
        <w:tc>
          <w:tcPr>
            <w:tcW w:w="1163" w:type="dxa"/>
            <w:tcBorders>
              <w:top w:val="single" w:sz="4" w:space="0" w:color="auto"/>
              <w:left w:val="nil"/>
              <w:right w:val="nil"/>
            </w:tcBorders>
            <w:shd w:val="clear" w:color="auto" w:fill="auto"/>
            <w:noWrap/>
            <w:vAlign w:val="bottom"/>
          </w:tcPr>
          <w:p w14:paraId="591BE523" w14:textId="77777777" w:rsidR="00F75BA6" w:rsidRPr="00D562F1" w:rsidRDefault="00F75BA6" w:rsidP="0040594E">
            <w:pPr>
              <w:pStyle w:val="Tablebody"/>
              <w:rPr>
                <w:sz w:val="24"/>
                <w:szCs w:val="24"/>
              </w:rPr>
            </w:pPr>
          </w:p>
        </w:tc>
        <w:tc>
          <w:tcPr>
            <w:tcW w:w="668" w:type="dxa"/>
            <w:tcBorders>
              <w:top w:val="single" w:sz="4" w:space="0" w:color="auto"/>
              <w:left w:val="nil"/>
              <w:right w:val="nil"/>
            </w:tcBorders>
            <w:shd w:val="clear" w:color="auto" w:fill="auto"/>
            <w:noWrap/>
            <w:vAlign w:val="bottom"/>
          </w:tcPr>
          <w:p w14:paraId="1E32504D" w14:textId="77777777" w:rsidR="00F75BA6" w:rsidRPr="00D562F1" w:rsidRDefault="00F75BA6" w:rsidP="0040594E">
            <w:pPr>
              <w:pStyle w:val="Tablebody"/>
              <w:rPr>
                <w:sz w:val="24"/>
                <w:szCs w:val="24"/>
              </w:rPr>
            </w:pPr>
          </w:p>
        </w:tc>
        <w:tc>
          <w:tcPr>
            <w:tcW w:w="1271" w:type="dxa"/>
            <w:tcBorders>
              <w:top w:val="single" w:sz="4" w:space="0" w:color="auto"/>
              <w:left w:val="nil"/>
              <w:right w:val="nil"/>
            </w:tcBorders>
            <w:shd w:val="clear" w:color="auto" w:fill="auto"/>
            <w:noWrap/>
            <w:vAlign w:val="bottom"/>
          </w:tcPr>
          <w:p w14:paraId="0B3F529F" w14:textId="77777777" w:rsidR="00F75BA6" w:rsidRPr="00D562F1" w:rsidRDefault="00F75BA6" w:rsidP="0040594E">
            <w:pPr>
              <w:pStyle w:val="Tablebody"/>
              <w:rPr>
                <w:sz w:val="24"/>
                <w:szCs w:val="24"/>
              </w:rPr>
            </w:pPr>
          </w:p>
        </w:tc>
        <w:tc>
          <w:tcPr>
            <w:tcW w:w="1181" w:type="dxa"/>
            <w:gridSpan w:val="4"/>
            <w:tcBorders>
              <w:top w:val="single" w:sz="4" w:space="0" w:color="auto"/>
              <w:left w:val="nil"/>
            </w:tcBorders>
            <w:shd w:val="clear" w:color="auto" w:fill="auto"/>
            <w:noWrap/>
            <w:vAlign w:val="bottom"/>
          </w:tcPr>
          <w:p w14:paraId="17515D87" w14:textId="77777777" w:rsidR="00F75BA6" w:rsidRPr="00D562F1" w:rsidRDefault="00F75BA6" w:rsidP="0040594E">
            <w:pPr>
              <w:pStyle w:val="Tablebody"/>
              <w:rPr>
                <w:sz w:val="24"/>
                <w:szCs w:val="24"/>
              </w:rPr>
            </w:pPr>
          </w:p>
        </w:tc>
      </w:tr>
      <w:tr w:rsidR="00F75BA6" w:rsidRPr="00D562F1" w14:paraId="523D356D" w14:textId="77777777" w:rsidTr="006C3ED9">
        <w:trPr>
          <w:gridAfter w:val="1"/>
          <w:wAfter w:w="27" w:type="dxa"/>
          <w:trHeight w:val="293"/>
        </w:trPr>
        <w:tc>
          <w:tcPr>
            <w:tcW w:w="2690" w:type="dxa"/>
            <w:tcBorders>
              <w:top w:val="nil"/>
              <w:right w:val="nil"/>
            </w:tcBorders>
            <w:shd w:val="clear" w:color="auto" w:fill="auto"/>
            <w:noWrap/>
            <w:vAlign w:val="bottom"/>
            <w:hideMark/>
          </w:tcPr>
          <w:p w14:paraId="204634D7" w14:textId="77777777" w:rsidR="00F75BA6" w:rsidRPr="00D562F1" w:rsidRDefault="00F75BA6" w:rsidP="009F25CA">
            <w:pPr>
              <w:pStyle w:val="Tablebody"/>
              <w:ind w:left="340"/>
              <w:rPr>
                <w:sz w:val="24"/>
                <w:szCs w:val="24"/>
              </w:rPr>
            </w:pPr>
            <w:r w:rsidRPr="00D562F1">
              <w:rPr>
                <w:sz w:val="24"/>
                <w:szCs w:val="24"/>
              </w:rPr>
              <w:t>Zero</w:t>
            </w:r>
          </w:p>
        </w:tc>
        <w:tc>
          <w:tcPr>
            <w:tcW w:w="726" w:type="dxa"/>
            <w:tcBorders>
              <w:left w:val="nil"/>
              <w:right w:val="nil"/>
            </w:tcBorders>
            <w:shd w:val="clear" w:color="auto" w:fill="auto"/>
            <w:noWrap/>
            <w:vAlign w:val="bottom"/>
          </w:tcPr>
          <w:p w14:paraId="4065DB0C" w14:textId="77777777" w:rsidR="00F75BA6" w:rsidRPr="00D562F1" w:rsidRDefault="00F75BA6" w:rsidP="0040594E">
            <w:pPr>
              <w:pStyle w:val="Tablebody"/>
              <w:rPr>
                <w:sz w:val="24"/>
                <w:szCs w:val="24"/>
              </w:rPr>
            </w:pPr>
            <w:r w:rsidRPr="00D562F1">
              <w:rPr>
                <w:sz w:val="24"/>
                <w:szCs w:val="24"/>
              </w:rPr>
              <w:t>14</w:t>
            </w:r>
          </w:p>
        </w:tc>
        <w:tc>
          <w:tcPr>
            <w:tcW w:w="990" w:type="dxa"/>
            <w:tcBorders>
              <w:left w:val="nil"/>
              <w:right w:val="nil"/>
            </w:tcBorders>
            <w:shd w:val="clear" w:color="auto" w:fill="auto"/>
            <w:noWrap/>
            <w:vAlign w:val="bottom"/>
          </w:tcPr>
          <w:p w14:paraId="1E912504" w14:textId="77777777" w:rsidR="00F75BA6" w:rsidRPr="00D562F1" w:rsidRDefault="00F75BA6" w:rsidP="0040594E">
            <w:pPr>
              <w:pStyle w:val="Tablebody"/>
              <w:rPr>
                <w:sz w:val="24"/>
                <w:szCs w:val="24"/>
              </w:rPr>
            </w:pPr>
            <w:r w:rsidRPr="00D562F1">
              <w:rPr>
                <w:sz w:val="24"/>
                <w:szCs w:val="24"/>
              </w:rPr>
              <w:t>(78%)</w:t>
            </w:r>
          </w:p>
        </w:tc>
        <w:tc>
          <w:tcPr>
            <w:tcW w:w="726" w:type="dxa"/>
            <w:tcBorders>
              <w:left w:val="nil"/>
              <w:right w:val="nil"/>
            </w:tcBorders>
            <w:shd w:val="clear" w:color="auto" w:fill="auto"/>
            <w:noWrap/>
            <w:vAlign w:val="bottom"/>
          </w:tcPr>
          <w:p w14:paraId="4145D322" w14:textId="77777777" w:rsidR="00F75BA6" w:rsidRPr="00D562F1" w:rsidRDefault="00F75BA6" w:rsidP="0040594E">
            <w:pPr>
              <w:pStyle w:val="Tablebody"/>
              <w:rPr>
                <w:sz w:val="24"/>
                <w:szCs w:val="24"/>
              </w:rPr>
            </w:pPr>
            <w:r w:rsidRPr="00D562F1">
              <w:rPr>
                <w:sz w:val="24"/>
                <w:szCs w:val="24"/>
              </w:rPr>
              <w:t>58</w:t>
            </w:r>
          </w:p>
        </w:tc>
        <w:tc>
          <w:tcPr>
            <w:tcW w:w="1163" w:type="dxa"/>
            <w:tcBorders>
              <w:left w:val="nil"/>
              <w:right w:val="nil"/>
            </w:tcBorders>
            <w:shd w:val="clear" w:color="auto" w:fill="auto"/>
            <w:noWrap/>
            <w:vAlign w:val="bottom"/>
          </w:tcPr>
          <w:p w14:paraId="2EC1A089" w14:textId="77777777" w:rsidR="00F75BA6" w:rsidRPr="00D562F1" w:rsidRDefault="00F75BA6" w:rsidP="0040594E">
            <w:pPr>
              <w:pStyle w:val="Tablebody"/>
              <w:rPr>
                <w:sz w:val="24"/>
                <w:szCs w:val="24"/>
              </w:rPr>
            </w:pPr>
            <w:r w:rsidRPr="00D562F1">
              <w:rPr>
                <w:sz w:val="24"/>
                <w:szCs w:val="24"/>
              </w:rPr>
              <w:t>(78%)</w:t>
            </w:r>
          </w:p>
        </w:tc>
        <w:tc>
          <w:tcPr>
            <w:tcW w:w="668" w:type="dxa"/>
            <w:tcBorders>
              <w:left w:val="nil"/>
              <w:right w:val="nil"/>
            </w:tcBorders>
            <w:shd w:val="clear" w:color="auto" w:fill="auto"/>
            <w:noWrap/>
            <w:vAlign w:val="bottom"/>
          </w:tcPr>
          <w:p w14:paraId="553871CC" w14:textId="77777777" w:rsidR="00F75BA6" w:rsidRPr="00D562F1" w:rsidRDefault="00F75BA6" w:rsidP="0040594E">
            <w:pPr>
              <w:pStyle w:val="Tablebody"/>
              <w:rPr>
                <w:sz w:val="24"/>
                <w:szCs w:val="24"/>
              </w:rPr>
            </w:pPr>
            <w:r w:rsidRPr="00D562F1">
              <w:rPr>
                <w:sz w:val="24"/>
                <w:szCs w:val="24"/>
              </w:rPr>
              <w:t>1.0</w:t>
            </w:r>
          </w:p>
        </w:tc>
        <w:tc>
          <w:tcPr>
            <w:tcW w:w="2452" w:type="dxa"/>
            <w:gridSpan w:val="5"/>
            <w:tcBorders>
              <w:left w:val="nil"/>
            </w:tcBorders>
            <w:shd w:val="clear" w:color="auto" w:fill="auto"/>
            <w:noWrap/>
            <w:vAlign w:val="bottom"/>
          </w:tcPr>
          <w:p w14:paraId="71728AA1" w14:textId="77777777" w:rsidR="00F75BA6" w:rsidRPr="00D562F1" w:rsidRDefault="00F75BA6" w:rsidP="0040594E">
            <w:pPr>
              <w:pStyle w:val="Tablebody"/>
              <w:rPr>
                <w:sz w:val="24"/>
                <w:szCs w:val="24"/>
              </w:rPr>
            </w:pPr>
            <w:r w:rsidRPr="00D562F1">
              <w:rPr>
                <w:sz w:val="24"/>
                <w:szCs w:val="24"/>
              </w:rPr>
              <w:t>-ref-</w:t>
            </w:r>
          </w:p>
        </w:tc>
      </w:tr>
      <w:tr w:rsidR="00F75BA6" w:rsidRPr="00D562F1" w14:paraId="66BD688C" w14:textId="77777777" w:rsidTr="006C3ED9">
        <w:trPr>
          <w:gridAfter w:val="1"/>
          <w:wAfter w:w="27" w:type="dxa"/>
          <w:trHeight w:val="293"/>
        </w:trPr>
        <w:tc>
          <w:tcPr>
            <w:tcW w:w="2690" w:type="dxa"/>
            <w:tcBorders>
              <w:right w:val="nil"/>
            </w:tcBorders>
            <w:shd w:val="clear" w:color="auto" w:fill="auto"/>
            <w:noWrap/>
            <w:vAlign w:val="bottom"/>
          </w:tcPr>
          <w:p w14:paraId="11378904" w14:textId="77777777" w:rsidR="00F75BA6" w:rsidRPr="00D562F1" w:rsidRDefault="00F75BA6" w:rsidP="009F25CA">
            <w:pPr>
              <w:pStyle w:val="Tablebody"/>
              <w:ind w:left="340"/>
              <w:rPr>
                <w:sz w:val="24"/>
                <w:szCs w:val="24"/>
              </w:rPr>
            </w:pPr>
            <w:r w:rsidRPr="00D562F1">
              <w:rPr>
                <w:sz w:val="24"/>
                <w:szCs w:val="24"/>
              </w:rPr>
              <w:t>Low</w:t>
            </w:r>
          </w:p>
        </w:tc>
        <w:tc>
          <w:tcPr>
            <w:tcW w:w="726" w:type="dxa"/>
            <w:tcBorders>
              <w:left w:val="nil"/>
              <w:right w:val="nil"/>
            </w:tcBorders>
            <w:shd w:val="clear" w:color="auto" w:fill="auto"/>
            <w:noWrap/>
            <w:vAlign w:val="bottom"/>
          </w:tcPr>
          <w:p w14:paraId="1A901FF1" w14:textId="77777777" w:rsidR="00F75BA6" w:rsidRPr="00D562F1" w:rsidRDefault="00F75BA6" w:rsidP="0040594E">
            <w:pPr>
              <w:pStyle w:val="Tablebody"/>
              <w:rPr>
                <w:sz w:val="24"/>
                <w:szCs w:val="24"/>
              </w:rPr>
            </w:pPr>
            <w:r w:rsidRPr="00D562F1">
              <w:rPr>
                <w:sz w:val="24"/>
                <w:szCs w:val="24"/>
              </w:rPr>
              <w:t>3</w:t>
            </w:r>
          </w:p>
        </w:tc>
        <w:tc>
          <w:tcPr>
            <w:tcW w:w="990" w:type="dxa"/>
            <w:tcBorders>
              <w:left w:val="nil"/>
              <w:right w:val="nil"/>
            </w:tcBorders>
            <w:shd w:val="clear" w:color="auto" w:fill="auto"/>
            <w:noWrap/>
            <w:vAlign w:val="bottom"/>
          </w:tcPr>
          <w:p w14:paraId="262630F3" w14:textId="77777777" w:rsidR="00F75BA6" w:rsidRPr="00D562F1" w:rsidRDefault="00F75BA6" w:rsidP="0040594E">
            <w:pPr>
              <w:pStyle w:val="Tablebody"/>
              <w:rPr>
                <w:sz w:val="24"/>
                <w:szCs w:val="24"/>
              </w:rPr>
            </w:pPr>
            <w:r w:rsidRPr="00D562F1">
              <w:rPr>
                <w:sz w:val="24"/>
                <w:szCs w:val="24"/>
              </w:rPr>
              <w:t>(17%)</w:t>
            </w:r>
          </w:p>
        </w:tc>
        <w:tc>
          <w:tcPr>
            <w:tcW w:w="726" w:type="dxa"/>
            <w:tcBorders>
              <w:left w:val="nil"/>
              <w:right w:val="nil"/>
            </w:tcBorders>
            <w:shd w:val="clear" w:color="auto" w:fill="auto"/>
            <w:noWrap/>
            <w:vAlign w:val="bottom"/>
          </w:tcPr>
          <w:p w14:paraId="2230B04C" w14:textId="77777777" w:rsidR="00F75BA6" w:rsidRPr="00D562F1" w:rsidRDefault="00F75BA6" w:rsidP="0040594E">
            <w:pPr>
              <w:pStyle w:val="Tablebody"/>
              <w:rPr>
                <w:sz w:val="24"/>
                <w:szCs w:val="24"/>
              </w:rPr>
            </w:pPr>
            <w:r w:rsidRPr="00D562F1">
              <w:rPr>
                <w:sz w:val="24"/>
                <w:szCs w:val="24"/>
              </w:rPr>
              <w:t>7</w:t>
            </w:r>
          </w:p>
        </w:tc>
        <w:tc>
          <w:tcPr>
            <w:tcW w:w="1163" w:type="dxa"/>
            <w:tcBorders>
              <w:left w:val="nil"/>
              <w:right w:val="nil"/>
            </w:tcBorders>
            <w:shd w:val="clear" w:color="auto" w:fill="auto"/>
            <w:noWrap/>
            <w:vAlign w:val="bottom"/>
          </w:tcPr>
          <w:p w14:paraId="40E81B2B" w14:textId="77777777" w:rsidR="00F75BA6" w:rsidRPr="00D562F1" w:rsidRDefault="00F75BA6" w:rsidP="0040594E">
            <w:pPr>
              <w:pStyle w:val="Tablebody"/>
              <w:rPr>
                <w:sz w:val="24"/>
                <w:szCs w:val="24"/>
              </w:rPr>
            </w:pPr>
            <w:r w:rsidRPr="00D562F1">
              <w:rPr>
                <w:sz w:val="24"/>
                <w:szCs w:val="24"/>
              </w:rPr>
              <w:t>(9%)</w:t>
            </w:r>
          </w:p>
        </w:tc>
        <w:tc>
          <w:tcPr>
            <w:tcW w:w="668" w:type="dxa"/>
            <w:tcBorders>
              <w:left w:val="nil"/>
              <w:right w:val="nil"/>
            </w:tcBorders>
            <w:shd w:val="clear" w:color="auto" w:fill="auto"/>
            <w:noWrap/>
            <w:vAlign w:val="bottom"/>
          </w:tcPr>
          <w:p w14:paraId="23670602" w14:textId="77777777" w:rsidR="00F75BA6" w:rsidRPr="00D562F1" w:rsidRDefault="00F75BA6" w:rsidP="0040594E">
            <w:pPr>
              <w:pStyle w:val="Tablebody"/>
              <w:rPr>
                <w:sz w:val="24"/>
                <w:szCs w:val="24"/>
              </w:rPr>
            </w:pPr>
            <w:r w:rsidRPr="00D562F1">
              <w:rPr>
                <w:sz w:val="24"/>
                <w:szCs w:val="24"/>
              </w:rPr>
              <w:t>1.0</w:t>
            </w:r>
          </w:p>
        </w:tc>
        <w:tc>
          <w:tcPr>
            <w:tcW w:w="1271" w:type="dxa"/>
            <w:tcBorders>
              <w:left w:val="nil"/>
              <w:right w:val="nil"/>
            </w:tcBorders>
            <w:shd w:val="clear" w:color="auto" w:fill="auto"/>
            <w:noWrap/>
            <w:vAlign w:val="bottom"/>
          </w:tcPr>
          <w:p w14:paraId="425E35D8" w14:textId="77777777" w:rsidR="00F75BA6" w:rsidRPr="00D562F1" w:rsidRDefault="00F75BA6" w:rsidP="0040594E">
            <w:pPr>
              <w:pStyle w:val="Tablebody"/>
              <w:rPr>
                <w:sz w:val="24"/>
                <w:szCs w:val="24"/>
              </w:rPr>
            </w:pPr>
            <w:r w:rsidRPr="00D562F1">
              <w:rPr>
                <w:sz w:val="24"/>
                <w:szCs w:val="24"/>
              </w:rPr>
              <w:t>(0.2, 5.1)</w:t>
            </w:r>
          </w:p>
        </w:tc>
        <w:tc>
          <w:tcPr>
            <w:tcW w:w="1181" w:type="dxa"/>
            <w:gridSpan w:val="4"/>
            <w:tcBorders>
              <w:left w:val="nil"/>
            </w:tcBorders>
            <w:shd w:val="clear" w:color="auto" w:fill="auto"/>
            <w:noWrap/>
            <w:vAlign w:val="bottom"/>
          </w:tcPr>
          <w:p w14:paraId="3344855F" w14:textId="77777777" w:rsidR="00F75BA6" w:rsidRPr="00D562F1" w:rsidRDefault="00F75BA6" w:rsidP="0040594E">
            <w:pPr>
              <w:pStyle w:val="Tablebody"/>
              <w:rPr>
                <w:sz w:val="24"/>
                <w:szCs w:val="24"/>
              </w:rPr>
            </w:pPr>
            <w:r w:rsidRPr="00D562F1">
              <w:rPr>
                <w:sz w:val="24"/>
                <w:szCs w:val="24"/>
              </w:rPr>
              <w:t>0.97</w:t>
            </w:r>
          </w:p>
        </w:tc>
      </w:tr>
      <w:tr w:rsidR="00F75BA6" w:rsidRPr="00D562F1" w14:paraId="10B2DA9A" w14:textId="77777777" w:rsidTr="006C3ED9">
        <w:trPr>
          <w:gridAfter w:val="1"/>
          <w:wAfter w:w="27" w:type="dxa"/>
          <w:trHeight w:val="293"/>
        </w:trPr>
        <w:tc>
          <w:tcPr>
            <w:tcW w:w="2690" w:type="dxa"/>
            <w:tcBorders>
              <w:right w:val="nil"/>
            </w:tcBorders>
            <w:shd w:val="clear" w:color="auto" w:fill="auto"/>
            <w:noWrap/>
            <w:vAlign w:val="bottom"/>
            <w:hideMark/>
          </w:tcPr>
          <w:p w14:paraId="0B60B74D" w14:textId="77777777" w:rsidR="00F75BA6" w:rsidRPr="00D562F1" w:rsidRDefault="00F75BA6" w:rsidP="009F25CA">
            <w:pPr>
              <w:pStyle w:val="Tablebody"/>
              <w:ind w:left="340"/>
              <w:rPr>
                <w:sz w:val="24"/>
                <w:szCs w:val="24"/>
              </w:rPr>
            </w:pPr>
            <w:r w:rsidRPr="00D562F1">
              <w:rPr>
                <w:sz w:val="24"/>
                <w:szCs w:val="24"/>
              </w:rPr>
              <w:t>High</w:t>
            </w:r>
          </w:p>
        </w:tc>
        <w:tc>
          <w:tcPr>
            <w:tcW w:w="726" w:type="dxa"/>
            <w:tcBorders>
              <w:left w:val="nil"/>
              <w:right w:val="nil"/>
            </w:tcBorders>
            <w:shd w:val="clear" w:color="auto" w:fill="auto"/>
            <w:noWrap/>
            <w:vAlign w:val="bottom"/>
          </w:tcPr>
          <w:p w14:paraId="1864C2CB" w14:textId="77777777" w:rsidR="00F75BA6" w:rsidRPr="00D562F1" w:rsidRDefault="00F75BA6" w:rsidP="0040594E">
            <w:pPr>
              <w:pStyle w:val="Tablebody"/>
              <w:rPr>
                <w:sz w:val="24"/>
                <w:szCs w:val="24"/>
              </w:rPr>
            </w:pPr>
            <w:r w:rsidRPr="00D562F1">
              <w:rPr>
                <w:sz w:val="24"/>
                <w:szCs w:val="24"/>
              </w:rPr>
              <w:t>1</w:t>
            </w:r>
          </w:p>
        </w:tc>
        <w:tc>
          <w:tcPr>
            <w:tcW w:w="990" w:type="dxa"/>
            <w:tcBorders>
              <w:left w:val="nil"/>
              <w:right w:val="nil"/>
            </w:tcBorders>
            <w:shd w:val="clear" w:color="auto" w:fill="auto"/>
            <w:noWrap/>
            <w:vAlign w:val="bottom"/>
          </w:tcPr>
          <w:p w14:paraId="6C91939A" w14:textId="77777777" w:rsidR="00F75BA6" w:rsidRPr="00D562F1" w:rsidRDefault="00F75BA6" w:rsidP="0040594E">
            <w:pPr>
              <w:pStyle w:val="Tablebody"/>
              <w:rPr>
                <w:sz w:val="24"/>
                <w:szCs w:val="24"/>
              </w:rPr>
            </w:pPr>
            <w:r w:rsidRPr="00D562F1">
              <w:rPr>
                <w:sz w:val="24"/>
                <w:szCs w:val="24"/>
              </w:rPr>
              <w:t>(6%)</w:t>
            </w:r>
          </w:p>
        </w:tc>
        <w:tc>
          <w:tcPr>
            <w:tcW w:w="726" w:type="dxa"/>
            <w:tcBorders>
              <w:left w:val="nil"/>
              <w:right w:val="nil"/>
            </w:tcBorders>
            <w:shd w:val="clear" w:color="auto" w:fill="auto"/>
            <w:noWrap/>
            <w:vAlign w:val="bottom"/>
          </w:tcPr>
          <w:p w14:paraId="27D85B15" w14:textId="77777777" w:rsidR="00F75BA6" w:rsidRPr="00D562F1" w:rsidRDefault="00F75BA6" w:rsidP="0040594E">
            <w:pPr>
              <w:pStyle w:val="Tablebody"/>
              <w:rPr>
                <w:sz w:val="24"/>
                <w:szCs w:val="24"/>
              </w:rPr>
            </w:pPr>
            <w:r w:rsidRPr="00D562F1">
              <w:rPr>
                <w:sz w:val="24"/>
                <w:szCs w:val="24"/>
              </w:rPr>
              <w:t>9</w:t>
            </w:r>
          </w:p>
        </w:tc>
        <w:tc>
          <w:tcPr>
            <w:tcW w:w="1163" w:type="dxa"/>
            <w:tcBorders>
              <w:left w:val="nil"/>
              <w:right w:val="nil"/>
            </w:tcBorders>
            <w:shd w:val="clear" w:color="auto" w:fill="auto"/>
            <w:noWrap/>
            <w:vAlign w:val="bottom"/>
          </w:tcPr>
          <w:p w14:paraId="322AE9E7" w14:textId="77777777" w:rsidR="00F75BA6" w:rsidRPr="00D562F1" w:rsidRDefault="00F75BA6" w:rsidP="0040594E">
            <w:pPr>
              <w:pStyle w:val="Tablebody"/>
              <w:rPr>
                <w:sz w:val="24"/>
                <w:szCs w:val="24"/>
              </w:rPr>
            </w:pPr>
            <w:r w:rsidRPr="00D562F1">
              <w:rPr>
                <w:sz w:val="24"/>
                <w:szCs w:val="24"/>
              </w:rPr>
              <w:t>(12%)</w:t>
            </w:r>
          </w:p>
        </w:tc>
        <w:tc>
          <w:tcPr>
            <w:tcW w:w="668" w:type="dxa"/>
            <w:tcBorders>
              <w:left w:val="nil"/>
              <w:right w:val="nil"/>
            </w:tcBorders>
            <w:shd w:val="clear" w:color="auto" w:fill="auto"/>
            <w:noWrap/>
            <w:vAlign w:val="bottom"/>
          </w:tcPr>
          <w:p w14:paraId="335C2261" w14:textId="77777777" w:rsidR="00F75BA6" w:rsidRPr="00D562F1" w:rsidRDefault="00F75BA6" w:rsidP="0040594E">
            <w:pPr>
              <w:pStyle w:val="Tablebody"/>
              <w:rPr>
                <w:sz w:val="24"/>
                <w:szCs w:val="24"/>
              </w:rPr>
            </w:pPr>
            <w:r w:rsidRPr="00D562F1">
              <w:rPr>
                <w:sz w:val="24"/>
                <w:szCs w:val="24"/>
              </w:rPr>
              <w:t>1.1</w:t>
            </w:r>
          </w:p>
        </w:tc>
        <w:tc>
          <w:tcPr>
            <w:tcW w:w="1271" w:type="dxa"/>
            <w:tcBorders>
              <w:left w:val="nil"/>
              <w:right w:val="nil"/>
            </w:tcBorders>
            <w:shd w:val="clear" w:color="auto" w:fill="auto"/>
            <w:noWrap/>
            <w:vAlign w:val="bottom"/>
          </w:tcPr>
          <w:p w14:paraId="709FA672" w14:textId="77777777" w:rsidR="00F75BA6" w:rsidRPr="00D562F1" w:rsidRDefault="00F75BA6" w:rsidP="0040594E">
            <w:pPr>
              <w:pStyle w:val="Tablebody"/>
              <w:rPr>
                <w:sz w:val="24"/>
                <w:szCs w:val="24"/>
              </w:rPr>
            </w:pPr>
            <w:r w:rsidRPr="00D562F1">
              <w:rPr>
                <w:sz w:val="24"/>
                <w:szCs w:val="24"/>
              </w:rPr>
              <w:t>(0.2, 5.5)</w:t>
            </w:r>
          </w:p>
        </w:tc>
        <w:tc>
          <w:tcPr>
            <w:tcW w:w="1181" w:type="dxa"/>
            <w:gridSpan w:val="4"/>
            <w:tcBorders>
              <w:left w:val="nil"/>
            </w:tcBorders>
            <w:shd w:val="clear" w:color="auto" w:fill="auto"/>
            <w:noWrap/>
            <w:vAlign w:val="bottom"/>
          </w:tcPr>
          <w:p w14:paraId="37C160FF" w14:textId="77777777" w:rsidR="00F75BA6" w:rsidRPr="00D562F1" w:rsidRDefault="00F75BA6" w:rsidP="0040594E">
            <w:pPr>
              <w:pStyle w:val="Tablebody"/>
              <w:rPr>
                <w:sz w:val="24"/>
                <w:szCs w:val="24"/>
              </w:rPr>
            </w:pPr>
            <w:r w:rsidRPr="00D562F1">
              <w:rPr>
                <w:sz w:val="24"/>
                <w:szCs w:val="24"/>
              </w:rPr>
              <w:t>0.88</w:t>
            </w:r>
          </w:p>
        </w:tc>
      </w:tr>
      <w:tr w:rsidR="00F75BA6" w:rsidRPr="00D562F1" w14:paraId="0EED5594" w14:textId="77777777" w:rsidTr="006C3ED9">
        <w:trPr>
          <w:gridAfter w:val="1"/>
          <w:wAfter w:w="27" w:type="dxa"/>
          <w:trHeight w:val="293"/>
        </w:trPr>
        <w:tc>
          <w:tcPr>
            <w:tcW w:w="2690" w:type="dxa"/>
            <w:tcBorders>
              <w:right w:val="nil"/>
            </w:tcBorders>
            <w:shd w:val="clear" w:color="auto" w:fill="D9D9D9" w:themeFill="background1" w:themeFillShade="D9"/>
            <w:noWrap/>
            <w:vAlign w:val="bottom"/>
          </w:tcPr>
          <w:p w14:paraId="3878EFC2" w14:textId="77777777" w:rsidR="00F75BA6" w:rsidRPr="00D562F1" w:rsidRDefault="00F75BA6" w:rsidP="0040594E">
            <w:pPr>
              <w:pStyle w:val="Tablebody"/>
              <w:rPr>
                <w:sz w:val="24"/>
                <w:szCs w:val="24"/>
              </w:rPr>
            </w:pPr>
            <w:r w:rsidRPr="00D562F1">
              <w:rPr>
                <w:sz w:val="24"/>
                <w:szCs w:val="24"/>
              </w:rPr>
              <w:t>Bottled Water</w:t>
            </w:r>
            <w:r w:rsidR="009D21C6" w:rsidRPr="00D562F1">
              <w:rPr>
                <w:sz w:val="24"/>
                <w:szCs w:val="24"/>
              </w:rPr>
              <w:t xml:space="preserve"> </w:t>
            </w:r>
            <w:r w:rsidRPr="00D562F1">
              <w:rPr>
                <w:sz w:val="24"/>
                <w:szCs w:val="24"/>
              </w:rPr>
              <w:t>=</w:t>
            </w:r>
            <w:r w:rsidR="009D21C6" w:rsidRPr="00D562F1">
              <w:rPr>
                <w:sz w:val="24"/>
                <w:szCs w:val="24"/>
              </w:rPr>
              <w:t xml:space="preserve"> </w:t>
            </w:r>
            <w:r w:rsidRPr="00D562F1">
              <w:rPr>
                <w:sz w:val="24"/>
                <w:szCs w:val="24"/>
              </w:rPr>
              <w:t>49%</w:t>
            </w:r>
          </w:p>
        </w:tc>
        <w:tc>
          <w:tcPr>
            <w:tcW w:w="726" w:type="dxa"/>
            <w:tcBorders>
              <w:left w:val="nil"/>
              <w:right w:val="nil"/>
            </w:tcBorders>
            <w:shd w:val="clear" w:color="auto" w:fill="D9D9D9" w:themeFill="background1" w:themeFillShade="D9"/>
            <w:noWrap/>
            <w:vAlign w:val="bottom"/>
          </w:tcPr>
          <w:p w14:paraId="1292A698" w14:textId="77777777" w:rsidR="00F75BA6" w:rsidRPr="00D562F1" w:rsidRDefault="00F75BA6" w:rsidP="0040594E">
            <w:pPr>
              <w:pStyle w:val="Tablebody"/>
              <w:rPr>
                <w:sz w:val="24"/>
                <w:szCs w:val="24"/>
              </w:rPr>
            </w:pPr>
          </w:p>
        </w:tc>
        <w:tc>
          <w:tcPr>
            <w:tcW w:w="990" w:type="dxa"/>
            <w:tcBorders>
              <w:left w:val="nil"/>
              <w:right w:val="nil"/>
            </w:tcBorders>
            <w:shd w:val="clear" w:color="auto" w:fill="D9D9D9" w:themeFill="background1" w:themeFillShade="D9"/>
            <w:noWrap/>
            <w:vAlign w:val="bottom"/>
          </w:tcPr>
          <w:p w14:paraId="1F0DC2C7" w14:textId="77777777" w:rsidR="00F75BA6" w:rsidRPr="00D562F1" w:rsidRDefault="00F75BA6" w:rsidP="0040594E">
            <w:pPr>
              <w:pStyle w:val="Tablebody"/>
              <w:rPr>
                <w:sz w:val="24"/>
                <w:szCs w:val="24"/>
              </w:rPr>
            </w:pPr>
          </w:p>
        </w:tc>
        <w:tc>
          <w:tcPr>
            <w:tcW w:w="726" w:type="dxa"/>
            <w:tcBorders>
              <w:left w:val="nil"/>
              <w:right w:val="nil"/>
            </w:tcBorders>
            <w:shd w:val="clear" w:color="auto" w:fill="D9D9D9" w:themeFill="background1" w:themeFillShade="D9"/>
            <w:noWrap/>
            <w:vAlign w:val="bottom"/>
          </w:tcPr>
          <w:p w14:paraId="6DF6108D" w14:textId="77777777" w:rsidR="00F75BA6" w:rsidRPr="00D562F1" w:rsidRDefault="00F75BA6" w:rsidP="0040594E">
            <w:pPr>
              <w:pStyle w:val="Tablebody"/>
              <w:rPr>
                <w:sz w:val="24"/>
                <w:szCs w:val="24"/>
              </w:rPr>
            </w:pPr>
          </w:p>
        </w:tc>
        <w:tc>
          <w:tcPr>
            <w:tcW w:w="1163" w:type="dxa"/>
            <w:tcBorders>
              <w:left w:val="nil"/>
              <w:right w:val="nil"/>
            </w:tcBorders>
            <w:shd w:val="clear" w:color="auto" w:fill="D9D9D9" w:themeFill="background1" w:themeFillShade="D9"/>
            <w:noWrap/>
            <w:vAlign w:val="bottom"/>
          </w:tcPr>
          <w:p w14:paraId="13E5DD46" w14:textId="77777777" w:rsidR="00F75BA6" w:rsidRPr="00D562F1" w:rsidRDefault="00F75BA6" w:rsidP="0040594E">
            <w:pPr>
              <w:pStyle w:val="Tablebody"/>
              <w:rPr>
                <w:sz w:val="24"/>
                <w:szCs w:val="24"/>
              </w:rPr>
            </w:pPr>
          </w:p>
        </w:tc>
        <w:tc>
          <w:tcPr>
            <w:tcW w:w="668" w:type="dxa"/>
            <w:tcBorders>
              <w:left w:val="nil"/>
              <w:right w:val="nil"/>
            </w:tcBorders>
            <w:shd w:val="clear" w:color="auto" w:fill="D9D9D9" w:themeFill="background1" w:themeFillShade="D9"/>
            <w:noWrap/>
            <w:vAlign w:val="bottom"/>
          </w:tcPr>
          <w:p w14:paraId="74667735" w14:textId="77777777" w:rsidR="00F75BA6" w:rsidRPr="00D562F1" w:rsidRDefault="00F75BA6" w:rsidP="0040594E">
            <w:pPr>
              <w:pStyle w:val="Tablebody"/>
              <w:rPr>
                <w:sz w:val="24"/>
                <w:szCs w:val="24"/>
              </w:rPr>
            </w:pPr>
          </w:p>
        </w:tc>
        <w:tc>
          <w:tcPr>
            <w:tcW w:w="1271" w:type="dxa"/>
            <w:tcBorders>
              <w:left w:val="nil"/>
              <w:right w:val="nil"/>
            </w:tcBorders>
            <w:shd w:val="clear" w:color="auto" w:fill="D9D9D9" w:themeFill="background1" w:themeFillShade="D9"/>
            <w:noWrap/>
            <w:vAlign w:val="bottom"/>
          </w:tcPr>
          <w:p w14:paraId="19F80F9D" w14:textId="77777777" w:rsidR="00F75BA6" w:rsidRPr="00D562F1" w:rsidRDefault="00F75BA6" w:rsidP="0040594E">
            <w:pPr>
              <w:pStyle w:val="Tablebody"/>
              <w:rPr>
                <w:sz w:val="24"/>
                <w:szCs w:val="24"/>
              </w:rPr>
            </w:pPr>
          </w:p>
        </w:tc>
        <w:tc>
          <w:tcPr>
            <w:tcW w:w="1181" w:type="dxa"/>
            <w:gridSpan w:val="4"/>
            <w:tcBorders>
              <w:left w:val="nil"/>
            </w:tcBorders>
            <w:shd w:val="clear" w:color="auto" w:fill="D9D9D9" w:themeFill="background1" w:themeFillShade="D9"/>
            <w:noWrap/>
            <w:vAlign w:val="bottom"/>
          </w:tcPr>
          <w:p w14:paraId="5C7BA81D" w14:textId="77777777" w:rsidR="00F75BA6" w:rsidRPr="00D562F1" w:rsidRDefault="00F75BA6" w:rsidP="0040594E">
            <w:pPr>
              <w:pStyle w:val="Tablebody"/>
              <w:rPr>
                <w:sz w:val="24"/>
                <w:szCs w:val="24"/>
              </w:rPr>
            </w:pPr>
          </w:p>
        </w:tc>
      </w:tr>
      <w:tr w:rsidR="00F75BA6" w:rsidRPr="00D562F1" w14:paraId="78382AC7" w14:textId="77777777" w:rsidTr="006C3ED9">
        <w:trPr>
          <w:gridAfter w:val="1"/>
          <w:wAfter w:w="27" w:type="dxa"/>
          <w:trHeight w:val="293"/>
        </w:trPr>
        <w:tc>
          <w:tcPr>
            <w:tcW w:w="2690" w:type="dxa"/>
            <w:tcBorders>
              <w:right w:val="nil"/>
            </w:tcBorders>
            <w:shd w:val="clear" w:color="auto" w:fill="D9D9D9" w:themeFill="background1" w:themeFillShade="D9"/>
            <w:noWrap/>
            <w:vAlign w:val="bottom"/>
            <w:hideMark/>
          </w:tcPr>
          <w:p w14:paraId="41F8B79A" w14:textId="77777777" w:rsidR="00F75BA6" w:rsidRPr="00D562F1" w:rsidRDefault="00F75BA6" w:rsidP="009F25CA">
            <w:pPr>
              <w:pStyle w:val="Tablebody"/>
              <w:ind w:left="340"/>
              <w:rPr>
                <w:sz w:val="24"/>
                <w:szCs w:val="24"/>
              </w:rPr>
            </w:pPr>
            <w:r w:rsidRPr="00D562F1">
              <w:rPr>
                <w:sz w:val="24"/>
                <w:szCs w:val="24"/>
              </w:rPr>
              <w:t>Zero</w:t>
            </w:r>
          </w:p>
        </w:tc>
        <w:tc>
          <w:tcPr>
            <w:tcW w:w="726" w:type="dxa"/>
            <w:tcBorders>
              <w:left w:val="nil"/>
              <w:right w:val="nil"/>
            </w:tcBorders>
            <w:shd w:val="clear" w:color="auto" w:fill="D9D9D9" w:themeFill="background1" w:themeFillShade="D9"/>
            <w:noWrap/>
          </w:tcPr>
          <w:p w14:paraId="7DA8688E" w14:textId="77777777" w:rsidR="00F75BA6" w:rsidRPr="00D562F1" w:rsidRDefault="00F75BA6" w:rsidP="0040594E">
            <w:pPr>
              <w:pStyle w:val="Tablebody"/>
              <w:rPr>
                <w:sz w:val="24"/>
                <w:szCs w:val="24"/>
              </w:rPr>
            </w:pPr>
            <w:r w:rsidRPr="00D562F1">
              <w:rPr>
                <w:sz w:val="24"/>
                <w:szCs w:val="24"/>
              </w:rPr>
              <w:t>9</w:t>
            </w:r>
          </w:p>
        </w:tc>
        <w:tc>
          <w:tcPr>
            <w:tcW w:w="990" w:type="dxa"/>
            <w:tcBorders>
              <w:left w:val="nil"/>
              <w:right w:val="nil"/>
            </w:tcBorders>
            <w:shd w:val="clear" w:color="auto" w:fill="D9D9D9" w:themeFill="background1" w:themeFillShade="D9"/>
            <w:noWrap/>
          </w:tcPr>
          <w:p w14:paraId="40C01914" w14:textId="77777777" w:rsidR="00F75BA6" w:rsidRPr="00D562F1" w:rsidRDefault="00F75BA6" w:rsidP="0040594E">
            <w:pPr>
              <w:pStyle w:val="Tablebody"/>
              <w:rPr>
                <w:sz w:val="24"/>
                <w:szCs w:val="24"/>
              </w:rPr>
            </w:pPr>
            <w:r w:rsidRPr="00D562F1">
              <w:rPr>
                <w:sz w:val="24"/>
                <w:szCs w:val="24"/>
              </w:rPr>
              <w:t>(50%)</w:t>
            </w:r>
          </w:p>
        </w:tc>
        <w:tc>
          <w:tcPr>
            <w:tcW w:w="726" w:type="dxa"/>
            <w:tcBorders>
              <w:left w:val="nil"/>
              <w:right w:val="nil"/>
            </w:tcBorders>
            <w:shd w:val="clear" w:color="auto" w:fill="D9D9D9" w:themeFill="background1" w:themeFillShade="D9"/>
            <w:noWrap/>
          </w:tcPr>
          <w:p w14:paraId="248EFA18" w14:textId="77777777" w:rsidR="00F75BA6" w:rsidRPr="00D562F1" w:rsidRDefault="00F75BA6" w:rsidP="0040594E">
            <w:pPr>
              <w:pStyle w:val="Tablebody"/>
              <w:rPr>
                <w:sz w:val="24"/>
                <w:szCs w:val="24"/>
              </w:rPr>
            </w:pPr>
            <w:r w:rsidRPr="00D562F1">
              <w:rPr>
                <w:sz w:val="24"/>
                <w:szCs w:val="24"/>
              </w:rPr>
              <w:t>49</w:t>
            </w:r>
          </w:p>
        </w:tc>
        <w:tc>
          <w:tcPr>
            <w:tcW w:w="1163" w:type="dxa"/>
            <w:tcBorders>
              <w:left w:val="nil"/>
              <w:right w:val="nil"/>
            </w:tcBorders>
            <w:shd w:val="clear" w:color="auto" w:fill="D9D9D9" w:themeFill="background1" w:themeFillShade="D9"/>
            <w:noWrap/>
          </w:tcPr>
          <w:p w14:paraId="1C1D3ECA" w14:textId="77777777" w:rsidR="00F75BA6" w:rsidRPr="00D562F1" w:rsidRDefault="00F75BA6" w:rsidP="0040594E">
            <w:pPr>
              <w:pStyle w:val="Tablebody"/>
              <w:rPr>
                <w:sz w:val="24"/>
                <w:szCs w:val="24"/>
              </w:rPr>
            </w:pPr>
            <w:r w:rsidRPr="00D562F1">
              <w:rPr>
                <w:sz w:val="24"/>
                <w:szCs w:val="24"/>
              </w:rPr>
              <w:t>(66%)</w:t>
            </w:r>
          </w:p>
        </w:tc>
        <w:tc>
          <w:tcPr>
            <w:tcW w:w="668" w:type="dxa"/>
            <w:tcBorders>
              <w:left w:val="nil"/>
              <w:right w:val="nil"/>
            </w:tcBorders>
            <w:shd w:val="clear" w:color="auto" w:fill="D9D9D9" w:themeFill="background1" w:themeFillShade="D9"/>
            <w:noWrap/>
          </w:tcPr>
          <w:p w14:paraId="28FE9D95" w14:textId="77777777" w:rsidR="00F75BA6" w:rsidRPr="00D562F1" w:rsidRDefault="00F75BA6" w:rsidP="0040594E">
            <w:pPr>
              <w:pStyle w:val="Tablebody"/>
              <w:rPr>
                <w:sz w:val="24"/>
                <w:szCs w:val="24"/>
              </w:rPr>
            </w:pPr>
            <w:r w:rsidRPr="00D562F1">
              <w:rPr>
                <w:sz w:val="24"/>
                <w:szCs w:val="24"/>
              </w:rPr>
              <w:t>1.0</w:t>
            </w:r>
          </w:p>
        </w:tc>
        <w:tc>
          <w:tcPr>
            <w:tcW w:w="2452" w:type="dxa"/>
            <w:gridSpan w:val="5"/>
            <w:tcBorders>
              <w:left w:val="nil"/>
            </w:tcBorders>
            <w:shd w:val="clear" w:color="auto" w:fill="D9D9D9" w:themeFill="background1" w:themeFillShade="D9"/>
            <w:noWrap/>
          </w:tcPr>
          <w:p w14:paraId="4AF01A92" w14:textId="77777777" w:rsidR="00F75BA6" w:rsidRPr="00D562F1" w:rsidRDefault="00F75BA6" w:rsidP="0040594E">
            <w:pPr>
              <w:pStyle w:val="Tablebody"/>
              <w:rPr>
                <w:sz w:val="24"/>
                <w:szCs w:val="24"/>
              </w:rPr>
            </w:pPr>
            <w:r w:rsidRPr="00D562F1">
              <w:rPr>
                <w:sz w:val="24"/>
                <w:szCs w:val="24"/>
              </w:rPr>
              <w:t>-ref-</w:t>
            </w:r>
          </w:p>
        </w:tc>
      </w:tr>
      <w:tr w:rsidR="00F75BA6" w:rsidRPr="00D562F1" w14:paraId="15B1D314" w14:textId="77777777" w:rsidTr="006C3ED9">
        <w:trPr>
          <w:gridAfter w:val="1"/>
          <w:wAfter w:w="27" w:type="dxa"/>
          <w:trHeight w:val="293"/>
        </w:trPr>
        <w:tc>
          <w:tcPr>
            <w:tcW w:w="2690" w:type="dxa"/>
            <w:tcBorders>
              <w:right w:val="nil"/>
            </w:tcBorders>
            <w:shd w:val="clear" w:color="auto" w:fill="D9D9D9" w:themeFill="background1" w:themeFillShade="D9"/>
            <w:noWrap/>
            <w:vAlign w:val="bottom"/>
          </w:tcPr>
          <w:p w14:paraId="1DCE0909" w14:textId="77777777" w:rsidR="00F75BA6" w:rsidRPr="00D562F1" w:rsidRDefault="00F75BA6" w:rsidP="009F25CA">
            <w:pPr>
              <w:pStyle w:val="Tablebody"/>
              <w:ind w:left="340"/>
              <w:rPr>
                <w:sz w:val="24"/>
                <w:szCs w:val="24"/>
              </w:rPr>
            </w:pPr>
            <w:r w:rsidRPr="00D562F1">
              <w:rPr>
                <w:sz w:val="24"/>
                <w:szCs w:val="24"/>
              </w:rPr>
              <w:t>Low</w:t>
            </w:r>
          </w:p>
        </w:tc>
        <w:tc>
          <w:tcPr>
            <w:tcW w:w="726" w:type="dxa"/>
            <w:tcBorders>
              <w:left w:val="nil"/>
              <w:right w:val="nil"/>
            </w:tcBorders>
            <w:shd w:val="clear" w:color="auto" w:fill="D9D9D9" w:themeFill="background1" w:themeFillShade="D9"/>
            <w:noWrap/>
          </w:tcPr>
          <w:p w14:paraId="043D51C0" w14:textId="77777777" w:rsidR="00F75BA6" w:rsidRPr="00D562F1" w:rsidRDefault="00F75BA6" w:rsidP="0040594E">
            <w:pPr>
              <w:pStyle w:val="Tablebody"/>
              <w:rPr>
                <w:sz w:val="24"/>
                <w:szCs w:val="24"/>
              </w:rPr>
            </w:pPr>
            <w:r w:rsidRPr="00D562F1">
              <w:rPr>
                <w:sz w:val="24"/>
                <w:szCs w:val="24"/>
              </w:rPr>
              <w:t>7</w:t>
            </w:r>
          </w:p>
        </w:tc>
        <w:tc>
          <w:tcPr>
            <w:tcW w:w="990" w:type="dxa"/>
            <w:tcBorders>
              <w:left w:val="nil"/>
              <w:right w:val="nil"/>
            </w:tcBorders>
            <w:shd w:val="clear" w:color="auto" w:fill="D9D9D9" w:themeFill="background1" w:themeFillShade="D9"/>
            <w:noWrap/>
          </w:tcPr>
          <w:p w14:paraId="3F75DE0F" w14:textId="77777777" w:rsidR="00F75BA6" w:rsidRPr="00D562F1" w:rsidRDefault="00F75BA6" w:rsidP="0040594E">
            <w:pPr>
              <w:pStyle w:val="Tablebody"/>
              <w:rPr>
                <w:sz w:val="24"/>
                <w:szCs w:val="24"/>
              </w:rPr>
            </w:pPr>
            <w:r w:rsidRPr="00D562F1">
              <w:rPr>
                <w:sz w:val="24"/>
                <w:szCs w:val="24"/>
              </w:rPr>
              <w:t>(39%)</w:t>
            </w:r>
          </w:p>
        </w:tc>
        <w:tc>
          <w:tcPr>
            <w:tcW w:w="726" w:type="dxa"/>
            <w:tcBorders>
              <w:left w:val="nil"/>
              <w:right w:val="nil"/>
            </w:tcBorders>
            <w:shd w:val="clear" w:color="auto" w:fill="D9D9D9" w:themeFill="background1" w:themeFillShade="D9"/>
            <w:noWrap/>
          </w:tcPr>
          <w:p w14:paraId="27D4BED7" w14:textId="77777777" w:rsidR="00F75BA6" w:rsidRPr="00D562F1" w:rsidRDefault="00F75BA6" w:rsidP="0040594E">
            <w:pPr>
              <w:pStyle w:val="Tablebody"/>
              <w:rPr>
                <w:sz w:val="24"/>
                <w:szCs w:val="24"/>
              </w:rPr>
            </w:pPr>
            <w:r w:rsidRPr="00D562F1">
              <w:rPr>
                <w:sz w:val="24"/>
                <w:szCs w:val="24"/>
              </w:rPr>
              <w:t>10</w:t>
            </w:r>
          </w:p>
        </w:tc>
        <w:tc>
          <w:tcPr>
            <w:tcW w:w="1163" w:type="dxa"/>
            <w:tcBorders>
              <w:left w:val="nil"/>
              <w:right w:val="nil"/>
            </w:tcBorders>
            <w:shd w:val="clear" w:color="auto" w:fill="D9D9D9" w:themeFill="background1" w:themeFillShade="D9"/>
            <w:noWrap/>
          </w:tcPr>
          <w:p w14:paraId="27AA0C55" w14:textId="77777777" w:rsidR="00F75BA6" w:rsidRPr="00D562F1" w:rsidRDefault="00F75BA6" w:rsidP="0040594E">
            <w:pPr>
              <w:pStyle w:val="Tablebody"/>
              <w:rPr>
                <w:sz w:val="24"/>
                <w:szCs w:val="24"/>
              </w:rPr>
            </w:pPr>
            <w:r w:rsidRPr="00D562F1">
              <w:rPr>
                <w:sz w:val="24"/>
                <w:szCs w:val="24"/>
              </w:rPr>
              <w:t>(14%)</w:t>
            </w:r>
          </w:p>
        </w:tc>
        <w:tc>
          <w:tcPr>
            <w:tcW w:w="668" w:type="dxa"/>
            <w:tcBorders>
              <w:left w:val="nil"/>
              <w:right w:val="nil"/>
            </w:tcBorders>
            <w:shd w:val="clear" w:color="auto" w:fill="D9D9D9" w:themeFill="background1" w:themeFillShade="D9"/>
            <w:noWrap/>
          </w:tcPr>
          <w:p w14:paraId="41A7E4A2" w14:textId="77777777" w:rsidR="00F75BA6" w:rsidRPr="00D562F1" w:rsidRDefault="00F75BA6" w:rsidP="0040594E">
            <w:pPr>
              <w:pStyle w:val="Tablebody"/>
              <w:rPr>
                <w:sz w:val="24"/>
                <w:szCs w:val="24"/>
              </w:rPr>
            </w:pPr>
            <w:r w:rsidRPr="00D562F1">
              <w:rPr>
                <w:sz w:val="24"/>
                <w:szCs w:val="24"/>
              </w:rPr>
              <w:t>4.4</w:t>
            </w:r>
          </w:p>
        </w:tc>
        <w:tc>
          <w:tcPr>
            <w:tcW w:w="1271" w:type="dxa"/>
            <w:tcBorders>
              <w:left w:val="nil"/>
              <w:right w:val="nil"/>
            </w:tcBorders>
            <w:shd w:val="clear" w:color="auto" w:fill="D9D9D9" w:themeFill="background1" w:themeFillShade="D9"/>
            <w:noWrap/>
          </w:tcPr>
          <w:p w14:paraId="60FAE6D4" w14:textId="77777777" w:rsidR="00F75BA6" w:rsidRPr="00D562F1" w:rsidRDefault="00F75BA6" w:rsidP="0040594E">
            <w:pPr>
              <w:pStyle w:val="Tablebody"/>
              <w:rPr>
                <w:sz w:val="24"/>
                <w:szCs w:val="24"/>
              </w:rPr>
            </w:pPr>
            <w:r w:rsidRPr="00D562F1">
              <w:rPr>
                <w:sz w:val="24"/>
                <w:szCs w:val="24"/>
              </w:rPr>
              <w:t>(1.1, 18)</w:t>
            </w:r>
          </w:p>
        </w:tc>
        <w:tc>
          <w:tcPr>
            <w:tcW w:w="1181" w:type="dxa"/>
            <w:gridSpan w:val="4"/>
            <w:tcBorders>
              <w:left w:val="nil"/>
            </w:tcBorders>
            <w:shd w:val="clear" w:color="auto" w:fill="D9D9D9" w:themeFill="background1" w:themeFillShade="D9"/>
            <w:noWrap/>
          </w:tcPr>
          <w:p w14:paraId="147633E7" w14:textId="77777777" w:rsidR="00F75BA6" w:rsidRPr="00D562F1" w:rsidRDefault="00F75BA6" w:rsidP="0040594E">
            <w:pPr>
              <w:pStyle w:val="Tablebody"/>
              <w:rPr>
                <w:sz w:val="24"/>
                <w:szCs w:val="24"/>
              </w:rPr>
            </w:pPr>
            <w:r w:rsidRPr="00D562F1">
              <w:rPr>
                <w:sz w:val="24"/>
                <w:szCs w:val="24"/>
              </w:rPr>
              <w:t>0.04</w:t>
            </w:r>
          </w:p>
        </w:tc>
      </w:tr>
      <w:tr w:rsidR="00F75BA6" w:rsidRPr="00D562F1" w14:paraId="74748684" w14:textId="77777777" w:rsidTr="006C3ED9">
        <w:trPr>
          <w:gridAfter w:val="1"/>
          <w:wAfter w:w="27" w:type="dxa"/>
          <w:trHeight w:val="293"/>
        </w:trPr>
        <w:tc>
          <w:tcPr>
            <w:tcW w:w="2690" w:type="dxa"/>
            <w:tcBorders>
              <w:right w:val="nil"/>
            </w:tcBorders>
            <w:shd w:val="clear" w:color="auto" w:fill="D9D9D9" w:themeFill="background1" w:themeFillShade="D9"/>
            <w:noWrap/>
            <w:vAlign w:val="bottom"/>
            <w:hideMark/>
          </w:tcPr>
          <w:p w14:paraId="61FB558B" w14:textId="77777777" w:rsidR="00F75BA6" w:rsidRPr="00D562F1" w:rsidRDefault="00F75BA6" w:rsidP="009F25CA">
            <w:pPr>
              <w:pStyle w:val="Tablebody"/>
              <w:ind w:left="340"/>
              <w:rPr>
                <w:sz w:val="24"/>
                <w:szCs w:val="24"/>
              </w:rPr>
            </w:pPr>
            <w:r w:rsidRPr="00D562F1">
              <w:rPr>
                <w:sz w:val="24"/>
                <w:szCs w:val="24"/>
              </w:rPr>
              <w:t>High</w:t>
            </w:r>
          </w:p>
        </w:tc>
        <w:tc>
          <w:tcPr>
            <w:tcW w:w="726" w:type="dxa"/>
            <w:tcBorders>
              <w:left w:val="nil"/>
              <w:right w:val="nil"/>
            </w:tcBorders>
            <w:shd w:val="clear" w:color="auto" w:fill="D9D9D9" w:themeFill="background1" w:themeFillShade="D9"/>
            <w:noWrap/>
          </w:tcPr>
          <w:p w14:paraId="020DA6F1" w14:textId="77777777" w:rsidR="00F75BA6" w:rsidRPr="00D562F1" w:rsidRDefault="00F75BA6" w:rsidP="0040594E">
            <w:pPr>
              <w:pStyle w:val="Tablebody"/>
              <w:rPr>
                <w:sz w:val="24"/>
                <w:szCs w:val="24"/>
              </w:rPr>
            </w:pPr>
            <w:r w:rsidRPr="00D562F1">
              <w:rPr>
                <w:sz w:val="24"/>
                <w:szCs w:val="24"/>
              </w:rPr>
              <w:t>2</w:t>
            </w:r>
          </w:p>
        </w:tc>
        <w:tc>
          <w:tcPr>
            <w:tcW w:w="990" w:type="dxa"/>
            <w:tcBorders>
              <w:left w:val="nil"/>
              <w:right w:val="nil"/>
            </w:tcBorders>
            <w:shd w:val="clear" w:color="auto" w:fill="D9D9D9" w:themeFill="background1" w:themeFillShade="D9"/>
            <w:noWrap/>
          </w:tcPr>
          <w:p w14:paraId="60CA1F2D" w14:textId="77777777" w:rsidR="00F75BA6" w:rsidRPr="00D562F1" w:rsidRDefault="00F75BA6" w:rsidP="0040594E">
            <w:pPr>
              <w:pStyle w:val="Tablebody"/>
              <w:rPr>
                <w:sz w:val="24"/>
                <w:szCs w:val="24"/>
              </w:rPr>
            </w:pPr>
            <w:r w:rsidRPr="00D562F1">
              <w:rPr>
                <w:sz w:val="24"/>
                <w:szCs w:val="24"/>
              </w:rPr>
              <w:t>(11%)</w:t>
            </w:r>
          </w:p>
        </w:tc>
        <w:tc>
          <w:tcPr>
            <w:tcW w:w="726" w:type="dxa"/>
            <w:tcBorders>
              <w:left w:val="nil"/>
              <w:right w:val="nil"/>
            </w:tcBorders>
            <w:shd w:val="clear" w:color="auto" w:fill="D9D9D9" w:themeFill="background1" w:themeFillShade="D9"/>
            <w:noWrap/>
          </w:tcPr>
          <w:p w14:paraId="451AE0F5" w14:textId="77777777" w:rsidR="00F75BA6" w:rsidRPr="00D562F1" w:rsidRDefault="00F75BA6" w:rsidP="0040594E">
            <w:pPr>
              <w:pStyle w:val="Tablebody"/>
              <w:rPr>
                <w:sz w:val="24"/>
                <w:szCs w:val="24"/>
              </w:rPr>
            </w:pPr>
            <w:r w:rsidRPr="00D562F1">
              <w:rPr>
                <w:sz w:val="24"/>
                <w:szCs w:val="24"/>
              </w:rPr>
              <w:t>15</w:t>
            </w:r>
          </w:p>
        </w:tc>
        <w:tc>
          <w:tcPr>
            <w:tcW w:w="1163" w:type="dxa"/>
            <w:tcBorders>
              <w:left w:val="nil"/>
              <w:right w:val="nil"/>
            </w:tcBorders>
            <w:shd w:val="clear" w:color="auto" w:fill="D9D9D9" w:themeFill="background1" w:themeFillShade="D9"/>
            <w:noWrap/>
          </w:tcPr>
          <w:p w14:paraId="3334FF28" w14:textId="77777777" w:rsidR="00F75BA6" w:rsidRPr="00D562F1" w:rsidRDefault="00F75BA6" w:rsidP="0040594E">
            <w:pPr>
              <w:pStyle w:val="Tablebody"/>
              <w:rPr>
                <w:sz w:val="24"/>
                <w:szCs w:val="24"/>
              </w:rPr>
            </w:pPr>
            <w:r w:rsidRPr="00D562F1">
              <w:rPr>
                <w:sz w:val="24"/>
                <w:szCs w:val="24"/>
              </w:rPr>
              <w:t>(20%)</w:t>
            </w:r>
          </w:p>
        </w:tc>
        <w:tc>
          <w:tcPr>
            <w:tcW w:w="668" w:type="dxa"/>
            <w:tcBorders>
              <w:left w:val="nil"/>
              <w:right w:val="nil"/>
            </w:tcBorders>
            <w:shd w:val="clear" w:color="auto" w:fill="D9D9D9" w:themeFill="background1" w:themeFillShade="D9"/>
            <w:noWrap/>
          </w:tcPr>
          <w:p w14:paraId="132D6771" w14:textId="77777777" w:rsidR="00F75BA6" w:rsidRPr="00D562F1" w:rsidRDefault="00F75BA6" w:rsidP="0040594E">
            <w:pPr>
              <w:pStyle w:val="Tablebody"/>
              <w:rPr>
                <w:sz w:val="24"/>
                <w:szCs w:val="24"/>
              </w:rPr>
            </w:pPr>
            <w:r w:rsidRPr="00D562F1">
              <w:rPr>
                <w:sz w:val="24"/>
                <w:szCs w:val="24"/>
              </w:rPr>
              <w:t>1.0</w:t>
            </w:r>
          </w:p>
        </w:tc>
        <w:tc>
          <w:tcPr>
            <w:tcW w:w="1271" w:type="dxa"/>
            <w:tcBorders>
              <w:left w:val="nil"/>
              <w:right w:val="nil"/>
            </w:tcBorders>
            <w:shd w:val="clear" w:color="auto" w:fill="D9D9D9" w:themeFill="background1" w:themeFillShade="D9"/>
            <w:noWrap/>
          </w:tcPr>
          <w:p w14:paraId="4FE61F95" w14:textId="77777777" w:rsidR="00F75BA6" w:rsidRPr="00D562F1" w:rsidRDefault="00F75BA6" w:rsidP="0040594E">
            <w:pPr>
              <w:pStyle w:val="Tablebody"/>
              <w:rPr>
                <w:sz w:val="24"/>
                <w:szCs w:val="24"/>
              </w:rPr>
            </w:pPr>
            <w:r w:rsidRPr="00D562F1">
              <w:rPr>
                <w:sz w:val="24"/>
                <w:szCs w:val="24"/>
              </w:rPr>
              <w:t>(0.2, 5.2)</w:t>
            </w:r>
          </w:p>
        </w:tc>
        <w:tc>
          <w:tcPr>
            <w:tcW w:w="1181" w:type="dxa"/>
            <w:gridSpan w:val="4"/>
            <w:tcBorders>
              <w:left w:val="nil"/>
            </w:tcBorders>
            <w:shd w:val="clear" w:color="auto" w:fill="D9D9D9" w:themeFill="background1" w:themeFillShade="D9"/>
            <w:noWrap/>
          </w:tcPr>
          <w:p w14:paraId="4A56868C" w14:textId="77777777" w:rsidR="00F75BA6" w:rsidRPr="00D562F1" w:rsidRDefault="00F75BA6" w:rsidP="0040594E">
            <w:pPr>
              <w:pStyle w:val="Tablebody"/>
              <w:rPr>
                <w:sz w:val="24"/>
                <w:szCs w:val="24"/>
              </w:rPr>
            </w:pPr>
            <w:r w:rsidRPr="00D562F1">
              <w:rPr>
                <w:sz w:val="24"/>
                <w:szCs w:val="24"/>
              </w:rPr>
              <w:t>1.00</w:t>
            </w:r>
          </w:p>
        </w:tc>
      </w:tr>
      <w:tr w:rsidR="00F75BA6" w:rsidRPr="00D562F1" w14:paraId="15AD4124" w14:textId="77777777" w:rsidTr="006C3ED9">
        <w:trPr>
          <w:gridAfter w:val="1"/>
          <w:wAfter w:w="27" w:type="dxa"/>
          <w:trHeight w:val="293"/>
        </w:trPr>
        <w:tc>
          <w:tcPr>
            <w:tcW w:w="2690" w:type="dxa"/>
            <w:tcBorders>
              <w:top w:val="nil"/>
              <w:bottom w:val="nil"/>
              <w:right w:val="nil"/>
            </w:tcBorders>
            <w:shd w:val="clear" w:color="auto" w:fill="auto"/>
            <w:noWrap/>
            <w:vAlign w:val="bottom"/>
            <w:hideMark/>
          </w:tcPr>
          <w:p w14:paraId="684F7B4E" w14:textId="77777777" w:rsidR="00F75BA6" w:rsidRPr="006C3ED9" w:rsidRDefault="00D61393" w:rsidP="0040594E">
            <w:pPr>
              <w:pStyle w:val="Tablebody"/>
              <w:rPr>
                <w:b/>
                <w:bCs/>
                <w:sz w:val="24"/>
                <w:szCs w:val="24"/>
              </w:rPr>
            </w:pPr>
            <w:r w:rsidRPr="006C3ED9">
              <w:rPr>
                <w:b/>
                <w:bCs/>
                <w:sz w:val="24"/>
                <w:szCs w:val="24"/>
              </w:rPr>
              <w:t>Leukemia/Lymphoma</w:t>
            </w:r>
          </w:p>
        </w:tc>
        <w:tc>
          <w:tcPr>
            <w:tcW w:w="1716" w:type="dxa"/>
            <w:gridSpan w:val="2"/>
            <w:tcBorders>
              <w:left w:val="nil"/>
              <w:right w:val="nil"/>
            </w:tcBorders>
            <w:shd w:val="clear" w:color="auto" w:fill="auto"/>
            <w:noWrap/>
            <w:vAlign w:val="bottom"/>
            <w:hideMark/>
          </w:tcPr>
          <w:p w14:paraId="4C3A598B" w14:textId="77777777" w:rsidR="00F75BA6" w:rsidRPr="00E77543" w:rsidRDefault="00F75BA6" w:rsidP="0040594E">
            <w:pPr>
              <w:pStyle w:val="Tablebody"/>
              <w:rPr>
                <w:b/>
                <w:bCs/>
                <w:sz w:val="24"/>
                <w:szCs w:val="24"/>
              </w:rPr>
            </w:pPr>
            <w:r w:rsidRPr="00E77543">
              <w:rPr>
                <w:b/>
                <w:bCs/>
                <w:sz w:val="24"/>
                <w:szCs w:val="24"/>
              </w:rPr>
              <w:t>Cases (n=11)</w:t>
            </w:r>
          </w:p>
        </w:tc>
        <w:tc>
          <w:tcPr>
            <w:tcW w:w="1889" w:type="dxa"/>
            <w:gridSpan w:val="2"/>
            <w:tcBorders>
              <w:left w:val="nil"/>
              <w:right w:val="nil"/>
            </w:tcBorders>
            <w:shd w:val="clear" w:color="auto" w:fill="auto"/>
            <w:noWrap/>
            <w:vAlign w:val="bottom"/>
            <w:hideMark/>
          </w:tcPr>
          <w:p w14:paraId="758A0D26" w14:textId="77777777" w:rsidR="00F75BA6" w:rsidRPr="00E77543" w:rsidRDefault="00F75BA6" w:rsidP="0040594E">
            <w:pPr>
              <w:pStyle w:val="Tablebody"/>
              <w:rPr>
                <w:b/>
                <w:bCs/>
                <w:sz w:val="24"/>
                <w:szCs w:val="24"/>
              </w:rPr>
            </w:pPr>
            <w:r w:rsidRPr="00E77543">
              <w:rPr>
                <w:b/>
                <w:bCs/>
                <w:sz w:val="24"/>
                <w:szCs w:val="24"/>
              </w:rPr>
              <w:t>Controls (n=45)</w:t>
            </w:r>
          </w:p>
        </w:tc>
        <w:tc>
          <w:tcPr>
            <w:tcW w:w="668" w:type="dxa"/>
            <w:tcBorders>
              <w:left w:val="nil"/>
              <w:right w:val="nil"/>
            </w:tcBorders>
            <w:shd w:val="clear" w:color="auto" w:fill="auto"/>
            <w:noWrap/>
            <w:vAlign w:val="center"/>
          </w:tcPr>
          <w:p w14:paraId="4C275AF9" w14:textId="77777777" w:rsidR="00F75BA6" w:rsidRPr="00E77543" w:rsidRDefault="00F75BA6" w:rsidP="0040594E">
            <w:pPr>
              <w:pStyle w:val="Tablebody"/>
              <w:rPr>
                <w:b/>
                <w:bCs/>
                <w:sz w:val="24"/>
                <w:szCs w:val="24"/>
              </w:rPr>
            </w:pPr>
          </w:p>
        </w:tc>
        <w:tc>
          <w:tcPr>
            <w:tcW w:w="1278" w:type="dxa"/>
            <w:gridSpan w:val="2"/>
            <w:tcBorders>
              <w:left w:val="nil"/>
              <w:right w:val="nil"/>
            </w:tcBorders>
            <w:shd w:val="clear" w:color="auto" w:fill="auto"/>
            <w:noWrap/>
            <w:vAlign w:val="center"/>
          </w:tcPr>
          <w:p w14:paraId="1CD9D927" w14:textId="77777777" w:rsidR="00F75BA6" w:rsidRPr="00E77543" w:rsidRDefault="00F75BA6" w:rsidP="0040594E">
            <w:pPr>
              <w:pStyle w:val="Tablebody"/>
              <w:rPr>
                <w:b/>
                <w:bCs/>
                <w:sz w:val="24"/>
                <w:szCs w:val="24"/>
              </w:rPr>
            </w:pPr>
          </w:p>
        </w:tc>
        <w:tc>
          <w:tcPr>
            <w:tcW w:w="1174" w:type="dxa"/>
            <w:gridSpan w:val="3"/>
            <w:tcBorders>
              <w:left w:val="nil"/>
            </w:tcBorders>
            <w:shd w:val="clear" w:color="auto" w:fill="auto"/>
            <w:noWrap/>
            <w:vAlign w:val="center"/>
          </w:tcPr>
          <w:p w14:paraId="6C6C66B6" w14:textId="77777777" w:rsidR="00F75BA6" w:rsidRPr="00E77543" w:rsidRDefault="00F75BA6" w:rsidP="0040594E">
            <w:pPr>
              <w:pStyle w:val="Tablebody"/>
              <w:rPr>
                <w:b/>
                <w:bCs/>
                <w:sz w:val="24"/>
                <w:szCs w:val="24"/>
              </w:rPr>
            </w:pPr>
          </w:p>
        </w:tc>
      </w:tr>
      <w:tr w:rsidR="00F75BA6" w:rsidRPr="00D562F1" w14:paraId="65F75075" w14:textId="77777777" w:rsidTr="006C3ED9">
        <w:trPr>
          <w:gridAfter w:val="1"/>
          <w:wAfter w:w="27" w:type="dxa"/>
          <w:trHeight w:val="293"/>
        </w:trPr>
        <w:tc>
          <w:tcPr>
            <w:tcW w:w="2690" w:type="dxa"/>
            <w:tcBorders>
              <w:top w:val="nil"/>
              <w:right w:val="nil"/>
            </w:tcBorders>
            <w:shd w:val="clear" w:color="auto" w:fill="auto"/>
            <w:noWrap/>
            <w:vAlign w:val="bottom"/>
            <w:hideMark/>
          </w:tcPr>
          <w:p w14:paraId="32A8C0A5" w14:textId="77777777" w:rsidR="00F75BA6" w:rsidRPr="006C3ED9" w:rsidRDefault="00F75BA6" w:rsidP="0040594E">
            <w:pPr>
              <w:pStyle w:val="Tablebody"/>
              <w:rPr>
                <w:b/>
                <w:bCs/>
                <w:sz w:val="24"/>
                <w:szCs w:val="24"/>
              </w:rPr>
            </w:pPr>
            <w:r w:rsidRPr="006C3ED9">
              <w:rPr>
                <w:b/>
                <w:bCs/>
                <w:sz w:val="24"/>
                <w:szCs w:val="24"/>
              </w:rPr>
              <w:t> </w:t>
            </w:r>
          </w:p>
        </w:tc>
        <w:tc>
          <w:tcPr>
            <w:tcW w:w="726" w:type="dxa"/>
            <w:tcBorders>
              <w:top w:val="nil"/>
              <w:left w:val="nil"/>
              <w:bottom w:val="single" w:sz="4" w:space="0" w:color="auto"/>
              <w:right w:val="nil"/>
            </w:tcBorders>
            <w:shd w:val="clear" w:color="auto" w:fill="auto"/>
            <w:noWrap/>
            <w:vAlign w:val="bottom"/>
            <w:hideMark/>
          </w:tcPr>
          <w:p w14:paraId="0EF3471F" w14:textId="77777777" w:rsidR="00F75BA6" w:rsidRPr="00E77543" w:rsidRDefault="00F75BA6" w:rsidP="0040594E">
            <w:pPr>
              <w:pStyle w:val="Tablebody"/>
              <w:rPr>
                <w:b/>
                <w:bCs/>
                <w:sz w:val="24"/>
                <w:szCs w:val="24"/>
              </w:rPr>
            </w:pPr>
            <w:r w:rsidRPr="00E77543">
              <w:rPr>
                <w:b/>
                <w:bCs/>
                <w:sz w:val="24"/>
                <w:szCs w:val="24"/>
              </w:rPr>
              <w:t>n</w:t>
            </w:r>
          </w:p>
        </w:tc>
        <w:tc>
          <w:tcPr>
            <w:tcW w:w="990" w:type="dxa"/>
            <w:tcBorders>
              <w:top w:val="nil"/>
              <w:left w:val="nil"/>
              <w:bottom w:val="single" w:sz="4" w:space="0" w:color="auto"/>
              <w:right w:val="nil"/>
            </w:tcBorders>
            <w:shd w:val="clear" w:color="auto" w:fill="auto"/>
            <w:noWrap/>
            <w:vAlign w:val="bottom"/>
            <w:hideMark/>
          </w:tcPr>
          <w:p w14:paraId="25FC2730" w14:textId="77777777" w:rsidR="00F75BA6" w:rsidRPr="00E77543" w:rsidRDefault="00F75BA6" w:rsidP="0040594E">
            <w:pPr>
              <w:pStyle w:val="Tablebody"/>
              <w:rPr>
                <w:b/>
                <w:bCs/>
                <w:sz w:val="24"/>
                <w:szCs w:val="24"/>
              </w:rPr>
            </w:pPr>
            <w:r w:rsidRPr="00E77543">
              <w:rPr>
                <w:b/>
                <w:bCs/>
                <w:sz w:val="24"/>
                <w:szCs w:val="24"/>
              </w:rPr>
              <w:t>(%)</w:t>
            </w:r>
          </w:p>
        </w:tc>
        <w:tc>
          <w:tcPr>
            <w:tcW w:w="726" w:type="dxa"/>
            <w:tcBorders>
              <w:top w:val="nil"/>
              <w:left w:val="nil"/>
              <w:bottom w:val="single" w:sz="4" w:space="0" w:color="auto"/>
              <w:right w:val="nil"/>
            </w:tcBorders>
            <w:shd w:val="clear" w:color="auto" w:fill="auto"/>
            <w:noWrap/>
            <w:vAlign w:val="bottom"/>
            <w:hideMark/>
          </w:tcPr>
          <w:p w14:paraId="55781562" w14:textId="77777777" w:rsidR="00F75BA6" w:rsidRPr="00E77543" w:rsidRDefault="00F75BA6" w:rsidP="0040594E">
            <w:pPr>
              <w:pStyle w:val="Tablebody"/>
              <w:rPr>
                <w:b/>
                <w:bCs/>
                <w:sz w:val="24"/>
                <w:szCs w:val="24"/>
              </w:rPr>
            </w:pPr>
            <w:r w:rsidRPr="00E77543">
              <w:rPr>
                <w:b/>
                <w:bCs/>
                <w:sz w:val="24"/>
                <w:szCs w:val="24"/>
              </w:rPr>
              <w:t>n</w:t>
            </w:r>
          </w:p>
        </w:tc>
        <w:tc>
          <w:tcPr>
            <w:tcW w:w="1163" w:type="dxa"/>
            <w:tcBorders>
              <w:top w:val="nil"/>
              <w:left w:val="nil"/>
              <w:bottom w:val="single" w:sz="4" w:space="0" w:color="auto"/>
              <w:right w:val="nil"/>
            </w:tcBorders>
            <w:shd w:val="clear" w:color="auto" w:fill="auto"/>
            <w:noWrap/>
            <w:vAlign w:val="bottom"/>
            <w:hideMark/>
          </w:tcPr>
          <w:p w14:paraId="7AD92C3C" w14:textId="77777777" w:rsidR="00F75BA6" w:rsidRPr="00E77543" w:rsidRDefault="00F75BA6" w:rsidP="0040594E">
            <w:pPr>
              <w:pStyle w:val="Tablebody"/>
              <w:rPr>
                <w:b/>
                <w:bCs/>
                <w:sz w:val="24"/>
                <w:szCs w:val="24"/>
              </w:rPr>
            </w:pPr>
            <w:r w:rsidRPr="00E77543">
              <w:rPr>
                <w:b/>
                <w:bCs/>
                <w:sz w:val="24"/>
                <w:szCs w:val="24"/>
              </w:rPr>
              <w:t>(%)</w:t>
            </w:r>
          </w:p>
        </w:tc>
        <w:tc>
          <w:tcPr>
            <w:tcW w:w="668" w:type="dxa"/>
            <w:tcBorders>
              <w:top w:val="nil"/>
              <w:left w:val="nil"/>
              <w:bottom w:val="single" w:sz="4" w:space="0" w:color="auto"/>
              <w:right w:val="nil"/>
            </w:tcBorders>
            <w:shd w:val="clear" w:color="auto" w:fill="auto"/>
            <w:vAlign w:val="bottom"/>
            <w:hideMark/>
          </w:tcPr>
          <w:p w14:paraId="7882FF9E" w14:textId="77777777" w:rsidR="00F75BA6" w:rsidRPr="00E77543" w:rsidRDefault="00F75BA6" w:rsidP="0040594E">
            <w:pPr>
              <w:pStyle w:val="Tablebody"/>
              <w:rPr>
                <w:b/>
                <w:bCs/>
                <w:sz w:val="24"/>
                <w:szCs w:val="24"/>
              </w:rPr>
            </w:pPr>
            <w:proofErr w:type="spellStart"/>
            <w:r w:rsidRPr="00E77543">
              <w:rPr>
                <w:b/>
                <w:bCs/>
                <w:sz w:val="24"/>
                <w:szCs w:val="24"/>
              </w:rPr>
              <w:t>OR</w:t>
            </w:r>
            <w:r w:rsidRPr="00E77543">
              <w:rPr>
                <w:b/>
                <w:bCs/>
                <w:sz w:val="24"/>
                <w:szCs w:val="24"/>
                <w:vertAlign w:val="superscript"/>
              </w:rPr>
              <w:t>a</w:t>
            </w:r>
            <w:proofErr w:type="spellEnd"/>
          </w:p>
        </w:tc>
        <w:tc>
          <w:tcPr>
            <w:tcW w:w="1271" w:type="dxa"/>
            <w:tcBorders>
              <w:top w:val="nil"/>
              <w:left w:val="nil"/>
              <w:bottom w:val="single" w:sz="4" w:space="0" w:color="auto"/>
              <w:right w:val="nil"/>
            </w:tcBorders>
            <w:shd w:val="clear" w:color="auto" w:fill="auto"/>
            <w:vAlign w:val="bottom"/>
            <w:hideMark/>
          </w:tcPr>
          <w:p w14:paraId="54953A1F" w14:textId="77777777" w:rsidR="00F75BA6" w:rsidRPr="00E77543" w:rsidRDefault="00F75BA6" w:rsidP="0040594E">
            <w:pPr>
              <w:pStyle w:val="Tablebody"/>
              <w:rPr>
                <w:b/>
                <w:bCs/>
                <w:sz w:val="24"/>
                <w:szCs w:val="24"/>
              </w:rPr>
            </w:pPr>
            <w:r w:rsidRPr="00E77543">
              <w:rPr>
                <w:b/>
                <w:bCs/>
                <w:sz w:val="24"/>
                <w:szCs w:val="24"/>
              </w:rPr>
              <w:t xml:space="preserve">95% </w:t>
            </w:r>
            <w:proofErr w:type="spellStart"/>
            <w:r w:rsidRPr="00E77543">
              <w:rPr>
                <w:b/>
                <w:bCs/>
                <w:sz w:val="24"/>
                <w:szCs w:val="24"/>
              </w:rPr>
              <w:t>CI</w:t>
            </w:r>
            <w:r w:rsidRPr="00E77543">
              <w:rPr>
                <w:b/>
                <w:bCs/>
                <w:sz w:val="24"/>
                <w:szCs w:val="24"/>
                <w:vertAlign w:val="superscript"/>
              </w:rPr>
              <w:t>b</w:t>
            </w:r>
            <w:proofErr w:type="spellEnd"/>
          </w:p>
        </w:tc>
        <w:tc>
          <w:tcPr>
            <w:tcW w:w="1181" w:type="dxa"/>
            <w:gridSpan w:val="4"/>
            <w:tcBorders>
              <w:top w:val="nil"/>
              <w:left w:val="nil"/>
              <w:bottom w:val="single" w:sz="4" w:space="0" w:color="auto"/>
            </w:tcBorders>
            <w:shd w:val="clear" w:color="auto" w:fill="auto"/>
            <w:vAlign w:val="bottom"/>
            <w:hideMark/>
          </w:tcPr>
          <w:p w14:paraId="7BE39C7D" w14:textId="77777777" w:rsidR="00F75BA6" w:rsidRPr="00E77543" w:rsidRDefault="00C67EB4" w:rsidP="0040594E">
            <w:pPr>
              <w:pStyle w:val="Tablebody"/>
              <w:rPr>
                <w:b/>
                <w:bCs/>
                <w:sz w:val="24"/>
                <w:szCs w:val="24"/>
              </w:rPr>
            </w:pPr>
            <w:r w:rsidRPr="00E77543">
              <w:rPr>
                <w:b/>
                <w:bCs/>
                <w:i/>
                <w:sz w:val="24"/>
                <w:szCs w:val="24"/>
              </w:rPr>
              <w:t>p</w:t>
            </w:r>
            <w:r w:rsidRPr="00E77543">
              <w:rPr>
                <w:b/>
                <w:bCs/>
                <w:sz w:val="24"/>
                <w:szCs w:val="24"/>
              </w:rPr>
              <w:t>-value</w:t>
            </w:r>
          </w:p>
        </w:tc>
      </w:tr>
      <w:tr w:rsidR="00F75BA6" w:rsidRPr="00D562F1" w14:paraId="645C2107" w14:textId="77777777" w:rsidTr="006C3ED9">
        <w:trPr>
          <w:gridAfter w:val="1"/>
          <w:wAfter w:w="27" w:type="dxa"/>
          <w:trHeight w:val="293"/>
        </w:trPr>
        <w:tc>
          <w:tcPr>
            <w:tcW w:w="2690" w:type="dxa"/>
            <w:tcBorders>
              <w:top w:val="nil"/>
              <w:right w:val="nil"/>
            </w:tcBorders>
            <w:shd w:val="clear" w:color="auto" w:fill="auto"/>
            <w:noWrap/>
            <w:vAlign w:val="bottom"/>
          </w:tcPr>
          <w:p w14:paraId="5BD68BD1" w14:textId="77777777" w:rsidR="00F75BA6" w:rsidRPr="00D562F1" w:rsidRDefault="00F75BA6" w:rsidP="0040594E">
            <w:pPr>
              <w:pStyle w:val="Tablebody"/>
              <w:rPr>
                <w:sz w:val="24"/>
                <w:szCs w:val="24"/>
              </w:rPr>
            </w:pPr>
            <w:r w:rsidRPr="00D562F1">
              <w:rPr>
                <w:sz w:val="24"/>
                <w:szCs w:val="24"/>
              </w:rPr>
              <w:t>Bottled Water</w:t>
            </w:r>
            <w:r w:rsidR="009D21C6" w:rsidRPr="00D562F1">
              <w:rPr>
                <w:sz w:val="24"/>
                <w:szCs w:val="24"/>
              </w:rPr>
              <w:t xml:space="preserve"> </w:t>
            </w:r>
            <w:r w:rsidRPr="00D562F1">
              <w:rPr>
                <w:sz w:val="24"/>
                <w:szCs w:val="24"/>
              </w:rPr>
              <w:t>=</w:t>
            </w:r>
            <w:r w:rsidR="009D21C6" w:rsidRPr="00D562F1">
              <w:rPr>
                <w:sz w:val="24"/>
                <w:szCs w:val="24"/>
              </w:rPr>
              <w:t xml:space="preserve"> </w:t>
            </w:r>
            <w:r w:rsidRPr="00D562F1">
              <w:rPr>
                <w:sz w:val="24"/>
                <w:szCs w:val="24"/>
              </w:rPr>
              <w:t>0</w:t>
            </w:r>
          </w:p>
        </w:tc>
        <w:tc>
          <w:tcPr>
            <w:tcW w:w="726" w:type="dxa"/>
            <w:tcBorders>
              <w:top w:val="single" w:sz="4" w:space="0" w:color="auto"/>
              <w:left w:val="nil"/>
              <w:right w:val="nil"/>
            </w:tcBorders>
            <w:shd w:val="clear" w:color="auto" w:fill="auto"/>
            <w:noWrap/>
            <w:vAlign w:val="bottom"/>
          </w:tcPr>
          <w:p w14:paraId="50BEBFAB" w14:textId="77777777" w:rsidR="00F75BA6" w:rsidRPr="00D562F1" w:rsidRDefault="00F75BA6" w:rsidP="0040594E">
            <w:pPr>
              <w:pStyle w:val="Tablebody"/>
              <w:rPr>
                <w:sz w:val="24"/>
                <w:szCs w:val="24"/>
              </w:rPr>
            </w:pPr>
          </w:p>
        </w:tc>
        <w:tc>
          <w:tcPr>
            <w:tcW w:w="990" w:type="dxa"/>
            <w:tcBorders>
              <w:top w:val="single" w:sz="4" w:space="0" w:color="auto"/>
              <w:left w:val="nil"/>
              <w:right w:val="nil"/>
            </w:tcBorders>
            <w:shd w:val="clear" w:color="auto" w:fill="auto"/>
            <w:noWrap/>
            <w:vAlign w:val="bottom"/>
          </w:tcPr>
          <w:p w14:paraId="40CBEECB" w14:textId="77777777" w:rsidR="00F75BA6" w:rsidRPr="00D562F1" w:rsidRDefault="00F75BA6" w:rsidP="0040594E">
            <w:pPr>
              <w:pStyle w:val="Tablebody"/>
              <w:rPr>
                <w:sz w:val="24"/>
                <w:szCs w:val="24"/>
              </w:rPr>
            </w:pPr>
          </w:p>
        </w:tc>
        <w:tc>
          <w:tcPr>
            <w:tcW w:w="726" w:type="dxa"/>
            <w:tcBorders>
              <w:top w:val="single" w:sz="4" w:space="0" w:color="auto"/>
              <w:left w:val="nil"/>
              <w:right w:val="nil"/>
            </w:tcBorders>
            <w:shd w:val="clear" w:color="auto" w:fill="auto"/>
            <w:noWrap/>
            <w:vAlign w:val="bottom"/>
          </w:tcPr>
          <w:p w14:paraId="6A94BC42" w14:textId="77777777" w:rsidR="00F75BA6" w:rsidRPr="00D562F1" w:rsidRDefault="00F75BA6" w:rsidP="0040594E">
            <w:pPr>
              <w:pStyle w:val="Tablebody"/>
              <w:rPr>
                <w:sz w:val="24"/>
                <w:szCs w:val="24"/>
              </w:rPr>
            </w:pPr>
          </w:p>
        </w:tc>
        <w:tc>
          <w:tcPr>
            <w:tcW w:w="1163" w:type="dxa"/>
            <w:tcBorders>
              <w:top w:val="single" w:sz="4" w:space="0" w:color="auto"/>
              <w:left w:val="nil"/>
              <w:right w:val="nil"/>
            </w:tcBorders>
            <w:shd w:val="clear" w:color="auto" w:fill="auto"/>
            <w:noWrap/>
            <w:vAlign w:val="bottom"/>
          </w:tcPr>
          <w:p w14:paraId="670719FF" w14:textId="77777777" w:rsidR="00F75BA6" w:rsidRPr="00D562F1" w:rsidRDefault="00F75BA6" w:rsidP="0040594E">
            <w:pPr>
              <w:pStyle w:val="Tablebody"/>
              <w:rPr>
                <w:sz w:val="24"/>
                <w:szCs w:val="24"/>
              </w:rPr>
            </w:pPr>
          </w:p>
        </w:tc>
        <w:tc>
          <w:tcPr>
            <w:tcW w:w="668" w:type="dxa"/>
            <w:tcBorders>
              <w:top w:val="single" w:sz="4" w:space="0" w:color="auto"/>
              <w:left w:val="nil"/>
              <w:right w:val="nil"/>
            </w:tcBorders>
            <w:shd w:val="clear" w:color="auto" w:fill="auto"/>
            <w:noWrap/>
            <w:vAlign w:val="bottom"/>
          </w:tcPr>
          <w:p w14:paraId="167D4CAB" w14:textId="77777777" w:rsidR="00F75BA6" w:rsidRPr="00D562F1" w:rsidRDefault="00F75BA6" w:rsidP="0040594E">
            <w:pPr>
              <w:pStyle w:val="Tablebody"/>
              <w:rPr>
                <w:sz w:val="24"/>
                <w:szCs w:val="24"/>
              </w:rPr>
            </w:pPr>
          </w:p>
        </w:tc>
        <w:tc>
          <w:tcPr>
            <w:tcW w:w="1271" w:type="dxa"/>
            <w:tcBorders>
              <w:top w:val="single" w:sz="4" w:space="0" w:color="auto"/>
              <w:left w:val="nil"/>
              <w:right w:val="nil"/>
            </w:tcBorders>
            <w:shd w:val="clear" w:color="auto" w:fill="auto"/>
            <w:noWrap/>
            <w:vAlign w:val="bottom"/>
          </w:tcPr>
          <w:p w14:paraId="5FF2E75A" w14:textId="77777777" w:rsidR="00F75BA6" w:rsidRPr="00D562F1" w:rsidRDefault="00F75BA6" w:rsidP="0040594E">
            <w:pPr>
              <w:pStyle w:val="Tablebody"/>
              <w:rPr>
                <w:sz w:val="24"/>
                <w:szCs w:val="24"/>
              </w:rPr>
            </w:pPr>
          </w:p>
        </w:tc>
        <w:tc>
          <w:tcPr>
            <w:tcW w:w="1181" w:type="dxa"/>
            <w:gridSpan w:val="4"/>
            <w:tcBorders>
              <w:top w:val="single" w:sz="4" w:space="0" w:color="auto"/>
              <w:left w:val="nil"/>
            </w:tcBorders>
            <w:shd w:val="clear" w:color="auto" w:fill="auto"/>
            <w:noWrap/>
            <w:vAlign w:val="bottom"/>
          </w:tcPr>
          <w:p w14:paraId="04A2607C" w14:textId="77777777" w:rsidR="00F75BA6" w:rsidRPr="00D562F1" w:rsidRDefault="00F75BA6" w:rsidP="0040594E">
            <w:pPr>
              <w:pStyle w:val="Tablebody"/>
              <w:rPr>
                <w:sz w:val="24"/>
                <w:szCs w:val="24"/>
              </w:rPr>
            </w:pPr>
          </w:p>
        </w:tc>
      </w:tr>
      <w:tr w:rsidR="00F75BA6" w:rsidRPr="00D562F1" w14:paraId="770A60B1" w14:textId="77777777" w:rsidTr="006C3ED9">
        <w:trPr>
          <w:gridAfter w:val="1"/>
          <w:wAfter w:w="27" w:type="dxa"/>
          <w:trHeight w:val="293"/>
        </w:trPr>
        <w:tc>
          <w:tcPr>
            <w:tcW w:w="2690" w:type="dxa"/>
            <w:tcBorders>
              <w:top w:val="nil"/>
              <w:right w:val="nil"/>
            </w:tcBorders>
            <w:shd w:val="clear" w:color="auto" w:fill="auto"/>
            <w:noWrap/>
            <w:vAlign w:val="bottom"/>
            <w:hideMark/>
          </w:tcPr>
          <w:p w14:paraId="3D6BFB49" w14:textId="77777777" w:rsidR="00F75BA6" w:rsidRPr="00D562F1" w:rsidRDefault="00F75BA6" w:rsidP="009F25CA">
            <w:pPr>
              <w:pStyle w:val="Tablebody"/>
              <w:ind w:left="340"/>
              <w:rPr>
                <w:sz w:val="24"/>
                <w:szCs w:val="24"/>
              </w:rPr>
            </w:pPr>
            <w:r w:rsidRPr="00D562F1">
              <w:rPr>
                <w:sz w:val="24"/>
                <w:szCs w:val="24"/>
              </w:rPr>
              <w:t>Zero</w:t>
            </w:r>
          </w:p>
        </w:tc>
        <w:tc>
          <w:tcPr>
            <w:tcW w:w="726" w:type="dxa"/>
            <w:tcBorders>
              <w:left w:val="nil"/>
              <w:right w:val="nil"/>
            </w:tcBorders>
            <w:shd w:val="clear" w:color="auto" w:fill="auto"/>
            <w:noWrap/>
            <w:vAlign w:val="bottom"/>
          </w:tcPr>
          <w:p w14:paraId="7293EF04" w14:textId="77777777" w:rsidR="00F75BA6" w:rsidRPr="00D562F1" w:rsidRDefault="00F75BA6" w:rsidP="0040594E">
            <w:pPr>
              <w:pStyle w:val="Tablebody"/>
              <w:rPr>
                <w:sz w:val="24"/>
                <w:szCs w:val="24"/>
              </w:rPr>
            </w:pPr>
            <w:r w:rsidRPr="00D562F1">
              <w:rPr>
                <w:sz w:val="24"/>
                <w:szCs w:val="24"/>
              </w:rPr>
              <w:t>8</w:t>
            </w:r>
          </w:p>
        </w:tc>
        <w:tc>
          <w:tcPr>
            <w:tcW w:w="990" w:type="dxa"/>
            <w:tcBorders>
              <w:left w:val="nil"/>
              <w:right w:val="nil"/>
            </w:tcBorders>
            <w:shd w:val="clear" w:color="auto" w:fill="auto"/>
            <w:noWrap/>
            <w:vAlign w:val="bottom"/>
          </w:tcPr>
          <w:p w14:paraId="304561F1" w14:textId="77777777" w:rsidR="00F75BA6" w:rsidRPr="00D562F1" w:rsidRDefault="00F75BA6" w:rsidP="0040594E">
            <w:pPr>
              <w:pStyle w:val="Tablebody"/>
              <w:rPr>
                <w:sz w:val="24"/>
                <w:szCs w:val="24"/>
              </w:rPr>
            </w:pPr>
            <w:r w:rsidRPr="00D562F1">
              <w:rPr>
                <w:sz w:val="24"/>
                <w:szCs w:val="24"/>
              </w:rPr>
              <w:t>(73%)</w:t>
            </w:r>
          </w:p>
        </w:tc>
        <w:tc>
          <w:tcPr>
            <w:tcW w:w="726" w:type="dxa"/>
            <w:tcBorders>
              <w:left w:val="nil"/>
              <w:right w:val="nil"/>
            </w:tcBorders>
            <w:shd w:val="clear" w:color="auto" w:fill="auto"/>
            <w:noWrap/>
            <w:vAlign w:val="bottom"/>
          </w:tcPr>
          <w:p w14:paraId="70CB2D32" w14:textId="77777777" w:rsidR="00F75BA6" w:rsidRPr="00D562F1" w:rsidRDefault="00F75BA6" w:rsidP="0040594E">
            <w:pPr>
              <w:pStyle w:val="Tablebody"/>
              <w:rPr>
                <w:sz w:val="24"/>
                <w:szCs w:val="24"/>
              </w:rPr>
            </w:pPr>
            <w:r w:rsidRPr="00D562F1">
              <w:rPr>
                <w:sz w:val="24"/>
                <w:szCs w:val="24"/>
              </w:rPr>
              <w:t>35</w:t>
            </w:r>
          </w:p>
        </w:tc>
        <w:tc>
          <w:tcPr>
            <w:tcW w:w="1163" w:type="dxa"/>
            <w:tcBorders>
              <w:left w:val="nil"/>
              <w:right w:val="nil"/>
            </w:tcBorders>
            <w:shd w:val="clear" w:color="auto" w:fill="auto"/>
            <w:noWrap/>
            <w:vAlign w:val="bottom"/>
          </w:tcPr>
          <w:p w14:paraId="3D91BE6A" w14:textId="77777777" w:rsidR="00F75BA6" w:rsidRPr="00D562F1" w:rsidRDefault="00F75BA6" w:rsidP="0040594E">
            <w:pPr>
              <w:pStyle w:val="Tablebody"/>
              <w:rPr>
                <w:sz w:val="24"/>
                <w:szCs w:val="24"/>
              </w:rPr>
            </w:pPr>
            <w:r w:rsidRPr="00D562F1">
              <w:rPr>
                <w:sz w:val="24"/>
                <w:szCs w:val="24"/>
              </w:rPr>
              <w:t>(78%)</w:t>
            </w:r>
          </w:p>
        </w:tc>
        <w:tc>
          <w:tcPr>
            <w:tcW w:w="668" w:type="dxa"/>
            <w:tcBorders>
              <w:left w:val="nil"/>
              <w:right w:val="nil"/>
            </w:tcBorders>
            <w:shd w:val="clear" w:color="auto" w:fill="auto"/>
            <w:noWrap/>
            <w:vAlign w:val="bottom"/>
          </w:tcPr>
          <w:p w14:paraId="1B42CE0A" w14:textId="77777777" w:rsidR="00F75BA6" w:rsidRPr="00D562F1" w:rsidRDefault="00F75BA6" w:rsidP="0040594E">
            <w:pPr>
              <w:pStyle w:val="Tablebody"/>
              <w:rPr>
                <w:sz w:val="24"/>
                <w:szCs w:val="24"/>
              </w:rPr>
            </w:pPr>
            <w:r w:rsidRPr="00D562F1">
              <w:rPr>
                <w:sz w:val="24"/>
                <w:szCs w:val="24"/>
              </w:rPr>
              <w:t>1.0</w:t>
            </w:r>
          </w:p>
        </w:tc>
        <w:tc>
          <w:tcPr>
            <w:tcW w:w="2452" w:type="dxa"/>
            <w:gridSpan w:val="5"/>
            <w:tcBorders>
              <w:left w:val="nil"/>
            </w:tcBorders>
            <w:shd w:val="clear" w:color="auto" w:fill="auto"/>
            <w:noWrap/>
            <w:vAlign w:val="bottom"/>
          </w:tcPr>
          <w:p w14:paraId="6CE70DD4" w14:textId="77777777" w:rsidR="00F75BA6" w:rsidRPr="00D562F1" w:rsidRDefault="00F75BA6" w:rsidP="0040594E">
            <w:pPr>
              <w:pStyle w:val="Tablebody"/>
              <w:rPr>
                <w:sz w:val="24"/>
                <w:szCs w:val="24"/>
              </w:rPr>
            </w:pPr>
            <w:r w:rsidRPr="00D562F1">
              <w:rPr>
                <w:sz w:val="24"/>
                <w:szCs w:val="24"/>
              </w:rPr>
              <w:t>-ref-</w:t>
            </w:r>
          </w:p>
        </w:tc>
      </w:tr>
      <w:tr w:rsidR="00F75BA6" w:rsidRPr="00D562F1" w14:paraId="4ABB156E" w14:textId="77777777" w:rsidTr="006C3ED9">
        <w:trPr>
          <w:gridAfter w:val="1"/>
          <w:wAfter w:w="27" w:type="dxa"/>
          <w:trHeight w:val="293"/>
        </w:trPr>
        <w:tc>
          <w:tcPr>
            <w:tcW w:w="2690" w:type="dxa"/>
            <w:tcBorders>
              <w:right w:val="nil"/>
            </w:tcBorders>
            <w:shd w:val="clear" w:color="auto" w:fill="auto"/>
            <w:noWrap/>
            <w:vAlign w:val="bottom"/>
          </w:tcPr>
          <w:p w14:paraId="642C6F0B" w14:textId="77777777" w:rsidR="00F75BA6" w:rsidRPr="00D562F1" w:rsidRDefault="00F75BA6" w:rsidP="009F25CA">
            <w:pPr>
              <w:pStyle w:val="Tablebody"/>
              <w:ind w:left="340"/>
              <w:rPr>
                <w:sz w:val="24"/>
                <w:szCs w:val="24"/>
              </w:rPr>
            </w:pPr>
            <w:r w:rsidRPr="00D562F1">
              <w:rPr>
                <w:sz w:val="24"/>
                <w:szCs w:val="24"/>
              </w:rPr>
              <w:t>Low</w:t>
            </w:r>
          </w:p>
        </w:tc>
        <w:tc>
          <w:tcPr>
            <w:tcW w:w="726" w:type="dxa"/>
            <w:tcBorders>
              <w:left w:val="nil"/>
              <w:right w:val="nil"/>
            </w:tcBorders>
            <w:shd w:val="clear" w:color="auto" w:fill="auto"/>
            <w:noWrap/>
            <w:vAlign w:val="bottom"/>
          </w:tcPr>
          <w:p w14:paraId="17ACE5DF" w14:textId="77777777" w:rsidR="00F75BA6" w:rsidRPr="00D562F1" w:rsidRDefault="00F75BA6" w:rsidP="0040594E">
            <w:pPr>
              <w:pStyle w:val="Tablebody"/>
              <w:rPr>
                <w:sz w:val="24"/>
                <w:szCs w:val="24"/>
              </w:rPr>
            </w:pPr>
            <w:r w:rsidRPr="00D562F1">
              <w:rPr>
                <w:sz w:val="24"/>
                <w:szCs w:val="24"/>
              </w:rPr>
              <w:t>2</w:t>
            </w:r>
          </w:p>
        </w:tc>
        <w:tc>
          <w:tcPr>
            <w:tcW w:w="990" w:type="dxa"/>
            <w:tcBorders>
              <w:left w:val="nil"/>
              <w:right w:val="nil"/>
            </w:tcBorders>
            <w:shd w:val="clear" w:color="auto" w:fill="auto"/>
            <w:noWrap/>
            <w:vAlign w:val="bottom"/>
          </w:tcPr>
          <w:p w14:paraId="5EFB4C90" w14:textId="77777777" w:rsidR="00F75BA6" w:rsidRPr="00D562F1" w:rsidRDefault="00F75BA6" w:rsidP="0040594E">
            <w:pPr>
              <w:pStyle w:val="Tablebody"/>
              <w:rPr>
                <w:sz w:val="24"/>
                <w:szCs w:val="24"/>
              </w:rPr>
            </w:pPr>
            <w:r w:rsidRPr="00D562F1">
              <w:rPr>
                <w:sz w:val="24"/>
                <w:szCs w:val="24"/>
              </w:rPr>
              <w:t>(18%)</w:t>
            </w:r>
          </w:p>
        </w:tc>
        <w:tc>
          <w:tcPr>
            <w:tcW w:w="726" w:type="dxa"/>
            <w:tcBorders>
              <w:left w:val="nil"/>
              <w:right w:val="nil"/>
            </w:tcBorders>
            <w:shd w:val="clear" w:color="auto" w:fill="auto"/>
            <w:noWrap/>
            <w:vAlign w:val="bottom"/>
          </w:tcPr>
          <w:p w14:paraId="69B52520" w14:textId="77777777" w:rsidR="00F75BA6" w:rsidRPr="00D562F1" w:rsidRDefault="00F75BA6" w:rsidP="0040594E">
            <w:pPr>
              <w:pStyle w:val="Tablebody"/>
              <w:rPr>
                <w:sz w:val="24"/>
                <w:szCs w:val="24"/>
              </w:rPr>
            </w:pPr>
            <w:r w:rsidRPr="00D562F1">
              <w:rPr>
                <w:sz w:val="24"/>
                <w:szCs w:val="24"/>
              </w:rPr>
              <w:t>5</w:t>
            </w:r>
          </w:p>
        </w:tc>
        <w:tc>
          <w:tcPr>
            <w:tcW w:w="1163" w:type="dxa"/>
            <w:tcBorders>
              <w:left w:val="nil"/>
              <w:right w:val="nil"/>
            </w:tcBorders>
            <w:shd w:val="clear" w:color="auto" w:fill="auto"/>
            <w:noWrap/>
            <w:vAlign w:val="bottom"/>
          </w:tcPr>
          <w:p w14:paraId="655E1D48" w14:textId="77777777" w:rsidR="00F75BA6" w:rsidRPr="00D562F1" w:rsidRDefault="00F75BA6" w:rsidP="0040594E">
            <w:pPr>
              <w:pStyle w:val="Tablebody"/>
              <w:rPr>
                <w:sz w:val="24"/>
                <w:szCs w:val="24"/>
              </w:rPr>
            </w:pPr>
            <w:r w:rsidRPr="00D562F1">
              <w:rPr>
                <w:sz w:val="24"/>
                <w:szCs w:val="24"/>
              </w:rPr>
              <w:t>(11%)</w:t>
            </w:r>
          </w:p>
        </w:tc>
        <w:tc>
          <w:tcPr>
            <w:tcW w:w="668" w:type="dxa"/>
            <w:tcBorders>
              <w:left w:val="nil"/>
              <w:right w:val="nil"/>
            </w:tcBorders>
            <w:shd w:val="clear" w:color="auto" w:fill="auto"/>
            <w:noWrap/>
            <w:vAlign w:val="bottom"/>
          </w:tcPr>
          <w:p w14:paraId="66963922" w14:textId="77777777" w:rsidR="00F75BA6" w:rsidRPr="00D562F1" w:rsidRDefault="00F75BA6" w:rsidP="0040594E">
            <w:pPr>
              <w:pStyle w:val="Tablebody"/>
              <w:rPr>
                <w:sz w:val="24"/>
                <w:szCs w:val="24"/>
              </w:rPr>
            </w:pPr>
            <w:r w:rsidRPr="00D562F1">
              <w:rPr>
                <w:sz w:val="24"/>
                <w:szCs w:val="24"/>
              </w:rPr>
              <w:t>1.6</w:t>
            </w:r>
          </w:p>
        </w:tc>
        <w:tc>
          <w:tcPr>
            <w:tcW w:w="1271" w:type="dxa"/>
            <w:tcBorders>
              <w:left w:val="nil"/>
              <w:right w:val="nil"/>
            </w:tcBorders>
            <w:shd w:val="clear" w:color="auto" w:fill="auto"/>
            <w:noWrap/>
            <w:vAlign w:val="bottom"/>
          </w:tcPr>
          <w:p w14:paraId="2C1AAF5C" w14:textId="77777777" w:rsidR="00F75BA6" w:rsidRPr="00D562F1" w:rsidRDefault="00F75BA6" w:rsidP="0040594E">
            <w:pPr>
              <w:pStyle w:val="Tablebody"/>
              <w:rPr>
                <w:sz w:val="24"/>
                <w:szCs w:val="24"/>
              </w:rPr>
            </w:pPr>
            <w:r w:rsidRPr="00D562F1">
              <w:rPr>
                <w:sz w:val="24"/>
                <w:szCs w:val="24"/>
              </w:rPr>
              <w:t>(0.3, 9.2)</w:t>
            </w:r>
          </w:p>
        </w:tc>
        <w:tc>
          <w:tcPr>
            <w:tcW w:w="1181" w:type="dxa"/>
            <w:gridSpan w:val="4"/>
            <w:tcBorders>
              <w:left w:val="nil"/>
            </w:tcBorders>
            <w:shd w:val="clear" w:color="auto" w:fill="auto"/>
            <w:noWrap/>
            <w:vAlign w:val="bottom"/>
          </w:tcPr>
          <w:p w14:paraId="16C62661" w14:textId="77777777" w:rsidR="00F75BA6" w:rsidRPr="00D562F1" w:rsidRDefault="00F75BA6" w:rsidP="0040594E">
            <w:pPr>
              <w:pStyle w:val="Tablebody"/>
              <w:rPr>
                <w:sz w:val="24"/>
                <w:szCs w:val="24"/>
              </w:rPr>
            </w:pPr>
            <w:r w:rsidRPr="00D562F1">
              <w:rPr>
                <w:sz w:val="24"/>
                <w:szCs w:val="24"/>
              </w:rPr>
              <w:t>0.59</w:t>
            </w:r>
          </w:p>
        </w:tc>
      </w:tr>
      <w:tr w:rsidR="00F75BA6" w:rsidRPr="00D562F1" w14:paraId="02FFC039" w14:textId="77777777" w:rsidTr="006C3ED9">
        <w:trPr>
          <w:gridAfter w:val="1"/>
          <w:wAfter w:w="27" w:type="dxa"/>
          <w:trHeight w:val="293"/>
        </w:trPr>
        <w:tc>
          <w:tcPr>
            <w:tcW w:w="2690" w:type="dxa"/>
            <w:tcBorders>
              <w:right w:val="nil"/>
            </w:tcBorders>
            <w:shd w:val="clear" w:color="auto" w:fill="auto"/>
            <w:noWrap/>
            <w:vAlign w:val="bottom"/>
            <w:hideMark/>
          </w:tcPr>
          <w:p w14:paraId="0631EDAA" w14:textId="77777777" w:rsidR="00F75BA6" w:rsidRPr="00D562F1" w:rsidRDefault="00F75BA6" w:rsidP="009F25CA">
            <w:pPr>
              <w:pStyle w:val="Tablebody"/>
              <w:ind w:left="340"/>
              <w:rPr>
                <w:sz w:val="24"/>
                <w:szCs w:val="24"/>
              </w:rPr>
            </w:pPr>
            <w:r w:rsidRPr="00D562F1">
              <w:rPr>
                <w:sz w:val="24"/>
                <w:szCs w:val="24"/>
              </w:rPr>
              <w:t>High</w:t>
            </w:r>
          </w:p>
        </w:tc>
        <w:tc>
          <w:tcPr>
            <w:tcW w:w="726" w:type="dxa"/>
            <w:tcBorders>
              <w:left w:val="nil"/>
              <w:right w:val="nil"/>
            </w:tcBorders>
            <w:shd w:val="clear" w:color="auto" w:fill="auto"/>
            <w:noWrap/>
            <w:vAlign w:val="bottom"/>
          </w:tcPr>
          <w:p w14:paraId="447737EC" w14:textId="77777777" w:rsidR="00F75BA6" w:rsidRPr="00D562F1" w:rsidRDefault="00F75BA6" w:rsidP="0040594E">
            <w:pPr>
              <w:pStyle w:val="Tablebody"/>
              <w:rPr>
                <w:sz w:val="24"/>
                <w:szCs w:val="24"/>
              </w:rPr>
            </w:pPr>
            <w:r w:rsidRPr="00D562F1">
              <w:rPr>
                <w:sz w:val="24"/>
                <w:szCs w:val="24"/>
              </w:rPr>
              <w:t>1</w:t>
            </w:r>
          </w:p>
        </w:tc>
        <w:tc>
          <w:tcPr>
            <w:tcW w:w="990" w:type="dxa"/>
            <w:tcBorders>
              <w:left w:val="nil"/>
              <w:right w:val="nil"/>
            </w:tcBorders>
            <w:shd w:val="clear" w:color="auto" w:fill="auto"/>
            <w:noWrap/>
            <w:vAlign w:val="bottom"/>
          </w:tcPr>
          <w:p w14:paraId="2CA9362C" w14:textId="77777777" w:rsidR="00F75BA6" w:rsidRPr="00D562F1" w:rsidRDefault="00F75BA6" w:rsidP="0040594E">
            <w:pPr>
              <w:pStyle w:val="Tablebody"/>
              <w:rPr>
                <w:sz w:val="24"/>
                <w:szCs w:val="24"/>
              </w:rPr>
            </w:pPr>
            <w:r w:rsidRPr="00D562F1">
              <w:rPr>
                <w:sz w:val="24"/>
                <w:szCs w:val="24"/>
              </w:rPr>
              <w:t>(9%)</w:t>
            </w:r>
          </w:p>
        </w:tc>
        <w:tc>
          <w:tcPr>
            <w:tcW w:w="726" w:type="dxa"/>
            <w:tcBorders>
              <w:left w:val="nil"/>
              <w:right w:val="nil"/>
            </w:tcBorders>
            <w:shd w:val="clear" w:color="auto" w:fill="auto"/>
            <w:noWrap/>
            <w:vAlign w:val="bottom"/>
          </w:tcPr>
          <w:p w14:paraId="728FFCDD" w14:textId="77777777" w:rsidR="00F75BA6" w:rsidRPr="00D562F1" w:rsidRDefault="00F75BA6" w:rsidP="0040594E">
            <w:pPr>
              <w:pStyle w:val="Tablebody"/>
              <w:rPr>
                <w:sz w:val="24"/>
                <w:szCs w:val="24"/>
              </w:rPr>
            </w:pPr>
            <w:r w:rsidRPr="00D562F1">
              <w:rPr>
                <w:sz w:val="24"/>
                <w:szCs w:val="24"/>
              </w:rPr>
              <w:t>5</w:t>
            </w:r>
          </w:p>
        </w:tc>
        <w:tc>
          <w:tcPr>
            <w:tcW w:w="1163" w:type="dxa"/>
            <w:tcBorders>
              <w:left w:val="nil"/>
              <w:right w:val="nil"/>
            </w:tcBorders>
            <w:shd w:val="clear" w:color="auto" w:fill="auto"/>
            <w:noWrap/>
            <w:vAlign w:val="bottom"/>
          </w:tcPr>
          <w:p w14:paraId="18E4A40C" w14:textId="77777777" w:rsidR="00F75BA6" w:rsidRPr="00D562F1" w:rsidRDefault="00F75BA6" w:rsidP="0040594E">
            <w:pPr>
              <w:pStyle w:val="Tablebody"/>
              <w:rPr>
                <w:sz w:val="24"/>
                <w:szCs w:val="24"/>
              </w:rPr>
            </w:pPr>
            <w:r w:rsidRPr="00D562F1">
              <w:rPr>
                <w:sz w:val="24"/>
                <w:szCs w:val="24"/>
              </w:rPr>
              <w:t>(11%)</w:t>
            </w:r>
          </w:p>
        </w:tc>
        <w:tc>
          <w:tcPr>
            <w:tcW w:w="668" w:type="dxa"/>
            <w:tcBorders>
              <w:left w:val="nil"/>
              <w:right w:val="nil"/>
            </w:tcBorders>
            <w:shd w:val="clear" w:color="auto" w:fill="auto"/>
            <w:noWrap/>
            <w:vAlign w:val="bottom"/>
          </w:tcPr>
          <w:p w14:paraId="16761A48" w14:textId="77777777" w:rsidR="00F75BA6" w:rsidRPr="00D562F1" w:rsidRDefault="00F75BA6" w:rsidP="0040594E">
            <w:pPr>
              <w:pStyle w:val="Tablebody"/>
              <w:rPr>
                <w:sz w:val="24"/>
                <w:szCs w:val="24"/>
              </w:rPr>
            </w:pPr>
            <w:r w:rsidRPr="00D562F1">
              <w:rPr>
                <w:sz w:val="24"/>
                <w:szCs w:val="24"/>
              </w:rPr>
              <w:t>0.8</w:t>
            </w:r>
          </w:p>
        </w:tc>
        <w:tc>
          <w:tcPr>
            <w:tcW w:w="1271" w:type="dxa"/>
            <w:tcBorders>
              <w:left w:val="nil"/>
              <w:right w:val="nil"/>
            </w:tcBorders>
            <w:shd w:val="clear" w:color="auto" w:fill="auto"/>
            <w:noWrap/>
            <w:vAlign w:val="bottom"/>
          </w:tcPr>
          <w:p w14:paraId="4BDAFF4B" w14:textId="77777777" w:rsidR="00F75BA6" w:rsidRPr="00D562F1" w:rsidRDefault="00F75BA6" w:rsidP="0040594E">
            <w:pPr>
              <w:pStyle w:val="Tablebody"/>
              <w:rPr>
                <w:sz w:val="24"/>
                <w:szCs w:val="24"/>
              </w:rPr>
            </w:pPr>
            <w:r w:rsidRPr="00D562F1">
              <w:rPr>
                <w:sz w:val="24"/>
                <w:szCs w:val="24"/>
              </w:rPr>
              <w:t>(0.1, 7.2)</w:t>
            </w:r>
          </w:p>
        </w:tc>
        <w:tc>
          <w:tcPr>
            <w:tcW w:w="1181" w:type="dxa"/>
            <w:gridSpan w:val="4"/>
            <w:tcBorders>
              <w:left w:val="nil"/>
            </w:tcBorders>
            <w:shd w:val="clear" w:color="auto" w:fill="auto"/>
            <w:noWrap/>
            <w:vAlign w:val="bottom"/>
          </w:tcPr>
          <w:p w14:paraId="2B80B07F" w14:textId="77777777" w:rsidR="00F75BA6" w:rsidRPr="00D562F1" w:rsidRDefault="00F75BA6" w:rsidP="0040594E">
            <w:pPr>
              <w:pStyle w:val="Tablebody"/>
              <w:rPr>
                <w:sz w:val="24"/>
                <w:szCs w:val="24"/>
              </w:rPr>
            </w:pPr>
            <w:r w:rsidRPr="00D562F1">
              <w:rPr>
                <w:sz w:val="24"/>
                <w:szCs w:val="24"/>
              </w:rPr>
              <w:t>0.87</w:t>
            </w:r>
          </w:p>
        </w:tc>
      </w:tr>
      <w:tr w:rsidR="00F75BA6" w:rsidRPr="00D562F1" w14:paraId="6BC7888E" w14:textId="77777777" w:rsidTr="006C3ED9">
        <w:trPr>
          <w:gridAfter w:val="1"/>
          <w:wAfter w:w="27" w:type="dxa"/>
          <w:trHeight w:val="293"/>
        </w:trPr>
        <w:tc>
          <w:tcPr>
            <w:tcW w:w="2690" w:type="dxa"/>
            <w:tcBorders>
              <w:right w:val="nil"/>
            </w:tcBorders>
            <w:shd w:val="clear" w:color="auto" w:fill="D9D9D9" w:themeFill="background1" w:themeFillShade="D9"/>
            <w:noWrap/>
            <w:vAlign w:val="bottom"/>
          </w:tcPr>
          <w:p w14:paraId="287DF425" w14:textId="77777777" w:rsidR="00F75BA6" w:rsidRPr="00D562F1" w:rsidRDefault="00F75BA6" w:rsidP="0040594E">
            <w:pPr>
              <w:pStyle w:val="Tablebody"/>
              <w:rPr>
                <w:sz w:val="24"/>
                <w:szCs w:val="24"/>
              </w:rPr>
            </w:pPr>
            <w:r w:rsidRPr="00D562F1">
              <w:rPr>
                <w:sz w:val="24"/>
                <w:szCs w:val="24"/>
              </w:rPr>
              <w:t>Bottled Water</w:t>
            </w:r>
            <w:r w:rsidR="009D21C6" w:rsidRPr="00D562F1">
              <w:rPr>
                <w:sz w:val="24"/>
                <w:szCs w:val="24"/>
              </w:rPr>
              <w:t xml:space="preserve"> </w:t>
            </w:r>
            <w:r w:rsidRPr="00D562F1">
              <w:rPr>
                <w:sz w:val="24"/>
                <w:szCs w:val="24"/>
              </w:rPr>
              <w:t>=</w:t>
            </w:r>
            <w:r w:rsidR="009D21C6" w:rsidRPr="00D562F1">
              <w:rPr>
                <w:sz w:val="24"/>
                <w:szCs w:val="24"/>
              </w:rPr>
              <w:t xml:space="preserve"> </w:t>
            </w:r>
            <w:r w:rsidRPr="00D562F1">
              <w:rPr>
                <w:sz w:val="24"/>
                <w:szCs w:val="24"/>
              </w:rPr>
              <w:t>49%</w:t>
            </w:r>
          </w:p>
        </w:tc>
        <w:tc>
          <w:tcPr>
            <w:tcW w:w="726" w:type="dxa"/>
            <w:tcBorders>
              <w:left w:val="nil"/>
              <w:right w:val="nil"/>
            </w:tcBorders>
            <w:shd w:val="clear" w:color="auto" w:fill="D9D9D9" w:themeFill="background1" w:themeFillShade="D9"/>
            <w:noWrap/>
            <w:vAlign w:val="bottom"/>
          </w:tcPr>
          <w:p w14:paraId="030BF415" w14:textId="77777777" w:rsidR="00F75BA6" w:rsidRPr="00D562F1" w:rsidRDefault="00F75BA6" w:rsidP="0040594E">
            <w:pPr>
              <w:pStyle w:val="Tablebody"/>
              <w:rPr>
                <w:sz w:val="24"/>
                <w:szCs w:val="24"/>
              </w:rPr>
            </w:pPr>
          </w:p>
        </w:tc>
        <w:tc>
          <w:tcPr>
            <w:tcW w:w="990" w:type="dxa"/>
            <w:tcBorders>
              <w:left w:val="nil"/>
              <w:right w:val="nil"/>
            </w:tcBorders>
            <w:shd w:val="clear" w:color="auto" w:fill="D9D9D9" w:themeFill="background1" w:themeFillShade="D9"/>
            <w:noWrap/>
            <w:vAlign w:val="bottom"/>
          </w:tcPr>
          <w:p w14:paraId="7C9F7C6D" w14:textId="77777777" w:rsidR="00F75BA6" w:rsidRPr="00D562F1" w:rsidRDefault="00F75BA6" w:rsidP="0040594E">
            <w:pPr>
              <w:pStyle w:val="Tablebody"/>
              <w:rPr>
                <w:sz w:val="24"/>
                <w:szCs w:val="24"/>
              </w:rPr>
            </w:pPr>
          </w:p>
        </w:tc>
        <w:tc>
          <w:tcPr>
            <w:tcW w:w="726" w:type="dxa"/>
            <w:tcBorders>
              <w:left w:val="nil"/>
              <w:right w:val="nil"/>
            </w:tcBorders>
            <w:shd w:val="clear" w:color="auto" w:fill="D9D9D9" w:themeFill="background1" w:themeFillShade="D9"/>
            <w:noWrap/>
            <w:vAlign w:val="bottom"/>
          </w:tcPr>
          <w:p w14:paraId="0D7567A6" w14:textId="77777777" w:rsidR="00F75BA6" w:rsidRPr="00D562F1" w:rsidRDefault="00F75BA6" w:rsidP="0040594E">
            <w:pPr>
              <w:pStyle w:val="Tablebody"/>
              <w:rPr>
                <w:sz w:val="24"/>
                <w:szCs w:val="24"/>
              </w:rPr>
            </w:pPr>
          </w:p>
        </w:tc>
        <w:tc>
          <w:tcPr>
            <w:tcW w:w="1163" w:type="dxa"/>
            <w:tcBorders>
              <w:left w:val="nil"/>
              <w:right w:val="nil"/>
            </w:tcBorders>
            <w:shd w:val="clear" w:color="auto" w:fill="D9D9D9" w:themeFill="background1" w:themeFillShade="D9"/>
            <w:noWrap/>
            <w:vAlign w:val="bottom"/>
          </w:tcPr>
          <w:p w14:paraId="6C16140F" w14:textId="77777777" w:rsidR="00F75BA6" w:rsidRPr="00D562F1" w:rsidRDefault="00F75BA6" w:rsidP="0040594E">
            <w:pPr>
              <w:pStyle w:val="Tablebody"/>
              <w:rPr>
                <w:sz w:val="24"/>
                <w:szCs w:val="24"/>
              </w:rPr>
            </w:pPr>
          </w:p>
        </w:tc>
        <w:tc>
          <w:tcPr>
            <w:tcW w:w="668" w:type="dxa"/>
            <w:tcBorders>
              <w:left w:val="nil"/>
              <w:right w:val="nil"/>
            </w:tcBorders>
            <w:shd w:val="clear" w:color="auto" w:fill="D9D9D9" w:themeFill="background1" w:themeFillShade="D9"/>
            <w:noWrap/>
            <w:vAlign w:val="bottom"/>
          </w:tcPr>
          <w:p w14:paraId="260C6B9A" w14:textId="77777777" w:rsidR="00F75BA6" w:rsidRPr="00D562F1" w:rsidRDefault="00F75BA6" w:rsidP="0040594E">
            <w:pPr>
              <w:pStyle w:val="Tablebody"/>
              <w:rPr>
                <w:sz w:val="24"/>
                <w:szCs w:val="24"/>
              </w:rPr>
            </w:pPr>
          </w:p>
        </w:tc>
        <w:tc>
          <w:tcPr>
            <w:tcW w:w="1271" w:type="dxa"/>
            <w:tcBorders>
              <w:left w:val="nil"/>
              <w:right w:val="nil"/>
            </w:tcBorders>
            <w:shd w:val="clear" w:color="auto" w:fill="D9D9D9" w:themeFill="background1" w:themeFillShade="D9"/>
            <w:noWrap/>
            <w:vAlign w:val="bottom"/>
          </w:tcPr>
          <w:p w14:paraId="4588B901" w14:textId="77777777" w:rsidR="00F75BA6" w:rsidRPr="00D562F1" w:rsidRDefault="00F75BA6" w:rsidP="0040594E">
            <w:pPr>
              <w:pStyle w:val="Tablebody"/>
              <w:rPr>
                <w:sz w:val="24"/>
                <w:szCs w:val="24"/>
              </w:rPr>
            </w:pPr>
          </w:p>
        </w:tc>
        <w:tc>
          <w:tcPr>
            <w:tcW w:w="1181" w:type="dxa"/>
            <w:gridSpan w:val="4"/>
            <w:tcBorders>
              <w:left w:val="nil"/>
            </w:tcBorders>
            <w:shd w:val="clear" w:color="auto" w:fill="D9D9D9" w:themeFill="background1" w:themeFillShade="D9"/>
            <w:noWrap/>
            <w:vAlign w:val="bottom"/>
          </w:tcPr>
          <w:p w14:paraId="292E2ED6" w14:textId="77777777" w:rsidR="00F75BA6" w:rsidRPr="00D562F1" w:rsidRDefault="00F75BA6" w:rsidP="0040594E">
            <w:pPr>
              <w:pStyle w:val="Tablebody"/>
              <w:rPr>
                <w:sz w:val="24"/>
                <w:szCs w:val="24"/>
              </w:rPr>
            </w:pPr>
          </w:p>
        </w:tc>
      </w:tr>
      <w:tr w:rsidR="00F75BA6" w:rsidRPr="00D562F1" w14:paraId="22CAD944" w14:textId="77777777" w:rsidTr="006C3ED9">
        <w:trPr>
          <w:gridAfter w:val="1"/>
          <w:wAfter w:w="27" w:type="dxa"/>
          <w:trHeight w:val="293"/>
        </w:trPr>
        <w:tc>
          <w:tcPr>
            <w:tcW w:w="2690" w:type="dxa"/>
            <w:tcBorders>
              <w:right w:val="nil"/>
            </w:tcBorders>
            <w:shd w:val="clear" w:color="auto" w:fill="D9D9D9" w:themeFill="background1" w:themeFillShade="D9"/>
            <w:noWrap/>
            <w:vAlign w:val="bottom"/>
            <w:hideMark/>
          </w:tcPr>
          <w:p w14:paraId="60CE8DFE" w14:textId="77777777" w:rsidR="00F75BA6" w:rsidRPr="00D562F1" w:rsidRDefault="00F75BA6" w:rsidP="009F25CA">
            <w:pPr>
              <w:pStyle w:val="Tablebody"/>
              <w:ind w:left="340"/>
              <w:rPr>
                <w:sz w:val="24"/>
                <w:szCs w:val="24"/>
              </w:rPr>
            </w:pPr>
            <w:r w:rsidRPr="00D562F1">
              <w:rPr>
                <w:sz w:val="24"/>
                <w:szCs w:val="24"/>
              </w:rPr>
              <w:t>Zero</w:t>
            </w:r>
          </w:p>
        </w:tc>
        <w:tc>
          <w:tcPr>
            <w:tcW w:w="726" w:type="dxa"/>
            <w:tcBorders>
              <w:left w:val="nil"/>
              <w:right w:val="nil"/>
            </w:tcBorders>
            <w:shd w:val="clear" w:color="auto" w:fill="D9D9D9" w:themeFill="background1" w:themeFillShade="D9"/>
            <w:noWrap/>
            <w:vAlign w:val="bottom"/>
          </w:tcPr>
          <w:p w14:paraId="6F2A4461" w14:textId="77777777" w:rsidR="00F75BA6" w:rsidRPr="00D562F1" w:rsidRDefault="00F75BA6" w:rsidP="0040594E">
            <w:pPr>
              <w:pStyle w:val="Tablebody"/>
              <w:rPr>
                <w:sz w:val="24"/>
                <w:szCs w:val="24"/>
              </w:rPr>
            </w:pPr>
            <w:r w:rsidRPr="00D562F1">
              <w:rPr>
                <w:sz w:val="24"/>
                <w:szCs w:val="24"/>
              </w:rPr>
              <w:t>4</w:t>
            </w:r>
          </w:p>
        </w:tc>
        <w:tc>
          <w:tcPr>
            <w:tcW w:w="990" w:type="dxa"/>
            <w:tcBorders>
              <w:left w:val="nil"/>
              <w:right w:val="nil"/>
            </w:tcBorders>
            <w:shd w:val="clear" w:color="auto" w:fill="D9D9D9" w:themeFill="background1" w:themeFillShade="D9"/>
            <w:noWrap/>
            <w:vAlign w:val="bottom"/>
          </w:tcPr>
          <w:p w14:paraId="438E27C9" w14:textId="77777777" w:rsidR="00F75BA6" w:rsidRPr="00D562F1" w:rsidRDefault="00F75BA6" w:rsidP="0040594E">
            <w:pPr>
              <w:pStyle w:val="Tablebody"/>
              <w:rPr>
                <w:sz w:val="24"/>
                <w:szCs w:val="24"/>
              </w:rPr>
            </w:pPr>
            <w:r w:rsidRPr="00D562F1">
              <w:rPr>
                <w:sz w:val="24"/>
                <w:szCs w:val="24"/>
              </w:rPr>
              <w:t>(36%)</w:t>
            </w:r>
          </w:p>
        </w:tc>
        <w:tc>
          <w:tcPr>
            <w:tcW w:w="726" w:type="dxa"/>
            <w:tcBorders>
              <w:left w:val="nil"/>
              <w:right w:val="nil"/>
            </w:tcBorders>
            <w:shd w:val="clear" w:color="auto" w:fill="D9D9D9" w:themeFill="background1" w:themeFillShade="D9"/>
            <w:noWrap/>
            <w:vAlign w:val="bottom"/>
          </w:tcPr>
          <w:p w14:paraId="3F992F3F" w14:textId="77777777" w:rsidR="00F75BA6" w:rsidRPr="00D562F1" w:rsidRDefault="00F75BA6" w:rsidP="0040594E">
            <w:pPr>
              <w:pStyle w:val="Tablebody"/>
              <w:rPr>
                <w:sz w:val="24"/>
                <w:szCs w:val="24"/>
              </w:rPr>
            </w:pPr>
            <w:r w:rsidRPr="00D562F1">
              <w:rPr>
                <w:sz w:val="24"/>
                <w:szCs w:val="24"/>
              </w:rPr>
              <w:t>29</w:t>
            </w:r>
          </w:p>
        </w:tc>
        <w:tc>
          <w:tcPr>
            <w:tcW w:w="1163" w:type="dxa"/>
            <w:tcBorders>
              <w:left w:val="nil"/>
              <w:right w:val="nil"/>
            </w:tcBorders>
            <w:shd w:val="clear" w:color="auto" w:fill="D9D9D9" w:themeFill="background1" w:themeFillShade="D9"/>
            <w:noWrap/>
            <w:vAlign w:val="bottom"/>
          </w:tcPr>
          <w:p w14:paraId="72B66CEF" w14:textId="77777777" w:rsidR="00F75BA6" w:rsidRPr="00D562F1" w:rsidRDefault="00F75BA6" w:rsidP="0040594E">
            <w:pPr>
              <w:pStyle w:val="Tablebody"/>
              <w:rPr>
                <w:sz w:val="24"/>
                <w:szCs w:val="24"/>
              </w:rPr>
            </w:pPr>
            <w:r w:rsidRPr="00D562F1">
              <w:rPr>
                <w:sz w:val="24"/>
                <w:szCs w:val="24"/>
              </w:rPr>
              <w:t>(64%)</w:t>
            </w:r>
          </w:p>
        </w:tc>
        <w:tc>
          <w:tcPr>
            <w:tcW w:w="668" w:type="dxa"/>
            <w:tcBorders>
              <w:left w:val="nil"/>
              <w:right w:val="nil"/>
            </w:tcBorders>
            <w:shd w:val="clear" w:color="auto" w:fill="D9D9D9" w:themeFill="background1" w:themeFillShade="D9"/>
            <w:noWrap/>
            <w:vAlign w:val="bottom"/>
          </w:tcPr>
          <w:p w14:paraId="5B7DFFFD" w14:textId="77777777" w:rsidR="00F75BA6" w:rsidRPr="00D562F1" w:rsidRDefault="00F75BA6" w:rsidP="0040594E">
            <w:pPr>
              <w:pStyle w:val="Tablebody"/>
              <w:rPr>
                <w:sz w:val="24"/>
                <w:szCs w:val="24"/>
              </w:rPr>
            </w:pPr>
            <w:r w:rsidRPr="00D562F1">
              <w:rPr>
                <w:sz w:val="24"/>
                <w:szCs w:val="24"/>
              </w:rPr>
              <w:t>1.0</w:t>
            </w:r>
          </w:p>
        </w:tc>
        <w:tc>
          <w:tcPr>
            <w:tcW w:w="2452" w:type="dxa"/>
            <w:gridSpan w:val="5"/>
            <w:tcBorders>
              <w:left w:val="nil"/>
            </w:tcBorders>
            <w:shd w:val="clear" w:color="auto" w:fill="D9D9D9" w:themeFill="background1" w:themeFillShade="D9"/>
            <w:noWrap/>
            <w:vAlign w:val="bottom"/>
          </w:tcPr>
          <w:p w14:paraId="0BD26DCC" w14:textId="77777777" w:rsidR="00F75BA6" w:rsidRPr="00D562F1" w:rsidRDefault="00F75BA6" w:rsidP="0040594E">
            <w:pPr>
              <w:pStyle w:val="Tablebody"/>
              <w:rPr>
                <w:sz w:val="24"/>
                <w:szCs w:val="24"/>
              </w:rPr>
            </w:pPr>
            <w:r w:rsidRPr="00D562F1">
              <w:rPr>
                <w:sz w:val="24"/>
                <w:szCs w:val="24"/>
              </w:rPr>
              <w:t>-ref-</w:t>
            </w:r>
          </w:p>
        </w:tc>
      </w:tr>
      <w:tr w:rsidR="00F75BA6" w:rsidRPr="00D562F1" w14:paraId="17A46E1C" w14:textId="77777777" w:rsidTr="006C3ED9">
        <w:trPr>
          <w:gridAfter w:val="1"/>
          <w:wAfter w:w="27" w:type="dxa"/>
          <w:trHeight w:val="293"/>
        </w:trPr>
        <w:tc>
          <w:tcPr>
            <w:tcW w:w="2690" w:type="dxa"/>
            <w:tcBorders>
              <w:right w:val="nil"/>
            </w:tcBorders>
            <w:shd w:val="clear" w:color="auto" w:fill="D9D9D9" w:themeFill="background1" w:themeFillShade="D9"/>
            <w:noWrap/>
            <w:vAlign w:val="bottom"/>
          </w:tcPr>
          <w:p w14:paraId="5AFDDB58" w14:textId="77777777" w:rsidR="00F75BA6" w:rsidRPr="00D562F1" w:rsidRDefault="00F75BA6" w:rsidP="009F25CA">
            <w:pPr>
              <w:pStyle w:val="Tablebody"/>
              <w:ind w:left="340"/>
              <w:rPr>
                <w:sz w:val="24"/>
                <w:szCs w:val="24"/>
              </w:rPr>
            </w:pPr>
            <w:r w:rsidRPr="00D562F1">
              <w:rPr>
                <w:sz w:val="24"/>
                <w:szCs w:val="24"/>
              </w:rPr>
              <w:t>Low</w:t>
            </w:r>
          </w:p>
        </w:tc>
        <w:tc>
          <w:tcPr>
            <w:tcW w:w="726" w:type="dxa"/>
            <w:tcBorders>
              <w:left w:val="nil"/>
              <w:right w:val="nil"/>
            </w:tcBorders>
            <w:shd w:val="clear" w:color="auto" w:fill="D9D9D9" w:themeFill="background1" w:themeFillShade="D9"/>
            <w:noWrap/>
            <w:vAlign w:val="bottom"/>
          </w:tcPr>
          <w:p w14:paraId="57D4B069" w14:textId="77777777" w:rsidR="00F75BA6" w:rsidRPr="00D562F1" w:rsidRDefault="00F75BA6" w:rsidP="0040594E">
            <w:pPr>
              <w:pStyle w:val="Tablebody"/>
              <w:rPr>
                <w:sz w:val="24"/>
                <w:szCs w:val="24"/>
              </w:rPr>
            </w:pPr>
            <w:r w:rsidRPr="00D562F1">
              <w:rPr>
                <w:sz w:val="24"/>
                <w:szCs w:val="24"/>
              </w:rPr>
              <w:t>5</w:t>
            </w:r>
          </w:p>
        </w:tc>
        <w:tc>
          <w:tcPr>
            <w:tcW w:w="990" w:type="dxa"/>
            <w:tcBorders>
              <w:left w:val="nil"/>
              <w:right w:val="nil"/>
            </w:tcBorders>
            <w:shd w:val="clear" w:color="auto" w:fill="D9D9D9" w:themeFill="background1" w:themeFillShade="D9"/>
            <w:noWrap/>
            <w:vAlign w:val="bottom"/>
          </w:tcPr>
          <w:p w14:paraId="15808623" w14:textId="77777777" w:rsidR="00F75BA6" w:rsidRPr="00D562F1" w:rsidRDefault="00F75BA6" w:rsidP="0040594E">
            <w:pPr>
              <w:pStyle w:val="Tablebody"/>
              <w:rPr>
                <w:sz w:val="24"/>
                <w:szCs w:val="24"/>
              </w:rPr>
            </w:pPr>
            <w:r w:rsidRPr="00D562F1">
              <w:rPr>
                <w:sz w:val="24"/>
                <w:szCs w:val="24"/>
              </w:rPr>
              <w:t>(45%)</w:t>
            </w:r>
          </w:p>
        </w:tc>
        <w:tc>
          <w:tcPr>
            <w:tcW w:w="726" w:type="dxa"/>
            <w:tcBorders>
              <w:left w:val="nil"/>
              <w:right w:val="nil"/>
            </w:tcBorders>
            <w:shd w:val="clear" w:color="auto" w:fill="D9D9D9" w:themeFill="background1" w:themeFillShade="D9"/>
            <w:noWrap/>
            <w:vAlign w:val="bottom"/>
          </w:tcPr>
          <w:p w14:paraId="7EA6A5F5" w14:textId="77777777" w:rsidR="00F75BA6" w:rsidRPr="00D562F1" w:rsidRDefault="00F75BA6" w:rsidP="0040594E">
            <w:pPr>
              <w:pStyle w:val="Tablebody"/>
              <w:rPr>
                <w:sz w:val="24"/>
                <w:szCs w:val="24"/>
              </w:rPr>
            </w:pPr>
            <w:r w:rsidRPr="00D562F1">
              <w:rPr>
                <w:sz w:val="24"/>
                <w:szCs w:val="24"/>
              </w:rPr>
              <w:t>7</w:t>
            </w:r>
          </w:p>
        </w:tc>
        <w:tc>
          <w:tcPr>
            <w:tcW w:w="1163" w:type="dxa"/>
            <w:tcBorders>
              <w:left w:val="nil"/>
              <w:right w:val="nil"/>
            </w:tcBorders>
            <w:shd w:val="clear" w:color="auto" w:fill="D9D9D9" w:themeFill="background1" w:themeFillShade="D9"/>
            <w:noWrap/>
            <w:vAlign w:val="bottom"/>
          </w:tcPr>
          <w:p w14:paraId="5A399F83" w14:textId="77777777" w:rsidR="00F75BA6" w:rsidRPr="00D562F1" w:rsidRDefault="00F75BA6" w:rsidP="0040594E">
            <w:pPr>
              <w:pStyle w:val="Tablebody"/>
              <w:rPr>
                <w:sz w:val="24"/>
                <w:szCs w:val="24"/>
              </w:rPr>
            </w:pPr>
            <w:r w:rsidRPr="00D562F1">
              <w:rPr>
                <w:sz w:val="24"/>
                <w:szCs w:val="24"/>
              </w:rPr>
              <w:t>(16%)</w:t>
            </w:r>
          </w:p>
        </w:tc>
        <w:tc>
          <w:tcPr>
            <w:tcW w:w="668" w:type="dxa"/>
            <w:tcBorders>
              <w:left w:val="nil"/>
              <w:right w:val="nil"/>
            </w:tcBorders>
            <w:shd w:val="clear" w:color="auto" w:fill="D9D9D9" w:themeFill="background1" w:themeFillShade="D9"/>
            <w:noWrap/>
            <w:vAlign w:val="bottom"/>
          </w:tcPr>
          <w:p w14:paraId="6FA95A00" w14:textId="77777777" w:rsidR="00F75BA6" w:rsidRPr="00D562F1" w:rsidRDefault="00F75BA6" w:rsidP="0040594E">
            <w:pPr>
              <w:pStyle w:val="Tablebody"/>
              <w:rPr>
                <w:sz w:val="24"/>
                <w:szCs w:val="24"/>
              </w:rPr>
            </w:pPr>
            <w:r w:rsidRPr="00D562F1">
              <w:rPr>
                <w:sz w:val="24"/>
                <w:szCs w:val="24"/>
              </w:rPr>
              <w:t>5.0</w:t>
            </w:r>
          </w:p>
        </w:tc>
        <w:tc>
          <w:tcPr>
            <w:tcW w:w="1357" w:type="dxa"/>
            <w:gridSpan w:val="3"/>
            <w:tcBorders>
              <w:left w:val="nil"/>
              <w:right w:val="nil"/>
            </w:tcBorders>
            <w:shd w:val="clear" w:color="auto" w:fill="D9D9D9" w:themeFill="background1" w:themeFillShade="D9"/>
            <w:noWrap/>
            <w:vAlign w:val="bottom"/>
          </w:tcPr>
          <w:p w14:paraId="4EEEA40A" w14:textId="77777777" w:rsidR="00F75BA6" w:rsidRPr="00D562F1" w:rsidRDefault="00F75BA6" w:rsidP="0040594E">
            <w:pPr>
              <w:pStyle w:val="Tablebody"/>
              <w:rPr>
                <w:sz w:val="24"/>
                <w:szCs w:val="24"/>
              </w:rPr>
            </w:pPr>
            <w:r w:rsidRPr="00D562F1">
              <w:rPr>
                <w:sz w:val="24"/>
                <w:szCs w:val="24"/>
              </w:rPr>
              <w:t>(0.97, 26)</w:t>
            </w:r>
          </w:p>
        </w:tc>
        <w:tc>
          <w:tcPr>
            <w:tcW w:w="1095" w:type="dxa"/>
            <w:gridSpan w:val="2"/>
            <w:tcBorders>
              <w:left w:val="nil"/>
            </w:tcBorders>
            <w:shd w:val="clear" w:color="auto" w:fill="D9D9D9" w:themeFill="background1" w:themeFillShade="D9"/>
            <w:noWrap/>
            <w:vAlign w:val="bottom"/>
          </w:tcPr>
          <w:p w14:paraId="3417FF28" w14:textId="77777777" w:rsidR="00F75BA6" w:rsidRPr="00D562F1" w:rsidRDefault="00F75BA6" w:rsidP="0040594E">
            <w:pPr>
              <w:pStyle w:val="Tablebody"/>
              <w:rPr>
                <w:sz w:val="24"/>
                <w:szCs w:val="24"/>
              </w:rPr>
            </w:pPr>
            <w:r w:rsidRPr="00D562F1">
              <w:rPr>
                <w:sz w:val="24"/>
                <w:szCs w:val="24"/>
              </w:rPr>
              <w:t>0.05</w:t>
            </w:r>
          </w:p>
        </w:tc>
      </w:tr>
      <w:tr w:rsidR="00F75BA6" w14:paraId="49B846B6" w14:textId="77777777" w:rsidTr="006C3ED9">
        <w:trPr>
          <w:trHeight w:val="293"/>
        </w:trPr>
        <w:tc>
          <w:tcPr>
            <w:tcW w:w="2690" w:type="dxa"/>
            <w:tcBorders>
              <w:bottom w:val="single" w:sz="4" w:space="0" w:color="auto"/>
              <w:right w:val="nil"/>
            </w:tcBorders>
            <w:shd w:val="clear" w:color="auto" w:fill="D9D9D9" w:themeFill="background1" w:themeFillShade="D9"/>
            <w:noWrap/>
            <w:vAlign w:val="bottom"/>
            <w:hideMark/>
          </w:tcPr>
          <w:p w14:paraId="1A20F414" w14:textId="77777777" w:rsidR="00F75BA6" w:rsidRPr="00D562F1" w:rsidRDefault="00F75BA6" w:rsidP="009F25CA">
            <w:pPr>
              <w:pStyle w:val="Tablebody"/>
              <w:ind w:left="340"/>
              <w:rPr>
                <w:sz w:val="24"/>
                <w:szCs w:val="24"/>
              </w:rPr>
            </w:pPr>
            <w:r w:rsidRPr="00D562F1">
              <w:rPr>
                <w:sz w:val="24"/>
                <w:szCs w:val="24"/>
              </w:rPr>
              <w:t>High</w:t>
            </w:r>
          </w:p>
        </w:tc>
        <w:tc>
          <w:tcPr>
            <w:tcW w:w="726" w:type="dxa"/>
            <w:tcBorders>
              <w:left w:val="nil"/>
              <w:bottom w:val="single" w:sz="4" w:space="0" w:color="auto"/>
              <w:right w:val="nil"/>
            </w:tcBorders>
            <w:shd w:val="clear" w:color="auto" w:fill="D9D9D9" w:themeFill="background1" w:themeFillShade="D9"/>
            <w:noWrap/>
            <w:vAlign w:val="center"/>
          </w:tcPr>
          <w:p w14:paraId="7D4056D0" w14:textId="77777777" w:rsidR="00F75BA6" w:rsidRPr="00D562F1" w:rsidRDefault="00F75BA6" w:rsidP="0040594E">
            <w:pPr>
              <w:pStyle w:val="Tablebody"/>
              <w:rPr>
                <w:sz w:val="24"/>
                <w:szCs w:val="24"/>
              </w:rPr>
            </w:pPr>
            <w:r w:rsidRPr="00D562F1">
              <w:rPr>
                <w:sz w:val="24"/>
                <w:szCs w:val="24"/>
              </w:rPr>
              <w:t>2</w:t>
            </w:r>
          </w:p>
        </w:tc>
        <w:tc>
          <w:tcPr>
            <w:tcW w:w="990" w:type="dxa"/>
            <w:tcBorders>
              <w:left w:val="nil"/>
              <w:bottom w:val="single" w:sz="4" w:space="0" w:color="auto"/>
              <w:right w:val="nil"/>
            </w:tcBorders>
            <w:shd w:val="clear" w:color="auto" w:fill="D9D9D9" w:themeFill="background1" w:themeFillShade="D9"/>
            <w:noWrap/>
            <w:vAlign w:val="center"/>
          </w:tcPr>
          <w:p w14:paraId="284F6891" w14:textId="77777777" w:rsidR="00F75BA6" w:rsidRPr="00D562F1" w:rsidRDefault="00F75BA6" w:rsidP="0040594E">
            <w:pPr>
              <w:pStyle w:val="Tablebody"/>
              <w:rPr>
                <w:sz w:val="24"/>
                <w:szCs w:val="24"/>
              </w:rPr>
            </w:pPr>
            <w:r w:rsidRPr="00D562F1">
              <w:rPr>
                <w:sz w:val="24"/>
                <w:szCs w:val="24"/>
              </w:rPr>
              <w:t>(18%)</w:t>
            </w:r>
          </w:p>
        </w:tc>
        <w:tc>
          <w:tcPr>
            <w:tcW w:w="726" w:type="dxa"/>
            <w:tcBorders>
              <w:left w:val="nil"/>
              <w:bottom w:val="single" w:sz="4" w:space="0" w:color="auto"/>
              <w:right w:val="nil"/>
            </w:tcBorders>
            <w:shd w:val="clear" w:color="auto" w:fill="D9D9D9" w:themeFill="background1" w:themeFillShade="D9"/>
            <w:noWrap/>
            <w:vAlign w:val="center"/>
          </w:tcPr>
          <w:p w14:paraId="096B5806" w14:textId="77777777" w:rsidR="00F75BA6" w:rsidRPr="00D562F1" w:rsidRDefault="00F75BA6" w:rsidP="0040594E">
            <w:pPr>
              <w:pStyle w:val="Tablebody"/>
              <w:rPr>
                <w:sz w:val="24"/>
                <w:szCs w:val="24"/>
              </w:rPr>
            </w:pPr>
            <w:r w:rsidRPr="00D562F1">
              <w:rPr>
                <w:sz w:val="24"/>
                <w:szCs w:val="24"/>
              </w:rPr>
              <w:t>9</w:t>
            </w:r>
          </w:p>
        </w:tc>
        <w:tc>
          <w:tcPr>
            <w:tcW w:w="1163" w:type="dxa"/>
            <w:tcBorders>
              <w:left w:val="nil"/>
              <w:bottom w:val="single" w:sz="4" w:space="0" w:color="auto"/>
              <w:right w:val="nil"/>
            </w:tcBorders>
            <w:shd w:val="clear" w:color="auto" w:fill="D9D9D9" w:themeFill="background1" w:themeFillShade="D9"/>
            <w:noWrap/>
            <w:vAlign w:val="center"/>
          </w:tcPr>
          <w:p w14:paraId="761C8D62" w14:textId="77777777" w:rsidR="00F75BA6" w:rsidRPr="00D562F1" w:rsidRDefault="00F75BA6" w:rsidP="0040594E">
            <w:pPr>
              <w:pStyle w:val="Tablebody"/>
              <w:rPr>
                <w:sz w:val="24"/>
                <w:szCs w:val="24"/>
              </w:rPr>
            </w:pPr>
            <w:r w:rsidRPr="00D562F1">
              <w:rPr>
                <w:sz w:val="24"/>
                <w:szCs w:val="24"/>
              </w:rPr>
              <w:t>(20%)</w:t>
            </w:r>
          </w:p>
        </w:tc>
        <w:tc>
          <w:tcPr>
            <w:tcW w:w="668" w:type="dxa"/>
            <w:tcBorders>
              <w:left w:val="nil"/>
              <w:bottom w:val="single" w:sz="4" w:space="0" w:color="auto"/>
              <w:right w:val="nil"/>
            </w:tcBorders>
            <w:shd w:val="clear" w:color="auto" w:fill="D9D9D9" w:themeFill="background1" w:themeFillShade="D9"/>
            <w:noWrap/>
            <w:vAlign w:val="center"/>
          </w:tcPr>
          <w:p w14:paraId="4068D313" w14:textId="77777777" w:rsidR="00F75BA6" w:rsidRPr="00D562F1" w:rsidRDefault="00F75BA6" w:rsidP="0040594E">
            <w:pPr>
              <w:pStyle w:val="Tablebody"/>
              <w:rPr>
                <w:sz w:val="24"/>
                <w:szCs w:val="24"/>
              </w:rPr>
            </w:pPr>
            <w:r w:rsidRPr="00D562F1">
              <w:rPr>
                <w:sz w:val="24"/>
                <w:szCs w:val="24"/>
              </w:rPr>
              <w:t>1.7</w:t>
            </w:r>
          </w:p>
        </w:tc>
        <w:tc>
          <w:tcPr>
            <w:tcW w:w="1357" w:type="dxa"/>
            <w:gridSpan w:val="3"/>
            <w:tcBorders>
              <w:left w:val="nil"/>
              <w:bottom w:val="single" w:sz="4" w:space="0" w:color="auto"/>
              <w:right w:val="nil"/>
            </w:tcBorders>
            <w:shd w:val="clear" w:color="auto" w:fill="D9D9D9" w:themeFill="background1" w:themeFillShade="D9"/>
            <w:noWrap/>
            <w:vAlign w:val="center"/>
          </w:tcPr>
          <w:p w14:paraId="10765E17" w14:textId="77777777" w:rsidR="00F75BA6" w:rsidRPr="00D562F1" w:rsidRDefault="00F75BA6" w:rsidP="0040594E">
            <w:pPr>
              <w:pStyle w:val="Tablebody"/>
              <w:rPr>
                <w:sz w:val="24"/>
                <w:szCs w:val="24"/>
              </w:rPr>
            </w:pPr>
            <w:r w:rsidRPr="00D562F1">
              <w:rPr>
                <w:sz w:val="24"/>
                <w:szCs w:val="24"/>
              </w:rPr>
              <w:t>(0.3, 9.8)</w:t>
            </w:r>
          </w:p>
        </w:tc>
        <w:tc>
          <w:tcPr>
            <w:tcW w:w="1122" w:type="dxa"/>
            <w:gridSpan w:val="3"/>
            <w:tcBorders>
              <w:left w:val="nil"/>
              <w:bottom w:val="single" w:sz="4" w:space="0" w:color="auto"/>
            </w:tcBorders>
            <w:shd w:val="clear" w:color="auto" w:fill="D9D9D9" w:themeFill="background1" w:themeFillShade="D9"/>
            <w:noWrap/>
            <w:vAlign w:val="center"/>
          </w:tcPr>
          <w:p w14:paraId="28045832" w14:textId="77777777" w:rsidR="00F75BA6" w:rsidRPr="00D562F1" w:rsidRDefault="00F75BA6" w:rsidP="0040594E">
            <w:pPr>
              <w:pStyle w:val="Tablebody"/>
              <w:rPr>
                <w:sz w:val="24"/>
                <w:szCs w:val="24"/>
              </w:rPr>
            </w:pPr>
            <w:r w:rsidRPr="00D562F1">
              <w:rPr>
                <w:sz w:val="24"/>
                <w:szCs w:val="24"/>
              </w:rPr>
              <w:t>0.57</w:t>
            </w:r>
          </w:p>
        </w:tc>
      </w:tr>
    </w:tbl>
    <w:p w14:paraId="3D7D9812" w14:textId="77777777" w:rsidR="00D61393" w:rsidRPr="00F939B0" w:rsidRDefault="00D61393" w:rsidP="0040594E">
      <w:pPr>
        <w:pStyle w:val="NoSpacing"/>
        <w:rPr>
          <w:sz w:val="22"/>
          <w:szCs w:val="22"/>
        </w:rPr>
      </w:pPr>
      <w:proofErr w:type="spellStart"/>
      <w:r w:rsidRPr="00F939B0">
        <w:rPr>
          <w:sz w:val="22"/>
          <w:szCs w:val="22"/>
          <w:vertAlign w:val="superscript"/>
        </w:rPr>
        <w:t>a</w:t>
      </w:r>
      <w:r w:rsidRPr="00F939B0">
        <w:rPr>
          <w:sz w:val="22"/>
          <w:szCs w:val="22"/>
        </w:rPr>
        <w:t>OR</w:t>
      </w:r>
      <w:proofErr w:type="spellEnd"/>
      <w:r w:rsidRPr="00F939B0">
        <w:rPr>
          <w:sz w:val="22"/>
          <w:szCs w:val="22"/>
        </w:rPr>
        <w:t xml:space="preserve"> = Matched Odds Ratio</w:t>
      </w:r>
    </w:p>
    <w:p w14:paraId="163FD038" w14:textId="77777777" w:rsidR="00D61393" w:rsidRPr="00F939B0" w:rsidRDefault="00D61393" w:rsidP="0040594E">
      <w:pPr>
        <w:pStyle w:val="NoSpacing"/>
        <w:rPr>
          <w:sz w:val="22"/>
          <w:szCs w:val="22"/>
        </w:rPr>
      </w:pPr>
      <w:r w:rsidRPr="00F939B0">
        <w:rPr>
          <w:sz w:val="22"/>
          <w:szCs w:val="22"/>
          <w:vertAlign w:val="superscript"/>
        </w:rPr>
        <w:t>b</w:t>
      </w:r>
      <w:r w:rsidRPr="00F939B0">
        <w:rPr>
          <w:sz w:val="22"/>
          <w:szCs w:val="22"/>
        </w:rPr>
        <w:t>95% CI = 95% Confidence Interval</w:t>
      </w:r>
    </w:p>
    <w:p w14:paraId="5AB5B4C2" w14:textId="34C5B7DE" w:rsidR="0026215A" w:rsidRDefault="00D20DB8" w:rsidP="0040594E">
      <w:pPr>
        <w:pStyle w:val="Caption"/>
        <w:keepNext/>
        <w:ind w:right="-432"/>
      </w:pPr>
      <w:bookmarkStart w:id="185" w:name="_Ref12010497"/>
      <w:bookmarkStart w:id="186" w:name="Figure16"/>
      <w:bookmarkStart w:id="187" w:name="_Toc12619131"/>
      <w:bookmarkStart w:id="188" w:name="_Toc12013233"/>
      <w:bookmarkStart w:id="189" w:name="_Toc45717791"/>
      <w:r>
        <w:rPr>
          <w:noProof/>
        </w:rPr>
        <w:lastRenderedPageBreak/>
        <mc:AlternateContent>
          <mc:Choice Requires="wps">
            <w:drawing>
              <wp:anchor distT="0" distB="0" distL="114300" distR="114300" simplePos="0" relativeHeight="251648000" behindDoc="0" locked="0" layoutInCell="1" allowOverlap="1" wp14:anchorId="3565A682" wp14:editId="601FD2CE">
                <wp:simplePos x="0" y="0"/>
                <wp:positionH relativeFrom="page">
                  <wp:posOffset>5291109</wp:posOffset>
                </wp:positionH>
                <wp:positionV relativeFrom="paragraph">
                  <wp:posOffset>4794740</wp:posOffset>
                </wp:positionV>
                <wp:extent cx="100965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wps:spPr>
                      <wps:txbx>
                        <w:txbxContent>
                          <w:p w14:paraId="595D599D" w14:textId="77777777" w:rsidR="00C2588D" w:rsidRDefault="00C2588D" w:rsidP="00D562F1">
                            <w:pPr>
                              <w:pStyle w:val="NormalWeb"/>
                              <w:spacing w:after="0" w:line="240" w:lineRule="auto"/>
                              <w:jc w:val="center"/>
                            </w:pPr>
                            <w:r>
                              <w:rPr>
                                <w:rFonts w:asciiTheme="minorHAnsi" w:hAnsi="Calibri" w:cstheme="minorBidi"/>
                                <w:b/>
                                <w:bCs/>
                                <w:color w:val="000000"/>
                                <w:sz w:val="22"/>
                                <w:szCs w:val="22"/>
                              </w:rPr>
                              <w:t>Method B</w:t>
                            </w:r>
                          </w:p>
                          <w:p w14:paraId="6D43D292" w14:textId="77777777" w:rsidR="00C2588D" w:rsidRDefault="00C2588D" w:rsidP="00D56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5A682" id="Text Box 35" o:spid="_x0000_s1036" type="#_x0000_t202" style="position:absolute;margin-left:416.6pt;margin-top:377.55pt;width:79.5pt;height:19.5pt;z-index:251648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" fillcolor="white [3201]" stroked="f" strokeweight=".5pt">
                <v:textbox>
                  <w:txbxContent>
                    <w:p w14:paraId="595D599D" w14:textId="77777777" w:rsidR="00C2588D" w:rsidRDefault="00C2588D" w:rsidP="00D562F1">
                      <w:pPr>
                        <w:pStyle w:val="NormalWeb"/>
                        <w:spacing w:after="0" w:line="240" w:lineRule="auto"/>
                        <w:jc w:val="center"/>
                      </w:pPr>
                      <w:r>
                        <w:rPr>
                          <w:rFonts w:asciiTheme="minorHAnsi" w:hAnsi="Calibri" w:cstheme="minorBidi"/>
                          <w:b/>
                          <w:bCs/>
                          <w:color w:val="000000"/>
                          <w:sz w:val="22"/>
                          <w:szCs w:val="22"/>
                        </w:rPr>
                        <w:t>Method B</w:t>
                      </w:r>
                    </w:p>
                    <w:p w14:paraId="6D43D292" w14:textId="77777777" w:rsidR="00C2588D" w:rsidRDefault="00C2588D" w:rsidP="00D562F1"/>
                  </w:txbxContent>
                </v:textbox>
                <w10:wrap anchorx="page"/>
              </v:shape>
            </w:pict>
          </mc:Fallback>
        </mc:AlternateContent>
      </w:r>
      <w:r>
        <w:rPr>
          <w:noProof/>
        </w:rPr>
        <mc:AlternateContent>
          <mc:Choice Requires="wps">
            <w:drawing>
              <wp:anchor distT="0" distB="0" distL="114300" distR="114300" simplePos="0" relativeHeight="251645952" behindDoc="0" locked="0" layoutInCell="1" allowOverlap="1" wp14:anchorId="0C7AE82C" wp14:editId="5C1BC971">
                <wp:simplePos x="0" y="0"/>
                <wp:positionH relativeFrom="column">
                  <wp:posOffset>3153573</wp:posOffset>
                </wp:positionH>
                <wp:positionV relativeFrom="paragraph">
                  <wp:posOffset>4785611</wp:posOffset>
                </wp:positionV>
                <wp:extent cx="1009650" cy="247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wps:spPr>
                      <wps:txbx>
                        <w:txbxContent>
                          <w:p w14:paraId="7BD4177B" w14:textId="77777777" w:rsidR="00C2588D" w:rsidRDefault="00C2588D" w:rsidP="00D562F1">
                            <w:pPr>
                              <w:pStyle w:val="NormalWeb"/>
                              <w:spacing w:after="0" w:line="240" w:lineRule="auto"/>
                              <w:jc w:val="center"/>
                            </w:pPr>
                            <w:r>
                              <w:rPr>
                                <w:rFonts w:asciiTheme="minorHAnsi" w:hAnsi="Calibri" w:cstheme="minorBidi"/>
                                <w:b/>
                                <w:bCs/>
                                <w:color w:val="000000"/>
                                <w:sz w:val="22"/>
                                <w:szCs w:val="22"/>
                              </w:rPr>
                              <w:t>Method A</w:t>
                            </w:r>
                          </w:p>
                          <w:p w14:paraId="1295BDD3" w14:textId="77777777" w:rsidR="00C2588D" w:rsidRDefault="00C2588D" w:rsidP="00D56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AE82C" id="Text Box 11" o:spid="_x0000_s1037" type="#_x0000_t202" style="position:absolute;margin-left:248.3pt;margin-top:376.8pt;width:79.5pt;height:19.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" fillcolor="white [3201]" stroked="f" strokeweight=".5pt">
                <v:textbox>
                  <w:txbxContent>
                    <w:p w14:paraId="7BD4177B" w14:textId="77777777" w:rsidR="00C2588D" w:rsidRDefault="00C2588D" w:rsidP="00D562F1">
                      <w:pPr>
                        <w:pStyle w:val="NormalWeb"/>
                        <w:spacing w:after="0" w:line="240" w:lineRule="auto"/>
                        <w:jc w:val="center"/>
                      </w:pPr>
                      <w:r>
                        <w:rPr>
                          <w:rFonts w:asciiTheme="minorHAnsi" w:hAnsi="Calibri" w:cstheme="minorBidi"/>
                          <w:b/>
                          <w:bCs/>
                          <w:color w:val="000000"/>
                          <w:sz w:val="22"/>
                          <w:szCs w:val="22"/>
                        </w:rPr>
                        <w:t>Method A</w:t>
                      </w:r>
                    </w:p>
                    <w:p w14:paraId="1295BDD3" w14:textId="77777777" w:rsidR="00C2588D" w:rsidRDefault="00C2588D" w:rsidP="00D562F1"/>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515617F" wp14:editId="7D3A3541">
                <wp:simplePos x="0" y="0"/>
                <wp:positionH relativeFrom="page">
                  <wp:posOffset>2892425</wp:posOffset>
                </wp:positionH>
                <wp:positionV relativeFrom="paragraph">
                  <wp:posOffset>4805315</wp:posOffset>
                </wp:positionV>
                <wp:extent cx="1009650" cy="247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wps:spPr>
                      <wps:txbx>
                        <w:txbxContent>
                          <w:p w14:paraId="56B3DA32" w14:textId="755F39AA" w:rsidR="00C2588D" w:rsidRDefault="00C2588D" w:rsidP="00D562F1">
                            <w:pPr>
                              <w:pStyle w:val="NormalWeb"/>
                              <w:spacing w:after="0" w:line="240" w:lineRule="auto"/>
                              <w:jc w:val="center"/>
                            </w:pPr>
                            <w:r>
                              <w:rPr>
                                <w:rFonts w:asciiTheme="minorHAnsi" w:hAnsi="Calibri" w:cstheme="minorBidi"/>
                                <w:b/>
                                <w:bCs/>
                                <w:color w:val="000000"/>
                                <w:sz w:val="22"/>
                                <w:szCs w:val="22"/>
                              </w:rPr>
                              <w:t>Method B</w:t>
                            </w:r>
                          </w:p>
                          <w:p w14:paraId="4CC69A30" w14:textId="77777777" w:rsidR="00C2588D" w:rsidRDefault="00C2588D" w:rsidP="00D56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5617F" id="Text Box 32" o:spid="_x0000_s1038" type="#_x0000_t202" style="position:absolute;margin-left:227.75pt;margin-top:378.35pt;width:79.5pt;height:19.5pt;z-index:251646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" fillcolor="white [3201]" stroked="f" strokeweight=".5pt">
                <v:textbox>
                  <w:txbxContent>
                    <w:p w14:paraId="56B3DA32" w14:textId="755F39AA" w:rsidR="00C2588D" w:rsidRDefault="00C2588D" w:rsidP="00D562F1">
                      <w:pPr>
                        <w:pStyle w:val="NormalWeb"/>
                        <w:spacing w:after="0" w:line="240" w:lineRule="auto"/>
                        <w:jc w:val="center"/>
                      </w:pPr>
                      <w:r>
                        <w:rPr>
                          <w:rFonts w:asciiTheme="minorHAnsi" w:hAnsi="Calibri" w:cstheme="minorBidi"/>
                          <w:b/>
                          <w:bCs/>
                          <w:color w:val="000000"/>
                          <w:sz w:val="22"/>
                          <w:szCs w:val="22"/>
                        </w:rPr>
                        <w:t>Method B</w:t>
                      </w:r>
                    </w:p>
                    <w:p w14:paraId="4CC69A30" w14:textId="77777777" w:rsidR="00C2588D" w:rsidRDefault="00C2588D" w:rsidP="00D562F1"/>
                  </w:txbxContent>
                </v:textbox>
                <w10:wrap anchorx="page"/>
              </v:shape>
            </w:pict>
          </mc:Fallback>
        </mc:AlternateContent>
      </w:r>
      <w:r>
        <w:rPr>
          <w:noProof/>
        </w:rPr>
        <mc:AlternateContent>
          <mc:Choice Requires="wps">
            <w:drawing>
              <wp:anchor distT="0" distB="0" distL="114300" distR="114300" simplePos="0" relativeHeight="251643904" behindDoc="0" locked="0" layoutInCell="1" allowOverlap="1" wp14:anchorId="41AFF0C5" wp14:editId="6D70BC9F">
                <wp:simplePos x="0" y="0"/>
                <wp:positionH relativeFrom="column">
                  <wp:posOffset>816447</wp:posOffset>
                </wp:positionH>
                <wp:positionV relativeFrom="page">
                  <wp:posOffset>5697780</wp:posOffset>
                </wp:positionV>
                <wp:extent cx="100965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wps:spPr>
                      <wps:txbx>
                        <w:txbxContent>
                          <w:p w14:paraId="52D938F5" w14:textId="77777777" w:rsidR="00C2588D" w:rsidRDefault="00C2588D" w:rsidP="00D562F1">
                            <w:pPr>
                              <w:pStyle w:val="NormalWeb"/>
                              <w:spacing w:after="0" w:line="240" w:lineRule="auto"/>
                              <w:jc w:val="center"/>
                            </w:pPr>
                            <w:r>
                              <w:rPr>
                                <w:rFonts w:asciiTheme="minorHAnsi" w:hAnsi="Calibri" w:cstheme="minorBidi"/>
                                <w:b/>
                                <w:bCs/>
                                <w:color w:val="000000"/>
                                <w:sz w:val="22"/>
                                <w:szCs w:val="22"/>
                              </w:rPr>
                              <w:t>Method A</w:t>
                            </w:r>
                          </w:p>
                          <w:p w14:paraId="46AB6688" w14:textId="77777777" w:rsidR="00C2588D" w:rsidRDefault="00C25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FF0C5" id="Text Box 10" o:spid="_x0000_s1039" type="#_x0000_t202" style="position:absolute;margin-left:64.3pt;margin-top:448.65pt;width:79.5pt;height:19.5pt;z-index:2516439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" fillcolor="white [3201]" stroked="f" strokeweight=".5pt">
                <v:textbox>
                  <w:txbxContent>
                    <w:p w14:paraId="52D938F5" w14:textId="77777777" w:rsidR="00C2588D" w:rsidRDefault="00C2588D" w:rsidP="00D562F1">
                      <w:pPr>
                        <w:pStyle w:val="NormalWeb"/>
                        <w:spacing w:after="0" w:line="240" w:lineRule="auto"/>
                        <w:jc w:val="center"/>
                      </w:pPr>
                      <w:r>
                        <w:rPr>
                          <w:rFonts w:asciiTheme="minorHAnsi" w:hAnsi="Calibri" w:cstheme="minorBidi"/>
                          <w:b/>
                          <w:bCs/>
                          <w:color w:val="000000"/>
                          <w:sz w:val="22"/>
                          <w:szCs w:val="22"/>
                        </w:rPr>
                        <w:t>Method A</w:t>
                      </w:r>
                    </w:p>
                    <w:p w14:paraId="46AB6688" w14:textId="77777777" w:rsidR="00C2588D" w:rsidRDefault="00C2588D"/>
                  </w:txbxContent>
                </v:textbox>
                <w10:wrap anchory="page"/>
              </v:shape>
            </w:pict>
          </mc:Fallback>
        </mc:AlternateContent>
      </w:r>
      <w:r>
        <w:rPr>
          <w:noProof/>
        </w:rPr>
        <w:drawing>
          <wp:anchor distT="0" distB="0" distL="114300" distR="114300" simplePos="0" relativeHeight="251638784" behindDoc="0" locked="0" layoutInCell="1" allowOverlap="1" wp14:anchorId="56C0CC19" wp14:editId="0BC5DA47">
            <wp:simplePos x="0" y="0"/>
            <wp:positionH relativeFrom="margin">
              <wp:align>left</wp:align>
            </wp:positionH>
            <wp:positionV relativeFrom="paragraph">
              <wp:posOffset>689680</wp:posOffset>
            </wp:positionV>
            <wp:extent cx="5953125" cy="4391025"/>
            <wp:effectExtent l="0" t="0" r="9525" b="9525"/>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26215A">
        <w:t xml:space="preserve">Figure </w:t>
      </w:r>
      <w:fldSimple w:instr=" SEQ Figure \* ARABIC ">
        <w:r w:rsidR="00977423">
          <w:rPr>
            <w:noProof/>
          </w:rPr>
          <w:t>16</w:t>
        </w:r>
      </w:fldSimple>
      <w:bookmarkEnd w:id="185"/>
      <w:bookmarkEnd w:id="186"/>
      <w:r w:rsidR="00716072">
        <w:t xml:space="preserve">. </w:t>
      </w:r>
      <w:r w:rsidR="0026215A" w:rsidRPr="00F63CB0">
        <w:t>Odds ratios and 95% confidence intervals for the association between childhood cancer and average estimated NDMA concentrations in maternal drinking water during the year before birth, after adjustment for reported bottle water usage</w:t>
      </w:r>
      <w:r w:rsidR="00490BBC">
        <w:t>.</w:t>
      </w:r>
      <w:bookmarkEnd w:id="187"/>
      <w:bookmarkEnd w:id="188"/>
      <w:bookmarkEnd w:id="189"/>
    </w:p>
    <w:p w14:paraId="5E4B9530" w14:textId="7188BE7D" w:rsidR="00891FE8" w:rsidRPr="004961A1" w:rsidRDefault="00AD74FA" w:rsidP="007F1C4D">
      <w:pPr>
        <w:spacing w:after="120" w:line="240" w:lineRule="auto"/>
        <w:rPr>
          <w:rFonts w:asciiTheme="majorHAnsi" w:hAnsiTheme="majorHAnsi"/>
          <w:sz w:val="22"/>
        </w:rPr>
      </w:pPr>
      <w:r w:rsidRPr="004961A1">
        <w:rPr>
          <w:rFonts w:asciiTheme="majorHAnsi" w:hAnsiTheme="majorHAnsi"/>
          <w:noProof/>
        </w:rPr>
        <mc:AlternateContent>
          <mc:Choice Requires="wps">
            <w:drawing>
              <wp:anchor distT="0" distB="0" distL="114300" distR="114300" simplePos="0" relativeHeight="251636736" behindDoc="0" locked="1" layoutInCell="1" allowOverlap="1" wp14:anchorId="11F2B95C" wp14:editId="72C37021">
                <wp:simplePos x="0" y="0"/>
                <wp:positionH relativeFrom="column">
                  <wp:posOffset>3502025</wp:posOffset>
                </wp:positionH>
                <wp:positionV relativeFrom="paragraph">
                  <wp:posOffset>3869055</wp:posOffset>
                </wp:positionV>
                <wp:extent cx="1554480" cy="274320"/>
                <wp:effectExtent l="0" t="0" r="0" b="0"/>
                <wp:wrapNone/>
                <wp:docPr id="22" name="TextBox 3"/>
                <wp:cNvGraphicFramePr/>
                <a:graphic xmlns:a="http://schemas.openxmlformats.org/drawingml/2006/main">
                  <a:graphicData uri="http://schemas.microsoft.com/office/word/2010/wordprocessingShape">
                    <wps:wsp>
                      <wps:cNvSpPr txBox="1"/>
                      <wps:spPr>
                        <a:xfrm>
                          <a:off x="0" y="0"/>
                          <a:ext cx="1554480" cy="2743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E25002" w14:textId="77777777" w:rsidR="00C2588D" w:rsidRPr="00F27BA0" w:rsidRDefault="00C2588D" w:rsidP="00891FE8">
                            <w:pPr>
                              <w:jc w:val="center"/>
                              <w:rPr>
                                <w:b/>
                                <w:sz w:val="22"/>
                                <w:szCs w:val="22"/>
                              </w:rPr>
                            </w:pPr>
                            <w:r w:rsidRPr="00F27BA0">
                              <w:rPr>
                                <w:rFonts w:asciiTheme="minorHAnsi" w:hAnsi="Calibri" w:cstheme="minorBidi"/>
                                <w:b/>
                                <w:bCs/>
                                <w:sz w:val="22"/>
                                <w:szCs w:val="22"/>
                              </w:rPr>
                              <w:t>Leukemia/Lymphoma</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11F2B95C" id="_x0000_s1040" type="#_x0000_t202" style="position:absolute;margin-left:275.75pt;margin-top:304.65pt;width:122.4pt;height:21.6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" filled="f" stroked="f">
                <v:textbox>
                  <w:txbxContent>
                    <w:p w14:paraId="14E25002" w14:textId="77777777" w:rsidR="00C2588D" w:rsidRPr="00F27BA0" w:rsidRDefault="00C2588D" w:rsidP="00891FE8">
                      <w:pPr>
                        <w:jc w:val="center"/>
                        <w:rPr>
                          <w:b/>
                          <w:sz w:val="22"/>
                          <w:szCs w:val="22"/>
                        </w:rPr>
                      </w:pPr>
                      <w:r w:rsidRPr="00F27BA0">
                        <w:rPr>
                          <w:rFonts w:asciiTheme="minorHAnsi" w:hAnsi="Calibri" w:cstheme="minorBidi"/>
                          <w:b/>
                          <w:bCs/>
                          <w:sz w:val="22"/>
                          <w:szCs w:val="22"/>
                        </w:rPr>
                        <w:t>Leukemia/Lymphoma</w:t>
                      </w:r>
                    </w:p>
                  </w:txbxContent>
                </v:textbox>
                <w10:anchorlock/>
              </v:shape>
            </w:pict>
          </mc:Fallback>
        </mc:AlternateContent>
      </w:r>
      <w:r w:rsidRPr="004961A1">
        <w:rPr>
          <w:rFonts w:asciiTheme="majorHAnsi" w:hAnsiTheme="majorHAnsi"/>
          <w:noProof/>
        </w:rPr>
        <mc:AlternateContent>
          <mc:Choice Requires="wps">
            <w:drawing>
              <wp:anchor distT="0" distB="0" distL="114300" distR="114300" simplePos="0" relativeHeight="251637760" behindDoc="0" locked="1" layoutInCell="1" allowOverlap="1" wp14:anchorId="342AAD0C" wp14:editId="45076E7B">
                <wp:simplePos x="0" y="0"/>
                <wp:positionH relativeFrom="column">
                  <wp:posOffset>1391920</wp:posOffset>
                </wp:positionH>
                <wp:positionV relativeFrom="paragraph">
                  <wp:posOffset>3869055</wp:posOffset>
                </wp:positionV>
                <wp:extent cx="923290" cy="274320"/>
                <wp:effectExtent l="0" t="0" r="0" b="0"/>
                <wp:wrapNone/>
                <wp:docPr id="29" name="TextBox 2"/>
                <wp:cNvGraphicFramePr/>
                <a:graphic xmlns:a="http://schemas.openxmlformats.org/drawingml/2006/main">
                  <a:graphicData uri="http://schemas.microsoft.com/office/word/2010/wordprocessingShape">
                    <wps:wsp>
                      <wps:cNvSpPr txBox="1"/>
                      <wps:spPr>
                        <a:xfrm>
                          <a:off x="0" y="0"/>
                          <a:ext cx="923290" cy="2743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1E7D1F" w14:textId="77777777" w:rsidR="00C2588D" w:rsidRPr="00F27BA0" w:rsidRDefault="00C2588D" w:rsidP="00891FE8">
                            <w:pPr>
                              <w:pStyle w:val="NormalWeb"/>
                              <w:spacing w:after="0" w:line="240" w:lineRule="auto"/>
                              <w:jc w:val="center"/>
                              <w:rPr>
                                <w:b/>
                                <w:sz w:val="22"/>
                                <w:szCs w:val="22"/>
                              </w:rPr>
                            </w:pPr>
                            <w:r w:rsidRPr="00F27BA0">
                              <w:rPr>
                                <w:rFonts w:asciiTheme="minorHAnsi" w:hAnsi="Calibri" w:cstheme="minorBidi"/>
                                <w:b/>
                                <w:bCs/>
                                <w:sz w:val="22"/>
                                <w:szCs w:val="22"/>
                              </w:rPr>
                              <w:t xml:space="preserve">All </w:t>
                            </w:r>
                            <w:r w:rsidRPr="00F27BA0">
                              <w:rPr>
                                <w:rFonts w:asciiTheme="minorHAnsi" w:hAnsi="Calibri" w:cstheme="minorBidi"/>
                                <w:b/>
                                <w:bCs/>
                                <w:color w:val="000000"/>
                                <w:sz w:val="22"/>
                                <w:szCs w:val="22"/>
                              </w:rPr>
                              <w:t>Cancers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42AAD0C" id="_x0000_s1041" type="#_x0000_t202" style="position:absolute;margin-left:109.6pt;margin-top:304.65pt;width:72.7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" filled="f" stroked="f">
                <v:textbox>
                  <w:txbxContent>
                    <w:p w14:paraId="061E7D1F" w14:textId="77777777" w:rsidR="00C2588D" w:rsidRPr="00F27BA0" w:rsidRDefault="00C2588D" w:rsidP="00891FE8">
                      <w:pPr>
                        <w:pStyle w:val="NormalWeb"/>
                        <w:spacing w:after="0" w:line="240" w:lineRule="auto"/>
                        <w:jc w:val="center"/>
                        <w:rPr>
                          <w:b/>
                          <w:sz w:val="22"/>
                          <w:szCs w:val="22"/>
                        </w:rPr>
                      </w:pPr>
                      <w:r w:rsidRPr="00F27BA0">
                        <w:rPr>
                          <w:rFonts w:asciiTheme="minorHAnsi" w:hAnsi="Calibri" w:cstheme="minorBidi"/>
                          <w:b/>
                          <w:bCs/>
                          <w:sz w:val="22"/>
                          <w:szCs w:val="22"/>
                        </w:rPr>
                        <w:t xml:space="preserve">All </w:t>
                      </w:r>
                      <w:r w:rsidRPr="00F27BA0">
                        <w:rPr>
                          <w:rFonts w:asciiTheme="minorHAnsi" w:hAnsi="Calibri" w:cstheme="minorBidi"/>
                          <w:b/>
                          <w:bCs/>
                          <w:color w:val="000000"/>
                          <w:sz w:val="22"/>
                          <w:szCs w:val="22"/>
                        </w:rPr>
                        <w:t>Cancers</w:t>
                      </w:r>
                    </w:p>
                  </w:txbxContent>
                </v:textbox>
                <w10:anchorlock/>
              </v:shape>
            </w:pict>
          </mc:Fallback>
        </mc:AlternateContent>
      </w:r>
      <w:r w:rsidR="00891FE8" w:rsidRPr="004961A1">
        <w:rPr>
          <w:rFonts w:asciiTheme="majorHAnsi" w:hAnsiTheme="majorHAnsi"/>
          <w:sz w:val="22"/>
        </w:rPr>
        <w:t>Method A: Zero assigned for NDMA concentration during months when bottled water reported as primary drinking water source</w:t>
      </w:r>
    </w:p>
    <w:p w14:paraId="299F73F6" w14:textId="7CA486F4" w:rsidR="00D562F1" w:rsidRPr="004961A1" w:rsidRDefault="00891FE8" w:rsidP="00C96544">
      <w:pPr>
        <w:spacing w:line="240" w:lineRule="auto"/>
        <w:rPr>
          <w:rFonts w:asciiTheme="majorHAnsi" w:hAnsiTheme="majorHAnsi"/>
          <w:sz w:val="22"/>
        </w:rPr>
      </w:pPr>
      <w:r w:rsidRPr="004961A1">
        <w:rPr>
          <w:rFonts w:asciiTheme="majorHAnsi" w:hAnsiTheme="majorHAnsi"/>
          <w:sz w:val="22"/>
        </w:rPr>
        <w:t>Method B: Forty-nine percent (49%) of modeled value assigned for NDMA concentration during months when bottled water reported as primary drinking water source</w:t>
      </w:r>
    </w:p>
    <w:p w14:paraId="70CF9E1F" w14:textId="366707B5" w:rsidR="008012AE" w:rsidRDefault="008012AE" w:rsidP="004961A1">
      <w:pPr>
        <w:pStyle w:val="Heading4"/>
      </w:pPr>
      <w:r>
        <w:t>TCE and Childhood Cancer, Maternal Bottled Water Use Adjusted</w:t>
      </w:r>
    </w:p>
    <w:p w14:paraId="67F1F236" w14:textId="487CD1D7" w:rsidR="008012AE" w:rsidRDefault="0018018B" w:rsidP="006C3ED9">
      <w:r>
        <w:t>Compared to the un-adjusted analysis, w</w:t>
      </w:r>
      <w:r w:rsidR="008012AE">
        <w:t xml:space="preserve">hen mothers were assigned zero values for TCE during months that they primarily drank bottled water, the association between TCE concentrations in drinking water and the odds of </w:t>
      </w:r>
      <w:r w:rsidR="0027332A">
        <w:t xml:space="preserve">a </w:t>
      </w:r>
      <w:r w:rsidR="008012AE">
        <w:t xml:space="preserve">childhood cancer diagnosis </w:t>
      </w:r>
      <w:r>
        <w:t>changed such that a</w:t>
      </w:r>
      <w:r w:rsidR="008012AE">
        <w:t>n elevated OR was observed in the high concentration category (OR</w:t>
      </w:r>
      <w:r w:rsidR="009D21C6">
        <w:t xml:space="preserve"> </w:t>
      </w:r>
      <w:r w:rsidR="008012AE">
        <w:t>=</w:t>
      </w:r>
      <w:r w:rsidR="009D21C6">
        <w:t xml:space="preserve"> </w:t>
      </w:r>
      <w:r w:rsidR="008012AE">
        <w:t>2.4; 95% CI: 0.3-18)</w:t>
      </w:r>
      <w:r>
        <w:t xml:space="preserve"> rather than the low concentration category</w:t>
      </w:r>
      <w:r w:rsidR="008012AE">
        <w:t xml:space="preserve">, </w:t>
      </w:r>
      <w:r>
        <w:t xml:space="preserve">and the association </w:t>
      </w:r>
      <w:r w:rsidR="007F038C">
        <w:t>continued to lack statistical</w:t>
      </w:r>
      <w:r>
        <w:t xml:space="preserve"> </w:t>
      </w:r>
      <w:r w:rsidR="008012AE">
        <w:t>significan</w:t>
      </w:r>
      <w:r w:rsidR="007F038C">
        <w:t>ce</w:t>
      </w:r>
      <w:r>
        <w:t xml:space="preserve"> (</w:t>
      </w:r>
      <w:r>
        <w:fldChar w:fldCharType="begin"/>
      </w:r>
      <w:r>
        <w:instrText xml:space="preserve"> REF  Table17 \h  \* MERGEFORMAT </w:instrText>
      </w:r>
      <w:r>
        <w:fldChar w:fldCharType="separate"/>
      </w:r>
      <w:r w:rsidR="00977423">
        <w:t xml:space="preserve">Table </w:t>
      </w:r>
      <w:r w:rsidR="00977423">
        <w:rPr>
          <w:noProof/>
        </w:rPr>
        <w:t>17</w:t>
      </w:r>
      <w:r>
        <w:fldChar w:fldCharType="end"/>
      </w:r>
      <w:r w:rsidR="007F038C">
        <w:t xml:space="preserve"> and </w:t>
      </w:r>
      <w:r w:rsidR="007F038C">
        <w:fldChar w:fldCharType="begin"/>
      </w:r>
      <w:r w:rsidR="007F038C">
        <w:instrText xml:space="preserve"> REF  Table14 \h  \* MERGEFORMAT </w:instrText>
      </w:r>
      <w:r w:rsidR="007F038C">
        <w:fldChar w:fldCharType="separate"/>
      </w:r>
      <w:r w:rsidR="00977423">
        <w:t xml:space="preserve">Table </w:t>
      </w:r>
      <w:r w:rsidR="00977423">
        <w:rPr>
          <w:noProof/>
        </w:rPr>
        <w:t>14</w:t>
      </w:r>
      <w:r w:rsidR="007F038C">
        <w:fldChar w:fldCharType="end"/>
      </w:r>
      <w:r>
        <w:t>).</w:t>
      </w:r>
      <w:r w:rsidR="00716072">
        <w:t xml:space="preserve"> </w:t>
      </w:r>
      <w:r w:rsidR="008012AE">
        <w:t>When mothers were</w:t>
      </w:r>
      <w:r w:rsidR="007F038C">
        <w:t xml:space="preserve"> </w:t>
      </w:r>
      <w:r w:rsidR="008012AE">
        <w:t xml:space="preserve">assigned 49% of modeled NDMA values during months that they primarily drank bottled water, results were </w:t>
      </w:r>
      <w:r w:rsidR="007F038C">
        <w:t>identical to the unadjusted</w:t>
      </w:r>
      <w:r w:rsidR="008012AE">
        <w:t xml:space="preserve"> analysis</w:t>
      </w:r>
      <w:r w:rsidR="00B96138">
        <w:t xml:space="preserve"> </w:t>
      </w:r>
      <w:r w:rsidR="0027332A">
        <w:t xml:space="preserve">for the All Cancers group </w:t>
      </w:r>
      <w:r w:rsidR="00B96138">
        <w:lastRenderedPageBreak/>
        <w:t>(</w:t>
      </w:r>
      <w:r w:rsidR="00D62F67">
        <w:fldChar w:fldCharType="begin"/>
      </w:r>
      <w:r w:rsidR="00D62F67">
        <w:instrText xml:space="preserve"> REF  Table17 \h </w:instrText>
      </w:r>
      <w:r w:rsidR="0040594E">
        <w:instrText xml:space="preserve"> \* MERGEFORMAT </w:instrText>
      </w:r>
      <w:r w:rsidR="00D62F67">
        <w:fldChar w:fldCharType="separate"/>
      </w:r>
      <w:r w:rsidR="00977423">
        <w:t xml:space="preserve">Table </w:t>
      </w:r>
      <w:r w:rsidR="00977423">
        <w:rPr>
          <w:noProof/>
        </w:rPr>
        <w:t>17</w:t>
      </w:r>
      <w:r w:rsidR="00D62F67">
        <w:fldChar w:fldCharType="end"/>
      </w:r>
      <w:r w:rsidR="00B96138">
        <w:t xml:space="preserve"> and </w:t>
      </w:r>
      <w:r w:rsidR="00D62F67">
        <w:fldChar w:fldCharType="begin"/>
      </w:r>
      <w:r w:rsidR="00D62F67">
        <w:instrText xml:space="preserve"> REF  Table14 \h </w:instrText>
      </w:r>
      <w:r w:rsidR="0040594E">
        <w:instrText xml:space="preserve"> \* MERGEFORMAT </w:instrText>
      </w:r>
      <w:r w:rsidR="00D62F67">
        <w:fldChar w:fldCharType="separate"/>
      </w:r>
      <w:r w:rsidR="00977423">
        <w:t xml:space="preserve">Table </w:t>
      </w:r>
      <w:r w:rsidR="00977423">
        <w:rPr>
          <w:noProof/>
        </w:rPr>
        <w:t>14</w:t>
      </w:r>
      <w:r w:rsidR="00D62F67">
        <w:fldChar w:fldCharType="end"/>
      </w:r>
      <w:r w:rsidR="00B96138">
        <w:t>)</w:t>
      </w:r>
      <w:r w:rsidR="008012AE">
        <w:t>.</w:t>
      </w:r>
      <w:r w:rsidR="00490BBC">
        <w:t xml:space="preserve"> For the Leukemia/Lymphoma subgroup</w:t>
      </w:r>
      <w:r w:rsidR="0027332A">
        <w:t>, odds ratios could not be calculated after adjusting for bottled water use due to insufficient data (</w:t>
      </w:r>
      <w:r w:rsidR="0027332A">
        <w:fldChar w:fldCharType="begin"/>
      </w:r>
      <w:r w:rsidR="0027332A">
        <w:instrText xml:space="preserve"> REF  Table17 \h  \* MERGEFORMAT </w:instrText>
      </w:r>
      <w:r w:rsidR="0027332A">
        <w:fldChar w:fldCharType="separate"/>
      </w:r>
      <w:r w:rsidR="00977423">
        <w:t xml:space="preserve">Table </w:t>
      </w:r>
      <w:r w:rsidR="00977423">
        <w:rPr>
          <w:noProof/>
        </w:rPr>
        <w:t>17</w:t>
      </w:r>
      <w:r w:rsidR="0027332A">
        <w:fldChar w:fldCharType="end"/>
      </w:r>
      <w:r w:rsidR="0027332A">
        <w:t>).</w:t>
      </w:r>
    </w:p>
    <w:p w14:paraId="47E5F1A3" w14:textId="70E2D4D0" w:rsidR="00B1763B" w:rsidRDefault="00B1763B" w:rsidP="0040594E">
      <w:pPr>
        <w:pStyle w:val="Caption"/>
        <w:keepNext/>
      </w:pPr>
      <w:bookmarkStart w:id="190" w:name="_Ref12010724"/>
      <w:bookmarkStart w:id="191" w:name="Table17"/>
      <w:bookmarkStart w:id="192" w:name="_Ref12010549"/>
      <w:bookmarkStart w:id="193" w:name="_Toc12012880"/>
      <w:bookmarkStart w:id="194" w:name="_Toc12013074"/>
      <w:bookmarkStart w:id="195" w:name="_Toc45714896"/>
      <w:r>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17</w:t>
      </w:r>
      <w:r w:rsidR="00D616DB">
        <w:rPr>
          <w:noProof/>
        </w:rPr>
        <w:fldChar w:fldCharType="end"/>
      </w:r>
      <w:bookmarkEnd w:id="190"/>
      <w:r w:rsidR="00716072">
        <w:t xml:space="preserve">. </w:t>
      </w:r>
      <w:bookmarkEnd w:id="191"/>
      <w:r w:rsidRPr="00176B03">
        <w:t>Maternal average estimated concentration of TCE in drinking water (zero, low, high), after accounting for reported bottled water usage, and odds of childhood cancer among children living in Wilmington, MA, 1981-2000</w:t>
      </w:r>
      <w:bookmarkEnd w:id="192"/>
      <w:bookmarkEnd w:id="193"/>
      <w:bookmarkEnd w:id="194"/>
      <w:bookmarkEnd w:id="195"/>
    </w:p>
    <w:tbl>
      <w:tblPr>
        <w:tblW w:w="9354" w:type="dxa"/>
        <w:tblInd w:w="93" w:type="dxa"/>
        <w:tblLook w:val="04A0" w:firstRow="1" w:lastRow="0" w:firstColumn="1" w:lastColumn="0" w:noHBand="0" w:noVBand="1"/>
      </w:tblPr>
      <w:tblGrid>
        <w:gridCol w:w="2666"/>
        <w:gridCol w:w="720"/>
        <w:gridCol w:w="981"/>
        <w:gridCol w:w="720"/>
        <w:gridCol w:w="1152"/>
        <w:gridCol w:w="662"/>
        <w:gridCol w:w="1260"/>
        <w:gridCol w:w="7"/>
        <w:gridCol w:w="78"/>
        <w:gridCol w:w="995"/>
        <w:gridCol w:w="90"/>
        <w:gridCol w:w="23"/>
      </w:tblGrid>
      <w:tr w:rsidR="00F75BA6" w:rsidRPr="00D562F1" w14:paraId="2E9536AD" w14:textId="77777777" w:rsidTr="004B40BA">
        <w:trPr>
          <w:gridAfter w:val="2"/>
          <w:wAfter w:w="113" w:type="dxa"/>
          <w:trHeight w:val="300"/>
        </w:trPr>
        <w:tc>
          <w:tcPr>
            <w:tcW w:w="2666" w:type="dxa"/>
            <w:tcBorders>
              <w:top w:val="single" w:sz="4" w:space="0" w:color="auto"/>
              <w:bottom w:val="nil"/>
              <w:right w:val="nil"/>
            </w:tcBorders>
            <w:shd w:val="clear" w:color="auto" w:fill="auto"/>
            <w:noWrap/>
            <w:vAlign w:val="bottom"/>
            <w:hideMark/>
          </w:tcPr>
          <w:p w14:paraId="5B73C2E5" w14:textId="77777777" w:rsidR="00F75BA6" w:rsidRPr="00D562F1" w:rsidRDefault="00F75BA6" w:rsidP="0040594E">
            <w:pPr>
              <w:pStyle w:val="Tablebody"/>
              <w:rPr>
                <w:b/>
                <w:bCs/>
              </w:rPr>
            </w:pPr>
          </w:p>
        </w:tc>
        <w:tc>
          <w:tcPr>
            <w:tcW w:w="1701" w:type="dxa"/>
            <w:gridSpan w:val="2"/>
            <w:tcBorders>
              <w:top w:val="single" w:sz="4" w:space="0" w:color="auto"/>
              <w:left w:val="nil"/>
              <w:right w:val="nil"/>
            </w:tcBorders>
            <w:shd w:val="clear" w:color="auto" w:fill="auto"/>
            <w:noWrap/>
            <w:vAlign w:val="bottom"/>
            <w:hideMark/>
          </w:tcPr>
          <w:p w14:paraId="0308AC61" w14:textId="77777777" w:rsidR="00F75BA6" w:rsidRPr="00D562F1" w:rsidRDefault="00F75BA6" w:rsidP="0040594E">
            <w:pPr>
              <w:pStyle w:val="Tablebody"/>
              <w:rPr>
                <w:b/>
                <w:bCs/>
              </w:rPr>
            </w:pPr>
            <w:r w:rsidRPr="00D562F1">
              <w:rPr>
                <w:b/>
                <w:bCs/>
              </w:rPr>
              <w:t>Cases (n=16)</w:t>
            </w:r>
          </w:p>
        </w:tc>
        <w:tc>
          <w:tcPr>
            <w:tcW w:w="1872" w:type="dxa"/>
            <w:gridSpan w:val="2"/>
            <w:tcBorders>
              <w:top w:val="single" w:sz="4" w:space="0" w:color="auto"/>
              <w:left w:val="nil"/>
              <w:right w:val="nil"/>
            </w:tcBorders>
            <w:shd w:val="clear" w:color="auto" w:fill="auto"/>
            <w:noWrap/>
            <w:vAlign w:val="bottom"/>
            <w:hideMark/>
          </w:tcPr>
          <w:p w14:paraId="7EC9A8E7" w14:textId="77777777" w:rsidR="00F75BA6" w:rsidRPr="00D562F1" w:rsidRDefault="00F75BA6" w:rsidP="0040594E">
            <w:pPr>
              <w:pStyle w:val="Tablebody"/>
              <w:rPr>
                <w:b/>
                <w:bCs/>
              </w:rPr>
            </w:pPr>
            <w:r w:rsidRPr="00D562F1">
              <w:rPr>
                <w:b/>
                <w:bCs/>
              </w:rPr>
              <w:t>Controls (n=57)</w:t>
            </w:r>
          </w:p>
        </w:tc>
        <w:tc>
          <w:tcPr>
            <w:tcW w:w="662" w:type="dxa"/>
            <w:tcBorders>
              <w:top w:val="single" w:sz="4" w:space="0" w:color="auto"/>
              <w:left w:val="nil"/>
            </w:tcBorders>
            <w:shd w:val="clear" w:color="auto" w:fill="auto"/>
            <w:noWrap/>
            <w:vAlign w:val="bottom"/>
          </w:tcPr>
          <w:p w14:paraId="19619172" w14:textId="77777777" w:rsidR="00F75BA6" w:rsidRPr="00D562F1" w:rsidRDefault="00F75BA6" w:rsidP="0040594E">
            <w:pPr>
              <w:pStyle w:val="Tablebody"/>
              <w:rPr>
                <w:b/>
                <w:bCs/>
              </w:rPr>
            </w:pPr>
          </w:p>
        </w:tc>
        <w:tc>
          <w:tcPr>
            <w:tcW w:w="1260" w:type="dxa"/>
            <w:tcBorders>
              <w:top w:val="single" w:sz="4" w:space="0" w:color="auto"/>
            </w:tcBorders>
            <w:vAlign w:val="bottom"/>
          </w:tcPr>
          <w:p w14:paraId="4F157FA1" w14:textId="77777777" w:rsidR="00F75BA6" w:rsidRPr="00D562F1" w:rsidRDefault="00F75BA6" w:rsidP="0040594E">
            <w:pPr>
              <w:pStyle w:val="Tablebody"/>
              <w:rPr>
                <w:b/>
                <w:bCs/>
              </w:rPr>
            </w:pPr>
          </w:p>
        </w:tc>
        <w:tc>
          <w:tcPr>
            <w:tcW w:w="1080" w:type="dxa"/>
            <w:gridSpan w:val="3"/>
            <w:tcBorders>
              <w:top w:val="single" w:sz="4" w:space="0" w:color="auto"/>
            </w:tcBorders>
            <w:shd w:val="clear" w:color="auto" w:fill="auto"/>
            <w:vAlign w:val="bottom"/>
          </w:tcPr>
          <w:p w14:paraId="06CE2CB1" w14:textId="77777777" w:rsidR="00F75BA6" w:rsidRPr="00D562F1" w:rsidRDefault="00F75BA6" w:rsidP="0040594E">
            <w:pPr>
              <w:pStyle w:val="Tablebody"/>
              <w:rPr>
                <w:b/>
                <w:bCs/>
              </w:rPr>
            </w:pPr>
          </w:p>
        </w:tc>
      </w:tr>
      <w:tr w:rsidR="00F75BA6" w14:paraId="270254A0" w14:textId="77777777" w:rsidTr="004B40BA">
        <w:trPr>
          <w:gridAfter w:val="1"/>
          <w:wAfter w:w="23" w:type="dxa"/>
          <w:trHeight w:val="300"/>
        </w:trPr>
        <w:tc>
          <w:tcPr>
            <w:tcW w:w="2666" w:type="dxa"/>
            <w:tcBorders>
              <w:top w:val="nil"/>
              <w:right w:val="nil"/>
            </w:tcBorders>
            <w:shd w:val="clear" w:color="auto" w:fill="auto"/>
            <w:noWrap/>
            <w:vAlign w:val="bottom"/>
          </w:tcPr>
          <w:p w14:paraId="2D5F636A" w14:textId="77777777" w:rsidR="00F75BA6" w:rsidRPr="00D562F1" w:rsidRDefault="00DD10A6" w:rsidP="0040594E">
            <w:pPr>
              <w:pStyle w:val="Tablebody"/>
              <w:rPr>
                <w:rFonts w:cstheme="minorHAnsi"/>
                <w:b/>
                <w:bCs/>
                <w:sz w:val="24"/>
                <w:szCs w:val="24"/>
              </w:rPr>
            </w:pPr>
            <w:r w:rsidRPr="00D562F1">
              <w:rPr>
                <w:rFonts w:cstheme="minorHAnsi"/>
                <w:b/>
                <w:bCs/>
                <w:sz w:val="24"/>
                <w:szCs w:val="24"/>
              </w:rPr>
              <w:t>All Cancers</w:t>
            </w:r>
          </w:p>
        </w:tc>
        <w:tc>
          <w:tcPr>
            <w:tcW w:w="720" w:type="dxa"/>
            <w:tcBorders>
              <w:top w:val="nil"/>
              <w:left w:val="nil"/>
              <w:bottom w:val="single" w:sz="4" w:space="0" w:color="auto"/>
              <w:right w:val="nil"/>
            </w:tcBorders>
            <w:shd w:val="clear" w:color="auto" w:fill="auto"/>
            <w:noWrap/>
            <w:vAlign w:val="bottom"/>
            <w:hideMark/>
          </w:tcPr>
          <w:p w14:paraId="3F75A7CF" w14:textId="77777777" w:rsidR="00F75BA6" w:rsidRPr="00D562F1" w:rsidRDefault="00F75BA6" w:rsidP="0040594E">
            <w:pPr>
              <w:pStyle w:val="Tablebody"/>
              <w:rPr>
                <w:rFonts w:cstheme="minorHAnsi"/>
                <w:b/>
                <w:bCs/>
                <w:sz w:val="24"/>
                <w:szCs w:val="24"/>
              </w:rPr>
            </w:pPr>
            <w:r w:rsidRPr="00D562F1">
              <w:rPr>
                <w:rFonts w:cstheme="minorHAnsi"/>
                <w:b/>
                <w:bCs/>
                <w:sz w:val="24"/>
                <w:szCs w:val="24"/>
              </w:rPr>
              <w:t>n</w:t>
            </w:r>
          </w:p>
        </w:tc>
        <w:tc>
          <w:tcPr>
            <w:tcW w:w="981" w:type="dxa"/>
            <w:tcBorders>
              <w:top w:val="nil"/>
              <w:left w:val="nil"/>
              <w:bottom w:val="single" w:sz="4" w:space="0" w:color="auto"/>
              <w:right w:val="nil"/>
            </w:tcBorders>
            <w:shd w:val="clear" w:color="auto" w:fill="auto"/>
            <w:noWrap/>
            <w:vAlign w:val="bottom"/>
            <w:hideMark/>
          </w:tcPr>
          <w:p w14:paraId="1FB382EC" w14:textId="77777777" w:rsidR="00F75BA6" w:rsidRPr="00D562F1" w:rsidRDefault="00F75BA6" w:rsidP="0040594E">
            <w:pPr>
              <w:pStyle w:val="Tablebody"/>
              <w:rPr>
                <w:rFonts w:cstheme="minorHAnsi"/>
                <w:b/>
                <w:bCs/>
                <w:sz w:val="24"/>
                <w:szCs w:val="24"/>
              </w:rPr>
            </w:pPr>
            <w:r w:rsidRPr="00D562F1">
              <w:rPr>
                <w:rFonts w:cstheme="minorHAnsi"/>
                <w:b/>
                <w:bCs/>
                <w:sz w:val="24"/>
                <w:szCs w:val="24"/>
              </w:rPr>
              <w:t>(%)</w:t>
            </w:r>
          </w:p>
        </w:tc>
        <w:tc>
          <w:tcPr>
            <w:tcW w:w="720" w:type="dxa"/>
            <w:tcBorders>
              <w:top w:val="nil"/>
              <w:left w:val="nil"/>
              <w:bottom w:val="single" w:sz="4" w:space="0" w:color="auto"/>
              <w:right w:val="nil"/>
            </w:tcBorders>
            <w:shd w:val="clear" w:color="auto" w:fill="auto"/>
            <w:noWrap/>
            <w:vAlign w:val="bottom"/>
            <w:hideMark/>
          </w:tcPr>
          <w:p w14:paraId="44B25F97" w14:textId="77777777" w:rsidR="00F75BA6" w:rsidRPr="00D562F1" w:rsidRDefault="00F75BA6" w:rsidP="0040594E">
            <w:pPr>
              <w:pStyle w:val="Tablebody"/>
              <w:rPr>
                <w:rFonts w:cstheme="minorHAnsi"/>
                <w:b/>
                <w:bCs/>
                <w:sz w:val="24"/>
                <w:szCs w:val="24"/>
              </w:rPr>
            </w:pPr>
            <w:r w:rsidRPr="00D562F1">
              <w:rPr>
                <w:rFonts w:cstheme="minorHAnsi"/>
                <w:b/>
                <w:bCs/>
                <w:sz w:val="24"/>
                <w:szCs w:val="24"/>
              </w:rPr>
              <w:t>n</w:t>
            </w:r>
          </w:p>
        </w:tc>
        <w:tc>
          <w:tcPr>
            <w:tcW w:w="1152" w:type="dxa"/>
            <w:tcBorders>
              <w:top w:val="nil"/>
              <w:left w:val="nil"/>
              <w:bottom w:val="single" w:sz="4" w:space="0" w:color="auto"/>
              <w:right w:val="nil"/>
            </w:tcBorders>
            <w:shd w:val="clear" w:color="auto" w:fill="auto"/>
            <w:noWrap/>
            <w:vAlign w:val="bottom"/>
            <w:hideMark/>
          </w:tcPr>
          <w:p w14:paraId="0A0A051E" w14:textId="77777777" w:rsidR="00F75BA6" w:rsidRPr="00D562F1" w:rsidRDefault="00F75BA6" w:rsidP="0040594E">
            <w:pPr>
              <w:pStyle w:val="Tablebody"/>
              <w:rPr>
                <w:rFonts w:cstheme="minorHAnsi"/>
                <w:b/>
                <w:bCs/>
                <w:sz w:val="24"/>
                <w:szCs w:val="24"/>
              </w:rPr>
            </w:pPr>
            <w:r w:rsidRPr="00D562F1">
              <w:rPr>
                <w:rFonts w:cstheme="minorHAnsi"/>
                <w:b/>
                <w:bCs/>
                <w:sz w:val="24"/>
                <w:szCs w:val="24"/>
              </w:rPr>
              <w:t>(%)</w:t>
            </w:r>
          </w:p>
        </w:tc>
        <w:tc>
          <w:tcPr>
            <w:tcW w:w="662" w:type="dxa"/>
            <w:tcBorders>
              <w:left w:val="nil"/>
              <w:bottom w:val="single" w:sz="4" w:space="0" w:color="auto"/>
            </w:tcBorders>
            <w:shd w:val="clear" w:color="auto" w:fill="auto"/>
            <w:vAlign w:val="bottom"/>
            <w:hideMark/>
          </w:tcPr>
          <w:p w14:paraId="3D72FA88" w14:textId="77777777" w:rsidR="00F75BA6" w:rsidRPr="00D562F1" w:rsidRDefault="00F75BA6" w:rsidP="0040594E">
            <w:pPr>
              <w:pStyle w:val="Tablebody"/>
              <w:rPr>
                <w:rFonts w:cstheme="minorHAnsi"/>
                <w:b/>
                <w:bCs/>
                <w:sz w:val="24"/>
                <w:szCs w:val="24"/>
              </w:rPr>
            </w:pPr>
            <w:proofErr w:type="spellStart"/>
            <w:r w:rsidRPr="00D562F1">
              <w:rPr>
                <w:rFonts w:cstheme="minorHAnsi"/>
                <w:b/>
                <w:bCs/>
                <w:sz w:val="24"/>
                <w:szCs w:val="24"/>
              </w:rPr>
              <w:t>OR</w:t>
            </w:r>
            <w:r w:rsidRPr="00D562F1">
              <w:rPr>
                <w:rFonts w:cstheme="minorHAnsi"/>
                <w:b/>
                <w:bCs/>
                <w:sz w:val="24"/>
                <w:szCs w:val="24"/>
                <w:vertAlign w:val="superscript"/>
              </w:rPr>
              <w:t>a</w:t>
            </w:r>
            <w:proofErr w:type="spellEnd"/>
          </w:p>
        </w:tc>
        <w:tc>
          <w:tcPr>
            <w:tcW w:w="1260" w:type="dxa"/>
            <w:tcBorders>
              <w:bottom w:val="single" w:sz="4" w:space="0" w:color="auto"/>
            </w:tcBorders>
            <w:shd w:val="clear" w:color="auto" w:fill="auto"/>
            <w:vAlign w:val="bottom"/>
          </w:tcPr>
          <w:p w14:paraId="7F021ACE" w14:textId="77777777" w:rsidR="00F75BA6" w:rsidRPr="00D562F1" w:rsidRDefault="00F75BA6" w:rsidP="0040594E">
            <w:pPr>
              <w:pStyle w:val="Tablebody"/>
              <w:rPr>
                <w:rFonts w:cstheme="minorHAnsi"/>
                <w:b/>
                <w:bCs/>
                <w:sz w:val="24"/>
                <w:szCs w:val="24"/>
              </w:rPr>
            </w:pPr>
            <w:r w:rsidRPr="00D562F1">
              <w:rPr>
                <w:rFonts w:cstheme="minorHAnsi"/>
                <w:b/>
                <w:bCs/>
                <w:sz w:val="24"/>
                <w:szCs w:val="24"/>
              </w:rPr>
              <w:t xml:space="preserve">95% </w:t>
            </w:r>
            <w:proofErr w:type="spellStart"/>
            <w:r w:rsidRPr="00D562F1">
              <w:rPr>
                <w:rFonts w:cstheme="minorHAnsi"/>
                <w:b/>
                <w:bCs/>
                <w:sz w:val="24"/>
                <w:szCs w:val="24"/>
              </w:rPr>
              <w:t>CI</w:t>
            </w:r>
            <w:r w:rsidRPr="00D562F1">
              <w:rPr>
                <w:rFonts w:cstheme="minorHAnsi"/>
                <w:b/>
                <w:bCs/>
                <w:sz w:val="24"/>
                <w:szCs w:val="24"/>
                <w:vertAlign w:val="superscript"/>
              </w:rPr>
              <w:t>b</w:t>
            </w:r>
            <w:proofErr w:type="spellEnd"/>
          </w:p>
        </w:tc>
        <w:tc>
          <w:tcPr>
            <w:tcW w:w="1170" w:type="dxa"/>
            <w:gridSpan w:val="4"/>
            <w:tcBorders>
              <w:bottom w:val="single" w:sz="4" w:space="0" w:color="auto"/>
            </w:tcBorders>
            <w:shd w:val="clear" w:color="auto" w:fill="auto"/>
            <w:vAlign w:val="bottom"/>
          </w:tcPr>
          <w:p w14:paraId="0ECB4427" w14:textId="77777777" w:rsidR="00F75BA6" w:rsidRPr="00D562F1" w:rsidRDefault="00C67EB4" w:rsidP="0040594E">
            <w:pPr>
              <w:pStyle w:val="Tablebody"/>
              <w:rPr>
                <w:rFonts w:cstheme="minorHAnsi"/>
                <w:b/>
                <w:bCs/>
                <w:sz w:val="24"/>
                <w:szCs w:val="24"/>
              </w:rPr>
            </w:pPr>
            <w:r w:rsidRPr="00D562F1">
              <w:rPr>
                <w:rFonts w:cstheme="minorHAnsi"/>
                <w:b/>
                <w:bCs/>
                <w:i/>
                <w:sz w:val="24"/>
                <w:szCs w:val="24"/>
              </w:rPr>
              <w:t>p</w:t>
            </w:r>
            <w:r w:rsidRPr="00D562F1">
              <w:rPr>
                <w:rFonts w:cstheme="minorHAnsi"/>
                <w:b/>
                <w:bCs/>
                <w:sz w:val="24"/>
                <w:szCs w:val="24"/>
              </w:rPr>
              <w:t>-value</w:t>
            </w:r>
          </w:p>
        </w:tc>
      </w:tr>
      <w:tr w:rsidR="00F75BA6" w14:paraId="6B894F1E" w14:textId="77777777" w:rsidTr="004B40BA">
        <w:trPr>
          <w:gridAfter w:val="1"/>
          <w:wAfter w:w="23" w:type="dxa"/>
          <w:trHeight w:val="300"/>
        </w:trPr>
        <w:tc>
          <w:tcPr>
            <w:tcW w:w="2666" w:type="dxa"/>
            <w:tcBorders>
              <w:top w:val="nil"/>
              <w:right w:val="nil"/>
            </w:tcBorders>
            <w:shd w:val="clear" w:color="auto" w:fill="auto"/>
            <w:noWrap/>
            <w:vAlign w:val="bottom"/>
          </w:tcPr>
          <w:p w14:paraId="1F754A68" w14:textId="77777777" w:rsidR="00F75BA6" w:rsidRPr="00D562F1" w:rsidRDefault="00F75BA6" w:rsidP="0040594E">
            <w:pPr>
              <w:pStyle w:val="Tablebody"/>
              <w:rPr>
                <w:rFonts w:cstheme="minorHAnsi"/>
                <w:sz w:val="24"/>
                <w:szCs w:val="24"/>
              </w:rPr>
            </w:pPr>
            <w:r w:rsidRPr="00D562F1">
              <w:rPr>
                <w:rFonts w:cstheme="minorHAnsi"/>
                <w:sz w:val="24"/>
                <w:szCs w:val="24"/>
              </w:rPr>
              <w:t>Bottled Water</w:t>
            </w:r>
            <w:r w:rsidR="009D21C6" w:rsidRPr="00D562F1">
              <w:rPr>
                <w:rFonts w:cstheme="minorHAnsi"/>
                <w:sz w:val="24"/>
                <w:szCs w:val="24"/>
              </w:rPr>
              <w:t xml:space="preserve"> </w:t>
            </w:r>
            <w:r w:rsidRPr="00D562F1">
              <w:rPr>
                <w:rFonts w:cstheme="minorHAnsi"/>
                <w:sz w:val="24"/>
                <w:szCs w:val="24"/>
              </w:rPr>
              <w:t>=</w:t>
            </w:r>
            <w:r w:rsidR="009D21C6" w:rsidRPr="00D562F1">
              <w:rPr>
                <w:rFonts w:cstheme="minorHAnsi"/>
                <w:sz w:val="24"/>
                <w:szCs w:val="24"/>
              </w:rPr>
              <w:t xml:space="preserve"> </w:t>
            </w:r>
            <w:r w:rsidRPr="00D562F1">
              <w:rPr>
                <w:rFonts w:cstheme="minorHAnsi"/>
                <w:sz w:val="24"/>
                <w:szCs w:val="24"/>
              </w:rPr>
              <w:t>0</w:t>
            </w:r>
          </w:p>
        </w:tc>
        <w:tc>
          <w:tcPr>
            <w:tcW w:w="720" w:type="dxa"/>
            <w:tcBorders>
              <w:top w:val="single" w:sz="4" w:space="0" w:color="auto"/>
              <w:left w:val="nil"/>
              <w:right w:val="nil"/>
            </w:tcBorders>
            <w:shd w:val="clear" w:color="auto" w:fill="auto"/>
            <w:noWrap/>
            <w:vAlign w:val="bottom"/>
          </w:tcPr>
          <w:p w14:paraId="71B427CF" w14:textId="77777777" w:rsidR="00F75BA6" w:rsidRPr="00D562F1" w:rsidRDefault="00F75BA6" w:rsidP="0040594E">
            <w:pPr>
              <w:pStyle w:val="Tablebody"/>
              <w:rPr>
                <w:rFonts w:cstheme="minorHAnsi"/>
                <w:sz w:val="24"/>
                <w:szCs w:val="24"/>
              </w:rPr>
            </w:pPr>
          </w:p>
        </w:tc>
        <w:tc>
          <w:tcPr>
            <w:tcW w:w="981" w:type="dxa"/>
            <w:tcBorders>
              <w:top w:val="single" w:sz="4" w:space="0" w:color="auto"/>
              <w:left w:val="nil"/>
              <w:right w:val="nil"/>
            </w:tcBorders>
            <w:shd w:val="clear" w:color="auto" w:fill="auto"/>
            <w:noWrap/>
            <w:vAlign w:val="bottom"/>
          </w:tcPr>
          <w:p w14:paraId="27681A99" w14:textId="77777777" w:rsidR="00F75BA6" w:rsidRPr="00D562F1" w:rsidRDefault="00F75BA6" w:rsidP="0040594E">
            <w:pPr>
              <w:pStyle w:val="Tablebody"/>
              <w:rPr>
                <w:rFonts w:cstheme="minorHAnsi"/>
                <w:sz w:val="24"/>
                <w:szCs w:val="24"/>
              </w:rPr>
            </w:pPr>
          </w:p>
        </w:tc>
        <w:tc>
          <w:tcPr>
            <w:tcW w:w="720" w:type="dxa"/>
            <w:tcBorders>
              <w:top w:val="single" w:sz="4" w:space="0" w:color="auto"/>
              <w:left w:val="nil"/>
              <w:right w:val="nil"/>
            </w:tcBorders>
            <w:shd w:val="clear" w:color="auto" w:fill="auto"/>
            <w:noWrap/>
            <w:vAlign w:val="bottom"/>
          </w:tcPr>
          <w:p w14:paraId="5FD136B9" w14:textId="77777777" w:rsidR="00F75BA6" w:rsidRPr="00D562F1" w:rsidRDefault="00F75BA6" w:rsidP="0040594E">
            <w:pPr>
              <w:pStyle w:val="Tablebody"/>
              <w:rPr>
                <w:rFonts w:cstheme="minorHAnsi"/>
                <w:sz w:val="24"/>
                <w:szCs w:val="24"/>
              </w:rPr>
            </w:pPr>
          </w:p>
        </w:tc>
        <w:tc>
          <w:tcPr>
            <w:tcW w:w="1152" w:type="dxa"/>
            <w:tcBorders>
              <w:top w:val="single" w:sz="4" w:space="0" w:color="auto"/>
              <w:left w:val="nil"/>
              <w:right w:val="nil"/>
            </w:tcBorders>
            <w:shd w:val="clear" w:color="auto" w:fill="auto"/>
            <w:noWrap/>
            <w:vAlign w:val="bottom"/>
          </w:tcPr>
          <w:p w14:paraId="782D3A8F" w14:textId="77777777" w:rsidR="00F75BA6" w:rsidRPr="00D562F1" w:rsidRDefault="00F75BA6" w:rsidP="0040594E">
            <w:pPr>
              <w:pStyle w:val="Tablebody"/>
              <w:rPr>
                <w:rFonts w:cstheme="minorHAnsi"/>
                <w:sz w:val="24"/>
                <w:szCs w:val="24"/>
              </w:rPr>
            </w:pPr>
          </w:p>
        </w:tc>
        <w:tc>
          <w:tcPr>
            <w:tcW w:w="662" w:type="dxa"/>
            <w:tcBorders>
              <w:top w:val="single" w:sz="4" w:space="0" w:color="auto"/>
              <w:left w:val="nil"/>
              <w:right w:val="nil"/>
            </w:tcBorders>
            <w:shd w:val="clear" w:color="auto" w:fill="auto"/>
            <w:noWrap/>
            <w:vAlign w:val="bottom"/>
          </w:tcPr>
          <w:p w14:paraId="7A2C7A9B" w14:textId="77777777" w:rsidR="00F75BA6" w:rsidRPr="00D562F1" w:rsidRDefault="00F75BA6" w:rsidP="0040594E">
            <w:pPr>
              <w:pStyle w:val="Tablebody"/>
              <w:rPr>
                <w:rFonts w:cstheme="minorHAnsi"/>
                <w:sz w:val="24"/>
                <w:szCs w:val="24"/>
              </w:rPr>
            </w:pPr>
          </w:p>
        </w:tc>
        <w:tc>
          <w:tcPr>
            <w:tcW w:w="1260" w:type="dxa"/>
            <w:tcBorders>
              <w:top w:val="single" w:sz="4" w:space="0" w:color="auto"/>
              <w:left w:val="nil"/>
              <w:right w:val="nil"/>
            </w:tcBorders>
            <w:shd w:val="clear" w:color="auto" w:fill="auto"/>
            <w:noWrap/>
            <w:vAlign w:val="bottom"/>
          </w:tcPr>
          <w:p w14:paraId="1768737D" w14:textId="77777777" w:rsidR="00F75BA6" w:rsidRPr="00D562F1" w:rsidRDefault="00F75BA6" w:rsidP="0040594E">
            <w:pPr>
              <w:pStyle w:val="Tablebody"/>
              <w:rPr>
                <w:rFonts w:cstheme="minorHAnsi"/>
                <w:sz w:val="24"/>
                <w:szCs w:val="24"/>
              </w:rPr>
            </w:pPr>
          </w:p>
        </w:tc>
        <w:tc>
          <w:tcPr>
            <w:tcW w:w="1170" w:type="dxa"/>
            <w:gridSpan w:val="4"/>
            <w:tcBorders>
              <w:top w:val="single" w:sz="4" w:space="0" w:color="auto"/>
              <w:left w:val="nil"/>
            </w:tcBorders>
            <w:shd w:val="clear" w:color="auto" w:fill="auto"/>
            <w:noWrap/>
            <w:vAlign w:val="bottom"/>
          </w:tcPr>
          <w:p w14:paraId="1D233A89" w14:textId="77777777" w:rsidR="00F75BA6" w:rsidRPr="00D562F1" w:rsidRDefault="00F75BA6" w:rsidP="0040594E">
            <w:pPr>
              <w:pStyle w:val="Tablebody"/>
              <w:rPr>
                <w:rFonts w:cstheme="minorHAnsi"/>
                <w:sz w:val="24"/>
                <w:szCs w:val="24"/>
              </w:rPr>
            </w:pPr>
          </w:p>
        </w:tc>
      </w:tr>
      <w:tr w:rsidR="00F75BA6" w14:paraId="409FB225" w14:textId="77777777" w:rsidTr="004B40BA">
        <w:trPr>
          <w:gridAfter w:val="1"/>
          <w:wAfter w:w="23" w:type="dxa"/>
          <w:trHeight w:val="300"/>
        </w:trPr>
        <w:tc>
          <w:tcPr>
            <w:tcW w:w="2666" w:type="dxa"/>
            <w:tcBorders>
              <w:top w:val="nil"/>
              <w:right w:val="nil"/>
            </w:tcBorders>
            <w:shd w:val="clear" w:color="auto" w:fill="auto"/>
            <w:noWrap/>
            <w:vAlign w:val="bottom"/>
            <w:hideMark/>
          </w:tcPr>
          <w:p w14:paraId="0DAD1854" w14:textId="77777777" w:rsidR="00F75BA6" w:rsidRPr="00D562F1" w:rsidRDefault="00F75BA6" w:rsidP="00484C9D">
            <w:pPr>
              <w:pStyle w:val="Tablebody"/>
              <w:ind w:left="340"/>
              <w:rPr>
                <w:rFonts w:cstheme="minorHAnsi"/>
                <w:sz w:val="24"/>
                <w:szCs w:val="24"/>
              </w:rPr>
            </w:pPr>
            <w:r w:rsidRPr="00D562F1">
              <w:rPr>
                <w:rFonts w:cstheme="minorHAnsi"/>
                <w:sz w:val="24"/>
                <w:szCs w:val="24"/>
              </w:rPr>
              <w:t>Zero</w:t>
            </w:r>
          </w:p>
        </w:tc>
        <w:tc>
          <w:tcPr>
            <w:tcW w:w="720" w:type="dxa"/>
            <w:tcBorders>
              <w:left w:val="nil"/>
              <w:right w:val="nil"/>
            </w:tcBorders>
            <w:shd w:val="clear" w:color="auto" w:fill="auto"/>
            <w:noWrap/>
            <w:vAlign w:val="bottom"/>
          </w:tcPr>
          <w:p w14:paraId="448B0DAE" w14:textId="77777777" w:rsidR="00F75BA6" w:rsidRPr="00D562F1" w:rsidRDefault="00F75BA6" w:rsidP="0040594E">
            <w:pPr>
              <w:pStyle w:val="Tablebody"/>
              <w:rPr>
                <w:rFonts w:cstheme="minorHAnsi"/>
                <w:sz w:val="24"/>
                <w:szCs w:val="24"/>
              </w:rPr>
            </w:pPr>
            <w:r w:rsidRPr="00D562F1">
              <w:rPr>
                <w:rFonts w:cstheme="minorHAnsi"/>
                <w:sz w:val="24"/>
                <w:szCs w:val="24"/>
              </w:rPr>
              <w:t>13</w:t>
            </w:r>
          </w:p>
        </w:tc>
        <w:tc>
          <w:tcPr>
            <w:tcW w:w="981" w:type="dxa"/>
            <w:tcBorders>
              <w:left w:val="nil"/>
              <w:right w:val="nil"/>
            </w:tcBorders>
            <w:shd w:val="clear" w:color="auto" w:fill="auto"/>
            <w:noWrap/>
            <w:vAlign w:val="bottom"/>
          </w:tcPr>
          <w:p w14:paraId="2598AAC6" w14:textId="77777777" w:rsidR="00F75BA6" w:rsidRPr="00D562F1" w:rsidRDefault="00F75BA6" w:rsidP="0040594E">
            <w:pPr>
              <w:pStyle w:val="Tablebody"/>
              <w:rPr>
                <w:rFonts w:cstheme="minorHAnsi"/>
                <w:sz w:val="24"/>
                <w:szCs w:val="24"/>
              </w:rPr>
            </w:pPr>
            <w:r w:rsidRPr="00D562F1">
              <w:rPr>
                <w:rFonts w:cstheme="minorHAnsi"/>
                <w:sz w:val="24"/>
                <w:szCs w:val="24"/>
              </w:rPr>
              <w:t>(81%)</w:t>
            </w:r>
          </w:p>
        </w:tc>
        <w:tc>
          <w:tcPr>
            <w:tcW w:w="720" w:type="dxa"/>
            <w:tcBorders>
              <w:left w:val="nil"/>
              <w:right w:val="nil"/>
            </w:tcBorders>
            <w:shd w:val="clear" w:color="auto" w:fill="auto"/>
            <w:noWrap/>
            <w:vAlign w:val="bottom"/>
          </w:tcPr>
          <w:p w14:paraId="6CDC2A3F" w14:textId="77777777" w:rsidR="00F75BA6" w:rsidRPr="00D562F1" w:rsidRDefault="00F75BA6" w:rsidP="0040594E">
            <w:pPr>
              <w:pStyle w:val="Tablebody"/>
              <w:rPr>
                <w:rFonts w:cstheme="minorHAnsi"/>
                <w:sz w:val="24"/>
                <w:szCs w:val="24"/>
              </w:rPr>
            </w:pPr>
            <w:r w:rsidRPr="00D562F1">
              <w:rPr>
                <w:rFonts w:cstheme="minorHAnsi"/>
                <w:sz w:val="24"/>
                <w:szCs w:val="24"/>
              </w:rPr>
              <w:t>48</w:t>
            </w:r>
          </w:p>
        </w:tc>
        <w:tc>
          <w:tcPr>
            <w:tcW w:w="1152" w:type="dxa"/>
            <w:tcBorders>
              <w:left w:val="nil"/>
              <w:right w:val="nil"/>
            </w:tcBorders>
            <w:shd w:val="clear" w:color="auto" w:fill="auto"/>
            <w:noWrap/>
            <w:vAlign w:val="bottom"/>
          </w:tcPr>
          <w:p w14:paraId="554D9531" w14:textId="77777777" w:rsidR="00F75BA6" w:rsidRPr="00D562F1" w:rsidRDefault="00F75BA6" w:rsidP="0040594E">
            <w:pPr>
              <w:pStyle w:val="Tablebody"/>
              <w:rPr>
                <w:rFonts w:cstheme="minorHAnsi"/>
                <w:sz w:val="24"/>
                <w:szCs w:val="24"/>
              </w:rPr>
            </w:pPr>
            <w:r w:rsidRPr="00D562F1">
              <w:rPr>
                <w:rFonts w:cstheme="minorHAnsi"/>
                <w:sz w:val="24"/>
                <w:szCs w:val="24"/>
              </w:rPr>
              <w:t>(84%)</w:t>
            </w:r>
          </w:p>
        </w:tc>
        <w:tc>
          <w:tcPr>
            <w:tcW w:w="662" w:type="dxa"/>
            <w:tcBorders>
              <w:left w:val="nil"/>
              <w:right w:val="nil"/>
            </w:tcBorders>
            <w:shd w:val="clear" w:color="auto" w:fill="auto"/>
            <w:noWrap/>
            <w:vAlign w:val="bottom"/>
          </w:tcPr>
          <w:p w14:paraId="1C615EA1" w14:textId="77777777" w:rsidR="00F75BA6" w:rsidRPr="00D562F1" w:rsidRDefault="00F75BA6" w:rsidP="0040594E">
            <w:pPr>
              <w:pStyle w:val="Tablebody"/>
              <w:rPr>
                <w:rFonts w:cstheme="minorHAnsi"/>
                <w:sz w:val="24"/>
                <w:szCs w:val="24"/>
              </w:rPr>
            </w:pPr>
            <w:r w:rsidRPr="00D562F1">
              <w:rPr>
                <w:rFonts w:cstheme="minorHAnsi"/>
                <w:sz w:val="24"/>
                <w:szCs w:val="24"/>
              </w:rPr>
              <w:t>1.0</w:t>
            </w:r>
          </w:p>
        </w:tc>
        <w:tc>
          <w:tcPr>
            <w:tcW w:w="2430" w:type="dxa"/>
            <w:gridSpan w:val="5"/>
            <w:tcBorders>
              <w:left w:val="nil"/>
            </w:tcBorders>
            <w:shd w:val="clear" w:color="auto" w:fill="auto"/>
            <w:noWrap/>
            <w:vAlign w:val="bottom"/>
          </w:tcPr>
          <w:p w14:paraId="5E781A8E" w14:textId="77777777" w:rsidR="00F75BA6" w:rsidRPr="00D562F1" w:rsidRDefault="00F75BA6" w:rsidP="0040594E">
            <w:pPr>
              <w:pStyle w:val="Tablebody"/>
              <w:rPr>
                <w:rFonts w:cstheme="minorHAnsi"/>
                <w:sz w:val="24"/>
                <w:szCs w:val="24"/>
              </w:rPr>
            </w:pPr>
            <w:r w:rsidRPr="00D562F1">
              <w:rPr>
                <w:rFonts w:cstheme="minorHAnsi"/>
                <w:sz w:val="24"/>
                <w:szCs w:val="24"/>
              </w:rPr>
              <w:t>-ref-</w:t>
            </w:r>
          </w:p>
        </w:tc>
      </w:tr>
      <w:tr w:rsidR="00F75BA6" w14:paraId="160683D2" w14:textId="77777777" w:rsidTr="004B40BA">
        <w:trPr>
          <w:gridAfter w:val="1"/>
          <w:wAfter w:w="23" w:type="dxa"/>
          <w:trHeight w:val="300"/>
        </w:trPr>
        <w:tc>
          <w:tcPr>
            <w:tcW w:w="2666" w:type="dxa"/>
            <w:tcBorders>
              <w:right w:val="nil"/>
            </w:tcBorders>
            <w:shd w:val="clear" w:color="auto" w:fill="auto"/>
            <w:noWrap/>
            <w:vAlign w:val="bottom"/>
          </w:tcPr>
          <w:p w14:paraId="4982193F" w14:textId="77777777" w:rsidR="00F75BA6" w:rsidRPr="00D562F1" w:rsidRDefault="00F75BA6" w:rsidP="00484C9D">
            <w:pPr>
              <w:pStyle w:val="Tablebody"/>
              <w:ind w:left="340"/>
              <w:rPr>
                <w:rFonts w:cstheme="minorHAnsi"/>
                <w:sz w:val="24"/>
                <w:szCs w:val="24"/>
              </w:rPr>
            </w:pPr>
            <w:r w:rsidRPr="00D562F1">
              <w:rPr>
                <w:rFonts w:cstheme="minorHAnsi"/>
                <w:sz w:val="24"/>
                <w:szCs w:val="24"/>
              </w:rPr>
              <w:t>Low</w:t>
            </w:r>
          </w:p>
        </w:tc>
        <w:tc>
          <w:tcPr>
            <w:tcW w:w="720" w:type="dxa"/>
            <w:tcBorders>
              <w:left w:val="nil"/>
              <w:right w:val="nil"/>
            </w:tcBorders>
            <w:shd w:val="clear" w:color="auto" w:fill="auto"/>
            <w:noWrap/>
            <w:vAlign w:val="bottom"/>
          </w:tcPr>
          <w:p w14:paraId="1F0F5DA1" w14:textId="77777777" w:rsidR="00F75BA6" w:rsidRPr="00D562F1" w:rsidRDefault="00F75BA6" w:rsidP="0040594E">
            <w:pPr>
              <w:pStyle w:val="Tablebody"/>
              <w:rPr>
                <w:rFonts w:cstheme="minorHAnsi"/>
                <w:sz w:val="24"/>
                <w:szCs w:val="24"/>
              </w:rPr>
            </w:pPr>
            <w:r w:rsidRPr="00D562F1">
              <w:rPr>
                <w:rFonts w:cstheme="minorHAnsi"/>
                <w:sz w:val="24"/>
                <w:szCs w:val="24"/>
              </w:rPr>
              <w:t>1</w:t>
            </w:r>
          </w:p>
        </w:tc>
        <w:tc>
          <w:tcPr>
            <w:tcW w:w="981" w:type="dxa"/>
            <w:tcBorders>
              <w:left w:val="nil"/>
              <w:right w:val="nil"/>
            </w:tcBorders>
            <w:shd w:val="clear" w:color="auto" w:fill="auto"/>
            <w:noWrap/>
            <w:vAlign w:val="bottom"/>
          </w:tcPr>
          <w:p w14:paraId="2B87B7DD" w14:textId="77777777" w:rsidR="00F75BA6" w:rsidRPr="00D562F1" w:rsidRDefault="00F75BA6" w:rsidP="0040594E">
            <w:pPr>
              <w:pStyle w:val="Tablebody"/>
              <w:rPr>
                <w:rFonts w:cstheme="minorHAnsi"/>
                <w:sz w:val="24"/>
                <w:szCs w:val="24"/>
              </w:rPr>
            </w:pPr>
            <w:r w:rsidRPr="00D562F1">
              <w:rPr>
                <w:rFonts w:cstheme="minorHAnsi"/>
                <w:sz w:val="24"/>
                <w:szCs w:val="24"/>
              </w:rPr>
              <w:t>(6%)</w:t>
            </w:r>
          </w:p>
        </w:tc>
        <w:tc>
          <w:tcPr>
            <w:tcW w:w="720" w:type="dxa"/>
            <w:tcBorders>
              <w:left w:val="nil"/>
              <w:right w:val="nil"/>
            </w:tcBorders>
            <w:shd w:val="clear" w:color="auto" w:fill="auto"/>
            <w:noWrap/>
            <w:vAlign w:val="bottom"/>
          </w:tcPr>
          <w:p w14:paraId="10A572FA" w14:textId="77777777" w:rsidR="00F75BA6" w:rsidRPr="00D562F1" w:rsidRDefault="00F75BA6" w:rsidP="0040594E">
            <w:pPr>
              <w:pStyle w:val="Tablebody"/>
              <w:rPr>
                <w:rFonts w:cstheme="minorHAnsi"/>
                <w:sz w:val="24"/>
                <w:szCs w:val="24"/>
              </w:rPr>
            </w:pPr>
            <w:r w:rsidRPr="00D562F1">
              <w:rPr>
                <w:rFonts w:cstheme="minorHAnsi"/>
                <w:sz w:val="24"/>
                <w:szCs w:val="24"/>
              </w:rPr>
              <w:t>5</w:t>
            </w:r>
          </w:p>
        </w:tc>
        <w:tc>
          <w:tcPr>
            <w:tcW w:w="1152" w:type="dxa"/>
            <w:tcBorders>
              <w:left w:val="nil"/>
              <w:right w:val="nil"/>
            </w:tcBorders>
            <w:shd w:val="clear" w:color="auto" w:fill="auto"/>
            <w:noWrap/>
            <w:vAlign w:val="bottom"/>
          </w:tcPr>
          <w:p w14:paraId="3638A48E" w14:textId="77777777" w:rsidR="00F75BA6" w:rsidRPr="00D562F1" w:rsidRDefault="00F75BA6" w:rsidP="0040594E">
            <w:pPr>
              <w:pStyle w:val="Tablebody"/>
              <w:rPr>
                <w:rFonts w:cstheme="minorHAnsi"/>
                <w:sz w:val="24"/>
                <w:szCs w:val="24"/>
              </w:rPr>
            </w:pPr>
            <w:r w:rsidRPr="00D562F1">
              <w:rPr>
                <w:rFonts w:cstheme="minorHAnsi"/>
                <w:sz w:val="24"/>
                <w:szCs w:val="24"/>
              </w:rPr>
              <w:t>(9%)</w:t>
            </w:r>
          </w:p>
        </w:tc>
        <w:tc>
          <w:tcPr>
            <w:tcW w:w="662" w:type="dxa"/>
            <w:tcBorders>
              <w:left w:val="nil"/>
              <w:right w:val="nil"/>
            </w:tcBorders>
            <w:shd w:val="clear" w:color="auto" w:fill="auto"/>
            <w:noWrap/>
            <w:vAlign w:val="bottom"/>
          </w:tcPr>
          <w:p w14:paraId="360DBD38" w14:textId="77777777" w:rsidR="00F75BA6" w:rsidRPr="00D562F1" w:rsidRDefault="00F75BA6" w:rsidP="0040594E">
            <w:pPr>
              <w:pStyle w:val="Tablebody"/>
              <w:rPr>
                <w:rFonts w:cstheme="minorHAnsi"/>
                <w:sz w:val="24"/>
                <w:szCs w:val="24"/>
              </w:rPr>
            </w:pPr>
            <w:r w:rsidRPr="00D562F1">
              <w:rPr>
                <w:rFonts w:cstheme="minorHAnsi"/>
                <w:sz w:val="24"/>
                <w:szCs w:val="24"/>
              </w:rPr>
              <w:t>0.8</w:t>
            </w:r>
          </w:p>
        </w:tc>
        <w:tc>
          <w:tcPr>
            <w:tcW w:w="1260" w:type="dxa"/>
            <w:tcBorders>
              <w:left w:val="nil"/>
              <w:right w:val="nil"/>
            </w:tcBorders>
            <w:shd w:val="clear" w:color="auto" w:fill="auto"/>
            <w:noWrap/>
            <w:vAlign w:val="bottom"/>
          </w:tcPr>
          <w:p w14:paraId="4820DAD2" w14:textId="77777777" w:rsidR="00F75BA6" w:rsidRPr="00D562F1" w:rsidRDefault="00F75BA6" w:rsidP="0040594E">
            <w:pPr>
              <w:pStyle w:val="Tablebody"/>
              <w:rPr>
                <w:rFonts w:cstheme="minorHAnsi"/>
                <w:sz w:val="24"/>
                <w:szCs w:val="24"/>
              </w:rPr>
            </w:pPr>
            <w:r w:rsidRPr="00D562F1">
              <w:rPr>
                <w:rFonts w:cstheme="minorHAnsi"/>
                <w:sz w:val="24"/>
                <w:szCs w:val="24"/>
              </w:rPr>
              <w:t>(0.1, 8.2)</w:t>
            </w:r>
          </w:p>
        </w:tc>
        <w:tc>
          <w:tcPr>
            <w:tcW w:w="1170" w:type="dxa"/>
            <w:gridSpan w:val="4"/>
            <w:tcBorders>
              <w:left w:val="nil"/>
            </w:tcBorders>
            <w:shd w:val="clear" w:color="auto" w:fill="auto"/>
            <w:noWrap/>
            <w:vAlign w:val="bottom"/>
          </w:tcPr>
          <w:p w14:paraId="2F777D16" w14:textId="77777777" w:rsidR="00F75BA6" w:rsidRPr="00D562F1" w:rsidRDefault="00F75BA6" w:rsidP="0040594E">
            <w:pPr>
              <w:pStyle w:val="Tablebody"/>
              <w:rPr>
                <w:rFonts w:cstheme="minorHAnsi"/>
                <w:sz w:val="24"/>
                <w:szCs w:val="24"/>
              </w:rPr>
            </w:pPr>
            <w:r w:rsidRPr="00D562F1">
              <w:rPr>
                <w:rFonts w:cstheme="minorHAnsi"/>
                <w:sz w:val="24"/>
                <w:szCs w:val="24"/>
              </w:rPr>
              <w:t>0.85</w:t>
            </w:r>
          </w:p>
        </w:tc>
      </w:tr>
      <w:tr w:rsidR="00F75BA6" w14:paraId="6CD120CB" w14:textId="77777777" w:rsidTr="004B40BA">
        <w:trPr>
          <w:gridAfter w:val="1"/>
          <w:wAfter w:w="23" w:type="dxa"/>
          <w:trHeight w:val="300"/>
        </w:trPr>
        <w:tc>
          <w:tcPr>
            <w:tcW w:w="2666" w:type="dxa"/>
            <w:tcBorders>
              <w:right w:val="nil"/>
            </w:tcBorders>
            <w:shd w:val="clear" w:color="auto" w:fill="auto"/>
            <w:noWrap/>
            <w:vAlign w:val="bottom"/>
            <w:hideMark/>
          </w:tcPr>
          <w:p w14:paraId="12FBC611" w14:textId="77777777" w:rsidR="00F75BA6" w:rsidRPr="00D562F1" w:rsidRDefault="00F75BA6" w:rsidP="00484C9D">
            <w:pPr>
              <w:pStyle w:val="Tablebody"/>
              <w:ind w:left="340"/>
              <w:rPr>
                <w:rFonts w:cstheme="minorHAnsi"/>
                <w:sz w:val="24"/>
                <w:szCs w:val="24"/>
              </w:rPr>
            </w:pPr>
            <w:r w:rsidRPr="00D562F1">
              <w:rPr>
                <w:rFonts w:cstheme="minorHAnsi"/>
                <w:sz w:val="24"/>
                <w:szCs w:val="24"/>
              </w:rPr>
              <w:t>High</w:t>
            </w:r>
          </w:p>
        </w:tc>
        <w:tc>
          <w:tcPr>
            <w:tcW w:w="720" w:type="dxa"/>
            <w:tcBorders>
              <w:left w:val="nil"/>
              <w:right w:val="nil"/>
            </w:tcBorders>
            <w:shd w:val="clear" w:color="auto" w:fill="auto"/>
            <w:noWrap/>
            <w:vAlign w:val="bottom"/>
          </w:tcPr>
          <w:p w14:paraId="5FEA252F" w14:textId="77777777" w:rsidR="00F75BA6" w:rsidRPr="00D562F1" w:rsidRDefault="00F75BA6" w:rsidP="0040594E">
            <w:pPr>
              <w:pStyle w:val="Tablebody"/>
              <w:rPr>
                <w:rFonts w:cstheme="minorHAnsi"/>
                <w:sz w:val="24"/>
                <w:szCs w:val="24"/>
              </w:rPr>
            </w:pPr>
            <w:r w:rsidRPr="00D562F1">
              <w:rPr>
                <w:rFonts w:cstheme="minorHAnsi"/>
                <w:sz w:val="24"/>
                <w:szCs w:val="24"/>
              </w:rPr>
              <w:t>2</w:t>
            </w:r>
          </w:p>
        </w:tc>
        <w:tc>
          <w:tcPr>
            <w:tcW w:w="981" w:type="dxa"/>
            <w:tcBorders>
              <w:left w:val="nil"/>
              <w:right w:val="nil"/>
            </w:tcBorders>
            <w:shd w:val="clear" w:color="auto" w:fill="auto"/>
            <w:noWrap/>
            <w:vAlign w:val="bottom"/>
          </w:tcPr>
          <w:p w14:paraId="34A15FF4" w14:textId="77777777" w:rsidR="00F75BA6" w:rsidRPr="00D562F1" w:rsidRDefault="00F75BA6" w:rsidP="0040594E">
            <w:pPr>
              <w:pStyle w:val="Tablebody"/>
              <w:rPr>
                <w:rFonts w:cstheme="minorHAnsi"/>
                <w:sz w:val="24"/>
                <w:szCs w:val="24"/>
              </w:rPr>
            </w:pPr>
            <w:r w:rsidRPr="00D562F1">
              <w:rPr>
                <w:rFonts w:cstheme="minorHAnsi"/>
                <w:sz w:val="24"/>
                <w:szCs w:val="24"/>
              </w:rPr>
              <w:t>(13%)</w:t>
            </w:r>
          </w:p>
        </w:tc>
        <w:tc>
          <w:tcPr>
            <w:tcW w:w="720" w:type="dxa"/>
            <w:tcBorders>
              <w:left w:val="nil"/>
              <w:right w:val="nil"/>
            </w:tcBorders>
            <w:shd w:val="clear" w:color="auto" w:fill="auto"/>
            <w:noWrap/>
            <w:vAlign w:val="bottom"/>
          </w:tcPr>
          <w:p w14:paraId="2DEAF25A" w14:textId="77777777" w:rsidR="00F75BA6" w:rsidRPr="00D562F1" w:rsidRDefault="00F75BA6" w:rsidP="0040594E">
            <w:pPr>
              <w:pStyle w:val="Tablebody"/>
              <w:rPr>
                <w:rFonts w:cstheme="minorHAnsi"/>
                <w:sz w:val="24"/>
                <w:szCs w:val="24"/>
              </w:rPr>
            </w:pPr>
            <w:r w:rsidRPr="00D562F1">
              <w:rPr>
                <w:rFonts w:cstheme="minorHAnsi"/>
                <w:sz w:val="24"/>
                <w:szCs w:val="24"/>
              </w:rPr>
              <w:t>4</w:t>
            </w:r>
          </w:p>
        </w:tc>
        <w:tc>
          <w:tcPr>
            <w:tcW w:w="1152" w:type="dxa"/>
            <w:tcBorders>
              <w:left w:val="nil"/>
              <w:right w:val="nil"/>
            </w:tcBorders>
            <w:shd w:val="clear" w:color="auto" w:fill="auto"/>
            <w:noWrap/>
            <w:vAlign w:val="bottom"/>
          </w:tcPr>
          <w:p w14:paraId="296030F3" w14:textId="77777777" w:rsidR="00F75BA6" w:rsidRPr="00D562F1" w:rsidRDefault="00F75BA6" w:rsidP="0040594E">
            <w:pPr>
              <w:pStyle w:val="Tablebody"/>
              <w:rPr>
                <w:rFonts w:cstheme="minorHAnsi"/>
                <w:sz w:val="24"/>
                <w:szCs w:val="24"/>
              </w:rPr>
            </w:pPr>
            <w:r w:rsidRPr="00D562F1">
              <w:rPr>
                <w:rFonts w:cstheme="minorHAnsi"/>
                <w:sz w:val="24"/>
                <w:szCs w:val="24"/>
              </w:rPr>
              <w:t>(7%)</w:t>
            </w:r>
          </w:p>
        </w:tc>
        <w:tc>
          <w:tcPr>
            <w:tcW w:w="662" w:type="dxa"/>
            <w:tcBorders>
              <w:left w:val="nil"/>
              <w:right w:val="nil"/>
            </w:tcBorders>
            <w:shd w:val="clear" w:color="auto" w:fill="auto"/>
            <w:noWrap/>
            <w:vAlign w:val="bottom"/>
          </w:tcPr>
          <w:p w14:paraId="6A42B457" w14:textId="77777777" w:rsidR="00F75BA6" w:rsidRPr="00D562F1" w:rsidRDefault="00F75BA6" w:rsidP="0040594E">
            <w:pPr>
              <w:pStyle w:val="Tablebody"/>
              <w:rPr>
                <w:rFonts w:cstheme="minorHAnsi"/>
                <w:sz w:val="24"/>
                <w:szCs w:val="24"/>
              </w:rPr>
            </w:pPr>
            <w:r w:rsidRPr="00D562F1">
              <w:rPr>
                <w:rFonts w:cstheme="minorHAnsi"/>
                <w:sz w:val="24"/>
                <w:szCs w:val="24"/>
              </w:rPr>
              <w:t>2.4</w:t>
            </w:r>
          </w:p>
        </w:tc>
        <w:tc>
          <w:tcPr>
            <w:tcW w:w="1260" w:type="dxa"/>
            <w:tcBorders>
              <w:left w:val="nil"/>
              <w:right w:val="nil"/>
            </w:tcBorders>
            <w:shd w:val="clear" w:color="auto" w:fill="auto"/>
            <w:noWrap/>
            <w:vAlign w:val="bottom"/>
          </w:tcPr>
          <w:p w14:paraId="1C0D542F" w14:textId="77777777" w:rsidR="00F75BA6" w:rsidRPr="00D562F1" w:rsidRDefault="00F75BA6" w:rsidP="0040594E">
            <w:pPr>
              <w:pStyle w:val="Tablebody"/>
              <w:rPr>
                <w:rFonts w:cstheme="minorHAnsi"/>
                <w:sz w:val="24"/>
                <w:szCs w:val="24"/>
              </w:rPr>
            </w:pPr>
            <w:r w:rsidRPr="00D562F1">
              <w:rPr>
                <w:rFonts w:cstheme="minorHAnsi"/>
                <w:sz w:val="24"/>
                <w:szCs w:val="24"/>
              </w:rPr>
              <w:t>(0.3, 18)</w:t>
            </w:r>
          </w:p>
        </w:tc>
        <w:tc>
          <w:tcPr>
            <w:tcW w:w="1170" w:type="dxa"/>
            <w:gridSpan w:val="4"/>
            <w:tcBorders>
              <w:left w:val="nil"/>
            </w:tcBorders>
            <w:shd w:val="clear" w:color="auto" w:fill="auto"/>
            <w:noWrap/>
            <w:vAlign w:val="bottom"/>
          </w:tcPr>
          <w:p w14:paraId="46635C1A" w14:textId="77777777" w:rsidR="00F75BA6" w:rsidRPr="00D562F1" w:rsidRDefault="00F75BA6" w:rsidP="0040594E">
            <w:pPr>
              <w:pStyle w:val="Tablebody"/>
              <w:rPr>
                <w:rFonts w:cstheme="minorHAnsi"/>
                <w:sz w:val="24"/>
                <w:szCs w:val="24"/>
              </w:rPr>
            </w:pPr>
            <w:r w:rsidRPr="00D562F1">
              <w:rPr>
                <w:rFonts w:cstheme="minorHAnsi"/>
                <w:sz w:val="24"/>
                <w:szCs w:val="24"/>
              </w:rPr>
              <w:t>0.38</w:t>
            </w:r>
          </w:p>
        </w:tc>
      </w:tr>
      <w:tr w:rsidR="00F75BA6" w14:paraId="0FC2569D" w14:textId="77777777" w:rsidTr="004B40BA">
        <w:trPr>
          <w:gridAfter w:val="1"/>
          <w:wAfter w:w="23" w:type="dxa"/>
          <w:trHeight w:val="300"/>
        </w:trPr>
        <w:tc>
          <w:tcPr>
            <w:tcW w:w="2666" w:type="dxa"/>
            <w:tcBorders>
              <w:right w:val="nil"/>
            </w:tcBorders>
            <w:shd w:val="clear" w:color="auto" w:fill="D9D9D9" w:themeFill="background1" w:themeFillShade="D9"/>
            <w:noWrap/>
            <w:vAlign w:val="bottom"/>
          </w:tcPr>
          <w:p w14:paraId="2DE3F34C" w14:textId="77777777" w:rsidR="00F75BA6" w:rsidRPr="00D562F1" w:rsidRDefault="00F75BA6" w:rsidP="0040594E">
            <w:pPr>
              <w:pStyle w:val="Tablebody"/>
              <w:rPr>
                <w:rFonts w:cstheme="minorHAnsi"/>
                <w:sz w:val="24"/>
                <w:szCs w:val="24"/>
              </w:rPr>
            </w:pPr>
            <w:r w:rsidRPr="00D562F1">
              <w:rPr>
                <w:rFonts w:cstheme="minorHAnsi"/>
                <w:sz w:val="24"/>
                <w:szCs w:val="24"/>
              </w:rPr>
              <w:t>Bottled Water</w:t>
            </w:r>
            <w:r w:rsidR="009D21C6" w:rsidRPr="00D562F1">
              <w:rPr>
                <w:rFonts w:cstheme="minorHAnsi"/>
                <w:sz w:val="24"/>
                <w:szCs w:val="24"/>
              </w:rPr>
              <w:t xml:space="preserve"> </w:t>
            </w:r>
            <w:r w:rsidRPr="00D562F1">
              <w:rPr>
                <w:rFonts w:cstheme="minorHAnsi"/>
                <w:sz w:val="24"/>
                <w:szCs w:val="24"/>
              </w:rPr>
              <w:t>=</w:t>
            </w:r>
            <w:r w:rsidR="009D21C6" w:rsidRPr="00D562F1">
              <w:rPr>
                <w:rFonts w:cstheme="minorHAnsi"/>
                <w:sz w:val="24"/>
                <w:szCs w:val="24"/>
              </w:rPr>
              <w:t xml:space="preserve"> </w:t>
            </w:r>
            <w:r w:rsidRPr="00D562F1">
              <w:rPr>
                <w:rFonts w:cstheme="minorHAnsi"/>
                <w:sz w:val="24"/>
                <w:szCs w:val="24"/>
              </w:rPr>
              <w:t>49%</w:t>
            </w:r>
          </w:p>
        </w:tc>
        <w:tc>
          <w:tcPr>
            <w:tcW w:w="720" w:type="dxa"/>
            <w:tcBorders>
              <w:left w:val="nil"/>
              <w:right w:val="nil"/>
            </w:tcBorders>
            <w:shd w:val="clear" w:color="auto" w:fill="D9D9D9" w:themeFill="background1" w:themeFillShade="D9"/>
            <w:noWrap/>
            <w:vAlign w:val="bottom"/>
          </w:tcPr>
          <w:p w14:paraId="1CF985A6" w14:textId="77777777" w:rsidR="00F75BA6" w:rsidRPr="00D562F1" w:rsidRDefault="00F75BA6" w:rsidP="0040594E">
            <w:pPr>
              <w:pStyle w:val="Tablebody"/>
              <w:rPr>
                <w:rFonts w:cstheme="minorHAnsi"/>
                <w:sz w:val="24"/>
                <w:szCs w:val="24"/>
              </w:rPr>
            </w:pPr>
          </w:p>
        </w:tc>
        <w:tc>
          <w:tcPr>
            <w:tcW w:w="981" w:type="dxa"/>
            <w:tcBorders>
              <w:left w:val="nil"/>
              <w:right w:val="nil"/>
            </w:tcBorders>
            <w:shd w:val="clear" w:color="auto" w:fill="D9D9D9" w:themeFill="background1" w:themeFillShade="D9"/>
            <w:noWrap/>
            <w:vAlign w:val="bottom"/>
          </w:tcPr>
          <w:p w14:paraId="2B88FF62" w14:textId="77777777" w:rsidR="00F75BA6" w:rsidRPr="00D562F1" w:rsidRDefault="00F75BA6" w:rsidP="0040594E">
            <w:pPr>
              <w:pStyle w:val="Tablebody"/>
              <w:rPr>
                <w:rFonts w:cstheme="minorHAnsi"/>
                <w:sz w:val="24"/>
                <w:szCs w:val="24"/>
              </w:rPr>
            </w:pPr>
          </w:p>
        </w:tc>
        <w:tc>
          <w:tcPr>
            <w:tcW w:w="720" w:type="dxa"/>
            <w:tcBorders>
              <w:left w:val="nil"/>
              <w:right w:val="nil"/>
            </w:tcBorders>
            <w:shd w:val="clear" w:color="auto" w:fill="D9D9D9" w:themeFill="background1" w:themeFillShade="D9"/>
            <w:noWrap/>
            <w:vAlign w:val="bottom"/>
          </w:tcPr>
          <w:p w14:paraId="41BA106B" w14:textId="77777777" w:rsidR="00F75BA6" w:rsidRPr="00D562F1" w:rsidRDefault="00F75BA6" w:rsidP="0040594E">
            <w:pPr>
              <w:pStyle w:val="Tablebody"/>
              <w:rPr>
                <w:rFonts w:cstheme="minorHAnsi"/>
                <w:sz w:val="24"/>
                <w:szCs w:val="24"/>
              </w:rPr>
            </w:pPr>
          </w:p>
        </w:tc>
        <w:tc>
          <w:tcPr>
            <w:tcW w:w="1152" w:type="dxa"/>
            <w:tcBorders>
              <w:left w:val="nil"/>
              <w:right w:val="nil"/>
            </w:tcBorders>
            <w:shd w:val="clear" w:color="auto" w:fill="D9D9D9" w:themeFill="background1" w:themeFillShade="D9"/>
            <w:noWrap/>
            <w:vAlign w:val="bottom"/>
          </w:tcPr>
          <w:p w14:paraId="1A14AD18" w14:textId="77777777" w:rsidR="00F75BA6" w:rsidRPr="00D562F1" w:rsidRDefault="00F75BA6" w:rsidP="0040594E">
            <w:pPr>
              <w:pStyle w:val="Tablebody"/>
              <w:rPr>
                <w:rFonts w:cstheme="minorHAnsi"/>
                <w:sz w:val="24"/>
                <w:szCs w:val="24"/>
              </w:rPr>
            </w:pPr>
          </w:p>
        </w:tc>
        <w:tc>
          <w:tcPr>
            <w:tcW w:w="662" w:type="dxa"/>
            <w:tcBorders>
              <w:left w:val="nil"/>
              <w:right w:val="nil"/>
            </w:tcBorders>
            <w:shd w:val="clear" w:color="auto" w:fill="D9D9D9" w:themeFill="background1" w:themeFillShade="D9"/>
            <w:noWrap/>
            <w:vAlign w:val="bottom"/>
          </w:tcPr>
          <w:p w14:paraId="26412B7E" w14:textId="77777777" w:rsidR="00F75BA6" w:rsidRPr="00D562F1" w:rsidRDefault="00F75BA6" w:rsidP="0040594E">
            <w:pPr>
              <w:pStyle w:val="Tablebody"/>
              <w:rPr>
                <w:rFonts w:cstheme="minorHAnsi"/>
                <w:sz w:val="24"/>
                <w:szCs w:val="24"/>
              </w:rPr>
            </w:pPr>
          </w:p>
        </w:tc>
        <w:tc>
          <w:tcPr>
            <w:tcW w:w="1260" w:type="dxa"/>
            <w:tcBorders>
              <w:left w:val="nil"/>
              <w:right w:val="nil"/>
            </w:tcBorders>
            <w:shd w:val="clear" w:color="auto" w:fill="D9D9D9" w:themeFill="background1" w:themeFillShade="D9"/>
            <w:noWrap/>
            <w:vAlign w:val="bottom"/>
          </w:tcPr>
          <w:p w14:paraId="2D2E35F9" w14:textId="77777777" w:rsidR="00F75BA6" w:rsidRPr="00D562F1" w:rsidRDefault="00F75BA6" w:rsidP="0040594E">
            <w:pPr>
              <w:pStyle w:val="Tablebody"/>
              <w:rPr>
                <w:rFonts w:cstheme="minorHAnsi"/>
                <w:sz w:val="24"/>
                <w:szCs w:val="24"/>
              </w:rPr>
            </w:pPr>
          </w:p>
        </w:tc>
        <w:tc>
          <w:tcPr>
            <w:tcW w:w="1170" w:type="dxa"/>
            <w:gridSpan w:val="4"/>
            <w:tcBorders>
              <w:left w:val="nil"/>
            </w:tcBorders>
            <w:shd w:val="clear" w:color="auto" w:fill="D9D9D9" w:themeFill="background1" w:themeFillShade="D9"/>
            <w:noWrap/>
            <w:vAlign w:val="bottom"/>
          </w:tcPr>
          <w:p w14:paraId="60D969F2" w14:textId="77777777" w:rsidR="00F75BA6" w:rsidRPr="00D562F1" w:rsidRDefault="00F75BA6" w:rsidP="0040594E">
            <w:pPr>
              <w:pStyle w:val="Tablebody"/>
              <w:rPr>
                <w:rFonts w:cstheme="minorHAnsi"/>
                <w:sz w:val="24"/>
                <w:szCs w:val="24"/>
              </w:rPr>
            </w:pPr>
          </w:p>
        </w:tc>
      </w:tr>
      <w:tr w:rsidR="00F75BA6" w14:paraId="0BD2380C" w14:textId="77777777" w:rsidTr="004B40BA">
        <w:trPr>
          <w:gridAfter w:val="1"/>
          <w:wAfter w:w="23" w:type="dxa"/>
          <w:trHeight w:val="300"/>
        </w:trPr>
        <w:tc>
          <w:tcPr>
            <w:tcW w:w="2666" w:type="dxa"/>
            <w:tcBorders>
              <w:right w:val="nil"/>
            </w:tcBorders>
            <w:shd w:val="clear" w:color="auto" w:fill="D9D9D9" w:themeFill="background1" w:themeFillShade="D9"/>
            <w:noWrap/>
            <w:vAlign w:val="bottom"/>
            <w:hideMark/>
          </w:tcPr>
          <w:p w14:paraId="2D817584" w14:textId="77777777" w:rsidR="00F75BA6" w:rsidRPr="00D562F1" w:rsidRDefault="00F75BA6" w:rsidP="00484C9D">
            <w:pPr>
              <w:pStyle w:val="Tablebody"/>
              <w:ind w:left="340"/>
              <w:rPr>
                <w:rFonts w:cstheme="minorHAnsi"/>
                <w:sz w:val="24"/>
                <w:szCs w:val="24"/>
              </w:rPr>
            </w:pPr>
            <w:r w:rsidRPr="00D562F1">
              <w:rPr>
                <w:rFonts w:cstheme="minorHAnsi"/>
                <w:sz w:val="24"/>
                <w:szCs w:val="24"/>
              </w:rPr>
              <w:t>Zero</w:t>
            </w:r>
          </w:p>
        </w:tc>
        <w:tc>
          <w:tcPr>
            <w:tcW w:w="720" w:type="dxa"/>
            <w:tcBorders>
              <w:left w:val="nil"/>
              <w:right w:val="nil"/>
            </w:tcBorders>
            <w:shd w:val="clear" w:color="auto" w:fill="D9D9D9" w:themeFill="background1" w:themeFillShade="D9"/>
            <w:noWrap/>
          </w:tcPr>
          <w:p w14:paraId="5A86106F" w14:textId="77777777" w:rsidR="00F75BA6" w:rsidRPr="00D562F1" w:rsidRDefault="00F75BA6" w:rsidP="0040594E">
            <w:pPr>
              <w:pStyle w:val="Tablebody"/>
              <w:rPr>
                <w:rFonts w:cstheme="minorHAnsi"/>
                <w:sz w:val="24"/>
                <w:szCs w:val="24"/>
              </w:rPr>
            </w:pPr>
            <w:r w:rsidRPr="00D562F1">
              <w:rPr>
                <w:rFonts w:cstheme="minorHAnsi"/>
                <w:sz w:val="24"/>
                <w:szCs w:val="24"/>
              </w:rPr>
              <w:t>11</w:t>
            </w:r>
          </w:p>
        </w:tc>
        <w:tc>
          <w:tcPr>
            <w:tcW w:w="981" w:type="dxa"/>
            <w:tcBorders>
              <w:left w:val="nil"/>
              <w:right w:val="nil"/>
            </w:tcBorders>
            <w:shd w:val="clear" w:color="auto" w:fill="D9D9D9" w:themeFill="background1" w:themeFillShade="D9"/>
            <w:noWrap/>
          </w:tcPr>
          <w:p w14:paraId="6431571A" w14:textId="77777777" w:rsidR="00F75BA6" w:rsidRPr="00D562F1" w:rsidRDefault="00F75BA6" w:rsidP="0040594E">
            <w:pPr>
              <w:pStyle w:val="Tablebody"/>
              <w:rPr>
                <w:rFonts w:cstheme="minorHAnsi"/>
                <w:sz w:val="24"/>
                <w:szCs w:val="24"/>
              </w:rPr>
            </w:pPr>
            <w:r w:rsidRPr="00D562F1">
              <w:rPr>
                <w:rFonts w:cstheme="minorHAnsi"/>
                <w:sz w:val="24"/>
                <w:szCs w:val="24"/>
              </w:rPr>
              <w:t>(69%)</w:t>
            </w:r>
          </w:p>
        </w:tc>
        <w:tc>
          <w:tcPr>
            <w:tcW w:w="720" w:type="dxa"/>
            <w:tcBorders>
              <w:left w:val="nil"/>
              <w:right w:val="nil"/>
            </w:tcBorders>
            <w:shd w:val="clear" w:color="auto" w:fill="D9D9D9" w:themeFill="background1" w:themeFillShade="D9"/>
            <w:noWrap/>
          </w:tcPr>
          <w:p w14:paraId="53E7660C" w14:textId="77777777" w:rsidR="00F75BA6" w:rsidRPr="00D562F1" w:rsidRDefault="00F75BA6" w:rsidP="0040594E">
            <w:pPr>
              <w:pStyle w:val="Tablebody"/>
              <w:rPr>
                <w:rFonts w:cstheme="minorHAnsi"/>
                <w:sz w:val="24"/>
                <w:szCs w:val="24"/>
              </w:rPr>
            </w:pPr>
            <w:r w:rsidRPr="00D562F1">
              <w:rPr>
                <w:rFonts w:cstheme="minorHAnsi"/>
                <w:sz w:val="24"/>
                <w:szCs w:val="24"/>
              </w:rPr>
              <w:t>43</w:t>
            </w:r>
          </w:p>
        </w:tc>
        <w:tc>
          <w:tcPr>
            <w:tcW w:w="1152" w:type="dxa"/>
            <w:tcBorders>
              <w:left w:val="nil"/>
              <w:right w:val="nil"/>
            </w:tcBorders>
            <w:shd w:val="clear" w:color="auto" w:fill="D9D9D9" w:themeFill="background1" w:themeFillShade="D9"/>
            <w:noWrap/>
          </w:tcPr>
          <w:p w14:paraId="6F42BFE2" w14:textId="77777777" w:rsidR="00F75BA6" w:rsidRPr="00D562F1" w:rsidRDefault="00F75BA6" w:rsidP="0040594E">
            <w:pPr>
              <w:pStyle w:val="Tablebody"/>
              <w:rPr>
                <w:rFonts w:cstheme="minorHAnsi"/>
                <w:sz w:val="24"/>
                <w:szCs w:val="24"/>
              </w:rPr>
            </w:pPr>
            <w:r w:rsidRPr="00D562F1">
              <w:rPr>
                <w:rFonts w:cstheme="minorHAnsi"/>
                <w:sz w:val="24"/>
                <w:szCs w:val="24"/>
              </w:rPr>
              <w:t>(75%)</w:t>
            </w:r>
          </w:p>
        </w:tc>
        <w:tc>
          <w:tcPr>
            <w:tcW w:w="662" w:type="dxa"/>
            <w:tcBorders>
              <w:left w:val="nil"/>
              <w:right w:val="nil"/>
            </w:tcBorders>
            <w:shd w:val="clear" w:color="auto" w:fill="D9D9D9" w:themeFill="background1" w:themeFillShade="D9"/>
            <w:noWrap/>
          </w:tcPr>
          <w:p w14:paraId="6EC84606" w14:textId="77777777" w:rsidR="00F75BA6" w:rsidRPr="00D562F1" w:rsidRDefault="00F75BA6" w:rsidP="0040594E">
            <w:pPr>
              <w:pStyle w:val="Tablebody"/>
              <w:rPr>
                <w:rFonts w:cstheme="minorHAnsi"/>
                <w:sz w:val="24"/>
                <w:szCs w:val="24"/>
              </w:rPr>
            </w:pPr>
            <w:r w:rsidRPr="00D562F1">
              <w:rPr>
                <w:rFonts w:cstheme="minorHAnsi"/>
                <w:sz w:val="24"/>
                <w:szCs w:val="24"/>
              </w:rPr>
              <w:t>1.0</w:t>
            </w:r>
          </w:p>
        </w:tc>
        <w:tc>
          <w:tcPr>
            <w:tcW w:w="2430" w:type="dxa"/>
            <w:gridSpan w:val="5"/>
            <w:tcBorders>
              <w:left w:val="nil"/>
            </w:tcBorders>
            <w:shd w:val="clear" w:color="auto" w:fill="D9D9D9" w:themeFill="background1" w:themeFillShade="D9"/>
            <w:noWrap/>
          </w:tcPr>
          <w:p w14:paraId="14333703" w14:textId="77777777" w:rsidR="00F75BA6" w:rsidRPr="00D562F1" w:rsidRDefault="00F75BA6" w:rsidP="0040594E">
            <w:pPr>
              <w:pStyle w:val="Tablebody"/>
              <w:rPr>
                <w:rFonts w:cstheme="minorHAnsi"/>
                <w:sz w:val="24"/>
                <w:szCs w:val="24"/>
              </w:rPr>
            </w:pPr>
            <w:r w:rsidRPr="00D562F1">
              <w:rPr>
                <w:rFonts w:cstheme="minorHAnsi"/>
                <w:sz w:val="24"/>
                <w:szCs w:val="24"/>
              </w:rPr>
              <w:t>-ref-</w:t>
            </w:r>
          </w:p>
        </w:tc>
      </w:tr>
      <w:tr w:rsidR="00F75BA6" w14:paraId="24356F1A" w14:textId="77777777" w:rsidTr="004B40BA">
        <w:trPr>
          <w:gridAfter w:val="1"/>
          <w:wAfter w:w="23" w:type="dxa"/>
          <w:trHeight w:val="300"/>
        </w:trPr>
        <w:tc>
          <w:tcPr>
            <w:tcW w:w="2666" w:type="dxa"/>
            <w:tcBorders>
              <w:right w:val="nil"/>
            </w:tcBorders>
            <w:shd w:val="clear" w:color="auto" w:fill="D9D9D9" w:themeFill="background1" w:themeFillShade="D9"/>
            <w:noWrap/>
            <w:vAlign w:val="bottom"/>
          </w:tcPr>
          <w:p w14:paraId="1ABCE28D" w14:textId="77777777" w:rsidR="00F75BA6" w:rsidRPr="00D562F1" w:rsidRDefault="00F75BA6" w:rsidP="00484C9D">
            <w:pPr>
              <w:pStyle w:val="Tablebody"/>
              <w:ind w:left="340"/>
              <w:rPr>
                <w:rFonts w:cstheme="minorHAnsi"/>
                <w:sz w:val="24"/>
                <w:szCs w:val="24"/>
              </w:rPr>
            </w:pPr>
            <w:r w:rsidRPr="00D562F1">
              <w:rPr>
                <w:rFonts w:cstheme="minorHAnsi"/>
                <w:sz w:val="24"/>
                <w:szCs w:val="24"/>
              </w:rPr>
              <w:t>Low</w:t>
            </w:r>
          </w:p>
        </w:tc>
        <w:tc>
          <w:tcPr>
            <w:tcW w:w="720" w:type="dxa"/>
            <w:tcBorders>
              <w:left w:val="nil"/>
              <w:right w:val="nil"/>
            </w:tcBorders>
            <w:shd w:val="clear" w:color="auto" w:fill="D9D9D9" w:themeFill="background1" w:themeFillShade="D9"/>
            <w:noWrap/>
          </w:tcPr>
          <w:p w14:paraId="5B4C0BEB" w14:textId="77777777" w:rsidR="00F75BA6" w:rsidRPr="00D562F1" w:rsidRDefault="00F75BA6" w:rsidP="0040594E">
            <w:pPr>
              <w:pStyle w:val="Tablebody"/>
              <w:rPr>
                <w:rFonts w:cstheme="minorHAnsi"/>
                <w:sz w:val="24"/>
                <w:szCs w:val="24"/>
              </w:rPr>
            </w:pPr>
            <w:r w:rsidRPr="00D562F1">
              <w:rPr>
                <w:rFonts w:cstheme="minorHAnsi"/>
                <w:sz w:val="24"/>
                <w:szCs w:val="24"/>
              </w:rPr>
              <w:t>3</w:t>
            </w:r>
          </w:p>
        </w:tc>
        <w:tc>
          <w:tcPr>
            <w:tcW w:w="981" w:type="dxa"/>
            <w:tcBorders>
              <w:left w:val="nil"/>
              <w:right w:val="nil"/>
            </w:tcBorders>
            <w:shd w:val="clear" w:color="auto" w:fill="D9D9D9" w:themeFill="background1" w:themeFillShade="D9"/>
            <w:noWrap/>
          </w:tcPr>
          <w:p w14:paraId="0F722844" w14:textId="77777777" w:rsidR="00F75BA6" w:rsidRPr="00D562F1" w:rsidRDefault="00F75BA6" w:rsidP="0040594E">
            <w:pPr>
              <w:pStyle w:val="Tablebody"/>
              <w:rPr>
                <w:rFonts w:cstheme="minorHAnsi"/>
                <w:sz w:val="24"/>
                <w:szCs w:val="24"/>
              </w:rPr>
            </w:pPr>
            <w:r w:rsidRPr="00D562F1">
              <w:rPr>
                <w:rFonts w:cstheme="minorHAnsi"/>
                <w:sz w:val="24"/>
                <w:szCs w:val="24"/>
              </w:rPr>
              <w:t>(19%)</w:t>
            </w:r>
          </w:p>
        </w:tc>
        <w:tc>
          <w:tcPr>
            <w:tcW w:w="720" w:type="dxa"/>
            <w:tcBorders>
              <w:left w:val="nil"/>
              <w:right w:val="nil"/>
            </w:tcBorders>
            <w:shd w:val="clear" w:color="auto" w:fill="D9D9D9" w:themeFill="background1" w:themeFillShade="D9"/>
            <w:noWrap/>
          </w:tcPr>
          <w:p w14:paraId="297F6FC7" w14:textId="77777777" w:rsidR="00F75BA6" w:rsidRPr="00D562F1" w:rsidRDefault="00F75BA6" w:rsidP="0040594E">
            <w:pPr>
              <w:pStyle w:val="Tablebody"/>
              <w:rPr>
                <w:rFonts w:cstheme="minorHAnsi"/>
                <w:sz w:val="24"/>
                <w:szCs w:val="24"/>
              </w:rPr>
            </w:pPr>
            <w:r w:rsidRPr="00D562F1">
              <w:rPr>
                <w:rFonts w:cstheme="minorHAnsi"/>
                <w:sz w:val="24"/>
                <w:szCs w:val="24"/>
              </w:rPr>
              <w:t>7</w:t>
            </w:r>
          </w:p>
        </w:tc>
        <w:tc>
          <w:tcPr>
            <w:tcW w:w="1152" w:type="dxa"/>
            <w:tcBorders>
              <w:left w:val="nil"/>
              <w:right w:val="nil"/>
            </w:tcBorders>
            <w:shd w:val="clear" w:color="auto" w:fill="D9D9D9" w:themeFill="background1" w:themeFillShade="D9"/>
            <w:noWrap/>
          </w:tcPr>
          <w:p w14:paraId="18EFEC2E" w14:textId="77777777" w:rsidR="00F75BA6" w:rsidRPr="00D562F1" w:rsidRDefault="00F75BA6" w:rsidP="0040594E">
            <w:pPr>
              <w:pStyle w:val="Tablebody"/>
              <w:rPr>
                <w:rFonts w:cstheme="minorHAnsi"/>
                <w:sz w:val="24"/>
                <w:szCs w:val="24"/>
              </w:rPr>
            </w:pPr>
            <w:r w:rsidRPr="00D562F1">
              <w:rPr>
                <w:rFonts w:cstheme="minorHAnsi"/>
                <w:sz w:val="24"/>
                <w:szCs w:val="24"/>
              </w:rPr>
              <w:t>(12%)</w:t>
            </w:r>
          </w:p>
        </w:tc>
        <w:tc>
          <w:tcPr>
            <w:tcW w:w="662" w:type="dxa"/>
            <w:tcBorders>
              <w:left w:val="nil"/>
              <w:right w:val="nil"/>
            </w:tcBorders>
            <w:shd w:val="clear" w:color="auto" w:fill="D9D9D9" w:themeFill="background1" w:themeFillShade="D9"/>
            <w:noWrap/>
          </w:tcPr>
          <w:p w14:paraId="47444DBE" w14:textId="77777777" w:rsidR="00F75BA6" w:rsidRPr="00D562F1" w:rsidRDefault="00F75BA6" w:rsidP="0040594E">
            <w:pPr>
              <w:pStyle w:val="Tablebody"/>
              <w:rPr>
                <w:rFonts w:cstheme="minorHAnsi"/>
                <w:sz w:val="24"/>
                <w:szCs w:val="24"/>
              </w:rPr>
            </w:pPr>
            <w:r w:rsidRPr="00D562F1">
              <w:rPr>
                <w:rFonts w:cstheme="minorHAnsi"/>
                <w:sz w:val="24"/>
                <w:szCs w:val="24"/>
              </w:rPr>
              <w:t>4.2</w:t>
            </w:r>
          </w:p>
        </w:tc>
        <w:tc>
          <w:tcPr>
            <w:tcW w:w="1260" w:type="dxa"/>
            <w:tcBorders>
              <w:left w:val="nil"/>
              <w:right w:val="nil"/>
            </w:tcBorders>
            <w:shd w:val="clear" w:color="auto" w:fill="D9D9D9" w:themeFill="background1" w:themeFillShade="D9"/>
            <w:noWrap/>
          </w:tcPr>
          <w:p w14:paraId="2267523C" w14:textId="77777777" w:rsidR="00F75BA6" w:rsidRPr="00D562F1" w:rsidRDefault="00F75BA6" w:rsidP="0040594E">
            <w:pPr>
              <w:pStyle w:val="Tablebody"/>
              <w:rPr>
                <w:rFonts w:cstheme="minorHAnsi"/>
                <w:sz w:val="24"/>
                <w:szCs w:val="24"/>
              </w:rPr>
            </w:pPr>
            <w:r w:rsidRPr="00D562F1">
              <w:rPr>
                <w:rFonts w:cstheme="minorHAnsi"/>
                <w:sz w:val="24"/>
                <w:szCs w:val="24"/>
              </w:rPr>
              <w:t>(0.3, 51)</w:t>
            </w:r>
          </w:p>
        </w:tc>
        <w:tc>
          <w:tcPr>
            <w:tcW w:w="1170" w:type="dxa"/>
            <w:gridSpan w:val="4"/>
            <w:tcBorders>
              <w:left w:val="nil"/>
            </w:tcBorders>
            <w:shd w:val="clear" w:color="auto" w:fill="D9D9D9" w:themeFill="background1" w:themeFillShade="D9"/>
            <w:noWrap/>
          </w:tcPr>
          <w:p w14:paraId="70CA83F6" w14:textId="77777777" w:rsidR="00F75BA6" w:rsidRPr="00D562F1" w:rsidRDefault="00F75BA6" w:rsidP="0040594E">
            <w:pPr>
              <w:pStyle w:val="Tablebody"/>
              <w:rPr>
                <w:rFonts w:cstheme="minorHAnsi"/>
                <w:sz w:val="24"/>
                <w:szCs w:val="24"/>
              </w:rPr>
            </w:pPr>
            <w:r w:rsidRPr="00D562F1">
              <w:rPr>
                <w:rFonts w:cstheme="minorHAnsi"/>
                <w:sz w:val="24"/>
                <w:szCs w:val="24"/>
              </w:rPr>
              <w:t>0.26</w:t>
            </w:r>
          </w:p>
        </w:tc>
      </w:tr>
      <w:tr w:rsidR="00F75BA6" w14:paraId="02416CDC" w14:textId="77777777" w:rsidTr="004B40BA">
        <w:trPr>
          <w:gridAfter w:val="1"/>
          <w:wAfter w:w="23" w:type="dxa"/>
          <w:trHeight w:val="300"/>
        </w:trPr>
        <w:tc>
          <w:tcPr>
            <w:tcW w:w="2666" w:type="dxa"/>
            <w:tcBorders>
              <w:right w:val="nil"/>
            </w:tcBorders>
            <w:shd w:val="clear" w:color="auto" w:fill="D9D9D9" w:themeFill="background1" w:themeFillShade="D9"/>
            <w:noWrap/>
            <w:vAlign w:val="bottom"/>
            <w:hideMark/>
          </w:tcPr>
          <w:p w14:paraId="30F4004E" w14:textId="77777777" w:rsidR="00F75BA6" w:rsidRPr="00D562F1" w:rsidRDefault="00F75BA6" w:rsidP="00484C9D">
            <w:pPr>
              <w:pStyle w:val="Tablebody"/>
              <w:ind w:left="340"/>
              <w:rPr>
                <w:rFonts w:cstheme="minorHAnsi"/>
                <w:sz w:val="24"/>
                <w:szCs w:val="24"/>
              </w:rPr>
            </w:pPr>
            <w:r w:rsidRPr="00D562F1">
              <w:rPr>
                <w:rFonts w:cstheme="minorHAnsi"/>
                <w:sz w:val="24"/>
                <w:szCs w:val="24"/>
              </w:rPr>
              <w:t>High</w:t>
            </w:r>
          </w:p>
        </w:tc>
        <w:tc>
          <w:tcPr>
            <w:tcW w:w="720" w:type="dxa"/>
            <w:tcBorders>
              <w:left w:val="nil"/>
              <w:right w:val="nil"/>
            </w:tcBorders>
            <w:shd w:val="clear" w:color="auto" w:fill="D9D9D9" w:themeFill="background1" w:themeFillShade="D9"/>
            <w:noWrap/>
          </w:tcPr>
          <w:p w14:paraId="1BBC6B3B" w14:textId="77777777" w:rsidR="00F75BA6" w:rsidRPr="00D562F1" w:rsidRDefault="00F75BA6" w:rsidP="0040594E">
            <w:pPr>
              <w:pStyle w:val="Tablebody"/>
              <w:rPr>
                <w:rFonts w:cstheme="minorHAnsi"/>
                <w:sz w:val="24"/>
                <w:szCs w:val="24"/>
              </w:rPr>
            </w:pPr>
            <w:r w:rsidRPr="00D562F1">
              <w:rPr>
                <w:rFonts w:cstheme="minorHAnsi"/>
                <w:sz w:val="24"/>
                <w:szCs w:val="24"/>
              </w:rPr>
              <w:t>2</w:t>
            </w:r>
          </w:p>
        </w:tc>
        <w:tc>
          <w:tcPr>
            <w:tcW w:w="981" w:type="dxa"/>
            <w:tcBorders>
              <w:left w:val="nil"/>
              <w:right w:val="nil"/>
            </w:tcBorders>
            <w:shd w:val="clear" w:color="auto" w:fill="D9D9D9" w:themeFill="background1" w:themeFillShade="D9"/>
            <w:noWrap/>
          </w:tcPr>
          <w:p w14:paraId="266A876F" w14:textId="77777777" w:rsidR="00F75BA6" w:rsidRPr="00D562F1" w:rsidRDefault="00F75BA6" w:rsidP="0040594E">
            <w:pPr>
              <w:pStyle w:val="Tablebody"/>
              <w:rPr>
                <w:rFonts w:cstheme="minorHAnsi"/>
                <w:sz w:val="24"/>
                <w:szCs w:val="24"/>
              </w:rPr>
            </w:pPr>
            <w:r w:rsidRPr="00D562F1">
              <w:rPr>
                <w:rFonts w:cstheme="minorHAnsi"/>
                <w:sz w:val="24"/>
                <w:szCs w:val="24"/>
              </w:rPr>
              <w:t>(13%)</w:t>
            </w:r>
          </w:p>
        </w:tc>
        <w:tc>
          <w:tcPr>
            <w:tcW w:w="720" w:type="dxa"/>
            <w:tcBorders>
              <w:left w:val="nil"/>
              <w:right w:val="nil"/>
            </w:tcBorders>
            <w:shd w:val="clear" w:color="auto" w:fill="D9D9D9" w:themeFill="background1" w:themeFillShade="D9"/>
            <w:noWrap/>
          </w:tcPr>
          <w:p w14:paraId="5FDA6E5C" w14:textId="77777777" w:rsidR="00F75BA6" w:rsidRPr="00D562F1" w:rsidRDefault="00F75BA6" w:rsidP="0040594E">
            <w:pPr>
              <w:pStyle w:val="Tablebody"/>
              <w:rPr>
                <w:rFonts w:cstheme="minorHAnsi"/>
                <w:sz w:val="24"/>
                <w:szCs w:val="24"/>
              </w:rPr>
            </w:pPr>
            <w:r w:rsidRPr="00D562F1">
              <w:rPr>
                <w:rFonts w:cstheme="minorHAnsi"/>
                <w:sz w:val="24"/>
                <w:szCs w:val="24"/>
              </w:rPr>
              <w:t>7</w:t>
            </w:r>
          </w:p>
        </w:tc>
        <w:tc>
          <w:tcPr>
            <w:tcW w:w="1152" w:type="dxa"/>
            <w:tcBorders>
              <w:left w:val="nil"/>
              <w:right w:val="nil"/>
            </w:tcBorders>
            <w:shd w:val="clear" w:color="auto" w:fill="D9D9D9" w:themeFill="background1" w:themeFillShade="D9"/>
            <w:noWrap/>
          </w:tcPr>
          <w:p w14:paraId="59C8B2BC" w14:textId="77777777" w:rsidR="00F75BA6" w:rsidRPr="00D562F1" w:rsidRDefault="00F75BA6" w:rsidP="0040594E">
            <w:pPr>
              <w:pStyle w:val="Tablebody"/>
              <w:rPr>
                <w:rFonts w:cstheme="minorHAnsi"/>
                <w:sz w:val="24"/>
                <w:szCs w:val="24"/>
              </w:rPr>
            </w:pPr>
            <w:r w:rsidRPr="00D562F1">
              <w:rPr>
                <w:rFonts w:cstheme="minorHAnsi"/>
                <w:sz w:val="24"/>
                <w:szCs w:val="24"/>
              </w:rPr>
              <w:t>(12%)</w:t>
            </w:r>
          </w:p>
        </w:tc>
        <w:tc>
          <w:tcPr>
            <w:tcW w:w="662" w:type="dxa"/>
            <w:tcBorders>
              <w:left w:val="nil"/>
              <w:right w:val="nil"/>
            </w:tcBorders>
            <w:shd w:val="clear" w:color="auto" w:fill="D9D9D9" w:themeFill="background1" w:themeFillShade="D9"/>
            <w:noWrap/>
          </w:tcPr>
          <w:p w14:paraId="037DC50B" w14:textId="77777777" w:rsidR="00F75BA6" w:rsidRPr="00D562F1" w:rsidRDefault="00F75BA6" w:rsidP="0040594E">
            <w:pPr>
              <w:pStyle w:val="Tablebody"/>
              <w:rPr>
                <w:rFonts w:cstheme="minorHAnsi"/>
                <w:sz w:val="24"/>
                <w:szCs w:val="24"/>
              </w:rPr>
            </w:pPr>
            <w:r w:rsidRPr="00D562F1">
              <w:rPr>
                <w:rFonts w:cstheme="minorHAnsi"/>
                <w:sz w:val="24"/>
                <w:szCs w:val="24"/>
              </w:rPr>
              <w:t>1.3</w:t>
            </w:r>
          </w:p>
        </w:tc>
        <w:tc>
          <w:tcPr>
            <w:tcW w:w="1260" w:type="dxa"/>
            <w:tcBorders>
              <w:left w:val="nil"/>
              <w:right w:val="nil"/>
            </w:tcBorders>
            <w:shd w:val="clear" w:color="auto" w:fill="D9D9D9" w:themeFill="background1" w:themeFillShade="D9"/>
            <w:noWrap/>
          </w:tcPr>
          <w:p w14:paraId="0AFCFC4F" w14:textId="77777777" w:rsidR="00F75BA6" w:rsidRPr="00D562F1" w:rsidRDefault="00F75BA6" w:rsidP="0040594E">
            <w:pPr>
              <w:pStyle w:val="Tablebody"/>
              <w:rPr>
                <w:rFonts w:cstheme="minorHAnsi"/>
                <w:sz w:val="24"/>
                <w:szCs w:val="24"/>
              </w:rPr>
            </w:pPr>
            <w:r w:rsidRPr="00D562F1">
              <w:rPr>
                <w:rFonts w:cstheme="minorHAnsi"/>
                <w:sz w:val="24"/>
                <w:szCs w:val="24"/>
              </w:rPr>
              <w:t>(0.1, 13)</w:t>
            </w:r>
          </w:p>
        </w:tc>
        <w:tc>
          <w:tcPr>
            <w:tcW w:w="1170" w:type="dxa"/>
            <w:gridSpan w:val="4"/>
            <w:tcBorders>
              <w:left w:val="nil"/>
            </w:tcBorders>
            <w:shd w:val="clear" w:color="auto" w:fill="D9D9D9" w:themeFill="background1" w:themeFillShade="D9"/>
            <w:noWrap/>
          </w:tcPr>
          <w:p w14:paraId="266816DA" w14:textId="77777777" w:rsidR="00F75BA6" w:rsidRPr="00D562F1" w:rsidRDefault="00F75BA6" w:rsidP="0040594E">
            <w:pPr>
              <w:pStyle w:val="Tablebody"/>
              <w:rPr>
                <w:rFonts w:cstheme="minorHAnsi"/>
                <w:sz w:val="24"/>
                <w:szCs w:val="24"/>
              </w:rPr>
            </w:pPr>
            <w:r w:rsidRPr="00D562F1">
              <w:rPr>
                <w:rFonts w:cstheme="minorHAnsi"/>
                <w:sz w:val="24"/>
                <w:szCs w:val="24"/>
              </w:rPr>
              <w:t>0.81</w:t>
            </w:r>
          </w:p>
        </w:tc>
      </w:tr>
      <w:tr w:rsidR="00F75BA6" w14:paraId="684EA44E" w14:textId="77777777" w:rsidTr="004B40BA">
        <w:trPr>
          <w:trHeight w:val="302"/>
        </w:trPr>
        <w:tc>
          <w:tcPr>
            <w:tcW w:w="9354" w:type="dxa"/>
            <w:gridSpan w:val="12"/>
            <w:tcBorders>
              <w:bottom w:val="nil"/>
            </w:tcBorders>
            <w:shd w:val="clear" w:color="auto" w:fill="auto"/>
            <w:noWrap/>
            <w:vAlign w:val="bottom"/>
            <w:hideMark/>
          </w:tcPr>
          <w:p w14:paraId="22F9E839" w14:textId="77777777" w:rsidR="00F75BA6" w:rsidRPr="00D562F1" w:rsidRDefault="00F75BA6" w:rsidP="006312FD">
            <w:pPr>
              <w:pStyle w:val="Tableheaders"/>
            </w:pPr>
            <w:r w:rsidRPr="00D562F1">
              <w:t> </w:t>
            </w:r>
          </w:p>
        </w:tc>
      </w:tr>
      <w:tr w:rsidR="00F75BA6" w14:paraId="3AC9C1C5" w14:textId="77777777" w:rsidTr="004B40BA">
        <w:trPr>
          <w:gridAfter w:val="1"/>
          <w:wAfter w:w="23" w:type="dxa"/>
          <w:trHeight w:val="300"/>
        </w:trPr>
        <w:tc>
          <w:tcPr>
            <w:tcW w:w="2666" w:type="dxa"/>
            <w:tcBorders>
              <w:top w:val="nil"/>
              <w:bottom w:val="nil"/>
              <w:right w:val="nil"/>
            </w:tcBorders>
            <w:shd w:val="clear" w:color="auto" w:fill="auto"/>
            <w:noWrap/>
            <w:vAlign w:val="bottom"/>
            <w:hideMark/>
          </w:tcPr>
          <w:p w14:paraId="2C022DC3" w14:textId="77777777" w:rsidR="00F75BA6" w:rsidRPr="00D562F1" w:rsidRDefault="00F75BA6" w:rsidP="0040594E">
            <w:pPr>
              <w:pStyle w:val="Tablebody"/>
              <w:rPr>
                <w:rFonts w:cstheme="minorHAnsi"/>
                <w:sz w:val="24"/>
                <w:szCs w:val="24"/>
              </w:rPr>
            </w:pPr>
            <w:r w:rsidRPr="00D562F1">
              <w:rPr>
                <w:rFonts w:cstheme="minorHAnsi"/>
                <w:sz w:val="24"/>
                <w:szCs w:val="24"/>
              </w:rPr>
              <w:t> </w:t>
            </w:r>
          </w:p>
        </w:tc>
        <w:tc>
          <w:tcPr>
            <w:tcW w:w="1701" w:type="dxa"/>
            <w:gridSpan w:val="2"/>
            <w:tcBorders>
              <w:left w:val="nil"/>
              <w:right w:val="nil"/>
            </w:tcBorders>
            <w:shd w:val="clear" w:color="auto" w:fill="auto"/>
            <w:noWrap/>
            <w:vAlign w:val="bottom"/>
            <w:hideMark/>
          </w:tcPr>
          <w:p w14:paraId="6AA25B1E" w14:textId="77777777" w:rsidR="00F75BA6" w:rsidRPr="00E77543" w:rsidRDefault="00F75BA6" w:rsidP="0040594E">
            <w:pPr>
              <w:pStyle w:val="Tablebody"/>
              <w:rPr>
                <w:rFonts w:cstheme="minorHAnsi"/>
                <w:b/>
                <w:bCs/>
                <w:sz w:val="24"/>
                <w:szCs w:val="24"/>
              </w:rPr>
            </w:pPr>
            <w:r w:rsidRPr="00E77543">
              <w:rPr>
                <w:rFonts w:cstheme="minorHAnsi"/>
                <w:b/>
                <w:bCs/>
                <w:sz w:val="24"/>
                <w:szCs w:val="24"/>
              </w:rPr>
              <w:t>Cases (n=10)</w:t>
            </w:r>
          </w:p>
        </w:tc>
        <w:tc>
          <w:tcPr>
            <w:tcW w:w="1872" w:type="dxa"/>
            <w:gridSpan w:val="2"/>
            <w:tcBorders>
              <w:left w:val="nil"/>
              <w:right w:val="nil"/>
            </w:tcBorders>
            <w:shd w:val="clear" w:color="auto" w:fill="auto"/>
            <w:noWrap/>
            <w:vAlign w:val="bottom"/>
            <w:hideMark/>
          </w:tcPr>
          <w:p w14:paraId="718E8076" w14:textId="77777777" w:rsidR="00F75BA6" w:rsidRPr="00E77543" w:rsidRDefault="00F75BA6" w:rsidP="0040594E">
            <w:pPr>
              <w:pStyle w:val="Tablebody"/>
              <w:rPr>
                <w:rFonts w:cstheme="minorHAnsi"/>
                <w:b/>
                <w:bCs/>
                <w:sz w:val="24"/>
                <w:szCs w:val="24"/>
              </w:rPr>
            </w:pPr>
            <w:r w:rsidRPr="00E77543">
              <w:rPr>
                <w:rFonts w:cstheme="minorHAnsi"/>
                <w:b/>
                <w:bCs/>
                <w:sz w:val="24"/>
                <w:szCs w:val="24"/>
              </w:rPr>
              <w:t>Controls (n=39)</w:t>
            </w:r>
          </w:p>
        </w:tc>
        <w:tc>
          <w:tcPr>
            <w:tcW w:w="662" w:type="dxa"/>
            <w:tcBorders>
              <w:left w:val="nil"/>
              <w:right w:val="nil"/>
            </w:tcBorders>
            <w:shd w:val="clear" w:color="auto" w:fill="auto"/>
            <w:noWrap/>
            <w:vAlign w:val="center"/>
          </w:tcPr>
          <w:p w14:paraId="02E324A9" w14:textId="77777777" w:rsidR="00F75BA6" w:rsidRPr="00E77543" w:rsidRDefault="00F75BA6" w:rsidP="0040594E">
            <w:pPr>
              <w:pStyle w:val="Tablebody"/>
              <w:rPr>
                <w:rFonts w:cstheme="minorHAnsi"/>
                <w:b/>
                <w:bCs/>
                <w:sz w:val="24"/>
                <w:szCs w:val="24"/>
              </w:rPr>
            </w:pPr>
          </w:p>
        </w:tc>
        <w:tc>
          <w:tcPr>
            <w:tcW w:w="1267" w:type="dxa"/>
            <w:gridSpan w:val="2"/>
            <w:tcBorders>
              <w:left w:val="nil"/>
              <w:right w:val="nil"/>
            </w:tcBorders>
            <w:shd w:val="clear" w:color="auto" w:fill="auto"/>
            <w:noWrap/>
            <w:vAlign w:val="center"/>
          </w:tcPr>
          <w:p w14:paraId="5F020930" w14:textId="77777777" w:rsidR="00F75BA6" w:rsidRPr="00E77543" w:rsidRDefault="00F75BA6" w:rsidP="0040594E">
            <w:pPr>
              <w:pStyle w:val="Tablebody"/>
              <w:rPr>
                <w:rFonts w:cstheme="minorHAnsi"/>
                <w:b/>
                <w:bCs/>
                <w:sz w:val="24"/>
                <w:szCs w:val="24"/>
              </w:rPr>
            </w:pPr>
          </w:p>
        </w:tc>
        <w:tc>
          <w:tcPr>
            <w:tcW w:w="1163" w:type="dxa"/>
            <w:gridSpan w:val="3"/>
            <w:tcBorders>
              <w:left w:val="nil"/>
            </w:tcBorders>
            <w:shd w:val="clear" w:color="auto" w:fill="auto"/>
            <w:noWrap/>
            <w:vAlign w:val="center"/>
          </w:tcPr>
          <w:p w14:paraId="6C274D34" w14:textId="77777777" w:rsidR="00F75BA6" w:rsidRPr="00E77543" w:rsidRDefault="00F75BA6" w:rsidP="0040594E">
            <w:pPr>
              <w:pStyle w:val="Tablebody"/>
              <w:rPr>
                <w:rFonts w:cstheme="minorHAnsi"/>
                <w:b/>
                <w:bCs/>
                <w:sz w:val="24"/>
                <w:szCs w:val="24"/>
              </w:rPr>
            </w:pPr>
          </w:p>
        </w:tc>
      </w:tr>
      <w:tr w:rsidR="00F75BA6" w14:paraId="2E7E7187" w14:textId="77777777" w:rsidTr="004B40BA">
        <w:trPr>
          <w:gridAfter w:val="1"/>
          <w:wAfter w:w="23" w:type="dxa"/>
          <w:trHeight w:val="300"/>
        </w:trPr>
        <w:tc>
          <w:tcPr>
            <w:tcW w:w="2666" w:type="dxa"/>
            <w:tcBorders>
              <w:top w:val="nil"/>
              <w:right w:val="nil"/>
            </w:tcBorders>
            <w:shd w:val="clear" w:color="auto" w:fill="auto"/>
            <w:noWrap/>
            <w:vAlign w:val="bottom"/>
            <w:hideMark/>
          </w:tcPr>
          <w:p w14:paraId="691B8266" w14:textId="77777777" w:rsidR="00F75BA6" w:rsidRPr="004961A1" w:rsidRDefault="00DD10A6" w:rsidP="0040594E">
            <w:pPr>
              <w:pStyle w:val="Tablebody"/>
              <w:rPr>
                <w:rFonts w:cstheme="minorHAnsi"/>
                <w:b/>
                <w:bCs/>
                <w:sz w:val="24"/>
                <w:szCs w:val="24"/>
              </w:rPr>
            </w:pPr>
            <w:r w:rsidRPr="004961A1">
              <w:rPr>
                <w:rFonts w:cstheme="minorHAnsi"/>
                <w:b/>
                <w:bCs/>
                <w:sz w:val="24"/>
                <w:szCs w:val="24"/>
              </w:rPr>
              <w:t>Leukemia/Lymphoma</w:t>
            </w:r>
          </w:p>
        </w:tc>
        <w:tc>
          <w:tcPr>
            <w:tcW w:w="720" w:type="dxa"/>
            <w:tcBorders>
              <w:top w:val="nil"/>
              <w:left w:val="nil"/>
              <w:bottom w:val="single" w:sz="4" w:space="0" w:color="auto"/>
              <w:right w:val="nil"/>
            </w:tcBorders>
            <w:shd w:val="clear" w:color="auto" w:fill="auto"/>
            <w:noWrap/>
            <w:vAlign w:val="bottom"/>
            <w:hideMark/>
          </w:tcPr>
          <w:p w14:paraId="5F66691B" w14:textId="77777777" w:rsidR="00F75BA6" w:rsidRPr="00E77543" w:rsidRDefault="00F75BA6" w:rsidP="0040594E">
            <w:pPr>
              <w:pStyle w:val="Tablebody"/>
              <w:rPr>
                <w:rFonts w:cstheme="minorHAnsi"/>
                <w:b/>
                <w:bCs/>
                <w:sz w:val="24"/>
                <w:szCs w:val="24"/>
              </w:rPr>
            </w:pPr>
            <w:r w:rsidRPr="00E77543">
              <w:rPr>
                <w:rFonts w:cstheme="minorHAnsi"/>
                <w:b/>
                <w:bCs/>
                <w:sz w:val="24"/>
                <w:szCs w:val="24"/>
              </w:rPr>
              <w:t>n</w:t>
            </w:r>
          </w:p>
        </w:tc>
        <w:tc>
          <w:tcPr>
            <w:tcW w:w="981" w:type="dxa"/>
            <w:tcBorders>
              <w:top w:val="nil"/>
              <w:left w:val="nil"/>
              <w:bottom w:val="single" w:sz="4" w:space="0" w:color="auto"/>
              <w:right w:val="nil"/>
            </w:tcBorders>
            <w:shd w:val="clear" w:color="auto" w:fill="auto"/>
            <w:noWrap/>
            <w:vAlign w:val="bottom"/>
            <w:hideMark/>
          </w:tcPr>
          <w:p w14:paraId="76DB19C8" w14:textId="77777777" w:rsidR="00F75BA6" w:rsidRPr="00E77543" w:rsidRDefault="00F75BA6" w:rsidP="0040594E">
            <w:pPr>
              <w:pStyle w:val="Tablebody"/>
              <w:rPr>
                <w:rFonts w:cstheme="minorHAnsi"/>
                <w:b/>
                <w:bCs/>
                <w:sz w:val="24"/>
                <w:szCs w:val="24"/>
              </w:rPr>
            </w:pPr>
            <w:r w:rsidRPr="00E77543">
              <w:rPr>
                <w:rFonts w:cstheme="minorHAnsi"/>
                <w:b/>
                <w:bCs/>
                <w:sz w:val="24"/>
                <w:szCs w:val="24"/>
              </w:rPr>
              <w:t>(%)</w:t>
            </w:r>
          </w:p>
        </w:tc>
        <w:tc>
          <w:tcPr>
            <w:tcW w:w="720" w:type="dxa"/>
            <w:tcBorders>
              <w:top w:val="nil"/>
              <w:left w:val="nil"/>
              <w:bottom w:val="single" w:sz="4" w:space="0" w:color="auto"/>
              <w:right w:val="nil"/>
            </w:tcBorders>
            <w:shd w:val="clear" w:color="auto" w:fill="auto"/>
            <w:noWrap/>
            <w:vAlign w:val="bottom"/>
            <w:hideMark/>
          </w:tcPr>
          <w:p w14:paraId="4E78F9DA" w14:textId="77777777" w:rsidR="00F75BA6" w:rsidRPr="00E77543" w:rsidRDefault="00F75BA6" w:rsidP="0040594E">
            <w:pPr>
              <w:pStyle w:val="Tablebody"/>
              <w:rPr>
                <w:rFonts w:cstheme="minorHAnsi"/>
                <w:b/>
                <w:bCs/>
                <w:sz w:val="24"/>
                <w:szCs w:val="24"/>
              </w:rPr>
            </w:pPr>
            <w:r w:rsidRPr="00E77543">
              <w:rPr>
                <w:rFonts w:cstheme="minorHAnsi"/>
                <w:b/>
                <w:bCs/>
                <w:sz w:val="24"/>
                <w:szCs w:val="24"/>
              </w:rPr>
              <w:t>n</w:t>
            </w:r>
          </w:p>
        </w:tc>
        <w:tc>
          <w:tcPr>
            <w:tcW w:w="1152" w:type="dxa"/>
            <w:tcBorders>
              <w:top w:val="nil"/>
              <w:left w:val="nil"/>
              <w:bottom w:val="single" w:sz="4" w:space="0" w:color="auto"/>
              <w:right w:val="nil"/>
            </w:tcBorders>
            <w:shd w:val="clear" w:color="auto" w:fill="auto"/>
            <w:noWrap/>
            <w:vAlign w:val="bottom"/>
            <w:hideMark/>
          </w:tcPr>
          <w:p w14:paraId="12160520" w14:textId="77777777" w:rsidR="00F75BA6" w:rsidRPr="00E77543" w:rsidRDefault="00F75BA6" w:rsidP="0040594E">
            <w:pPr>
              <w:pStyle w:val="Tablebody"/>
              <w:rPr>
                <w:rFonts w:cstheme="minorHAnsi"/>
                <w:b/>
                <w:bCs/>
                <w:sz w:val="24"/>
                <w:szCs w:val="24"/>
              </w:rPr>
            </w:pPr>
            <w:r w:rsidRPr="00E77543">
              <w:rPr>
                <w:rFonts w:cstheme="minorHAnsi"/>
                <w:b/>
                <w:bCs/>
                <w:sz w:val="24"/>
                <w:szCs w:val="24"/>
              </w:rPr>
              <w:t>(%)</w:t>
            </w:r>
          </w:p>
        </w:tc>
        <w:tc>
          <w:tcPr>
            <w:tcW w:w="662" w:type="dxa"/>
            <w:tcBorders>
              <w:top w:val="nil"/>
              <w:left w:val="nil"/>
              <w:bottom w:val="single" w:sz="4" w:space="0" w:color="auto"/>
              <w:right w:val="nil"/>
            </w:tcBorders>
            <w:shd w:val="clear" w:color="auto" w:fill="auto"/>
            <w:vAlign w:val="bottom"/>
            <w:hideMark/>
          </w:tcPr>
          <w:p w14:paraId="71CF69CC" w14:textId="77777777" w:rsidR="00F75BA6" w:rsidRPr="00E77543" w:rsidRDefault="00F75BA6" w:rsidP="0040594E">
            <w:pPr>
              <w:pStyle w:val="Tablebody"/>
              <w:rPr>
                <w:rFonts w:cstheme="minorHAnsi"/>
                <w:b/>
                <w:bCs/>
                <w:sz w:val="24"/>
                <w:szCs w:val="24"/>
              </w:rPr>
            </w:pPr>
            <w:proofErr w:type="spellStart"/>
            <w:r w:rsidRPr="00E77543">
              <w:rPr>
                <w:rFonts w:cstheme="minorHAnsi"/>
                <w:b/>
                <w:bCs/>
                <w:sz w:val="24"/>
                <w:szCs w:val="24"/>
              </w:rPr>
              <w:t>OR</w:t>
            </w:r>
            <w:r w:rsidRPr="00E77543">
              <w:rPr>
                <w:rFonts w:cstheme="minorHAnsi"/>
                <w:b/>
                <w:bCs/>
                <w:sz w:val="24"/>
                <w:szCs w:val="24"/>
                <w:vertAlign w:val="superscript"/>
              </w:rPr>
              <w:t>a</w:t>
            </w:r>
            <w:proofErr w:type="spellEnd"/>
          </w:p>
        </w:tc>
        <w:tc>
          <w:tcPr>
            <w:tcW w:w="1260" w:type="dxa"/>
            <w:tcBorders>
              <w:top w:val="nil"/>
              <w:left w:val="nil"/>
              <w:bottom w:val="single" w:sz="4" w:space="0" w:color="auto"/>
              <w:right w:val="nil"/>
            </w:tcBorders>
            <w:shd w:val="clear" w:color="auto" w:fill="auto"/>
            <w:vAlign w:val="bottom"/>
            <w:hideMark/>
          </w:tcPr>
          <w:p w14:paraId="3D1ABAC2" w14:textId="77777777" w:rsidR="00F75BA6" w:rsidRPr="00E77543" w:rsidRDefault="00F75BA6" w:rsidP="0040594E">
            <w:pPr>
              <w:pStyle w:val="Tablebody"/>
              <w:rPr>
                <w:rFonts w:cstheme="minorHAnsi"/>
                <w:b/>
                <w:bCs/>
                <w:sz w:val="24"/>
                <w:szCs w:val="24"/>
              </w:rPr>
            </w:pPr>
            <w:r w:rsidRPr="00E77543">
              <w:rPr>
                <w:rFonts w:cstheme="minorHAnsi"/>
                <w:b/>
                <w:bCs/>
                <w:sz w:val="24"/>
                <w:szCs w:val="24"/>
              </w:rPr>
              <w:t xml:space="preserve">95% </w:t>
            </w:r>
            <w:proofErr w:type="spellStart"/>
            <w:r w:rsidRPr="00E77543">
              <w:rPr>
                <w:rFonts w:cstheme="minorHAnsi"/>
                <w:b/>
                <w:bCs/>
                <w:sz w:val="24"/>
                <w:szCs w:val="24"/>
              </w:rPr>
              <w:t>CI</w:t>
            </w:r>
            <w:r w:rsidRPr="00E77543">
              <w:rPr>
                <w:rFonts w:cstheme="minorHAnsi"/>
                <w:b/>
                <w:bCs/>
                <w:sz w:val="24"/>
                <w:szCs w:val="24"/>
                <w:vertAlign w:val="superscript"/>
              </w:rPr>
              <w:t>b</w:t>
            </w:r>
            <w:proofErr w:type="spellEnd"/>
          </w:p>
        </w:tc>
        <w:tc>
          <w:tcPr>
            <w:tcW w:w="1170" w:type="dxa"/>
            <w:gridSpan w:val="4"/>
            <w:tcBorders>
              <w:top w:val="nil"/>
              <w:left w:val="nil"/>
              <w:bottom w:val="single" w:sz="4" w:space="0" w:color="auto"/>
            </w:tcBorders>
            <w:shd w:val="clear" w:color="auto" w:fill="auto"/>
            <w:vAlign w:val="bottom"/>
            <w:hideMark/>
          </w:tcPr>
          <w:p w14:paraId="457B83DC" w14:textId="77777777" w:rsidR="00F75BA6" w:rsidRPr="00E77543" w:rsidRDefault="00C67EB4" w:rsidP="0040594E">
            <w:pPr>
              <w:pStyle w:val="Tablebody"/>
              <w:rPr>
                <w:rFonts w:cstheme="minorHAnsi"/>
                <w:b/>
                <w:bCs/>
                <w:sz w:val="24"/>
                <w:szCs w:val="24"/>
              </w:rPr>
            </w:pPr>
            <w:r w:rsidRPr="00E77543">
              <w:rPr>
                <w:rFonts w:cstheme="minorHAnsi"/>
                <w:b/>
                <w:bCs/>
                <w:i/>
                <w:sz w:val="24"/>
                <w:szCs w:val="24"/>
              </w:rPr>
              <w:t>p</w:t>
            </w:r>
            <w:r w:rsidRPr="00E77543">
              <w:rPr>
                <w:rFonts w:cstheme="minorHAnsi"/>
                <w:b/>
                <w:bCs/>
                <w:sz w:val="24"/>
                <w:szCs w:val="24"/>
              </w:rPr>
              <w:t>-value</w:t>
            </w:r>
          </w:p>
        </w:tc>
      </w:tr>
      <w:tr w:rsidR="00F75BA6" w14:paraId="51239762" w14:textId="77777777" w:rsidTr="004B40BA">
        <w:trPr>
          <w:gridAfter w:val="1"/>
          <w:wAfter w:w="23" w:type="dxa"/>
          <w:trHeight w:val="300"/>
        </w:trPr>
        <w:tc>
          <w:tcPr>
            <w:tcW w:w="2666" w:type="dxa"/>
            <w:tcBorders>
              <w:top w:val="nil"/>
              <w:right w:val="nil"/>
            </w:tcBorders>
            <w:shd w:val="clear" w:color="auto" w:fill="auto"/>
            <w:noWrap/>
            <w:vAlign w:val="bottom"/>
          </w:tcPr>
          <w:p w14:paraId="43D62361" w14:textId="77777777" w:rsidR="00F75BA6" w:rsidRPr="00D562F1" w:rsidRDefault="00F75BA6" w:rsidP="0040594E">
            <w:pPr>
              <w:pStyle w:val="Tablebody"/>
              <w:rPr>
                <w:rFonts w:cstheme="minorHAnsi"/>
                <w:sz w:val="24"/>
                <w:szCs w:val="24"/>
              </w:rPr>
            </w:pPr>
            <w:r w:rsidRPr="00D562F1">
              <w:rPr>
                <w:rFonts w:cstheme="minorHAnsi"/>
                <w:sz w:val="24"/>
                <w:szCs w:val="24"/>
              </w:rPr>
              <w:t>Bottled Water</w:t>
            </w:r>
            <w:r w:rsidR="009D21C6" w:rsidRPr="00D562F1">
              <w:rPr>
                <w:rFonts w:cstheme="minorHAnsi"/>
                <w:sz w:val="24"/>
                <w:szCs w:val="24"/>
              </w:rPr>
              <w:t xml:space="preserve"> </w:t>
            </w:r>
            <w:r w:rsidRPr="00D562F1">
              <w:rPr>
                <w:rFonts w:cstheme="minorHAnsi"/>
                <w:sz w:val="24"/>
                <w:szCs w:val="24"/>
              </w:rPr>
              <w:t>=</w:t>
            </w:r>
            <w:r w:rsidR="009D21C6" w:rsidRPr="00D562F1">
              <w:rPr>
                <w:rFonts w:cstheme="minorHAnsi"/>
                <w:sz w:val="24"/>
                <w:szCs w:val="24"/>
              </w:rPr>
              <w:t xml:space="preserve"> </w:t>
            </w:r>
            <w:r w:rsidRPr="00D562F1">
              <w:rPr>
                <w:rFonts w:cstheme="minorHAnsi"/>
                <w:sz w:val="24"/>
                <w:szCs w:val="24"/>
              </w:rPr>
              <w:t>0</w:t>
            </w:r>
          </w:p>
        </w:tc>
        <w:tc>
          <w:tcPr>
            <w:tcW w:w="720" w:type="dxa"/>
            <w:tcBorders>
              <w:top w:val="single" w:sz="4" w:space="0" w:color="auto"/>
              <w:left w:val="nil"/>
              <w:right w:val="nil"/>
            </w:tcBorders>
            <w:shd w:val="clear" w:color="auto" w:fill="auto"/>
            <w:noWrap/>
            <w:vAlign w:val="bottom"/>
          </w:tcPr>
          <w:p w14:paraId="09182A31" w14:textId="77777777" w:rsidR="00F75BA6" w:rsidRPr="00D562F1" w:rsidRDefault="00F75BA6" w:rsidP="0040594E">
            <w:pPr>
              <w:pStyle w:val="Tablebody"/>
              <w:rPr>
                <w:rFonts w:cstheme="minorHAnsi"/>
                <w:sz w:val="24"/>
                <w:szCs w:val="24"/>
              </w:rPr>
            </w:pPr>
          </w:p>
        </w:tc>
        <w:tc>
          <w:tcPr>
            <w:tcW w:w="981" w:type="dxa"/>
            <w:tcBorders>
              <w:top w:val="single" w:sz="4" w:space="0" w:color="auto"/>
              <w:left w:val="nil"/>
              <w:right w:val="nil"/>
            </w:tcBorders>
            <w:shd w:val="clear" w:color="auto" w:fill="auto"/>
            <w:noWrap/>
            <w:vAlign w:val="bottom"/>
          </w:tcPr>
          <w:p w14:paraId="7F174721" w14:textId="77777777" w:rsidR="00F75BA6" w:rsidRPr="00D562F1" w:rsidRDefault="00F75BA6" w:rsidP="0040594E">
            <w:pPr>
              <w:pStyle w:val="Tablebody"/>
              <w:rPr>
                <w:rFonts w:cstheme="minorHAnsi"/>
                <w:sz w:val="24"/>
                <w:szCs w:val="24"/>
              </w:rPr>
            </w:pPr>
          </w:p>
        </w:tc>
        <w:tc>
          <w:tcPr>
            <w:tcW w:w="720" w:type="dxa"/>
            <w:tcBorders>
              <w:top w:val="single" w:sz="4" w:space="0" w:color="auto"/>
              <w:left w:val="nil"/>
              <w:right w:val="nil"/>
            </w:tcBorders>
            <w:shd w:val="clear" w:color="auto" w:fill="auto"/>
            <w:noWrap/>
            <w:vAlign w:val="bottom"/>
          </w:tcPr>
          <w:p w14:paraId="3B10B912" w14:textId="77777777" w:rsidR="00F75BA6" w:rsidRPr="00D562F1" w:rsidRDefault="00F75BA6" w:rsidP="0040594E">
            <w:pPr>
              <w:pStyle w:val="Tablebody"/>
              <w:rPr>
                <w:rFonts w:cstheme="minorHAnsi"/>
                <w:sz w:val="24"/>
                <w:szCs w:val="24"/>
              </w:rPr>
            </w:pPr>
          </w:p>
        </w:tc>
        <w:tc>
          <w:tcPr>
            <w:tcW w:w="1152" w:type="dxa"/>
            <w:tcBorders>
              <w:top w:val="single" w:sz="4" w:space="0" w:color="auto"/>
              <w:left w:val="nil"/>
              <w:right w:val="nil"/>
            </w:tcBorders>
            <w:shd w:val="clear" w:color="auto" w:fill="auto"/>
            <w:noWrap/>
            <w:vAlign w:val="bottom"/>
          </w:tcPr>
          <w:p w14:paraId="0B98B997" w14:textId="77777777" w:rsidR="00F75BA6" w:rsidRPr="00D562F1" w:rsidRDefault="00F75BA6" w:rsidP="0040594E">
            <w:pPr>
              <w:pStyle w:val="Tablebody"/>
              <w:rPr>
                <w:rFonts w:cstheme="minorHAnsi"/>
                <w:sz w:val="24"/>
                <w:szCs w:val="24"/>
              </w:rPr>
            </w:pPr>
          </w:p>
        </w:tc>
        <w:tc>
          <w:tcPr>
            <w:tcW w:w="662" w:type="dxa"/>
            <w:tcBorders>
              <w:top w:val="single" w:sz="4" w:space="0" w:color="auto"/>
              <w:left w:val="nil"/>
              <w:right w:val="nil"/>
            </w:tcBorders>
            <w:shd w:val="clear" w:color="auto" w:fill="auto"/>
            <w:noWrap/>
            <w:vAlign w:val="bottom"/>
          </w:tcPr>
          <w:p w14:paraId="7D14855B" w14:textId="77777777" w:rsidR="00F75BA6" w:rsidRPr="00D562F1" w:rsidRDefault="00F75BA6" w:rsidP="0040594E">
            <w:pPr>
              <w:pStyle w:val="Tablebody"/>
              <w:rPr>
                <w:rFonts w:cstheme="minorHAnsi"/>
                <w:sz w:val="24"/>
                <w:szCs w:val="24"/>
              </w:rPr>
            </w:pPr>
          </w:p>
        </w:tc>
        <w:tc>
          <w:tcPr>
            <w:tcW w:w="1260" w:type="dxa"/>
            <w:tcBorders>
              <w:top w:val="single" w:sz="4" w:space="0" w:color="auto"/>
              <w:left w:val="nil"/>
              <w:right w:val="nil"/>
            </w:tcBorders>
            <w:shd w:val="clear" w:color="auto" w:fill="auto"/>
            <w:noWrap/>
            <w:vAlign w:val="bottom"/>
          </w:tcPr>
          <w:p w14:paraId="174CFA68" w14:textId="77777777" w:rsidR="00F75BA6" w:rsidRPr="00D562F1" w:rsidRDefault="00F75BA6" w:rsidP="0040594E">
            <w:pPr>
              <w:pStyle w:val="Tablebody"/>
              <w:rPr>
                <w:rFonts w:cstheme="minorHAnsi"/>
                <w:sz w:val="24"/>
                <w:szCs w:val="24"/>
              </w:rPr>
            </w:pPr>
          </w:p>
        </w:tc>
        <w:tc>
          <w:tcPr>
            <w:tcW w:w="1170" w:type="dxa"/>
            <w:gridSpan w:val="4"/>
            <w:tcBorders>
              <w:top w:val="single" w:sz="4" w:space="0" w:color="auto"/>
              <w:left w:val="nil"/>
            </w:tcBorders>
            <w:shd w:val="clear" w:color="auto" w:fill="auto"/>
            <w:noWrap/>
            <w:vAlign w:val="bottom"/>
          </w:tcPr>
          <w:p w14:paraId="7F2F357A" w14:textId="77777777" w:rsidR="00F75BA6" w:rsidRPr="00D562F1" w:rsidRDefault="00F75BA6" w:rsidP="0040594E">
            <w:pPr>
              <w:pStyle w:val="Tablebody"/>
              <w:rPr>
                <w:rFonts w:cstheme="minorHAnsi"/>
                <w:sz w:val="24"/>
                <w:szCs w:val="24"/>
              </w:rPr>
            </w:pPr>
          </w:p>
        </w:tc>
      </w:tr>
      <w:tr w:rsidR="00F75BA6" w14:paraId="046BCC31" w14:textId="77777777" w:rsidTr="004B40BA">
        <w:trPr>
          <w:gridAfter w:val="1"/>
          <w:wAfter w:w="23" w:type="dxa"/>
          <w:trHeight w:val="300"/>
        </w:trPr>
        <w:tc>
          <w:tcPr>
            <w:tcW w:w="2666" w:type="dxa"/>
            <w:tcBorders>
              <w:top w:val="nil"/>
              <w:right w:val="nil"/>
            </w:tcBorders>
            <w:shd w:val="clear" w:color="auto" w:fill="auto"/>
            <w:noWrap/>
            <w:vAlign w:val="bottom"/>
            <w:hideMark/>
          </w:tcPr>
          <w:p w14:paraId="5D73736D" w14:textId="77777777" w:rsidR="00F75BA6" w:rsidRPr="00D562F1" w:rsidRDefault="00F75BA6" w:rsidP="00484C9D">
            <w:pPr>
              <w:pStyle w:val="Tablebody"/>
              <w:ind w:left="340"/>
              <w:rPr>
                <w:rFonts w:cstheme="minorHAnsi"/>
                <w:sz w:val="24"/>
                <w:szCs w:val="24"/>
              </w:rPr>
            </w:pPr>
            <w:r w:rsidRPr="00D562F1">
              <w:rPr>
                <w:rFonts w:cstheme="minorHAnsi"/>
                <w:sz w:val="24"/>
                <w:szCs w:val="24"/>
              </w:rPr>
              <w:t>Zero</w:t>
            </w:r>
          </w:p>
        </w:tc>
        <w:tc>
          <w:tcPr>
            <w:tcW w:w="720" w:type="dxa"/>
            <w:tcBorders>
              <w:left w:val="nil"/>
              <w:right w:val="nil"/>
            </w:tcBorders>
            <w:shd w:val="clear" w:color="auto" w:fill="auto"/>
            <w:noWrap/>
            <w:vAlign w:val="bottom"/>
          </w:tcPr>
          <w:p w14:paraId="311FFADC" w14:textId="77777777" w:rsidR="00F75BA6" w:rsidRPr="00D562F1" w:rsidRDefault="00F75BA6" w:rsidP="0040594E">
            <w:pPr>
              <w:pStyle w:val="Tablebody"/>
              <w:rPr>
                <w:rFonts w:cstheme="minorHAnsi"/>
                <w:sz w:val="24"/>
                <w:szCs w:val="24"/>
              </w:rPr>
            </w:pPr>
            <w:r w:rsidRPr="00D562F1">
              <w:rPr>
                <w:rFonts w:cstheme="minorHAnsi"/>
                <w:sz w:val="24"/>
                <w:szCs w:val="24"/>
              </w:rPr>
              <w:t>8</w:t>
            </w:r>
          </w:p>
        </w:tc>
        <w:tc>
          <w:tcPr>
            <w:tcW w:w="981" w:type="dxa"/>
            <w:tcBorders>
              <w:left w:val="nil"/>
              <w:right w:val="nil"/>
            </w:tcBorders>
            <w:shd w:val="clear" w:color="auto" w:fill="auto"/>
            <w:noWrap/>
            <w:vAlign w:val="bottom"/>
          </w:tcPr>
          <w:p w14:paraId="32E790BB" w14:textId="77777777" w:rsidR="00F75BA6" w:rsidRPr="00D562F1" w:rsidRDefault="00F75BA6" w:rsidP="0040594E">
            <w:pPr>
              <w:pStyle w:val="Tablebody"/>
              <w:rPr>
                <w:rFonts w:cstheme="minorHAnsi"/>
                <w:sz w:val="24"/>
                <w:szCs w:val="24"/>
              </w:rPr>
            </w:pPr>
            <w:r w:rsidRPr="00D562F1">
              <w:rPr>
                <w:rFonts w:cstheme="minorHAnsi"/>
                <w:sz w:val="24"/>
                <w:szCs w:val="24"/>
              </w:rPr>
              <w:t>(80%)</w:t>
            </w:r>
          </w:p>
        </w:tc>
        <w:tc>
          <w:tcPr>
            <w:tcW w:w="720" w:type="dxa"/>
            <w:tcBorders>
              <w:left w:val="nil"/>
              <w:right w:val="nil"/>
            </w:tcBorders>
            <w:shd w:val="clear" w:color="auto" w:fill="auto"/>
            <w:noWrap/>
            <w:vAlign w:val="bottom"/>
          </w:tcPr>
          <w:p w14:paraId="78A8225B" w14:textId="77777777" w:rsidR="00F75BA6" w:rsidRPr="00D562F1" w:rsidRDefault="00F75BA6" w:rsidP="0040594E">
            <w:pPr>
              <w:pStyle w:val="Tablebody"/>
              <w:rPr>
                <w:rFonts w:cstheme="minorHAnsi"/>
                <w:sz w:val="24"/>
                <w:szCs w:val="24"/>
              </w:rPr>
            </w:pPr>
            <w:r w:rsidRPr="00D562F1">
              <w:rPr>
                <w:rFonts w:cstheme="minorHAnsi"/>
                <w:sz w:val="24"/>
                <w:szCs w:val="24"/>
              </w:rPr>
              <w:t>33</w:t>
            </w:r>
          </w:p>
        </w:tc>
        <w:tc>
          <w:tcPr>
            <w:tcW w:w="1152" w:type="dxa"/>
            <w:tcBorders>
              <w:left w:val="nil"/>
              <w:right w:val="nil"/>
            </w:tcBorders>
            <w:shd w:val="clear" w:color="auto" w:fill="auto"/>
            <w:noWrap/>
            <w:vAlign w:val="bottom"/>
          </w:tcPr>
          <w:p w14:paraId="653B07C0" w14:textId="77777777" w:rsidR="00F75BA6" w:rsidRPr="00D562F1" w:rsidRDefault="00F75BA6" w:rsidP="0040594E">
            <w:pPr>
              <w:pStyle w:val="Tablebody"/>
              <w:rPr>
                <w:rFonts w:cstheme="minorHAnsi"/>
                <w:sz w:val="24"/>
                <w:szCs w:val="24"/>
              </w:rPr>
            </w:pPr>
            <w:r w:rsidRPr="00D562F1">
              <w:rPr>
                <w:rFonts w:cstheme="minorHAnsi"/>
                <w:sz w:val="24"/>
                <w:szCs w:val="24"/>
              </w:rPr>
              <w:t>(85%)</w:t>
            </w:r>
          </w:p>
        </w:tc>
        <w:tc>
          <w:tcPr>
            <w:tcW w:w="662" w:type="dxa"/>
            <w:tcBorders>
              <w:left w:val="nil"/>
              <w:right w:val="nil"/>
            </w:tcBorders>
            <w:shd w:val="clear" w:color="auto" w:fill="auto"/>
            <w:noWrap/>
            <w:vAlign w:val="bottom"/>
          </w:tcPr>
          <w:p w14:paraId="24A532FC" w14:textId="77777777" w:rsidR="00F75BA6" w:rsidRPr="00D562F1" w:rsidRDefault="00F75BA6" w:rsidP="0040594E">
            <w:pPr>
              <w:pStyle w:val="Tablebody"/>
              <w:rPr>
                <w:rFonts w:cstheme="minorHAnsi"/>
                <w:sz w:val="24"/>
                <w:szCs w:val="24"/>
              </w:rPr>
            </w:pPr>
            <w:r w:rsidRPr="00D562F1">
              <w:rPr>
                <w:rFonts w:cstheme="minorHAnsi"/>
                <w:sz w:val="24"/>
                <w:szCs w:val="24"/>
              </w:rPr>
              <w:t>1.0</w:t>
            </w:r>
          </w:p>
        </w:tc>
        <w:tc>
          <w:tcPr>
            <w:tcW w:w="2430" w:type="dxa"/>
            <w:gridSpan w:val="5"/>
            <w:tcBorders>
              <w:left w:val="nil"/>
            </w:tcBorders>
            <w:shd w:val="clear" w:color="auto" w:fill="auto"/>
            <w:noWrap/>
            <w:vAlign w:val="bottom"/>
          </w:tcPr>
          <w:p w14:paraId="70A1A60A" w14:textId="77777777" w:rsidR="00F75BA6" w:rsidRPr="00D562F1" w:rsidRDefault="00F75BA6" w:rsidP="0040594E">
            <w:pPr>
              <w:pStyle w:val="Tablebody"/>
              <w:rPr>
                <w:rFonts w:cstheme="minorHAnsi"/>
                <w:sz w:val="24"/>
                <w:szCs w:val="24"/>
              </w:rPr>
            </w:pPr>
            <w:r w:rsidRPr="00D562F1">
              <w:rPr>
                <w:rFonts w:cstheme="minorHAnsi"/>
                <w:sz w:val="24"/>
                <w:szCs w:val="24"/>
              </w:rPr>
              <w:t>-ref-</w:t>
            </w:r>
          </w:p>
        </w:tc>
      </w:tr>
      <w:tr w:rsidR="00F75BA6" w14:paraId="4865E83F" w14:textId="77777777" w:rsidTr="004B40BA">
        <w:trPr>
          <w:gridAfter w:val="1"/>
          <w:wAfter w:w="23" w:type="dxa"/>
          <w:trHeight w:val="300"/>
        </w:trPr>
        <w:tc>
          <w:tcPr>
            <w:tcW w:w="2666" w:type="dxa"/>
            <w:tcBorders>
              <w:right w:val="nil"/>
            </w:tcBorders>
            <w:shd w:val="clear" w:color="auto" w:fill="auto"/>
            <w:noWrap/>
            <w:vAlign w:val="bottom"/>
          </w:tcPr>
          <w:p w14:paraId="36851F56" w14:textId="77777777" w:rsidR="00F75BA6" w:rsidRPr="00D562F1" w:rsidRDefault="00F75BA6" w:rsidP="00484C9D">
            <w:pPr>
              <w:pStyle w:val="Tablebody"/>
              <w:ind w:left="340"/>
              <w:rPr>
                <w:rFonts w:cstheme="minorHAnsi"/>
                <w:sz w:val="24"/>
                <w:szCs w:val="24"/>
              </w:rPr>
            </w:pPr>
            <w:r w:rsidRPr="00D562F1">
              <w:rPr>
                <w:rFonts w:cstheme="minorHAnsi"/>
                <w:sz w:val="24"/>
                <w:szCs w:val="24"/>
              </w:rPr>
              <w:t>Low</w:t>
            </w:r>
          </w:p>
        </w:tc>
        <w:tc>
          <w:tcPr>
            <w:tcW w:w="720" w:type="dxa"/>
            <w:tcBorders>
              <w:left w:val="nil"/>
              <w:right w:val="nil"/>
            </w:tcBorders>
            <w:shd w:val="clear" w:color="auto" w:fill="auto"/>
            <w:noWrap/>
            <w:vAlign w:val="bottom"/>
          </w:tcPr>
          <w:p w14:paraId="2C0FEE2D" w14:textId="77777777" w:rsidR="00F75BA6" w:rsidRPr="00D562F1" w:rsidRDefault="00F75BA6" w:rsidP="0040594E">
            <w:pPr>
              <w:pStyle w:val="Tablebody"/>
              <w:rPr>
                <w:rFonts w:cstheme="minorHAnsi"/>
                <w:sz w:val="24"/>
                <w:szCs w:val="24"/>
              </w:rPr>
            </w:pPr>
            <w:r w:rsidRPr="00D562F1">
              <w:rPr>
                <w:rFonts w:cstheme="minorHAnsi"/>
                <w:sz w:val="24"/>
                <w:szCs w:val="24"/>
              </w:rPr>
              <w:t>0</w:t>
            </w:r>
          </w:p>
        </w:tc>
        <w:tc>
          <w:tcPr>
            <w:tcW w:w="981" w:type="dxa"/>
            <w:tcBorders>
              <w:left w:val="nil"/>
              <w:right w:val="nil"/>
            </w:tcBorders>
            <w:shd w:val="clear" w:color="auto" w:fill="auto"/>
            <w:noWrap/>
            <w:vAlign w:val="bottom"/>
          </w:tcPr>
          <w:p w14:paraId="7A30F635" w14:textId="77777777" w:rsidR="00F75BA6" w:rsidRPr="00D562F1" w:rsidRDefault="00F75BA6" w:rsidP="0040594E">
            <w:pPr>
              <w:pStyle w:val="Tablebody"/>
              <w:rPr>
                <w:rFonts w:cstheme="minorHAnsi"/>
                <w:sz w:val="24"/>
                <w:szCs w:val="24"/>
              </w:rPr>
            </w:pPr>
            <w:r w:rsidRPr="00D562F1">
              <w:rPr>
                <w:rFonts w:cstheme="minorHAnsi"/>
                <w:sz w:val="24"/>
                <w:szCs w:val="24"/>
              </w:rPr>
              <w:t>(0%)</w:t>
            </w:r>
          </w:p>
        </w:tc>
        <w:tc>
          <w:tcPr>
            <w:tcW w:w="720" w:type="dxa"/>
            <w:tcBorders>
              <w:left w:val="nil"/>
              <w:right w:val="nil"/>
            </w:tcBorders>
            <w:shd w:val="clear" w:color="auto" w:fill="auto"/>
            <w:noWrap/>
            <w:vAlign w:val="bottom"/>
          </w:tcPr>
          <w:p w14:paraId="4362427E" w14:textId="77777777" w:rsidR="00F75BA6" w:rsidRPr="00D562F1" w:rsidRDefault="00F75BA6" w:rsidP="0040594E">
            <w:pPr>
              <w:pStyle w:val="Tablebody"/>
              <w:rPr>
                <w:rFonts w:cstheme="minorHAnsi"/>
                <w:sz w:val="24"/>
                <w:szCs w:val="24"/>
              </w:rPr>
            </w:pPr>
            <w:r w:rsidRPr="00D562F1">
              <w:rPr>
                <w:rFonts w:cstheme="minorHAnsi"/>
                <w:sz w:val="24"/>
                <w:szCs w:val="24"/>
              </w:rPr>
              <w:t>4</w:t>
            </w:r>
          </w:p>
        </w:tc>
        <w:tc>
          <w:tcPr>
            <w:tcW w:w="1152" w:type="dxa"/>
            <w:tcBorders>
              <w:left w:val="nil"/>
              <w:right w:val="nil"/>
            </w:tcBorders>
            <w:shd w:val="clear" w:color="auto" w:fill="auto"/>
            <w:noWrap/>
            <w:vAlign w:val="bottom"/>
          </w:tcPr>
          <w:p w14:paraId="2B9DC3B3" w14:textId="77777777" w:rsidR="00F75BA6" w:rsidRPr="00D562F1" w:rsidRDefault="00F75BA6" w:rsidP="0040594E">
            <w:pPr>
              <w:pStyle w:val="Tablebody"/>
              <w:rPr>
                <w:rFonts w:cstheme="minorHAnsi"/>
                <w:sz w:val="24"/>
                <w:szCs w:val="24"/>
              </w:rPr>
            </w:pPr>
            <w:r w:rsidRPr="00D562F1">
              <w:rPr>
                <w:rFonts w:cstheme="minorHAnsi"/>
                <w:sz w:val="24"/>
                <w:szCs w:val="24"/>
              </w:rPr>
              <w:t>(10%)</w:t>
            </w:r>
          </w:p>
        </w:tc>
        <w:tc>
          <w:tcPr>
            <w:tcW w:w="662" w:type="dxa"/>
            <w:tcBorders>
              <w:left w:val="nil"/>
              <w:right w:val="nil"/>
            </w:tcBorders>
            <w:shd w:val="clear" w:color="auto" w:fill="auto"/>
            <w:noWrap/>
            <w:vAlign w:val="bottom"/>
          </w:tcPr>
          <w:p w14:paraId="5E698164"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c>
          <w:tcPr>
            <w:tcW w:w="1260" w:type="dxa"/>
            <w:tcBorders>
              <w:left w:val="nil"/>
              <w:right w:val="nil"/>
            </w:tcBorders>
            <w:shd w:val="clear" w:color="auto" w:fill="auto"/>
            <w:noWrap/>
            <w:vAlign w:val="bottom"/>
          </w:tcPr>
          <w:p w14:paraId="1095D197"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c>
          <w:tcPr>
            <w:tcW w:w="1170" w:type="dxa"/>
            <w:gridSpan w:val="4"/>
            <w:tcBorders>
              <w:left w:val="nil"/>
            </w:tcBorders>
            <w:shd w:val="clear" w:color="auto" w:fill="auto"/>
            <w:noWrap/>
            <w:vAlign w:val="bottom"/>
          </w:tcPr>
          <w:p w14:paraId="5E9655C9"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r>
      <w:tr w:rsidR="00F75BA6" w14:paraId="1860BAAD" w14:textId="77777777" w:rsidTr="004B40BA">
        <w:trPr>
          <w:gridAfter w:val="1"/>
          <w:wAfter w:w="23" w:type="dxa"/>
          <w:trHeight w:val="300"/>
        </w:trPr>
        <w:tc>
          <w:tcPr>
            <w:tcW w:w="2666" w:type="dxa"/>
            <w:tcBorders>
              <w:right w:val="nil"/>
            </w:tcBorders>
            <w:shd w:val="clear" w:color="auto" w:fill="auto"/>
            <w:noWrap/>
            <w:vAlign w:val="bottom"/>
            <w:hideMark/>
          </w:tcPr>
          <w:p w14:paraId="088B85C4" w14:textId="77777777" w:rsidR="00F75BA6" w:rsidRPr="00D562F1" w:rsidRDefault="00F75BA6" w:rsidP="00484C9D">
            <w:pPr>
              <w:pStyle w:val="Tablebody"/>
              <w:ind w:left="340"/>
              <w:rPr>
                <w:rFonts w:cstheme="minorHAnsi"/>
                <w:sz w:val="24"/>
                <w:szCs w:val="24"/>
              </w:rPr>
            </w:pPr>
            <w:r w:rsidRPr="00D562F1">
              <w:rPr>
                <w:rFonts w:cstheme="minorHAnsi"/>
                <w:sz w:val="24"/>
                <w:szCs w:val="24"/>
              </w:rPr>
              <w:t>High</w:t>
            </w:r>
          </w:p>
        </w:tc>
        <w:tc>
          <w:tcPr>
            <w:tcW w:w="720" w:type="dxa"/>
            <w:tcBorders>
              <w:left w:val="nil"/>
              <w:right w:val="nil"/>
            </w:tcBorders>
            <w:shd w:val="clear" w:color="auto" w:fill="auto"/>
            <w:noWrap/>
            <w:vAlign w:val="bottom"/>
          </w:tcPr>
          <w:p w14:paraId="6B97719D" w14:textId="77777777" w:rsidR="00F75BA6" w:rsidRPr="00D562F1" w:rsidRDefault="00F75BA6" w:rsidP="0040594E">
            <w:pPr>
              <w:pStyle w:val="Tablebody"/>
              <w:rPr>
                <w:rFonts w:cstheme="minorHAnsi"/>
                <w:sz w:val="24"/>
                <w:szCs w:val="24"/>
              </w:rPr>
            </w:pPr>
            <w:r w:rsidRPr="00D562F1">
              <w:rPr>
                <w:rFonts w:cstheme="minorHAnsi"/>
                <w:sz w:val="24"/>
                <w:szCs w:val="24"/>
              </w:rPr>
              <w:t>2</w:t>
            </w:r>
          </w:p>
        </w:tc>
        <w:tc>
          <w:tcPr>
            <w:tcW w:w="981" w:type="dxa"/>
            <w:tcBorders>
              <w:left w:val="nil"/>
              <w:right w:val="nil"/>
            </w:tcBorders>
            <w:shd w:val="clear" w:color="auto" w:fill="auto"/>
            <w:noWrap/>
            <w:vAlign w:val="bottom"/>
          </w:tcPr>
          <w:p w14:paraId="2BEE83D4" w14:textId="77777777" w:rsidR="00F75BA6" w:rsidRPr="00D562F1" w:rsidRDefault="00F75BA6" w:rsidP="0040594E">
            <w:pPr>
              <w:pStyle w:val="Tablebody"/>
              <w:rPr>
                <w:rFonts w:cstheme="minorHAnsi"/>
                <w:sz w:val="24"/>
                <w:szCs w:val="24"/>
              </w:rPr>
            </w:pPr>
            <w:r w:rsidRPr="00D562F1">
              <w:rPr>
                <w:rFonts w:cstheme="minorHAnsi"/>
                <w:sz w:val="24"/>
                <w:szCs w:val="24"/>
              </w:rPr>
              <w:t>(20%)</w:t>
            </w:r>
          </w:p>
        </w:tc>
        <w:tc>
          <w:tcPr>
            <w:tcW w:w="720" w:type="dxa"/>
            <w:tcBorders>
              <w:left w:val="nil"/>
              <w:right w:val="nil"/>
            </w:tcBorders>
            <w:shd w:val="clear" w:color="auto" w:fill="auto"/>
            <w:noWrap/>
            <w:vAlign w:val="bottom"/>
          </w:tcPr>
          <w:p w14:paraId="78443627" w14:textId="77777777" w:rsidR="00F75BA6" w:rsidRPr="00D562F1" w:rsidRDefault="00F75BA6" w:rsidP="0040594E">
            <w:pPr>
              <w:pStyle w:val="Tablebody"/>
              <w:rPr>
                <w:rFonts w:cstheme="minorHAnsi"/>
                <w:sz w:val="24"/>
                <w:szCs w:val="24"/>
              </w:rPr>
            </w:pPr>
            <w:r w:rsidRPr="00D562F1">
              <w:rPr>
                <w:rFonts w:cstheme="minorHAnsi"/>
                <w:sz w:val="24"/>
                <w:szCs w:val="24"/>
              </w:rPr>
              <w:t>2</w:t>
            </w:r>
          </w:p>
        </w:tc>
        <w:tc>
          <w:tcPr>
            <w:tcW w:w="1152" w:type="dxa"/>
            <w:tcBorders>
              <w:left w:val="nil"/>
              <w:right w:val="nil"/>
            </w:tcBorders>
            <w:shd w:val="clear" w:color="auto" w:fill="auto"/>
            <w:noWrap/>
            <w:vAlign w:val="bottom"/>
          </w:tcPr>
          <w:p w14:paraId="6BDE63B6" w14:textId="77777777" w:rsidR="00F75BA6" w:rsidRPr="00D562F1" w:rsidRDefault="00F75BA6" w:rsidP="0040594E">
            <w:pPr>
              <w:pStyle w:val="Tablebody"/>
              <w:rPr>
                <w:rFonts w:cstheme="minorHAnsi"/>
                <w:sz w:val="24"/>
                <w:szCs w:val="24"/>
              </w:rPr>
            </w:pPr>
            <w:r w:rsidRPr="00D562F1">
              <w:rPr>
                <w:rFonts w:cstheme="minorHAnsi"/>
                <w:sz w:val="24"/>
                <w:szCs w:val="24"/>
              </w:rPr>
              <w:t>(5%)</w:t>
            </w:r>
          </w:p>
        </w:tc>
        <w:tc>
          <w:tcPr>
            <w:tcW w:w="662" w:type="dxa"/>
            <w:tcBorders>
              <w:left w:val="nil"/>
              <w:right w:val="nil"/>
            </w:tcBorders>
            <w:shd w:val="clear" w:color="auto" w:fill="auto"/>
            <w:noWrap/>
            <w:vAlign w:val="bottom"/>
          </w:tcPr>
          <w:p w14:paraId="4DA42C89"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c>
          <w:tcPr>
            <w:tcW w:w="1260" w:type="dxa"/>
            <w:tcBorders>
              <w:left w:val="nil"/>
              <w:right w:val="nil"/>
            </w:tcBorders>
            <w:shd w:val="clear" w:color="auto" w:fill="auto"/>
            <w:noWrap/>
            <w:vAlign w:val="bottom"/>
          </w:tcPr>
          <w:p w14:paraId="2E4D6182"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c>
          <w:tcPr>
            <w:tcW w:w="1170" w:type="dxa"/>
            <w:gridSpan w:val="4"/>
            <w:tcBorders>
              <w:left w:val="nil"/>
            </w:tcBorders>
            <w:shd w:val="clear" w:color="auto" w:fill="auto"/>
            <w:noWrap/>
            <w:vAlign w:val="bottom"/>
          </w:tcPr>
          <w:p w14:paraId="69A2749E"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r>
      <w:tr w:rsidR="00F75BA6" w14:paraId="3E28DAF8" w14:textId="77777777" w:rsidTr="004B40BA">
        <w:trPr>
          <w:gridAfter w:val="1"/>
          <w:wAfter w:w="23" w:type="dxa"/>
          <w:trHeight w:val="300"/>
        </w:trPr>
        <w:tc>
          <w:tcPr>
            <w:tcW w:w="2666" w:type="dxa"/>
            <w:tcBorders>
              <w:right w:val="nil"/>
            </w:tcBorders>
            <w:shd w:val="clear" w:color="auto" w:fill="D9D9D9" w:themeFill="background1" w:themeFillShade="D9"/>
            <w:noWrap/>
            <w:vAlign w:val="bottom"/>
          </w:tcPr>
          <w:p w14:paraId="51E63A31" w14:textId="77777777" w:rsidR="00F75BA6" w:rsidRPr="00D562F1" w:rsidRDefault="00F75BA6" w:rsidP="0040594E">
            <w:pPr>
              <w:pStyle w:val="Tablebody"/>
              <w:rPr>
                <w:rFonts w:cstheme="minorHAnsi"/>
                <w:sz w:val="24"/>
                <w:szCs w:val="24"/>
              </w:rPr>
            </w:pPr>
            <w:r w:rsidRPr="00D562F1">
              <w:rPr>
                <w:rFonts w:cstheme="minorHAnsi"/>
                <w:sz w:val="24"/>
                <w:szCs w:val="24"/>
              </w:rPr>
              <w:t>Bottled Water</w:t>
            </w:r>
            <w:r w:rsidR="009D21C6" w:rsidRPr="00D562F1">
              <w:rPr>
                <w:rFonts w:cstheme="minorHAnsi"/>
                <w:sz w:val="24"/>
                <w:szCs w:val="24"/>
              </w:rPr>
              <w:t xml:space="preserve"> </w:t>
            </w:r>
            <w:r w:rsidRPr="00D562F1">
              <w:rPr>
                <w:rFonts w:cstheme="minorHAnsi"/>
                <w:sz w:val="24"/>
                <w:szCs w:val="24"/>
              </w:rPr>
              <w:t>=</w:t>
            </w:r>
            <w:r w:rsidR="009D21C6" w:rsidRPr="00D562F1">
              <w:rPr>
                <w:rFonts w:cstheme="minorHAnsi"/>
                <w:sz w:val="24"/>
                <w:szCs w:val="24"/>
              </w:rPr>
              <w:t xml:space="preserve"> </w:t>
            </w:r>
            <w:r w:rsidRPr="00D562F1">
              <w:rPr>
                <w:rFonts w:cstheme="minorHAnsi"/>
                <w:sz w:val="24"/>
                <w:szCs w:val="24"/>
              </w:rPr>
              <w:t>49%</w:t>
            </w:r>
          </w:p>
        </w:tc>
        <w:tc>
          <w:tcPr>
            <w:tcW w:w="720" w:type="dxa"/>
            <w:tcBorders>
              <w:left w:val="nil"/>
              <w:right w:val="nil"/>
            </w:tcBorders>
            <w:shd w:val="clear" w:color="auto" w:fill="D9D9D9" w:themeFill="background1" w:themeFillShade="D9"/>
            <w:noWrap/>
            <w:vAlign w:val="bottom"/>
          </w:tcPr>
          <w:p w14:paraId="08533E40" w14:textId="77777777" w:rsidR="00F75BA6" w:rsidRPr="00D562F1" w:rsidRDefault="00F75BA6" w:rsidP="0040594E">
            <w:pPr>
              <w:pStyle w:val="Tablebody"/>
              <w:rPr>
                <w:rFonts w:cstheme="minorHAnsi"/>
                <w:sz w:val="24"/>
                <w:szCs w:val="24"/>
              </w:rPr>
            </w:pPr>
          </w:p>
        </w:tc>
        <w:tc>
          <w:tcPr>
            <w:tcW w:w="981" w:type="dxa"/>
            <w:tcBorders>
              <w:left w:val="nil"/>
              <w:right w:val="nil"/>
            </w:tcBorders>
            <w:shd w:val="clear" w:color="auto" w:fill="D9D9D9" w:themeFill="background1" w:themeFillShade="D9"/>
            <w:noWrap/>
            <w:vAlign w:val="bottom"/>
          </w:tcPr>
          <w:p w14:paraId="7C87C58F" w14:textId="77777777" w:rsidR="00F75BA6" w:rsidRPr="00D562F1" w:rsidRDefault="00F75BA6" w:rsidP="0040594E">
            <w:pPr>
              <w:pStyle w:val="Tablebody"/>
              <w:rPr>
                <w:rFonts w:cstheme="minorHAnsi"/>
                <w:sz w:val="24"/>
                <w:szCs w:val="24"/>
              </w:rPr>
            </w:pPr>
          </w:p>
        </w:tc>
        <w:tc>
          <w:tcPr>
            <w:tcW w:w="720" w:type="dxa"/>
            <w:tcBorders>
              <w:left w:val="nil"/>
              <w:right w:val="nil"/>
            </w:tcBorders>
            <w:shd w:val="clear" w:color="auto" w:fill="D9D9D9" w:themeFill="background1" w:themeFillShade="D9"/>
            <w:noWrap/>
            <w:vAlign w:val="bottom"/>
          </w:tcPr>
          <w:p w14:paraId="7FB2F482" w14:textId="77777777" w:rsidR="00F75BA6" w:rsidRPr="00D562F1" w:rsidRDefault="00F75BA6" w:rsidP="0040594E">
            <w:pPr>
              <w:pStyle w:val="Tablebody"/>
              <w:rPr>
                <w:rFonts w:cstheme="minorHAnsi"/>
                <w:sz w:val="24"/>
                <w:szCs w:val="24"/>
              </w:rPr>
            </w:pPr>
          </w:p>
        </w:tc>
        <w:tc>
          <w:tcPr>
            <w:tcW w:w="1152" w:type="dxa"/>
            <w:tcBorders>
              <w:left w:val="nil"/>
              <w:right w:val="nil"/>
            </w:tcBorders>
            <w:shd w:val="clear" w:color="auto" w:fill="D9D9D9" w:themeFill="background1" w:themeFillShade="D9"/>
            <w:noWrap/>
            <w:vAlign w:val="bottom"/>
          </w:tcPr>
          <w:p w14:paraId="0F5B1F48" w14:textId="77777777" w:rsidR="00F75BA6" w:rsidRPr="00D562F1" w:rsidRDefault="00F75BA6" w:rsidP="0040594E">
            <w:pPr>
              <w:pStyle w:val="Tablebody"/>
              <w:rPr>
                <w:rFonts w:cstheme="minorHAnsi"/>
                <w:sz w:val="24"/>
                <w:szCs w:val="24"/>
              </w:rPr>
            </w:pPr>
          </w:p>
        </w:tc>
        <w:tc>
          <w:tcPr>
            <w:tcW w:w="662" w:type="dxa"/>
            <w:tcBorders>
              <w:left w:val="nil"/>
              <w:right w:val="nil"/>
            </w:tcBorders>
            <w:shd w:val="clear" w:color="auto" w:fill="D9D9D9" w:themeFill="background1" w:themeFillShade="D9"/>
            <w:noWrap/>
            <w:vAlign w:val="bottom"/>
          </w:tcPr>
          <w:p w14:paraId="35CBD0F8" w14:textId="77777777" w:rsidR="00F75BA6" w:rsidRPr="00D562F1" w:rsidRDefault="00F75BA6" w:rsidP="0040594E">
            <w:pPr>
              <w:pStyle w:val="Tablebody"/>
              <w:rPr>
                <w:rFonts w:cstheme="minorHAnsi"/>
                <w:sz w:val="24"/>
                <w:szCs w:val="24"/>
              </w:rPr>
            </w:pPr>
          </w:p>
        </w:tc>
        <w:tc>
          <w:tcPr>
            <w:tcW w:w="1260" w:type="dxa"/>
            <w:tcBorders>
              <w:left w:val="nil"/>
              <w:right w:val="nil"/>
            </w:tcBorders>
            <w:shd w:val="clear" w:color="auto" w:fill="D9D9D9" w:themeFill="background1" w:themeFillShade="D9"/>
            <w:noWrap/>
            <w:vAlign w:val="bottom"/>
          </w:tcPr>
          <w:p w14:paraId="671C7C54" w14:textId="77777777" w:rsidR="00F75BA6" w:rsidRPr="00D562F1" w:rsidRDefault="00F75BA6" w:rsidP="0040594E">
            <w:pPr>
              <w:pStyle w:val="Tablebody"/>
              <w:rPr>
                <w:rFonts w:cstheme="minorHAnsi"/>
                <w:sz w:val="24"/>
                <w:szCs w:val="24"/>
              </w:rPr>
            </w:pPr>
          </w:p>
        </w:tc>
        <w:tc>
          <w:tcPr>
            <w:tcW w:w="1170" w:type="dxa"/>
            <w:gridSpan w:val="4"/>
            <w:tcBorders>
              <w:left w:val="nil"/>
            </w:tcBorders>
            <w:shd w:val="clear" w:color="auto" w:fill="D9D9D9" w:themeFill="background1" w:themeFillShade="D9"/>
            <w:noWrap/>
            <w:vAlign w:val="bottom"/>
          </w:tcPr>
          <w:p w14:paraId="4ADA923C" w14:textId="77777777" w:rsidR="00F75BA6" w:rsidRPr="00D562F1" w:rsidRDefault="00F75BA6" w:rsidP="0040594E">
            <w:pPr>
              <w:pStyle w:val="Tablebody"/>
              <w:rPr>
                <w:rFonts w:cstheme="minorHAnsi"/>
                <w:sz w:val="24"/>
                <w:szCs w:val="24"/>
              </w:rPr>
            </w:pPr>
          </w:p>
        </w:tc>
      </w:tr>
      <w:tr w:rsidR="00F75BA6" w14:paraId="411A0757" w14:textId="77777777" w:rsidTr="004B40BA">
        <w:trPr>
          <w:gridAfter w:val="1"/>
          <w:wAfter w:w="23" w:type="dxa"/>
          <w:trHeight w:val="300"/>
        </w:trPr>
        <w:tc>
          <w:tcPr>
            <w:tcW w:w="2666" w:type="dxa"/>
            <w:tcBorders>
              <w:right w:val="nil"/>
            </w:tcBorders>
            <w:shd w:val="clear" w:color="auto" w:fill="D9D9D9" w:themeFill="background1" w:themeFillShade="D9"/>
            <w:noWrap/>
            <w:vAlign w:val="bottom"/>
            <w:hideMark/>
          </w:tcPr>
          <w:p w14:paraId="40652766" w14:textId="77777777" w:rsidR="00F75BA6" w:rsidRPr="00D562F1" w:rsidRDefault="00F75BA6" w:rsidP="00484C9D">
            <w:pPr>
              <w:pStyle w:val="Tablebody"/>
              <w:ind w:left="340"/>
              <w:rPr>
                <w:rFonts w:cstheme="minorHAnsi"/>
                <w:sz w:val="24"/>
                <w:szCs w:val="24"/>
              </w:rPr>
            </w:pPr>
            <w:r w:rsidRPr="00D562F1">
              <w:rPr>
                <w:rFonts w:cstheme="minorHAnsi"/>
                <w:sz w:val="24"/>
                <w:szCs w:val="24"/>
              </w:rPr>
              <w:t>Zero</w:t>
            </w:r>
          </w:p>
        </w:tc>
        <w:tc>
          <w:tcPr>
            <w:tcW w:w="720" w:type="dxa"/>
            <w:tcBorders>
              <w:left w:val="nil"/>
              <w:right w:val="nil"/>
            </w:tcBorders>
            <w:shd w:val="clear" w:color="auto" w:fill="D9D9D9" w:themeFill="background1" w:themeFillShade="D9"/>
            <w:noWrap/>
          </w:tcPr>
          <w:p w14:paraId="03A53C97" w14:textId="77777777" w:rsidR="00F75BA6" w:rsidRPr="00D562F1" w:rsidRDefault="00F75BA6" w:rsidP="0040594E">
            <w:pPr>
              <w:pStyle w:val="Tablebody"/>
              <w:rPr>
                <w:rFonts w:cstheme="minorHAnsi"/>
                <w:sz w:val="24"/>
                <w:szCs w:val="24"/>
              </w:rPr>
            </w:pPr>
            <w:r w:rsidRPr="00D562F1">
              <w:rPr>
                <w:rFonts w:cstheme="minorHAnsi"/>
                <w:sz w:val="24"/>
                <w:szCs w:val="24"/>
              </w:rPr>
              <w:t>7</w:t>
            </w:r>
          </w:p>
        </w:tc>
        <w:tc>
          <w:tcPr>
            <w:tcW w:w="981" w:type="dxa"/>
            <w:tcBorders>
              <w:left w:val="nil"/>
              <w:right w:val="nil"/>
            </w:tcBorders>
            <w:shd w:val="clear" w:color="auto" w:fill="D9D9D9" w:themeFill="background1" w:themeFillShade="D9"/>
            <w:noWrap/>
          </w:tcPr>
          <w:p w14:paraId="751219BC" w14:textId="77777777" w:rsidR="00F75BA6" w:rsidRPr="00D562F1" w:rsidRDefault="00F75BA6" w:rsidP="0040594E">
            <w:pPr>
              <w:pStyle w:val="Tablebody"/>
              <w:rPr>
                <w:rFonts w:cstheme="minorHAnsi"/>
                <w:sz w:val="24"/>
                <w:szCs w:val="24"/>
              </w:rPr>
            </w:pPr>
            <w:r w:rsidRPr="00D562F1">
              <w:rPr>
                <w:rFonts w:cstheme="minorHAnsi"/>
                <w:sz w:val="24"/>
                <w:szCs w:val="24"/>
              </w:rPr>
              <w:t>(70%)</w:t>
            </w:r>
          </w:p>
        </w:tc>
        <w:tc>
          <w:tcPr>
            <w:tcW w:w="720" w:type="dxa"/>
            <w:tcBorders>
              <w:left w:val="nil"/>
              <w:right w:val="nil"/>
            </w:tcBorders>
            <w:shd w:val="clear" w:color="auto" w:fill="D9D9D9" w:themeFill="background1" w:themeFillShade="D9"/>
            <w:noWrap/>
          </w:tcPr>
          <w:p w14:paraId="527239EE" w14:textId="77777777" w:rsidR="00F75BA6" w:rsidRPr="00D562F1" w:rsidRDefault="00F75BA6" w:rsidP="0040594E">
            <w:pPr>
              <w:pStyle w:val="Tablebody"/>
              <w:rPr>
                <w:rFonts w:cstheme="minorHAnsi"/>
                <w:sz w:val="24"/>
                <w:szCs w:val="24"/>
              </w:rPr>
            </w:pPr>
            <w:r w:rsidRPr="00D562F1">
              <w:rPr>
                <w:rFonts w:cstheme="minorHAnsi"/>
                <w:sz w:val="24"/>
                <w:szCs w:val="24"/>
              </w:rPr>
              <w:t>30</w:t>
            </w:r>
          </w:p>
        </w:tc>
        <w:tc>
          <w:tcPr>
            <w:tcW w:w="1152" w:type="dxa"/>
            <w:tcBorders>
              <w:left w:val="nil"/>
              <w:right w:val="nil"/>
            </w:tcBorders>
            <w:shd w:val="clear" w:color="auto" w:fill="D9D9D9" w:themeFill="background1" w:themeFillShade="D9"/>
            <w:noWrap/>
          </w:tcPr>
          <w:p w14:paraId="03254A63" w14:textId="77777777" w:rsidR="00F75BA6" w:rsidRPr="00D562F1" w:rsidRDefault="00F75BA6" w:rsidP="0040594E">
            <w:pPr>
              <w:pStyle w:val="Tablebody"/>
              <w:rPr>
                <w:rFonts w:cstheme="minorHAnsi"/>
                <w:sz w:val="24"/>
                <w:szCs w:val="24"/>
              </w:rPr>
            </w:pPr>
            <w:r w:rsidRPr="00D562F1">
              <w:rPr>
                <w:rFonts w:cstheme="minorHAnsi"/>
                <w:sz w:val="24"/>
                <w:szCs w:val="24"/>
              </w:rPr>
              <w:t>(77%)</w:t>
            </w:r>
          </w:p>
        </w:tc>
        <w:tc>
          <w:tcPr>
            <w:tcW w:w="662" w:type="dxa"/>
            <w:tcBorders>
              <w:left w:val="nil"/>
              <w:right w:val="nil"/>
            </w:tcBorders>
            <w:shd w:val="clear" w:color="auto" w:fill="D9D9D9" w:themeFill="background1" w:themeFillShade="D9"/>
            <w:noWrap/>
            <w:vAlign w:val="bottom"/>
          </w:tcPr>
          <w:p w14:paraId="48A37328" w14:textId="77777777" w:rsidR="00F75BA6" w:rsidRPr="00D562F1" w:rsidRDefault="00F75BA6" w:rsidP="0040594E">
            <w:pPr>
              <w:pStyle w:val="Tablebody"/>
              <w:rPr>
                <w:rFonts w:cstheme="minorHAnsi"/>
                <w:sz w:val="24"/>
                <w:szCs w:val="24"/>
              </w:rPr>
            </w:pPr>
            <w:r w:rsidRPr="00D562F1">
              <w:rPr>
                <w:rFonts w:cstheme="minorHAnsi"/>
                <w:sz w:val="24"/>
                <w:szCs w:val="24"/>
              </w:rPr>
              <w:t>1.0</w:t>
            </w:r>
          </w:p>
        </w:tc>
        <w:tc>
          <w:tcPr>
            <w:tcW w:w="2430" w:type="dxa"/>
            <w:gridSpan w:val="5"/>
            <w:tcBorders>
              <w:left w:val="nil"/>
            </w:tcBorders>
            <w:shd w:val="clear" w:color="auto" w:fill="D9D9D9" w:themeFill="background1" w:themeFillShade="D9"/>
            <w:noWrap/>
            <w:vAlign w:val="bottom"/>
          </w:tcPr>
          <w:p w14:paraId="4185B268" w14:textId="77777777" w:rsidR="00F75BA6" w:rsidRPr="00D562F1" w:rsidRDefault="00F75BA6" w:rsidP="0040594E">
            <w:pPr>
              <w:pStyle w:val="Tablebody"/>
              <w:rPr>
                <w:rFonts w:cstheme="minorHAnsi"/>
                <w:sz w:val="24"/>
                <w:szCs w:val="24"/>
              </w:rPr>
            </w:pPr>
            <w:r w:rsidRPr="00D562F1">
              <w:rPr>
                <w:rFonts w:cstheme="minorHAnsi"/>
                <w:sz w:val="24"/>
                <w:szCs w:val="24"/>
              </w:rPr>
              <w:t>-ref-</w:t>
            </w:r>
          </w:p>
        </w:tc>
      </w:tr>
      <w:tr w:rsidR="00D1132F" w14:paraId="084D128E" w14:textId="77777777" w:rsidTr="004B40BA">
        <w:trPr>
          <w:gridAfter w:val="1"/>
          <w:wAfter w:w="23" w:type="dxa"/>
          <w:trHeight w:val="300"/>
        </w:trPr>
        <w:tc>
          <w:tcPr>
            <w:tcW w:w="2666" w:type="dxa"/>
            <w:tcBorders>
              <w:right w:val="nil"/>
            </w:tcBorders>
            <w:shd w:val="clear" w:color="auto" w:fill="D9D9D9" w:themeFill="background1" w:themeFillShade="D9"/>
            <w:noWrap/>
            <w:vAlign w:val="bottom"/>
          </w:tcPr>
          <w:p w14:paraId="1E9859FE" w14:textId="77777777" w:rsidR="00D1132F" w:rsidRPr="00D562F1" w:rsidRDefault="00D1132F" w:rsidP="00484C9D">
            <w:pPr>
              <w:pStyle w:val="Tablebody"/>
              <w:ind w:left="340"/>
              <w:rPr>
                <w:rFonts w:cstheme="minorHAnsi"/>
                <w:sz w:val="24"/>
                <w:szCs w:val="24"/>
              </w:rPr>
            </w:pPr>
            <w:r w:rsidRPr="00D562F1">
              <w:rPr>
                <w:rFonts w:cstheme="minorHAnsi"/>
                <w:sz w:val="24"/>
                <w:szCs w:val="24"/>
              </w:rPr>
              <w:t>Low</w:t>
            </w:r>
          </w:p>
        </w:tc>
        <w:tc>
          <w:tcPr>
            <w:tcW w:w="720" w:type="dxa"/>
            <w:tcBorders>
              <w:left w:val="nil"/>
              <w:right w:val="nil"/>
            </w:tcBorders>
            <w:shd w:val="clear" w:color="auto" w:fill="D9D9D9" w:themeFill="background1" w:themeFillShade="D9"/>
            <w:noWrap/>
          </w:tcPr>
          <w:p w14:paraId="55C12064" w14:textId="77777777" w:rsidR="00D1132F" w:rsidRPr="00D562F1" w:rsidRDefault="00D1132F" w:rsidP="0040594E">
            <w:pPr>
              <w:pStyle w:val="Tablebody"/>
              <w:rPr>
                <w:rFonts w:cstheme="minorHAnsi"/>
                <w:sz w:val="24"/>
                <w:szCs w:val="24"/>
              </w:rPr>
            </w:pPr>
            <w:r w:rsidRPr="00D562F1">
              <w:rPr>
                <w:rFonts w:cstheme="minorHAnsi"/>
                <w:sz w:val="24"/>
                <w:szCs w:val="24"/>
              </w:rPr>
              <w:t>1</w:t>
            </w:r>
          </w:p>
        </w:tc>
        <w:tc>
          <w:tcPr>
            <w:tcW w:w="981" w:type="dxa"/>
            <w:tcBorders>
              <w:left w:val="nil"/>
              <w:right w:val="nil"/>
            </w:tcBorders>
            <w:shd w:val="clear" w:color="auto" w:fill="D9D9D9" w:themeFill="background1" w:themeFillShade="D9"/>
            <w:noWrap/>
          </w:tcPr>
          <w:p w14:paraId="6D04823A" w14:textId="77777777" w:rsidR="00D1132F" w:rsidRPr="00D562F1" w:rsidRDefault="00D1132F" w:rsidP="0040594E">
            <w:pPr>
              <w:pStyle w:val="Tablebody"/>
              <w:rPr>
                <w:rFonts w:cstheme="minorHAnsi"/>
                <w:sz w:val="24"/>
                <w:szCs w:val="24"/>
              </w:rPr>
            </w:pPr>
            <w:r w:rsidRPr="00D562F1">
              <w:rPr>
                <w:rFonts w:cstheme="minorHAnsi"/>
                <w:sz w:val="24"/>
                <w:szCs w:val="24"/>
              </w:rPr>
              <w:t>(10%)</w:t>
            </w:r>
          </w:p>
        </w:tc>
        <w:tc>
          <w:tcPr>
            <w:tcW w:w="720" w:type="dxa"/>
            <w:tcBorders>
              <w:left w:val="nil"/>
              <w:right w:val="nil"/>
            </w:tcBorders>
            <w:shd w:val="clear" w:color="auto" w:fill="D9D9D9" w:themeFill="background1" w:themeFillShade="D9"/>
            <w:noWrap/>
          </w:tcPr>
          <w:p w14:paraId="6104EC78" w14:textId="77777777" w:rsidR="00D1132F" w:rsidRPr="00D562F1" w:rsidRDefault="00D1132F" w:rsidP="0040594E">
            <w:pPr>
              <w:pStyle w:val="Tablebody"/>
              <w:rPr>
                <w:rFonts w:cstheme="minorHAnsi"/>
                <w:sz w:val="24"/>
                <w:szCs w:val="24"/>
              </w:rPr>
            </w:pPr>
            <w:r w:rsidRPr="00D562F1">
              <w:rPr>
                <w:rFonts w:cstheme="minorHAnsi"/>
                <w:sz w:val="24"/>
                <w:szCs w:val="24"/>
              </w:rPr>
              <w:t>5</w:t>
            </w:r>
          </w:p>
        </w:tc>
        <w:tc>
          <w:tcPr>
            <w:tcW w:w="1152" w:type="dxa"/>
            <w:tcBorders>
              <w:left w:val="nil"/>
              <w:right w:val="nil"/>
            </w:tcBorders>
            <w:shd w:val="clear" w:color="auto" w:fill="D9D9D9" w:themeFill="background1" w:themeFillShade="D9"/>
            <w:noWrap/>
          </w:tcPr>
          <w:p w14:paraId="14F0AC1C" w14:textId="77777777" w:rsidR="00D1132F" w:rsidRPr="00D562F1" w:rsidRDefault="00D1132F" w:rsidP="0040594E">
            <w:pPr>
              <w:pStyle w:val="Tablebody"/>
              <w:rPr>
                <w:rFonts w:cstheme="minorHAnsi"/>
                <w:sz w:val="24"/>
                <w:szCs w:val="24"/>
              </w:rPr>
            </w:pPr>
            <w:r w:rsidRPr="00D562F1">
              <w:rPr>
                <w:rFonts w:cstheme="minorHAnsi"/>
                <w:sz w:val="24"/>
                <w:szCs w:val="24"/>
              </w:rPr>
              <w:t>(13%)</w:t>
            </w:r>
          </w:p>
        </w:tc>
        <w:tc>
          <w:tcPr>
            <w:tcW w:w="662" w:type="dxa"/>
            <w:tcBorders>
              <w:left w:val="nil"/>
              <w:right w:val="nil"/>
            </w:tcBorders>
            <w:shd w:val="clear" w:color="auto" w:fill="D9D9D9" w:themeFill="background1" w:themeFillShade="D9"/>
            <w:noWrap/>
          </w:tcPr>
          <w:p w14:paraId="700772F4" w14:textId="77777777" w:rsidR="00D1132F" w:rsidRPr="00D562F1" w:rsidRDefault="00D1132F" w:rsidP="0040594E">
            <w:pPr>
              <w:pStyle w:val="Tablebody"/>
              <w:rPr>
                <w:rFonts w:cstheme="minorHAnsi"/>
                <w:sz w:val="24"/>
                <w:szCs w:val="24"/>
              </w:rPr>
            </w:pPr>
            <w:r w:rsidRPr="00D562F1">
              <w:rPr>
                <w:rFonts w:cstheme="minorHAnsi"/>
                <w:sz w:val="24"/>
                <w:szCs w:val="24"/>
              </w:rPr>
              <w:t>1.0</w:t>
            </w:r>
          </w:p>
        </w:tc>
        <w:tc>
          <w:tcPr>
            <w:tcW w:w="1345" w:type="dxa"/>
            <w:gridSpan w:val="3"/>
            <w:tcBorders>
              <w:left w:val="nil"/>
              <w:right w:val="nil"/>
            </w:tcBorders>
            <w:shd w:val="clear" w:color="auto" w:fill="D9D9D9" w:themeFill="background1" w:themeFillShade="D9"/>
            <w:noWrap/>
          </w:tcPr>
          <w:p w14:paraId="68D1F11A" w14:textId="77777777" w:rsidR="00D1132F" w:rsidRPr="00D562F1" w:rsidRDefault="00D1132F" w:rsidP="0040594E">
            <w:pPr>
              <w:pStyle w:val="Tablebody"/>
              <w:rPr>
                <w:rFonts w:cstheme="minorHAnsi"/>
                <w:sz w:val="24"/>
                <w:szCs w:val="24"/>
              </w:rPr>
            </w:pPr>
            <w:r w:rsidRPr="00D562F1">
              <w:rPr>
                <w:rFonts w:cstheme="minorHAnsi"/>
                <w:sz w:val="24"/>
                <w:szCs w:val="24"/>
              </w:rPr>
              <w:t>(0.1, 11)</w:t>
            </w:r>
          </w:p>
        </w:tc>
        <w:tc>
          <w:tcPr>
            <w:tcW w:w="1085" w:type="dxa"/>
            <w:gridSpan w:val="2"/>
            <w:tcBorders>
              <w:left w:val="nil"/>
            </w:tcBorders>
            <w:shd w:val="clear" w:color="auto" w:fill="D9D9D9" w:themeFill="background1" w:themeFillShade="D9"/>
            <w:noWrap/>
          </w:tcPr>
          <w:p w14:paraId="591B5307" w14:textId="77777777" w:rsidR="00D1132F" w:rsidRPr="00D562F1" w:rsidRDefault="00D1132F" w:rsidP="0040594E">
            <w:pPr>
              <w:pStyle w:val="Tablebody"/>
              <w:rPr>
                <w:rFonts w:cstheme="minorHAnsi"/>
                <w:sz w:val="24"/>
                <w:szCs w:val="24"/>
              </w:rPr>
            </w:pPr>
            <w:r w:rsidRPr="00D562F1">
              <w:rPr>
                <w:rFonts w:cstheme="minorHAnsi"/>
                <w:sz w:val="24"/>
                <w:szCs w:val="24"/>
              </w:rPr>
              <w:t>0.97</w:t>
            </w:r>
          </w:p>
        </w:tc>
      </w:tr>
      <w:tr w:rsidR="00F75BA6" w14:paraId="14A42A55" w14:textId="77777777" w:rsidTr="004B40BA">
        <w:trPr>
          <w:gridAfter w:val="1"/>
          <w:wAfter w:w="23" w:type="dxa"/>
          <w:trHeight w:val="300"/>
        </w:trPr>
        <w:tc>
          <w:tcPr>
            <w:tcW w:w="2666" w:type="dxa"/>
            <w:tcBorders>
              <w:bottom w:val="single" w:sz="4" w:space="0" w:color="auto"/>
              <w:right w:val="nil"/>
            </w:tcBorders>
            <w:shd w:val="clear" w:color="auto" w:fill="D9D9D9" w:themeFill="background1" w:themeFillShade="D9"/>
            <w:noWrap/>
            <w:vAlign w:val="bottom"/>
            <w:hideMark/>
          </w:tcPr>
          <w:p w14:paraId="0FCD915A" w14:textId="77777777" w:rsidR="00F75BA6" w:rsidRPr="00D562F1" w:rsidRDefault="00F75BA6" w:rsidP="00484C9D">
            <w:pPr>
              <w:pStyle w:val="Tablebody"/>
              <w:ind w:left="340"/>
              <w:rPr>
                <w:rFonts w:cstheme="minorHAnsi"/>
                <w:sz w:val="24"/>
                <w:szCs w:val="24"/>
              </w:rPr>
            </w:pPr>
            <w:r w:rsidRPr="00D562F1">
              <w:rPr>
                <w:rFonts w:cstheme="minorHAnsi"/>
                <w:sz w:val="24"/>
                <w:szCs w:val="24"/>
              </w:rPr>
              <w:t>High</w:t>
            </w:r>
          </w:p>
        </w:tc>
        <w:tc>
          <w:tcPr>
            <w:tcW w:w="720" w:type="dxa"/>
            <w:tcBorders>
              <w:left w:val="nil"/>
              <w:bottom w:val="single" w:sz="4" w:space="0" w:color="auto"/>
              <w:right w:val="nil"/>
            </w:tcBorders>
            <w:shd w:val="clear" w:color="auto" w:fill="D9D9D9" w:themeFill="background1" w:themeFillShade="D9"/>
            <w:noWrap/>
          </w:tcPr>
          <w:p w14:paraId="5C4DF346" w14:textId="77777777" w:rsidR="00F75BA6" w:rsidRPr="00D562F1" w:rsidRDefault="00F75BA6" w:rsidP="0040594E">
            <w:pPr>
              <w:pStyle w:val="Tablebody"/>
              <w:rPr>
                <w:rFonts w:cstheme="minorHAnsi"/>
                <w:sz w:val="24"/>
                <w:szCs w:val="24"/>
              </w:rPr>
            </w:pPr>
            <w:r w:rsidRPr="00D562F1">
              <w:rPr>
                <w:rFonts w:cstheme="minorHAnsi"/>
                <w:sz w:val="24"/>
                <w:szCs w:val="24"/>
              </w:rPr>
              <w:t>2</w:t>
            </w:r>
          </w:p>
        </w:tc>
        <w:tc>
          <w:tcPr>
            <w:tcW w:w="981" w:type="dxa"/>
            <w:tcBorders>
              <w:left w:val="nil"/>
              <w:bottom w:val="single" w:sz="4" w:space="0" w:color="auto"/>
              <w:right w:val="nil"/>
            </w:tcBorders>
            <w:shd w:val="clear" w:color="auto" w:fill="D9D9D9" w:themeFill="background1" w:themeFillShade="D9"/>
            <w:noWrap/>
          </w:tcPr>
          <w:p w14:paraId="357AAC82" w14:textId="77777777" w:rsidR="00F75BA6" w:rsidRPr="00D562F1" w:rsidRDefault="00F75BA6" w:rsidP="0040594E">
            <w:pPr>
              <w:pStyle w:val="Tablebody"/>
              <w:rPr>
                <w:rFonts w:cstheme="minorHAnsi"/>
                <w:sz w:val="24"/>
                <w:szCs w:val="24"/>
              </w:rPr>
            </w:pPr>
            <w:r w:rsidRPr="00D562F1">
              <w:rPr>
                <w:rFonts w:cstheme="minorHAnsi"/>
                <w:sz w:val="24"/>
                <w:szCs w:val="24"/>
              </w:rPr>
              <w:t>(20%)</w:t>
            </w:r>
          </w:p>
        </w:tc>
        <w:tc>
          <w:tcPr>
            <w:tcW w:w="720" w:type="dxa"/>
            <w:tcBorders>
              <w:left w:val="nil"/>
              <w:bottom w:val="single" w:sz="4" w:space="0" w:color="auto"/>
              <w:right w:val="nil"/>
            </w:tcBorders>
            <w:shd w:val="clear" w:color="auto" w:fill="D9D9D9" w:themeFill="background1" w:themeFillShade="D9"/>
            <w:noWrap/>
          </w:tcPr>
          <w:p w14:paraId="3E38B62B" w14:textId="77777777" w:rsidR="00F75BA6" w:rsidRPr="00D562F1" w:rsidRDefault="00F75BA6" w:rsidP="0040594E">
            <w:pPr>
              <w:pStyle w:val="Tablebody"/>
              <w:rPr>
                <w:rFonts w:cstheme="minorHAnsi"/>
                <w:sz w:val="24"/>
                <w:szCs w:val="24"/>
              </w:rPr>
            </w:pPr>
            <w:r w:rsidRPr="00D562F1">
              <w:rPr>
                <w:rFonts w:cstheme="minorHAnsi"/>
                <w:sz w:val="24"/>
                <w:szCs w:val="24"/>
              </w:rPr>
              <w:t>4</w:t>
            </w:r>
          </w:p>
        </w:tc>
        <w:tc>
          <w:tcPr>
            <w:tcW w:w="1152" w:type="dxa"/>
            <w:tcBorders>
              <w:left w:val="nil"/>
              <w:bottom w:val="single" w:sz="4" w:space="0" w:color="auto"/>
              <w:right w:val="nil"/>
            </w:tcBorders>
            <w:shd w:val="clear" w:color="auto" w:fill="D9D9D9" w:themeFill="background1" w:themeFillShade="D9"/>
            <w:noWrap/>
          </w:tcPr>
          <w:p w14:paraId="20B15947" w14:textId="77777777" w:rsidR="00F75BA6" w:rsidRPr="00D562F1" w:rsidRDefault="00F75BA6" w:rsidP="0040594E">
            <w:pPr>
              <w:pStyle w:val="Tablebody"/>
              <w:rPr>
                <w:rFonts w:cstheme="minorHAnsi"/>
                <w:sz w:val="24"/>
                <w:szCs w:val="24"/>
              </w:rPr>
            </w:pPr>
            <w:r w:rsidRPr="00D562F1">
              <w:rPr>
                <w:rFonts w:cstheme="minorHAnsi"/>
                <w:sz w:val="24"/>
                <w:szCs w:val="24"/>
              </w:rPr>
              <w:t>(10%)</w:t>
            </w:r>
          </w:p>
        </w:tc>
        <w:tc>
          <w:tcPr>
            <w:tcW w:w="662" w:type="dxa"/>
            <w:tcBorders>
              <w:left w:val="nil"/>
              <w:bottom w:val="single" w:sz="4" w:space="0" w:color="auto"/>
              <w:right w:val="nil"/>
            </w:tcBorders>
            <w:shd w:val="clear" w:color="auto" w:fill="D9D9D9" w:themeFill="background1" w:themeFillShade="D9"/>
            <w:noWrap/>
          </w:tcPr>
          <w:p w14:paraId="4EBAC179"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c>
          <w:tcPr>
            <w:tcW w:w="1345" w:type="dxa"/>
            <w:gridSpan w:val="3"/>
            <w:tcBorders>
              <w:left w:val="nil"/>
              <w:bottom w:val="single" w:sz="4" w:space="0" w:color="auto"/>
              <w:right w:val="nil"/>
            </w:tcBorders>
            <w:shd w:val="clear" w:color="auto" w:fill="D9D9D9" w:themeFill="background1" w:themeFillShade="D9"/>
            <w:noWrap/>
          </w:tcPr>
          <w:p w14:paraId="6D9D2023"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c>
          <w:tcPr>
            <w:tcW w:w="1085" w:type="dxa"/>
            <w:gridSpan w:val="2"/>
            <w:tcBorders>
              <w:left w:val="nil"/>
              <w:bottom w:val="single" w:sz="4" w:space="0" w:color="auto"/>
            </w:tcBorders>
            <w:shd w:val="clear" w:color="auto" w:fill="D9D9D9" w:themeFill="background1" w:themeFillShade="D9"/>
            <w:noWrap/>
          </w:tcPr>
          <w:p w14:paraId="3FE6CF1C" w14:textId="77777777" w:rsidR="00F75BA6" w:rsidRPr="00D562F1" w:rsidRDefault="00F75BA6" w:rsidP="0040594E">
            <w:pPr>
              <w:pStyle w:val="Tablebody"/>
              <w:rPr>
                <w:rFonts w:cstheme="minorHAnsi"/>
                <w:sz w:val="24"/>
                <w:szCs w:val="24"/>
              </w:rPr>
            </w:pPr>
            <w:r w:rsidRPr="00D562F1">
              <w:rPr>
                <w:rFonts w:cstheme="minorHAnsi"/>
                <w:sz w:val="24"/>
                <w:szCs w:val="24"/>
              </w:rPr>
              <w:t>NC</w:t>
            </w:r>
          </w:p>
        </w:tc>
      </w:tr>
    </w:tbl>
    <w:p w14:paraId="78F8CB74" w14:textId="77777777" w:rsidR="00891FE8" w:rsidRPr="00D20DB8" w:rsidRDefault="00891FE8" w:rsidP="0040594E">
      <w:pPr>
        <w:pStyle w:val="NoSpacing"/>
        <w:rPr>
          <w:sz w:val="22"/>
          <w:szCs w:val="22"/>
        </w:rPr>
      </w:pPr>
      <w:proofErr w:type="spellStart"/>
      <w:r w:rsidRPr="00D20DB8">
        <w:rPr>
          <w:sz w:val="22"/>
          <w:szCs w:val="22"/>
          <w:vertAlign w:val="superscript"/>
        </w:rPr>
        <w:t>a</w:t>
      </w:r>
      <w:r w:rsidRPr="00D20DB8">
        <w:rPr>
          <w:sz w:val="22"/>
          <w:szCs w:val="22"/>
        </w:rPr>
        <w:t>OR</w:t>
      </w:r>
      <w:proofErr w:type="spellEnd"/>
      <w:r w:rsidRPr="00D20DB8">
        <w:rPr>
          <w:sz w:val="22"/>
          <w:szCs w:val="22"/>
        </w:rPr>
        <w:t xml:space="preserve"> = Matched Odds Ratio</w:t>
      </w:r>
    </w:p>
    <w:p w14:paraId="7BA21367" w14:textId="77777777" w:rsidR="00891FE8" w:rsidRPr="00D20DB8" w:rsidRDefault="00891FE8" w:rsidP="0040594E">
      <w:pPr>
        <w:pStyle w:val="NoSpacing"/>
        <w:rPr>
          <w:sz w:val="22"/>
          <w:szCs w:val="22"/>
        </w:rPr>
      </w:pPr>
      <w:r w:rsidRPr="00D20DB8">
        <w:rPr>
          <w:sz w:val="22"/>
          <w:szCs w:val="22"/>
          <w:vertAlign w:val="superscript"/>
        </w:rPr>
        <w:t>b</w:t>
      </w:r>
      <w:r w:rsidRPr="00D20DB8">
        <w:rPr>
          <w:sz w:val="22"/>
          <w:szCs w:val="22"/>
        </w:rPr>
        <w:t>95% CI = 95% Confidence Interval</w:t>
      </w:r>
    </w:p>
    <w:p w14:paraId="13CF56C6" w14:textId="6F28DD59" w:rsidR="00891FE8" w:rsidRPr="00D20DB8" w:rsidRDefault="00891FE8" w:rsidP="0040594E">
      <w:pPr>
        <w:pStyle w:val="NoSpacing"/>
        <w:rPr>
          <w:sz w:val="22"/>
          <w:szCs w:val="22"/>
        </w:rPr>
      </w:pPr>
      <w:r w:rsidRPr="00D20DB8">
        <w:rPr>
          <w:sz w:val="22"/>
          <w:szCs w:val="22"/>
        </w:rPr>
        <w:t>NC = Not calcula</w:t>
      </w:r>
      <w:r w:rsidR="00B210DD" w:rsidRPr="00D20DB8">
        <w:rPr>
          <w:sz w:val="22"/>
          <w:szCs w:val="22"/>
        </w:rPr>
        <w:t>ble</w:t>
      </w:r>
      <w:r w:rsidRPr="00D20DB8">
        <w:rPr>
          <w:sz w:val="22"/>
          <w:szCs w:val="22"/>
        </w:rPr>
        <w:t xml:space="preserve"> due to </w:t>
      </w:r>
      <w:r w:rsidR="001B2765" w:rsidRPr="00D20DB8">
        <w:rPr>
          <w:sz w:val="22"/>
          <w:szCs w:val="22"/>
        </w:rPr>
        <w:t xml:space="preserve">insufficient </w:t>
      </w:r>
      <w:r w:rsidRPr="00D20DB8">
        <w:rPr>
          <w:sz w:val="22"/>
          <w:szCs w:val="22"/>
        </w:rPr>
        <w:t>data (i.e</w:t>
      </w:r>
      <w:r w:rsidR="00716072" w:rsidRPr="00D20DB8">
        <w:rPr>
          <w:sz w:val="22"/>
          <w:szCs w:val="22"/>
        </w:rPr>
        <w:t xml:space="preserve">. </w:t>
      </w:r>
      <w:r w:rsidRPr="00D20DB8">
        <w:rPr>
          <w:sz w:val="22"/>
          <w:szCs w:val="22"/>
        </w:rPr>
        <w:t>few discordant pairs)</w:t>
      </w:r>
    </w:p>
    <w:p w14:paraId="2AD94CE2" w14:textId="77777777" w:rsidR="009549CE" w:rsidRDefault="009549CE" w:rsidP="0040594E">
      <w:pPr>
        <w:pStyle w:val="NoSpacing"/>
      </w:pPr>
    </w:p>
    <w:p w14:paraId="1440A341" w14:textId="77777777" w:rsidR="00C67849" w:rsidRDefault="00FD17FB" w:rsidP="0010161F">
      <w:pPr>
        <w:pStyle w:val="Heading3"/>
      </w:pPr>
      <w:r>
        <w:t>Multivariate Exposure Models: NDMA and TCE</w:t>
      </w:r>
    </w:p>
    <w:p w14:paraId="0399134D" w14:textId="749767DC" w:rsidR="00574AEE" w:rsidRDefault="00471168" w:rsidP="0063071E">
      <w:pPr>
        <w:pStyle w:val="StyleHeading4Linespacingsingle"/>
      </w:pPr>
      <w:r>
        <w:t>NDMA and TCE</w:t>
      </w:r>
      <w:r w:rsidR="00C7548F" w:rsidRPr="00C7548F">
        <w:t xml:space="preserve"> </w:t>
      </w:r>
      <w:r w:rsidR="00C7548F">
        <w:t>in Drinking Water and Childhood Cancer</w:t>
      </w:r>
    </w:p>
    <w:p w14:paraId="22862460" w14:textId="16677681" w:rsidR="007A7084" w:rsidRDefault="008942D2" w:rsidP="006C3ED9">
      <w:r>
        <w:t>F</w:t>
      </w:r>
      <w:r w:rsidR="007A7084">
        <w:t xml:space="preserve">ocusing on maternal exposure, </w:t>
      </w:r>
      <w:r w:rsidR="007C56EB">
        <w:t>the association</w:t>
      </w:r>
      <w:r w:rsidR="007A7084">
        <w:t>s</w:t>
      </w:r>
      <w:r w:rsidR="007C56EB">
        <w:t xml:space="preserve"> of each drinking water contaminant and the odds of childhood cancer</w:t>
      </w:r>
      <w:r w:rsidR="007A7084">
        <w:t xml:space="preserve"> were further evaluated by including</w:t>
      </w:r>
      <w:r w:rsidR="007C56EB">
        <w:t xml:space="preserve"> </w:t>
      </w:r>
      <w:r w:rsidR="00A675E1">
        <w:t xml:space="preserve">dichotomous (ever/never) exposure variables for NDMA and TCE in </w:t>
      </w:r>
      <w:r>
        <w:t xml:space="preserve">a </w:t>
      </w:r>
      <w:r w:rsidR="007C56EB">
        <w:t>logistic regression model</w:t>
      </w:r>
      <w:r w:rsidR="00A675E1">
        <w:t xml:space="preserve"> together (</w:t>
      </w:r>
      <w:r w:rsidR="00426187">
        <w:fldChar w:fldCharType="begin"/>
      </w:r>
      <w:r w:rsidR="00426187">
        <w:instrText xml:space="preserve"> REF  Table18 \h  \* MERGEFORMAT </w:instrText>
      </w:r>
      <w:r w:rsidR="00426187">
        <w:fldChar w:fldCharType="separate"/>
      </w:r>
      <w:r w:rsidR="00977423">
        <w:t xml:space="preserve">Table </w:t>
      </w:r>
      <w:r w:rsidR="00977423">
        <w:rPr>
          <w:noProof/>
        </w:rPr>
        <w:t>18</w:t>
      </w:r>
      <w:r w:rsidR="00426187">
        <w:fldChar w:fldCharType="end"/>
      </w:r>
      <w:r w:rsidR="00A675E1">
        <w:t xml:space="preserve">). </w:t>
      </w:r>
      <w:r w:rsidR="00426187">
        <w:t>R</w:t>
      </w:r>
      <w:r w:rsidR="00913A64">
        <w:t xml:space="preserve">esults of two </w:t>
      </w:r>
      <w:r w:rsidR="007C56EB">
        <w:t xml:space="preserve">combined </w:t>
      </w:r>
      <w:r w:rsidR="00A675E1">
        <w:t xml:space="preserve">exposure </w:t>
      </w:r>
      <w:r w:rsidR="007C56EB">
        <w:t>measure</w:t>
      </w:r>
      <w:r w:rsidR="00913A64">
        <w:t xml:space="preserve">s </w:t>
      </w:r>
      <w:r w:rsidR="00426187">
        <w:t xml:space="preserve">are also presented in </w:t>
      </w:r>
      <w:r w:rsidR="00426187">
        <w:fldChar w:fldCharType="begin"/>
      </w:r>
      <w:r w:rsidR="00426187">
        <w:instrText xml:space="preserve"> REF  Table18 \h  \* MERGEFORMAT </w:instrText>
      </w:r>
      <w:r w:rsidR="00426187">
        <w:fldChar w:fldCharType="separate"/>
      </w:r>
      <w:r w:rsidR="00977423">
        <w:t xml:space="preserve">Table </w:t>
      </w:r>
      <w:r w:rsidR="00977423">
        <w:rPr>
          <w:noProof/>
        </w:rPr>
        <w:t>18</w:t>
      </w:r>
      <w:r w:rsidR="00426187">
        <w:fldChar w:fldCharType="end"/>
      </w:r>
      <w:r w:rsidR="00913A64">
        <w:t xml:space="preserve">. These include a dichotomous combined measure </w:t>
      </w:r>
      <w:r w:rsidR="00A675E1">
        <w:t xml:space="preserve">(ever </w:t>
      </w:r>
      <w:r w:rsidR="003C053D">
        <w:t xml:space="preserve">NDMA or </w:t>
      </w:r>
      <w:r w:rsidR="00A675E1">
        <w:t xml:space="preserve">TCE vs. neither) </w:t>
      </w:r>
      <w:r w:rsidR="00913A64">
        <w:t>and</w:t>
      </w:r>
      <w:r w:rsidR="00A675E1">
        <w:t xml:space="preserve"> a three level combined exposure measure (no exposure, NDMA</w:t>
      </w:r>
      <w:r w:rsidR="001C386B">
        <w:t xml:space="preserve"> alone</w:t>
      </w:r>
      <w:r w:rsidR="00A675E1">
        <w:t xml:space="preserve">, and </w:t>
      </w:r>
      <w:r w:rsidR="00A675E1">
        <w:lastRenderedPageBreak/>
        <w:t>both TCE and NDMA</w:t>
      </w:r>
      <w:r w:rsidR="00913A64">
        <w:t>)</w:t>
      </w:r>
      <w:r w:rsidR="00A675E1">
        <w:t>.</w:t>
      </w:r>
      <w:r w:rsidR="00913A64">
        <w:t xml:space="preserve"> </w:t>
      </w:r>
      <w:r>
        <w:t>All</w:t>
      </w:r>
      <w:r w:rsidR="00913A64">
        <w:t xml:space="preserve"> results presented in </w:t>
      </w:r>
      <w:r w:rsidR="00D62F67">
        <w:fldChar w:fldCharType="begin"/>
      </w:r>
      <w:r w:rsidR="00D62F67">
        <w:instrText xml:space="preserve"> REF  Table18 \h </w:instrText>
      </w:r>
      <w:r w:rsidR="0040594E">
        <w:instrText xml:space="preserve"> \* MERGEFORMAT </w:instrText>
      </w:r>
      <w:r w:rsidR="00D62F67">
        <w:fldChar w:fldCharType="separate"/>
      </w:r>
      <w:r w:rsidR="00977423">
        <w:t xml:space="preserve">Table </w:t>
      </w:r>
      <w:r w:rsidR="00977423">
        <w:rPr>
          <w:noProof/>
        </w:rPr>
        <w:t>18</w:t>
      </w:r>
      <w:r w:rsidR="00D62F67">
        <w:fldChar w:fldCharType="end"/>
      </w:r>
      <w:r w:rsidR="006F50CA">
        <w:t xml:space="preserve"> </w:t>
      </w:r>
      <w:r>
        <w:t>are restricted to</w:t>
      </w:r>
      <w:r w:rsidR="00913A64">
        <w:t xml:space="preserve"> the </w:t>
      </w:r>
      <w:r>
        <w:t>73 study participants with</w:t>
      </w:r>
      <w:r w:rsidR="00913A64">
        <w:t xml:space="preserve"> TCE exposure </w:t>
      </w:r>
      <w:r>
        <w:t>estimations</w:t>
      </w:r>
      <w:r w:rsidR="00913A64">
        <w:t>.</w:t>
      </w:r>
    </w:p>
    <w:p w14:paraId="0F2E4195" w14:textId="7C8B03F8" w:rsidR="00471168" w:rsidRDefault="00A73EC0" w:rsidP="006C3ED9">
      <w:r>
        <w:t xml:space="preserve">In the </w:t>
      </w:r>
      <w:r w:rsidR="007F74B7">
        <w:t>All Cancers</w:t>
      </w:r>
      <w:r>
        <w:t xml:space="preserve"> analysis, w</w:t>
      </w:r>
      <w:r w:rsidR="00913A64">
        <w:t xml:space="preserve">hen both contaminants are included in a model together, the effect estimates of each are somewhat diminished compared to crude model results (NDMA ORs = 1.2 adjusted vs. 1.8 crude; TCE ORs = 1.9 adjusted vs. 2.3 crude). While remaining positively associated with childhood cancer, the associations are not statistically significant and confidence intervals are wide. In the </w:t>
      </w:r>
      <w:r w:rsidR="00806E19">
        <w:t xml:space="preserve">dichotomous </w:t>
      </w:r>
      <w:r w:rsidR="00913A64">
        <w:t>combined</w:t>
      </w:r>
      <w:r w:rsidR="00806E19">
        <w:t xml:space="preserve"> exposure</w:t>
      </w:r>
      <w:r w:rsidR="00913A64">
        <w:t xml:space="preserve"> measure, </w:t>
      </w:r>
      <w:r w:rsidR="00806E19">
        <w:t xml:space="preserve">results are identical to the crude NDMA model because, as shown in </w:t>
      </w:r>
      <w:r w:rsidR="00D62F67">
        <w:fldChar w:fldCharType="begin"/>
      </w:r>
      <w:r w:rsidR="00D62F67">
        <w:instrText xml:space="preserve"> REF  Table12 \h </w:instrText>
      </w:r>
      <w:r w:rsidR="0040594E">
        <w:instrText xml:space="preserve"> \* MERGEFORMAT </w:instrText>
      </w:r>
      <w:r w:rsidR="00D62F67">
        <w:fldChar w:fldCharType="separate"/>
      </w:r>
      <w:r w:rsidR="00977423">
        <w:rPr>
          <w:noProof/>
        </w:rPr>
        <w:t>Table</w:t>
      </w:r>
      <w:r w:rsidR="00977423">
        <w:t xml:space="preserve"> </w:t>
      </w:r>
      <w:r w:rsidR="00977423">
        <w:rPr>
          <w:noProof/>
        </w:rPr>
        <w:t>12</w:t>
      </w:r>
      <w:r w:rsidR="00D62F67">
        <w:fldChar w:fldCharType="end"/>
      </w:r>
      <w:r w:rsidR="00806E19">
        <w:t xml:space="preserve">, </w:t>
      </w:r>
      <w:r w:rsidR="008942D2">
        <w:t>all mothers</w:t>
      </w:r>
      <w:r w:rsidR="00806E19">
        <w:t xml:space="preserve"> estimated to have been exposed to TCE were also estimated to have had NDMA </w:t>
      </w:r>
      <w:proofErr w:type="gramStart"/>
      <w:r w:rsidR="00806E19">
        <w:t>exposure</w:t>
      </w:r>
      <w:proofErr w:type="gramEnd"/>
      <w:r w:rsidR="00806E19">
        <w:t xml:space="preserve"> so the combined measure provides no new information. Similarly, in the three-level combined measure, </w:t>
      </w:r>
      <w:r w:rsidR="001F021B">
        <w:t>the OR</w:t>
      </w:r>
      <w:r w:rsidR="00806E19">
        <w:t xml:space="preserve"> </w:t>
      </w:r>
      <w:r w:rsidR="001F021B">
        <w:t xml:space="preserve">for </w:t>
      </w:r>
      <w:r w:rsidR="00806E19">
        <w:t xml:space="preserve">those estimated to have been exposed to both contaminants </w:t>
      </w:r>
      <w:r w:rsidR="00FF6374">
        <w:t>are</w:t>
      </w:r>
      <w:r w:rsidR="00806E19">
        <w:t xml:space="preserve"> identical to the crude TCE results. Essentially, it is impossible to evaluate the effect of TCE alone, but it’s possible to see that </w:t>
      </w:r>
      <w:r w:rsidR="00FF6374">
        <w:t xml:space="preserve">the </w:t>
      </w:r>
      <w:r w:rsidR="00806E19">
        <w:t xml:space="preserve">OR </w:t>
      </w:r>
      <w:r w:rsidR="00FF6374">
        <w:t>is</w:t>
      </w:r>
      <w:r w:rsidR="00806E19">
        <w:t xml:space="preserve"> higher for those exposed to both contaminants </w:t>
      </w:r>
      <w:r w:rsidR="00FF6374">
        <w:t>(OR = 2.3) compared to those exposed to NDMA alone (OR = 1.</w:t>
      </w:r>
      <w:r w:rsidR="00806E19">
        <w:t>2).</w:t>
      </w:r>
    </w:p>
    <w:p w14:paraId="0BC2BF65" w14:textId="63B4FBD4" w:rsidR="002B548A" w:rsidRDefault="00A73EC0" w:rsidP="006C3ED9">
      <w:pPr>
        <w:rPr>
          <w:bCs/>
          <w:szCs w:val="18"/>
        </w:rPr>
      </w:pPr>
      <w:r>
        <w:t xml:space="preserve">In the </w:t>
      </w:r>
      <w:r w:rsidR="007F74B7">
        <w:t>Leukemia/Lymphoma</w:t>
      </w:r>
      <w:r>
        <w:t xml:space="preserve"> subgroup analysis, </w:t>
      </w:r>
      <w:r w:rsidR="00AF5753">
        <w:t>inclusion of</w:t>
      </w:r>
      <w:r>
        <w:t xml:space="preserve"> both contaminants in </w:t>
      </w:r>
      <w:r w:rsidR="00AF5753">
        <w:t>the same</w:t>
      </w:r>
      <w:r>
        <w:t xml:space="preserve"> model</w:t>
      </w:r>
      <w:r w:rsidR="00AF5753">
        <w:t xml:space="preserve"> results</w:t>
      </w:r>
      <w:r>
        <w:t xml:space="preserve"> </w:t>
      </w:r>
      <w:r w:rsidR="00AF5753">
        <w:t xml:space="preserve">in an increased </w:t>
      </w:r>
      <w:r>
        <w:t>effect estimate</w:t>
      </w:r>
      <w:r w:rsidR="00AF5753">
        <w:t xml:space="preserve"> for </w:t>
      </w:r>
      <w:r>
        <w:t xml:space="preserve">NDMA </w:t>
      </w:r>
      <w:r w:rsidR="00AF5753">
        <w:t>(</w:t>
      </w:r>
      <w:r>
        <w:t xml:space="preserve">ORs = </w:t>
      </w:r>
      <w:r w:rsidR="00AF5753">
        <w:t>2.4</w:t>
      </w:r>
      <w:r>
        <w:t xml:space="preserve"> adjusted vs. 1.</w:t>
      </w:r>
      <w:r w:rsidR="00AF5753">
        <w:t>9</w:t>
      </w:r>
      <w:r>
        <w:t xml:space="preserve"> crude</w:t>
      </w:r>
      <w:r w:rsidR="00AF5753">
        <w:t xml:space="preserve">) whereas the effect estimate for </w:t>
      </w:r>
      <w:r>
        <w:t xml:space="preserve">TCE </w:t>
      </w:r>
      <w:r w:rsidR="001525AA">
        <w:t>i</w:t>
      </w:r>
      <w:r w:rsidR="00AF5753">
        <w:t>s</w:t>
      </w:r>
      <w:r w:rsidR="001525AA">
        <w:t xml:space="preserve"> diminished and no longer positive</w:t>
      </w:r>
      <w:r w:rsidR="00AF5753">
        <w:t xml:space="preserve"> (</w:t>
      </w:r>
      <w:r>
        <w:t xml:space="preserve">ORs = </w:t>
      </w:r>
      <w:r w:rsidR="001525AA">
        <w:t>0.7</w:t>
      </w:r>
      <w:r>
        <w:t xml:space="preserve"> adjusted vs. </w:t>
      </w:r>
      <w:r w:rsidR="001525AA">
        <w:t>1.7</w:t>
      </w:r>
      <w:r>
        <w:t xml:space="preserve"> crude). </w:t>
      </w:r>
      <w:r w:rsidR="001525AA">
        <w:t xml:space="preserve">Just as in the </w:t>
      </w:r>
      <w:r w:rsidR="007F74B7">
        <w:t>All Cancers</w:t>
      </w:r>
      <w:r w:rsidR="001525AA">
        <w:t xml:space="preserve"> analysis, </w:t>
      </w:r>
      <w:r>
        <w:t>the dichotomous combined exposure measure</w:t>
      </w:r>
      <w:r w:rsidR="001525AA">
        <w:t xml:space="preserve"> is</w:t>
      </w:r>
      <w:r>
        <w:t xml:space="preserve"> identical to the crude NDMA model because </w:t>
      </w:r>
      <w:r w:rsidR="00596431">
        <w:t xml:space="preserve">no one was estimated to have been exposed to </w:t>
      </w:r>
      <w:r>
        <w:t xml:space="preserve">TCE </w:t>
      </w:r>
      <w:r w:rsidR="00596431">
        <w:t>alone</w:t>
      </w:r>
      <w:r>
        <w:t xml:space="preserve">. </w:t>
      </w:r>
      <w:r w:rsidR="00596431">
        <w:t>I</w:t>
      </w:r>
      <w:r>
        <w:t>n</w:t>
      </w:r>
      <w:r w:rsidR="00596431">
        <w:t xml:space="preserve"> </w:t>
      </w:r>
      <w:r>
        <w:t xml:space="preserve">the three-level combined measure, </w:t>
      </w:r>
      <w:r w:rsidR="00596431">
        <w:t xml:space="preserve">in contrast to the </w:t>
      </w:r>
      <w:r w:rsidR="007F74B7">
        <w:t>All Cancers</w:t>
      </w:r>
      <w:r w:rsidR="00596431">
        <w:t xml:space="preserve"> analysis, </w:t>
      </w:r>
      <w:r>
        <w:t xml:space="preserve">the OR </w:t>
      </w:r>
      <w:r w:rsidR="00596431">
        <w:t xml:space="preserve">for exposure to NDMA alone (OR = 2.4) is higher than the OR </w:t>
      </w:r>
      <w:r>
        <w:t>for</w:t>
      </w:r>
      <w:r w:rsidR="00596431">
        <w:t xml:space="preserve"> those estimated to have been exp</w:t>
      </w:r>
      <w:r>
        <w:t>osed</w:t>
      </w:r>
      <w:r w:rsidR="00596431">
        <w:t xml:space="preserve"> to </w:t>
      </w:r>
      <w:r>
        <w:t xml:space="preserve">both contaminants </w:t>
      </w:r>
      <w:r w:rsidR="00596431">
        <w:t>(OR = 1.7).</w:t>
      </w:r>
      <w:bookmarkStart w:id="196" w:name="_Ref14773266"/>
      <w:r w:rsidR="002B548A">
        <w:br w:type="page"/>
      </w:r>
    </w:p>
    <w:p w14:paraId="145271AE" w14:textId="6A647623" w:rsidR="006F50CA" w:rsidRDefault="006F50CA" w:rsidP="0040594E">
      <w:pPr>
        <w:pStyle w:val="Caption"/>
        <w:keepNext/>
        <w:ind w:right="-972"/>
      </w:pPr>
      <w:bookmarkStart w:id="197" w:name="_Ref31882528"/>
      <w:bookmarkStart w:id="198" w:name="Table18"/>
      <w:bookmarkStart w:id="199" w:name="_Toc45714897"/>
      <w:bookmarkEnd w:id="196"/>
      <w:r>
        <w:lastRenderedPageBreak/>
        <w:t xml:space="preserve">Table </w:t>
      </w:r>
      <w:fldSimple w:instr=" SEQ Table \* ARABIC ">
        <w:r w:rsidR="00977423">
          <w:rPr>
            <w:noProof/>
          </w:rPr>
          <w:t>18</w:t>
        </w:r>
      </w:fldSimple>
      <w:bookmarkEnd w:id="197"/>
      <w:r w:rsidRPr="00A9480B">
        <w:t xml:space="preserve">. </w:t>
      </w:r>
      <w:bookmarkEnd w:id="198"/>
      <w:r w:rsidRPr="00A9480B">
        <w:t>Presence of NDMA and TCE in maternal residential drinking water and odds of childhood cancer among children living in Wilmington, MA, 1974-2000 (n=73).</w:t>
      </w:r>
      <w:bookmarkEnd w:id="199"/>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148"/>
        <w:gridCol w:w="57"/>
        <w:gridCol w:w="658"/>
        <w:gridCol w:w="817"/>
        <w:gridCol w:w="62"/>
        <w:gridCol w:w="715"/>
        <w:gridCol w:w="879"/>
        <w:gridCol w:w="144"/>
        <w:gridCol w:w="724"/>
        <w:gridCol w:w="1169"/>
        <w:gridCol w:w="1005"/>
        <w:gridCol w:w="14"/>
        <w:gridCol w:w="66"/>
      </w:tblGrid>
      <w:tr w:rsidR="003733B6" w14:paraId="3D32FF55" w14:textId="77777777" w:rsidTr="00C96544">
        <w:trPr>
          <w:gridAfter w:val="1"/>
          <w:wAfter w:w="66" w:type="dxa"/>
        </w:trPr>
        <w:tc>
          <w:tcPr>
            <w:tcW w:w="3238" w:type="dxa"/>
            <w:gridSpan w:val="2"/>
            <w:tcBorders>
              <w:top w:val="single" w:sz="4" w:space="0" w:color="auto"/>
            </w:tcBorders>
            <w:vAlign w:val="center"/>
          </w:tcPr>
          <w:p w14:paraId="1BAB10ED" w14:textId="77777777" w:rsidR="003733B6" w:rsidRPr="00F32D0A" w:rsidRDefault="003733B6" w:rsidP="0040594E">
            <w:pPr>
              <w:spacing w:line="240" w:lineRule="auto"/>
              <w:rPr>
                <w:rFonts w:asciiTheme="minorHAnsi" w:hAnsiTheme="minorHAnsi"/>
                <w:b/>
              </w:rPr>
            </w:pPr>
          </w:p>
        </w:tc>
        <w:tc>
          <w:tcPr>
            <w:tcW w:w="1532" w:type="dxa"/>
            <w:gridSpan w:val="3"/>
            <w:tcBorders>
              <w:top w:val="single" w:sz="4" w:space="0" w:color="auto"/>
            </w:tcBorders>
            <w:vAlign w:val="center"/>
          </w:tcPr>
          <w:p w14:paraId="0CB5276C" w14:textId="77777777" w:rsidR="003733B6" w:rsidRPr="00D562F1" w:rsidRDefault="003733B6" w:rsidP="0040594E">
            <w:pPr>
              <w:pStyle w:val="Tablebodybold"/>
              <w:rPr>
                <w:sz w:val="24"/>
                <w:szCs w:val="24"/>
              </w:rPr>
            </w:pPr>
            <w:r w:rsidRPr="00D562F1">
              <w:rPr>
                <w:sz w:val="24"/>
                <w:szCs w:val="24"/>
              </w:rPr>
              <w:t>Cases   (n=16)</w:t>
            </w:r>
          </w:p>
        </w:tc>
        <w:tc>
          <w:tcPr>
            <w:tcW w:w="1800" w:type="dxa"/>
            <w:gridSpan w:val="4"/>
            <w:tcBorders>
              <w:top w:val="single" w:sz="4" w:space="0" w:color="auto"/>
            </w:tcBorders>
            <w:vAlign w:val="center"/>
          </w:tcPr>
          <w:p w14:paraId="1CB60D1D" w14:textId="73ABBC76" w:rsidR="003733B6" w:rsidRPr="00D562F1" w:rsidRDefault="003733B6" w:rsidP="0040594E">
            <w:pPr>
              <w:pStyle w:val="Tablebodybold"/>
              <w:rPr>
                <w:sz w:val="24"/>
                <w:szCs w:val="24"/>
              </w:rPr>
            </w:pPr>
            <w:r w:rsidRPr="00D562F1">
              <w:rPr>
                <w:sz w:val="24"/>
                <w:szCs w:val="24"/>
              </w:rPr>
              <w:t xml:space="preserve">Controls </w:t>
            </w:r>
            <w:r w:rsidR="00C96544">
              <w:rPr>
                <w:sz w:val="24"/>
                <w:szCs w:val="24"/>
              </w:rPr>
              <w:t>(</w:t>
            </w:r>
            <w:r w:rsidRPr="00D562F1">
              <w:rPr>
                <w:sz w:val="24"/>
                <w:szCs w:val="24"/>
              </w:rPr>
              <w:t>n=57)</w:t>
            </w:r>
          </w:p>
        </w:tc>
        <w:tc>
          <w:tcPr>
            <w:tcW w:w="724" w:type="dxa"/>
            <w:tcBorders>
              <w:top w:val="single" w:sz="4" w:space="0" w:color="auto"/>
            </w:tcBorders>
            <w:vAlign w:val="center"/>
          </w:tcPr>
          <w:p w14:paraId="0F21D1D4" w14:textId="77777777" w:rsidR="003733B6" w:rsidRPr="00D562F1" w:rsidRDefault="003733B6" w:rsidP="0040594E">
            <w:pPr>
              <w:pStyle w:val="Tablebodybold"/>
              <w:rPr>
                <w:sz w:val="24"/>
                <w:szCs w:val="24"/>
              </w:rPr>
            </w:pPr>
          </w:p>
        </w:tc>
        <w:tc>
          <w:tcPr>
            <w:tcW w:w="1169" w:type="dxa"/>
            <w:tcBorders>
              <w:top w:val="single" w:sz="4" w:space="0" w:color="auto"/>
            </w:tcBorders>
            <w:vAlign w:val="center"/>
          </w:tcPr>
          <w:p w14:paraId="1F7B5FA6" w14:textId="77777777" w:rsidR="003733B6" w:rsidRPr="00D562F1" w:rsidRDefault="003733B6" w:rsidP="0040594E">
            <w:pPr>
              <w:pStyle w:val="Tablebodybold"/>
              <w:rPr>
                <w:sz w:val="24"/>
                <w:szCs w:val="24"/>
              </w:rPr>
            </w:pPr>
          </w:p>
        </w:tc>
        <w:tc>
          <w:tcPr>
            <w:tcW w:w="1019" w:type="dxa"/>
            <w:gridSpan w:val="2"/>
            <w:tcBorders>
              <w:top w:val="single" w:sz="4" w:space="0" w:color="auto"/>
            </w:tcBorders>
            <w:vAlign w:val="center"/>
          </w:tcPr>
          <w:p w14:paraId="5B112E88" w14:textId="77777777" w:rsidR="003733B6" w:rsidRPr="00D562F1" w:rsidRDefault="003733B6" w:rsidP="0040594E">
            <w:pPr>
              <w:pStyle w:val="Tablebodybold"/>
              <w:rPr>
                <w:sz w:val="24"/>
                <w:szCs w:val="24"/>
              </w:rPr>
            </w:pPr>
          </w:p>
        </w:tc>
      </w:tr>
      <w:tr w:rsidR="003733B6" w14:paraId="789AB1E3" w14:textId="77777777" w:rsidTr="00C96544">
        <w:trPr>
          <w:gridAfter w:val="2"/>
          <w:wAfter w:w="80" w:type="dxa"/>
          <w:trHeight w:hRule="exact" w:val="288"/>
        </w:trPr>
        <w:tc>
          <w:tcPr>
            <w:tcW w:w="3238" w:type="dxa"/>
            <w:gridSpan w:val="2"/>
            <w:vAlign w:val="bottom"/>
          </w:tcPr>
          <w:p w14:paraId="687A373E" w14:textId="77777777" w:rsidR="003733B6" w:rsidRPr="00F32D0A" w:rsidRDefault="003733B6" w:rsidP="0040594E">
            <w:pPr>
              <w:spacing w:line="240" w:lineRule="auto"/>
              <w:rPr>
                <w:rFonts w:asciiTheme="minorHAnsi" w:hAnsiTheme="minorHAnsi"/>
                <w:b/>
              </w:rPr>
            </w:pPr>
            <w:r w:rsidRPr="00F32D0A">
              <w:rPr>
                <w:rFonts w:asciiTheme="minorHAnsi" w:hAnsiTheme="minorHAnsi"/>
                <w:b/>
              </w:rPr>
              <w:t>All Cancers</w:t>
            </w:r>
          </w:p>
        </w:tc>
        <w:tc>
          <w:tcPr>
            <w:tcW w:w="715" w:type="dxa"/>
            <w:gridSpan w:val="2"/>
            <w:tcBorders>
              <w:bottom w:val="single" w:sz="4" w:space="0" w:color="auto"/>
            </w:tcBorders>
            <w:vAlign w:val="center"/>
          </w:tcPr>
          <w:p w14:paraId="33A63DC9" w14:textId="77777777" w:rsidR="003733B6" w:rsidRPr="00D562F1" w:rsidRDefault="003733B6" w:rsidP="0040594E">
            <w:pPr>
              <w:pStyle w:val="Tablebodybold"/>
              <w:rPr>
                <w:sz w:val="24"/>
                <w:szCs w:val="24"/>
              </w:rPr>
            </w:pPr>
            <w:r w:rsidRPr="00D562F1">
              <w:rPr>
                <w:sz w:val="24"/>
                <w:szCs w:val="24"/>
              </w:rPr>
              <w:t>n</w:t>
            </w:r>
          </w:p>
        </w:tc>
        <w:tc>
          <w:tcPr>
            <w:tcW w:w="879" w:type="dxa"/>
            <w:gridSpan w:val="2"/>
            <w:tcBorders>
              <w:bottom w:val="single" w:sz="4" w:space="0" w:color="auto"/>
            </w:tcBorders>
            <w:vAlign w:val="center"/>
          </w:tcPr>
          <w:p w14:paraId="0B9D0FF4" w14:textId="77777777" w:rsidR="003733B6" w:rsidRPr="00D562F1" w:rsidRDefault="003733B6" w:rsidP="0040594E">
            <w:pPr>
              <w:pStyle w:val="Tablebodybold"/>
              <w:rPr>
                <w:sz w:val="24"/>
                <w:szCs w:val="24"/>
              </w:rPr>
            </w:pPr>
            <w:r w:rsidRPr="00D562F1">
              <w:rPr>
                <w:sz w:val="24"/>
                <w:szCs w:val="24"/>
              </w:rPr>
              <w:t>(%)</w:t>
            </w:r>
          </w:p>
        </w:tc>
        <w:tc>
          <w:tcPr>
            <w:tcW w:w="715" w:type="dxa"/>
            <w:tcBorders>
              <w:bottom w:val="single" w:sz="4" w:space="0" w:color="auto"/>
            </w:tcBorders>
            <w:vAlign w:val="center"/>
          </w:tcPr>
          <w:p w14:paraId="2379C581" w14:textId="77777777" w:rsidR="003733B6" w:rsidRPr="00D562F1" w:rsidRDefault="003733B6" w:rsidP="0040594E">
            <w:pPr>
              <w:pStyle w:val="Tablebodybold"/>
              <w:rPr>
                <w:sz w:val="24"/>
                <w:szCs w:val="24"/>
              </w:rPr>
            </w:pPr>
            <w:r w:rsidRPr="00D562F1">
              <w:rPr>
                <w:sz w:val="24"/>
                <w:szCs w:val="24"/>
              </w:rPr>
              <w:t>n</w:t>
            </w:r>
          </w:p>
        </w:tc>
        <w:tc>
          <w:tcPr>
            <w:tcW w:w="879" w:type="dxa"/>
            <w:tcBorders>
              <w:bottom w:val="single" w:sz="4" w:space="0" w:color="auto"/>
            </w:tcBorders>
            <w:vAlign w:val="center"/>
          </w:tcPr>
          <w:p w14:paraId="119AB2BE" w14:textId="77777777" w:rsidR="003733B6" w:rsidRPr="00D562F1" w:rsidRDefault="003733B6" w:rsidP="0040594E">
            <w:pPr>
              <w:pStyle w:val="Tablebodybold"/>
              <w:rPr>
                <w:sz w:val="24"/>
                <w:szCs w:val="24"/>
              </w:rPr>
            </w:pPr>
            <w:r w:rsidRPr="00D562F1">
              <w:rPr>
                <w:sz w:val="24"/>
                <w:szCs w:val="24"/>
              </w:rPr>
              <w:t>(%)</w:t>
            </w:r>
          </w:p>
        </w:tc>
        <w:tc>
          <w:tcPr>
            <w:tcW w:w="868" w:type="dxa"/>
            <w:gridSpan w:val="2"/>
            <w:tcBorders>
              <w:bottom w:val="single" w:sz="4" w:space="0" w:color="auto"/>
            </w:tcBorders>
            <w:vAlign w:val="center"/>
          </w:tcPr>
          <w:p w14:paraId="76C7E46F" w14:textId="77777777" w:rsidR="003733B6" w:rsidRPr="00D562F1" w:rsidRDefault="003733B6" w:rsidP="0040594E">
            <w:pPr>
              <w:pStyle w:val="Tablebodybold"/>
              <w:rPr>
                <w:sz w:val="24"/>
                <w:szCs w:val="24"/>
              </w:rPr>
            </w:pPr>
            <w:proofErr w:type="spellStart"/>
            <w:r w:rsidRPr="00D562F1">
              <w:rPr>
                <w:sz w:val="24"/>
                <w:szCs w:val="24"/>
              </w:rPr>
              <w:t>OR</w:t>
            </w:r>
            <w:r w:rsidRPr="00D562F1">
              <w:rPr>
                <w:sz w:val="24"/>
                <w:szCs w:val="24"/>
                <w:vertAlign w:val="superscript"/>
              </w:rPr>
              <w:t>a</w:t>
            </w:r>
            <w:proofErr w:type="spellEnd"/>
          </w:p>
        </w:tc>
        <w:tc>
          <w:tcPr>
            <w:tcW w:w="1169" w:type="dxa"/>
            <w:tcBorders>
              <w:bottom w:val="single" w:sz="4" w:space="0" w:color="auto"/>
            </w:tcBorders>
            <w:vAlign w:val="center"/>
          </w:tcPr>
          <w:p w14:paraId="6D93661D" w14:textId="77777777" w:rsidR="003733B6" w:rsidRPr="00D562F1" w:rsidRDefault="003733B6" w:rsidP="0040594E">
            <w:pPr>
              <w:pStyle w:val="Tablebodybold"/>
              <w:rPr>
                <w:sz w:val="24"/>
                <w:szCs w:val="24"/>
              </w:rPr>
            </w:pPr>
            <w:r w:rsidRPr="00D562F1">
              <w:rPr>
                <w:sz w:val="24"/>
                <w:szCs w:val="24"/>
              </w:rPr>
              <w:t xml:space="preserve">95% </w:t>
            </w:r>
            <w:proofErr w:type="spellStart"/>
            <w:r w:rsidRPr="00D562F1">
              <w:rPr>
                <w:sz w:val="24"/>
                <w:szCs w:val="24"/>
              </w:rPr>
              <w:t>CI</w:t>
            </w:r>
            <w:r w:rsidRPr="00D562F1">
              <w:rPr>
                <w:sz w:val="24"/>
                <w:szCs w:val="24"/>
                <w:vertAlign w:val="superscript"/>
              </w:rPr>
              <w:t>b</w:t>
            </w:r>
            <w:proofErr w:type="spellEnd"/>
          </w:p>
        </w:tc>
        <w:tc>
          <w:tcPr>
            <w:tcW w:w="1005" w:type="dxa"/>
            <w:tcBorders>
              <w:bottom w:val="single" w:sz="4" w:space="0" w:color="auto"/>
            </w:tcBorders>
            <w:vAlign w:val="center"/>
          </w:tcPr>
          <w:p w14:paraId="4AC16709" w14:textId="77777777" w:rsidR="003733B6" w:rsidRPr="00D562F1" w:rsidRDefault="003733B6" w:rsidP="0040594E">
            <w:pPr>
              <w:pStyle w:val="Tablebodybold"/>
              <w:rPr>
                <w:sz w:val="24"/>
                <w:szCs w:val="24"/>
              </w:rPr>
            </w:pPr>
            <w:r w:rsidRPr="00D562F1">
              <w:rPr>
                <w:i/>
                <w:sz w:val="24"/>
                <w:szCs w:val="24"/>
              </w:rPr>
              <w:t>p</w:t>
            </w:r>
            <w:r w:rsidRPr="00D562F1">
              <w:rPr>
                <w:sz w:val="24"/>
                <w:szCs w:val="24"/>
              </w:rPr>
              <w:t>-value</w:t>
            </w:r>
          </w:p>
        </w:tc>
      </w:tr>
      <w:tr w:rsidR="003733B6" w14:paraId="765D05DA" w14:textId="77777777" w:rsidTr="00C96544">
        <w:trPr>
          <w:gridAfter w:val="2"/>
          <w:wAfter w:w="80" w:type="dxa"/>
        </w:trPr>
        <w:tc>
          <w:tcPr>
            <w:tcW w:w="3238" w:type="dxa"/>
            <w:gridSpan w:val="2"/>
            <w:vAlign w:val="bottom"/>
          </w:tcPr>
          <w:p w14:paraId="61A747B3" w14:textId="77777777" w:rsidR="003733B6" w:rsidRPr="00D562F1" w:rsidRDefault="003733B6" w:rsidP="0040594E">
            <w:pPr>
              <w:pStyle w:val="Tablebody"/>
              <w:rPr>
                <w:sz w:val="24"/>
                <w:szCs w:val="24"/>
              </w:rPr>
            </w:pPr>
            <w:r w:rsidRPr="00D562F1">
              <w:rPr>
                <w:sz w:val="24"/>
                <w:szCs w:val="24"/>
              </w:rPr>
              <w:t>Crude NDMA</w:t>
            </w:r>
          </w:p>
        </w:tc>
        <w:tc>
          <w:tcPr>
            <w:tcW w:w="715" w:type="dxa"/>
            <w:gridSpan w:val="2"/>
            <w:tcBorders>
              <w:top w:val="single" w:sz="4" w:space="0" w:color="auto"/>
            </w:tcBorders>
            <w:vAlign w:val="bottom"/>
          </w:tcPr>
          <w:p w14:paraId="69768FFE" w14:textId="77777777" w:rsidR="003733B6" w:rsidRPr="00D562F1" w:rsidRDefault="003733B6" w:rsidP="0040594E">
            <w:pPr>
              <w:pStyle w:val="Tablebody"/>
              <w:rPr>
                <w:sz w:val="24"/>
                <w:szCs w:val="24"/>
              </w:rPr>
            </w:pPr>
          </w:p>
        </w:tc>
        <w:tc>
          <w:tcPr>
            <w:tcW w:w="879" w:type="dxa"/>
            <w:gridSpan w:val="2"/>
            <w:tcBorders>
              <w:top w:val="single" w:sz="4" w:space="0" w:color="auto"/>
            </w:tcBorders>
            <w:vAlign w:val="bottom"/>
          </w:tcPr>
          <w:p w14:paraId="047EE7AE" w14:textId="77777777" w:rsidR="003733B6" w:rsidRPr="00D562F1" w:rsidRDefault="003733B6" w:rsidP="0040594E">
            <w:pPr>
              <w:pStyle w:val="Tablebody"/>
              <w:rPr>
                <w:sz w:val="24"/>
                <w:szCs w:val="24"/>
              </w:rPr>
            </w:pPr>
          </w:p>
        </w:tc>
        <w:tc>
          <w:tcPr>
            <w:tcW w:w="715" w:type="dxa"/>
            <w:tcBorders>
              <w:top w:val="single" w:sz="4" w:space="0" w:color="auto"/>
            </w:tcBorders>
            <w:vAlign w:val="bottom"/>
          </w:tcPr>
          <w:p w14:paraId="138AC0FA" w14:textId="77777777" w:rsidR="003733B6" w:rsidRPr="00D562F1" w:rsidRDefault="003733B6" w:rsidP="0040594E">
            <w:pPr>
              <w:pStyle w:val="Tablebody"/>
              <w:rPr>
                <w:sz w:val="24"/>
                <w:szCs w:val="24"/>
              </w:rPr>
            </w:pPr>
          </w:p>
        </w:tc>
        <w:tc>
          <w:tcPr>
            <w:tcW w:w="879" w:type="dxa"/>
            <w:tcBorders>
              <w:top w:val="single" w:sz="4" w:space="0" w:color="auto"/>
            </w:tcBorders>
            <w:vAlign w:val="bottom"/>
          </w:tcPr>
          <w:p w14:paraId="4D19E43A" w14:textId="77777777" w:rsidR="003733B6" w:rsidRPr="00D562F1" w:rsidRDefault="003733B6" w:rsidP="0040594E">
            <w:pPr>
              <w:pStyle w:val="Tablebody"/>
              <w:rPr>
                <w:sz w:val="24"/>
                <w:szCs w:val="24"/>
              </w:rPr>
            </w:pPr>
          </w:p>
        </w:tc>
        <w:tc>
          <w:tcPr>
            <w:tcW w:w="868" w:type="dxa"/>
            <w:gridSpan w:val="2"/>
            <w:tcBorders>
              <w:top w:val="single" w:sz="4" w:space="0" w:color="auto"/>
            </w:tcBorders>
            <w:vAlign w:val="bottom"/>
          </w:tcPr>
          <w:p w14:paraId="755561C1" w14:textId="77777777" w:rsidR="003733B6" w:rsidRPr="00D562F1" w:rsidRDefault="003733B6" w:rsidP="0040594E">
            <w:pPr>
              <w:pStyle w:val="Tablebody"/>
              <w:rPr>
                <w:sz w:val="24"/>
                <w:szCs w:val="24"/>
              </w:rPr>
            </w:pPr>
          </w:p>
        </w:tc>
        <w:tc>
          <w:tcPr>
            <w:tcW w:w="1169" w:type="dxa"/>
            <w:tcBorders>
              <w:top w:val="single" w:sz="4" w:space="0" w:color="auto"/>
            </w:tcBorders>
            <w:vAlign w:val="bottom"/>
          </w:tcPr>
          <w:p w14:paraId="67941D66" w14:textId="77777777" w:rsidR="003733B6" w:rsidRPr="00D562F1" w:rsidRDefault="003733B6" w:rsidP="0040594E">
            <w:pPr>
              <w:pStyle w:val="Tablebody"/>
              <w:rPr>
                <w:sz w:val="24"/>
                <w:szCs w:val="24"/>
              </w:rPr>
            </w:pPr>
          </w:p>
        </w:tc>
        <w:tc>
          <w:tcPr>
            <w:tcW w:w="1005" w:type="dxa"/>
            <w:tcBorders>
              <w:top w:val="single" w:sz="4" w:space="0" w:color="auto"/>
            </w:tcBorders>
            <w:vAlign w:val="bottom"/>
          </w:tcPr>
          <w:p w14:paraId="3838CEA9" w14:textId="77777777" w:rsidR="003733B6" w:rsidRPr="00D562F1" w:rsidRDefault="003733B6" w:rsidP="0040594E">
            <w:pPr>
              <w:pStyle w:val="Tablebody"/>
              <w:rPr>
                <w:sz w:val="24"/>
                <w:szCs w:val="24"/>
              </w:rPr>
            </w:pPr>
          </w:p>
        </w:tc>
      </w:tr>
      <w:tr w:rsidR="003733B6" w14:paraId="52252A89" w14:textId="77777777" w:rsidTr="00C96544">
        <w:trPr>
          <w:gridAfter w:val="2"/>
          <w:wAfter w:w="80" w:type="dxa"/>
        </w:trPr>
        <w:tc>
          <w:tcPr>
            <w:tcW w:w="3238" w:type="dxa"/>
            <w:gridSpan w:val="2"/>
            <w:vAlign w:val="bottom"/>
          </w:tcPr>
          <w:p w14:paraId="69B681F1" w14:textId="77777777" w:rsidR="003733B6" w:rsidRPr="00D562F1" w:rsidRDefault="003733B6" w:rsidP="00484C9D">
            <w:pPr>
              <w:pStyle w:val="Tablebodyindented"/>
              <w:ind w:left="350" w:firstLine="10"/>
              <w:rPr>
                <w:sz w:val="24"/>
                <w:szCs w:val="24"/>
              </w:rPr>
            </w:pPr>
            <w:r w:rsidRPr="00D562F1">
              <w:rPr>
                <w:sz w:val="24"/>
                <w:szCs w:val="24"/>
              </w:rPr>
              <w:t>Ever vs. Never</w:t>
            </w:r>
          </w:p>
        </w:tc>
        <w:tc>
          <w:tcPr>
            <w:tcW w:w="715" w:type="dxa"/>
            <w:gridSpan w:val="2"/>
            <w:vAlign w:val="bottom"/>
          </w:tcPr>
          <w:p w14:paraId="19A3DD3C" w14:textId="77777777" w:rsidR="003733B6" w:rsidRPr="00D562F1" w:rsidRDefault="003733B6" w:rsidP="0040594E">
            <w:pPr>
              <w:pStyle w:val="Tablebody"/>
              <w:rPr>
                <w:sz w:val="24"/>
                <w:szCs w:val="24"/>
              </w:rPr>
            </w:pPr>
            <w:r w:rsidRPr="00D562F1">
              <w:rPr>
                <w:sz w:val="24"/>
                <w:szCs w:val="24"/>
              </w:rPr>
              <w:t>8</w:t>
            </w:r>
          </w:p>
        </w:tc>
        <w:tc>
          <w:tcPr>
            <w:tcW w:w="879" w:type="dxa"/>
            <w:gridSpan w:val="2"/>
            <w:vAlign w:val="bottom"/>
          </w:tcPr>
          <w:p w14:paraId="3E6B02BD" w14:textId="77777777" w:rsidR="003733B6" w:rsidRPr="00D562F1" w:rsidRDefault="003733B6" w:rsidP="0040594E">
            <w:pPr>
              <w:pStyle w:val="Tablebody"/>
              <w:rPr>
                <w:sz w:val="24"/>
                <w:szCs w:val="24"/>
              </w:rPr>
            </w:pPr>
            <w:r w:rsidRPr="00D562F1">
              <w:rPr>
                <w:sz w:val="24"/>
                <w:szCs w:val="24"/>
              </w:rPr>
              <w:t>(50%)</w:t>
            </w:r>
          </w:p>
        </w:tc>
        <w:tc>
          <w:tcPr>
            <w:tcW w:w="715" w:type="dxa"/>
            <w:vAlign w:val="bottom"/>
          </w:tcPr>
          <w:p w14:paraId="2A54F27D" w14:textId="77777777" w:rsidR="003733B6" w:rsidRPr="00D562F1" w:rsidRDefault="003733B6" w:rsidP="0040594E">
            <w:pPr>
              <w:pStyle w:val="Tablebody"/>
              <w:rPr>
                <w:sz w:val="24"/>
                <w:szCs w:val="24"/>
              </w:rPr>
            </w:pPr>
            <w:r w:rsidRPr="00D562F1">
              <w:rPr>
                <w:sz w:val="24"/>
                <w:szCs w:val="24"/>
              </w:rPr>
              <w:t>24</w:t>
            </w:r>
          </w:p>
        </w:tc>
        <w:tc>
          <w:tcPr>
            <w:tcW w:w="879" w:type="dxa"/>
            <w:vAlign w:val="bottom"/>
          </w:tcPr>
          <w:p w14:paraId="17E7797C" w14:textId="77777777" w:rsidR="003733B6" w:rsidRPr="00D562F1" w:rsidRDefault="003733B6" w:rsidP="0040594E">
            <w:pPr>
              <w:pStyle w:val="Tablebody"/>
              <w:rPr>
                <w:sz w:val="24"/>
                <w:szCs w:val="24"/>
              </w:rPr>
            </w:pPr>
            <w:r w:rsidRPr="00D562F1">
              <w:rPr>
                <w:sz w:val="24"/>
                <w:szCs w:val="24"/>
              </w:rPr>
              <w:t>(42%)</w:t>
            </w:r>
          </w:p>
        </w:tc>
        <w:tc>
          <w:tcPr>
            <w:tcW w:w="868" w:type="dxa"/>
            <w:gridSpan w:val="2"/>
            <w:vAlign w:val="bottom"/>
          </w:tcPr>
          <w:p w14:paraId="262C35E2" w14:textId="77777777" w:rsidR="003733B6" w:rsidRPr="00D562F1" w:rsidRDefault="003733B6" w:rsidP="0040594E">
            <w:pPr>
              <w:pStyle w:val="Tablebody"/>
              <w:rPr>
                <w:sz w:val="24"/>
                <w:szCs w:val="24"/>
              </w:rPr>
            </w:pPr>
            <w:r w:rsidRPr="00D562F1">
              <w:rPr>
                <w:sz w:val="24"/>
                <w:szCs w:val="24"/>
              </w:rPr>
              <w:t>1.8</w:t>
            </w:r>
          </w:p>
        </w:tc>
        <w:tc>
          <w:tcPr>
            <w:tcW w:w="1169" w:type="dxa"/>
            <w:vAlign w:val="bottom"/>
          </w:tcPr>
          <w:p w14:paraId="091BDC8C" w14:textId="77777777" w:rsidR="003733B6" w:rsidRPr="00D562F1" w:rsidRDefault="003733B6" w:rsidP="0040594E">
            <w:pPr>
              <w:pStyle w:val="Tablebody"/>
              <w:rPr>
                <w:sz w:val="24"/>
                <w:szCs w:val="24"/>
              </w:rPr>
            </w:pPr>
            <w:r w:rsidRPr="00D562F1">
              <w:rPr>
                <w:sz w:val="24"/>
                <w:szCs w:val="24"/>
              </w:rPr>
              <w:t>0.5-6.2</w:t>
            </w:r>
          </w:p>
        </w:tc>
        <w:tc>
          <w:tcPr>
            <w:tcW w:w="1005" w:type="dxa"/>
            <w:vAlign w:val="bottom"/>
          </w:tcPr>
          <w:p w14:paraId="0CE8983E" w14:textId="77777777" w:rsidR="003733B6" w:rsidRPr="00D562F1" w:rsidRDefault="003733B6" w:rsidP="0040594E">
            <w:pPr>
              <w:pStyle w:val="Tablebody"/>
              <w:rPr>
                <w:sz w:val="24"/>
                <w:szCs w:val="24"/>
              </w:rPr>
            </w:pPr>
            <w:r w:rsidRPr="00D562F1">
              <w:rPr>
                <w:sz w:val="24"/>
                <w:szCs w:val="24"/>
              </w:rPr>
              <w:t>0.37</w:t>
            </w:r>
          </w:p>
        </w:tc>
      </w:tr>
      <w:tr w:rsidR="003733B6" w14:paraId="4948CE24" w14:textId="77777777" w:rsidTr="00C96544">
        <w:trPr>
          <w:gridAfter w:val="2"/>
          <w:wAfter w:w="80" w:type="dxa"/>
        </w:trPr>
        <w:tc>
          <w:tcPr>
            <w:tcW w:w="3238" w:type="dxa"/>
            <w:gridSpan w:val="2"/>
            <w:vAlign w:val="bottom"/>
          </w:tcPr>
          <w:p w14:paraId="76DDA375" w14:textId="77777777" w:rsidR="003733B6" w:rsidRPr="00D562F1" w:rsidRDefault="003733B6" w:rsidP="0040594E">
            <w:pPr>
              <w:pStyle w:val="Tablebody"/>
              <w:rPr>
                <w:sz w:val="24"/>
                <w:szCs w:val="24"/>
              </w:rPr>
            </w:pPr>
            <w:r w:rsidRPr="00D562F1">
              <w:rPr>
                <w:sz w:val="24"/>
                <w:szCs w:val="24"/>
              </w:rPr>
              <w:t>Crude TCE</w:t>
            </w:r>
          </w:p>
        </w:tc>
        <w:tc>
          <w:tcPr>
            <w:tcW w:w="715" w:type="dxa"/>
            <w:gridSpan w:val="2"/>
            <w:vAlign w:val="bottom"/>
          </w:tcPr>
          <w:p w14:paraId="2FD4A99B" w14:textId="77777777" w:rsidR="003733B6" w:rsidRPr="00D562F1" w:rsidRDefault="003733B6" w:rsidP="0040594E">
            <w:pPr>
              <w:pStyle w:val="Tablebody"/>
              <w:rPr>
                <w:sz w:val="24"/>
                <w:szCs w:val="24"/>
              </w:rPr>
            </w:pPr>
          </w:p>
        </w:tc>
        <w:tc>
          <w:tcPr>
            <w:tcW w:w="879" w:type="dxa"/>
            <w:gridSpan w:val="2"/>
            <w:vAlign w:val="bottom"/>
          </w:tcPr>
          <w:p w14:paraId="0C7B5A95" w14:textId="77777777" w:rsidR="003733B6" w:rsidRPr="00D562F1" w:rsidRDefault="003733B6" w:rsidP="0040594E">
            <w:pPr>
              <w:pStyle w:val="Tablebody"/>
              <w:rPr>
                <w:sz w:val="24"/>
                <w:szCs w:val="24"/>
              </w:rPr>
            </w:pPr>
          </w:p>
        </w:tc>
        <w:tc>
          <w:tcPr>
            <w:tcW w:w="715" w:type="dxa"/>
            <w:vAlign w:val="bottom"/>
          </w:tcPr>
          <w:p w14:paraId="734EAD3D" w14:textId="77777777" w:rsidR="003733B6" w:rsidRPr="00D562F1" w:rsidRDefault="003733B6" w:rsidP="0040594E">
            <w:pPr>
              <w:pStyle w:val="Tablebody"/>
              <w:rPr>
                <w:sz w:val="24"/>
                <w:szCs w:val="24"/>
              </w:rPr>
            </w:pPr>
          </w:p>
        </w:tc>
        <w:tc>
          <w:tcPr>
            <w:tcW w:w="879" w:type="dxa"/>
            <w:vAlign w:val="bottom"/>
          </w:tcPr>
          <w:p w14:paraId="2C58F652" w14:textId="77777777" w:rsidR="003733B6" w:rsidRPr="00D562F1" w:rsidRDefault="003733B6" w:rsidP="0040594E">
            <w:pPr>
              <w:pStyle w:val="Tablebody"/>
              <w:rPr>
                <w:sz w:val="24"/>
                <w:szCs w:val="24"/>
              </w:rPr>
            </w:pPr>
          </w:p>
        </w:tc>
        <w:tc>
          <w:tcPr>
            <w:tcW w:w="868" w:type="dxa"/>
            <w:gridSpan w:val="2"/>
            <w:vAlign w:val="bottom"/>
          </w:tcPr>
          <w:p w14:paraId="6BEE76B0" w14:textId="77777777" w:rsidR="003733B6" w:rsidRPr="00D562F1" w:rsidRDefault="003733B6" w:rsidP="0040594E">
            <w:pPr>
              <w:pStyle w:val="Tablebody"/>
              <w:rPr>
                <w:sz w:val="24"/>
                <w:szCs w:val="24"/>
              </w:rPr>
            </w:pPr>
          </w:p>
        </w:tc>
        <w:tc>
          <w:tcPr>
            <w:tcW w:w="1169" w:type="dxa"/>
            <w:vAlign w:val="bottom"/>
          </w:tcPr>
          <w:p w14:paraId="364C220B" w14:textId="77777777" w:rsidR="003733B6" w:rsidRPr="00D562F1" w:rsidRDefault="003733B6" w:rsidP="0040594E">
            <w:pPr>
              <w:pStyle w:val="Tablebody"/>
              <w:rPr>
                <w:sz w:val="24"/>
                <w:szCs w:val="24"/>
              </w:rPr>
            </w:pPr>
          </w:p>
        </w:tc>
        <w:tc>
          <w:tcPr>
            <w:tcW w:w="1005" w:type="dxa"/>
            <w:vAlign w:val="bottom"/>
          </w:tcPr>
          <w:p w14:paraId="21C2CD40" w14:textId="77777777" w:rsidR="003733B6" w:rsidRPr="00D562F1" w:rsidRDefault="003733B6" w:rsidP="0040594E">
            <w:pPr>
              <w:pStyle w:val="Tablebody"/>
              <w:rPr>
                <w:sz w:val="24"/>
                <w:szCs w:val="24"/>
              </w:rPr>
            </w:pPr>
          </w:p>
        </w:tc>
      </w:tr>
      <w:tr w:rsidR="003733B6" w14:paraId="41B25C94" w14:textId="77777777" w:rsidTr="00C96544">
        <w:trPr>
          <w:gridAfter w:val="2"/>
          <w:wAfter w:w="80" w:type="dxa"/>
        </w:trPr>
        <w:tc>
          <w:tcPr>
            <w:tcW w:w="3238" w:type="dxa"/>
            <w:gridSpan w:val="2"/>
            <w:vAlign w:val="bottom"/>
          </w:tcPr>
          <w:p w14:paraId="09191645" w14:textId="77777777" w:rsidR="003733B6" w:rsidRPr="00D562F1" w:rsidRDefault="003733B6" w:rsidP="00484C9D">
            <w:pPr>
              <w:pStyle w:val="Tablebodyindented"/>
              <w:ind w:left="350"/>
              <w:rPr>
                <w:sz w:val="24"/>
                <w:szCs w:val="24"/>
              </w:rPr>
            </w:pPr>
            <w:r w:rsidRPr="00D562F1">
              <w:rPr>
                <w:sz w:val="24"/>
                <w:szCs w:val="24"/>
              </w:rPr>
              <w:t>Ever vs. Never</w:t>
            </w:r>
          </w:p>
        </w:tc>
        <w:tc>
          <w:tcPr>
            <w:tcW w:w="715" w:type="dxa"/>
            <w:gridSpan w:val="2"/>
            <w:vAlign w:val="bottom"/>
          </w:tcPr>
          <w:p w14:paraId="22780AB8" w14:textId="77777777" w:rsidR="003733B6" w:rsidRPr="00D562F1" w:rsidRDefault="003733B6" w:rsidP="0040594E">
            <w:pPr>
              <w:pStyle w:val="Tablebody"/>
              <w:rPr>
                <w:sz w:val="24"/>
                <w:szCs w:val="24"/>
              </w:rPr>
            </w:pPr>
            <w:r w:rsidRPr="00D562F1">
              <w:rPr>
                <w:sz w:val="24"/>
                <w:szCs w:val="24"/>
              </w:rPr>
              <w:t>5</w:t>
            </w:r>
          </w:p>
        </w:tc>
        <w:tc>
          <w:tcPr>
            <w:tcW w:w="879" w:type="dxa"/>
            <w:gridSpan w:val="2"/>
            <w:vAlign w:val="bottom"/>
          </w:tcPr>
          <w:p w14:paraId="723FEA6A" w14:textId="77777777" w:rsidR="003733B6" w:rsidRPr="00D562F1" w:rsidRDefault="003733B6" w:rsidP="0040594E">
            <w:pPr>
              <w:pStyle w:val="Tablebody"/>
              <w:rPr>
                <w:sz w:val="24"/>
                <w:szCs w:val="24"/>
              </w:rPr>
            </w:pPr>
            <w:r w:rsidRPr="00D562F1">
              <w:rPr>
                <w:sz w:val="24"/>
                <w:szCs w:val="24"/>
              </w:rPr>
              <w:t>(31%)</w:t>
            </w:r>
          </w:p>
        </w:tc>
        <w:tc>
          <w:tcPr>
            <w:tcW w:w="715" w:type="dxa"/>
            <w:vAlign w:val="bottom"/>
          </w:tcPr>
          <w:p w14:paraId="1910DFD8" w14:textId="77777777" w:rsidR="003733B6" w:rsidRPr="00D562F1" w:rsidRDefault="003733B6" w:rsidP="0040594E">
            <w:pPr>
              <w:pStyle w:val="Tablebody"/>
              <w:rPr>
                <w:sz w:val="24"/>
                <w:szCs w:val="24"/>
              </w:rPr>
            </w:pPr>
            <w:r w:rsidRPr="00D562F1">
              <w:rPr>
                <w:sz w:val="24"/>
                <w:szCs w:val="24"/>
              </w:rPr>
              <w:t>14</w:t>
            </w:r>
          </w:p>
        </w:tc>
        <w:tc>
          <w:tcPr>
            <w:tcW w:w="879" w:type="dxa"/>
            <w:vAlign w:val="bottom"/>
          </w:tcPr>
          <w:p w14:paraId="37681432" w14:textId="77777777" w:rsidR="003733B6" w:rsidRPr="00D562F1" w:rsidRDefault="003733B6" w:rsidP="0040594E">
            <w:pPr>
              <w:pStyle w:val="Tablebody"/>
              <w:rPr>
                <w:sz w:val="24"/>
                <w:szCs w:val="24"/>
              </w:rPr>
            </w:pPr>
            <w:r w:rsidRPr="00D562F1">
              <w:rPr>
                <w:sz w:val="24"/>
                <w:szCs w:val="24"/>
              </w:rPr>
              <w:t>(25%)</w:t>
            </w:r>
          </w:p>
        </w:tc>
        <w:tc>
          <w:tcPr>
            <w:tcW w:w="868" w:type="dxa"/>
            <w:gridSpan w:val="2"/>
            <w:vAlign w:val="bottom"/>
          </w:tcPr>
          <w:p w14:paraId="2EDB9AE1" w14:textId="77777777" w:rsidR="003733B6" w:rsidRPr="00D562F1" w:rsidRDefault="003733B6" w:rsidP="0040594E">
            <w:pPr>
              <w:pStyle w:val="Tablebody"/>
              <w:rPr>
                <w:sz w:val="24"/>
                <w:szCs w:val="24"/>
              </w:rPr>
            </w:pPr>
            <w:r w:rsidRPr="00D562F1">
              <w:rPr>
                <w:sz w:val="24"/>
                <w:szCs w:val="24"/>
              </w:rPr>
              <w:t>2.3</w:t>
            </w:r>
          </w:p>
        </w:tc>
        <w:tc>
          <w:tcPr>
            <w:tcW w:w="1169" w:type="dxa"/>
            <w:vAlign w:val="bottom"/>
          </w:tcPr>
          <w:p w14:paraId="39D185FA" w14:textId="77777777" w:rsidR="003733B6" w:rsidRPr="00D562F1" w:rsidRDefault="003733B6" w:rsidP="0040594E">
            <w:pPr>
              <w:pStyle w:val="Tablebody"/>
              <w:rPr>
                <w:sz w:val="24"/>
                <w:szCs w:val="24"/>
              </w:rPr>
            </w:pPr>
            <w:r w:rsidRPr="00D562F1">
              <w:rPr>
                <w:sz w:val="24"/>
                <w:szCs w:val="24"/>
              </w:rPr>
              <w:t>0.5-12</w:t>
            </w:r>
          </w:p>
        </w:tc>
        <w:tc>
          <w:tcPr>
            <w:tcW w:w="1005" w:type="dxa"/>
            <w:vAlign w:val="bottom"/>
          </w:tcPr>
          <w:p w14:paraId="360D924D" w14:textId="77777777" w:rsidR="003733B6" w:rsidRPr="00D562F1" w:rsidRDefault="003733B6" w:rsidP="0040594E">
            <w:pPr>
              <w:pStyle w:val="Tablebody"/>
              <w:rPr>
                <w:sz w:val="24"/>
                <w:szCs w:val="24"/>
              </w:rPr>
            </w:pPr>
            <w:r w:rsidRPr="00D562F1">
              <w:rPr>
                <w:sz w:val="24"/>
                <w:szCs w:val="24"/>
              </w:rPr>
              <w:t>0.32</w:t>
            </w:r>
          </w:p>
        </w:tc>
      </w:tr>
      <w:tr w:rsidR="003733B6" w14:paraId="5AFC7E0C" w14:textId="77777777" w:rsidTr="00C96544">
        <w:trPr>
          <w:gridAfter w:val="2"/>
          <w:wAfter w:w="80" w:type="dxa"/>
        </w:trPr>
        <w:tc>
          <w:tcPr>
            <w:tcW w:w="3238" w:type="dxa"/>
            <w:gridSpan w:val="2"/>
            <w:vAlign w:val="bottom"/>
          </w:tcPr>
          <w:p w14:paraId="729673FA" w14:textId="77777777" w:rsidR="003733B6" w:rsidRPr="00D562F1" w:rsidRDefault="003733B6" w:rsidP="0040594E">
            <w:pPr>
              <w:pStyle w:val="Tablebody"/>
              <w:rPr>
                <w:sz w:val="24"/>
                <w:szCs w:val="24"/>
              </w:rPr>
            </w:pPr>
            <w:r w:rsidRPr="00D562F1">
              <w:rPr>
                <w:sz w:val="24"/>
                <w:szCs w:val="24"/>
              </w:rPr>
              <w:t>Multivariate</w:t>
            </w:r>
          </w:p>
        </w:tc>
        <w:tc>
          <w:tcPr>
            <w:tcW w:w="715" w:type="dxa"/>
            <w:gridSpan w:val="2"/>
            <w:vAlign w:val="bottom"/>
          </w:tcPr>
          <w:p w14:paraId="10EC3256" w14:textId="77777777" w:rsidR="003733B6" w:rsidRPr="00D562F1" w:rsidRDefault="003733B6" w:rsidP="0040594E">
            <w:pPr>
              <w:pStyle w:val="Tablebody"/>
              <w:rPr>
                <w:sz w:val="24"/>
                <w:szCs w:val="24"/>
              </w:rPr>
            </w:pPr>
          </w:p>
        </w:tc>
        <w:tc>
          <w:tcPr>
            <w:tcW w:w="879" w:type="dxa"/>
            <w:gridSpan w:val="2"/>
            <w:vAlign w:val="bottom"/>
          </w:tcPr>
          <w:p w14:paraId="5053D21A" w14:textId="77777777" w:rsidR="003733B6" w:rsidRPr="00D562F1" w:rsidRDefault="003733B6" w:rsidP="0040594E">
            <w:pPr>
              <w:pStyle w:val="Tablebody"/>
              <w:rPr>
                <w:sz w:val="24"/>
                <w:szCs w:val="24"/>
              </w:rPr>
            </w:pPr>
          </w:p>
        </w:tc>
        <w:tc>
          <w:tcPr>
            <w:tcW w:w="715" w:type="dxa"/>
            <w:vAlign w:val="bottom"/>
          </w:tcPr>
          <w:p w14:paraId="3AB00683" w14:textId="77777777" w:rsidR="003733B6" w:rsidRPr="00D562F1" w:rsidRDefault="003733B6" w:rsidP="0040594E">
            <w:pPr>
              <w:pStyle w:val="Tablebody"/>
              <w:rPr>
                <w:sz w:val="24"/>
                <w:szCs w:val="24"/>
              </w:rPr>
            </w:pPr>
          </w:p>
        </w:tc>
        <w:tc>
          <w:tcPr>
            <w:tcW w:w="879" w:type="dxa"/>
            <w:vAlign w:val="bottom"/>
          </w:tcPr>
          <w:p w14:paraId="0DF6ABFB" w14:textId="77777777" w:rsidR="003733B6" w:rsidRPr="00D562F1" w:rsidRDefault="003733B6" w:rsidP="0040594E">
            <w:pPr>
              <w:pStyle w:val="Tablebody"/>
              <w:rPr>
                <w:sz w:val="24"/>
                <w:szCs w:val="24"/>
              </w:rPr>
            </w:pPr>
          </w:p>
        </w:tc>
        <w:tc>
          <w:tcPr>
            <w:tcW w:w="868" w:type="dxa"/>
            <w:gridSpan w:val="2"/>
            <w:vAlign w:val="bottom"/>
          </w:tcPr>
          <w:p w14:paraId="4B306E3C" w14:textId="77777777" w:rsidR="003733B6" w:rsidRPr="00D562F1" w:rsidRDefault="003733B6" w:rsidP="0040594E">
            <w:pPr>
              <w:pStyle w:val="Tablebody"/>
              <w:rPr>
                <w:sz w:val="24"/>
                <w:szCs w:val="24"/>
              </w:rPr>
            </w:pPr>
          </w:p>
        </w:tc>
        <w:tc>
          <w:tcPr>
            <w:tcW w:w="1169" w:type="dxa"/>
            <w:vAlign w:val="bottom"/>
          </w:tcPr>
          <w:p w14:paraId="1C01DA87" w14:textId="77777777" w:rsidR="003733B6" w:rsidRPr="00D562F1" w:rsidRDefault="003733B6" w:rsidP="0040594E">
            <w:pPr>
              <w:pStyle w:val="Tablebody"/>
              <w:rPr>
                <w:sz w:val="24"/>
                <w:szCs w:val="24"/>
              </w:rPr>
            </w:pPr>
          </w:p>
        </w:tc>
        <w:tc>
          <w:tcPr>
            <w:tcW w:w="1005" w:type="dxa"/>
            <w:vAlign w:val="bottom"/>
          </w:tcPr>
          <w:p w14:paraId="0E2921A5" w14:textId="77777777" w:rsidR="003733B6" w:rsidRPr="00D562F1" w:rsidRDefault="003733B6" w:rsidP="0040594E">
            <w:pPr>
              <w:pStyle w:val="Tablebody"/>
              <w:rPr>
                <w:sz w:val="24"/>
                <w:szCs w:val="24"/>
              </w:rPr>
            </w:pPr>
          </w:p>
        </w:tc>
      </w:tr>
      <w:tr w:rsidR="003733B6" w14:paraId="635A177A" w14:textId="77777777" w:rsidTr="00C96544">
        <w:trPr>
          <w:gridAfter w:val="2"/>
          <w:wAfter w:w="80" w:type="dxa"/>
        </w:trPr>
        <w:tc>
          <w:tcPr>
            <w:tcW w:w="3238" w:type="dxa"/>
            <w:gridSpan w:val="2"/>
            <w:vAlign w:val="bottom"/>
          </w:tcPr>
          <w:p w14:paraId="237C7AA9" w14:textId="77777777" w:rsidR="003733B6" w:rsidRPr="00D562F1" w:rsidRDefault="003733B6" w:rsidP="00484C9D">
            <w:pPr>
              <w:pStyle w:val="Tablebodyindented"/>
              <w:ind w:left="350"/>
              <w:rPr>
                <w:sz w:val="24"/>
                <w:szCs w:val="24"/>
              </w:rPr>
            </w:pPr>
            <w:r w:rsidRPr="00D562F1">
              <w:rPr>
                <w:sz w:val="24"/>
                <w:szCs w:val="24"/>
              </w:rPr>
              <w:t>Ever NDMA vs. Never</w:t>
            </w:r>
          </w:p>
        </w:tc>
        <w:tc>
          <w:tcPr>
            <w:tcW w:w="715" w:type="dxa"/>
            <w:gridSpan w:val="2"/>
            <w:vAlign w:val="bottom"/>
          </w:tcPr>
          <w:p w14:paraId="797A793C" w14:textId="77777777" w:rsidR="003733B6" w:rsidRPr="00D562F1" w:rsidRDefault="003733B6" w:rsidP="0040594E">
            <w:pPr>
              <w:pStyle w:val="Tablebody"/>
              <w:rPr>
                <w:sz w:val="24"/>
                <w:szCs w:val="24"/>
              </w:rPr>
            </w:pPr>
            <w:r w:rsidRPr="00D562F1">
              <w:rPr>
                <w:sz w:val="24"/>
                <w:szCs w:val="24"/>
              </w:rPr>
              <w:t>8</w:t>
            </w:r>
          </w:p>
        </w:tc>
        <w:tc>
          <w:tcPr>
            <w:tcW w:w="879" w:type="dxa"/>
            <w:gridSpan w:val="2"/>
            <w:vAlign w:val="bottom"/>
          </w:tcPr>
          <w:p w14:paraId="6A89FCD0" w14:textId="77777777" w:rsidR="003733B6" w:rsidRPr="00D562F1" w:rsidRDefault="003733B6" w:rsidP="0040594E">
            <w:pPr>
              <w:pStyle w:val="Tablebody"/>
              <w:rPr>
                <w:sz w:val="24"/>
                <w:szCs w:val="24"/>
              </w:rPr>
            </w:pPr>
            <w:r w:rsidRPr="00D562F1">
              <w:rPr>
                <w:sz w:val="24"/>
                <w:szCs w:val="24"/>
              </w:rPr>
              <w:t>(50%)</w:t>
            </w:r>
          </w:p>
        </w:tc>
        <w:tc>
          <w:tcPr>
            <w:tcW w:w="715" w:type="dxa"/>
            <w:vAlign w:val="bottom"/>
          </w:tcPr>
          <w:p w14:paraId="4AB4A7BB" w14:textId="77777777" w:rsidR="003733B6" w:rsidRPr="00D562F1" w:rsidRDefault="003733B6" w:rsidP="0040594E">
            <w:pPr>
              <w:pStyle w:val="Tablebody"/>
              <w:rPr>
                <w:sz w:val="24"/>
                <w:szCs w:val="24"/>
              </w:rPr>
            </w:pPr>
            <w:r w:rsidRPr="00D562F1">
              <w:rPr>
                <w:sz w:val="24"/>
                <w:szCs w:val="24"/>
              </w:rPr>
              <w:t>24</w:t>
            </w:r>
          </w:p>
        </w:tc>
        <w:tc>
          <w:tcPr>
            <w:tcW w:w="879" w:type="dxa"/>
            <w:vAlign w:val="bottom"/>
          </w:tcPr>
          <w:p w14:paraId="0F93878E" w14:textId="77777777" w:rsidR="003733B6" w:rsidRPr="00D562F1" w:rsidRDefault="003733B6" w:rsidP="0040594E">
            <w:pPr>
              <w:pStyle w:val="Tablebody"/>
              <w:rPr>
                <w:sz w:val="24"/>
                <w:szCs w:val="24"/>
              </w:rPr>
            </w:pPr>
            <w:r w:rsidRPr="00D562F1">
              <w:rPr>
                <w:sz w:val="24"/>
                <w:szCs w:val="24"/>
              </w:rPr>
              <w:t>(42%)</w:t>
            </w:r>
          </w:p>
        </w:tc>
        <w:tc>
          <w:tcPr>
            <w:tcW w:w="868" w:type="dxa"/>
            <w:gridSpan w:val="2"/>
            <w:vAlign w:val="bottom"/>
          </w:tcPr>
          <w:p w14:paraId="29C4052A" w14:textId="77777777" w:rsidR="003733B6" w:rsidRPr="00D562F1" w:rsidRDefault="003733B6" w:rsidP="0040594E">
            <w:pPr>
              <w:pStyle w:val="Tablebody"/>
              <w:rPr>
                <w:sz w:val="24"/>
                <w:szCs w:val="24"/>
              </w:rPr>
            </w:pPr>
            <w:r w:rsidRPr="00D562F1">
              <w:rPr>
                <w:sz w:val="24"/>
                <w:szCs w:val="24"/>
              </w:rPr>
              <w:t>1.2</w:t>
            </w:r>
          </w:p>
        </w:tc>
        <w:tc>
          <w:tcPr>
            <w:tcW w:w="1169" w:type="dxa"/>
            <w:vAlign w:val="bottom"/>
          </w:tcPr>
          <w:p w14:paraId="6006E709" w14:textId="77777777" w:rsidR="003733B6" w:rsidRPr="00D562F1" w:rsidRDefault="003733B6" w:rsidP="0040594E">
            <w:pPr>
              <w:pStyle w:val="Tablebody"/>
              <w:rPr>
                <w:sz w:val="24"/>
                <w:szCs w:val="24"/>
              </w:rPr>
            </w:pPr>
            <w:r w:rsidRPr="00D562F1">
              <w:rPr>
                <w:sz w:val="24"/>
                <w:szCs w:val="24"/>
              </w:rPr>
              <w:t>0.2-8.7</w:t>
            </w:r>
          </w:p>
        </w:tc>
        <w:tc>
          <w:tcPr>
            <w:tcW w:w="1005" w:type="dxa"/>
            <w:vAlign w:val="bottom"/>
          </w:tcPr>
          <w:p w14:paraId="03DA28C1" w14:textId="77777777" w:rsidR="003733B6" w:rsidRPr="00D562F1" w:rsidRDefault="003733B6" w:rsidP="0040594E">
            <w:pPr>
              <w:pStyle w:val="Tablebody"/>
              <w:rPr>
                <w:sz w:val="24"/>
                <w:szCs w:val="24"/>
              </w:rPr>
            </w:pPr>
            <w:r w:rsidRPr="00D562F1">
              <w:rPr>
                <w:sz w:val="24"/>
                <w:szCs w:val="24"/>
              </w:rPr>
              <w:t>0.86</w:t>
            </w:r>
          </w:p>
        </w:tc>
      </w:tr>
      <w:tr w:rsidR="003733B6" w14:paraId="1EC99732" w14:textId="77777777" w:rsidTr="00C96544">
        <w:trPr>
          <w:gridAfter w:val="2"/>
          <w:wAfter w:w="80" w:type="dxa"/>
        </w:trPr>
        <w:tc>
          <w:tcPr>
            <w:tcW w:w="3238" w:type="dxa"/>
            <w:gridSpan w:val="2"/>
            <w:vAlign w:val="bottom"/>
          </w:tcPr>
          <w:p w14:paraId="12439956" w14:textId="77777777" w:rsidR="003733B6" w:rsidRPr="00D562F1" w:rsidRDefault="003733B6" w:rsidP="00484C9D">
            <w:pPr>
              <w:pStyle w:val="Tablebodyindented"/>
              <w:ind w:left="350"/>
              <w:rPr>
                <w:sz w:val="24"/>
                <w:szCs w:val="24"/>
              </w:rPr>
            </w:pPr>
            <w:r w:rsidRPr="00D562F1">
              <w:rPr>
                <w:sz w:val="24"/>
                <w:szCs w:val="24"/>
              </w:rPr>
              <w:t>Ever TCE vs. Never</w:t>
            </w:r>
          </w:p>
        </w:tc>
        <w:tc>
          <w:tcPr>
            <w:tcW w:w="715" w:type="dxa"/>
            <w:gridSpan w:val="2"/>
            <w:vAlign w:val="bottom"/>
          </w:tcPr>
          <w:p w14:paraId="465E2EF1" w14:textId="77777777" w:rsidR="003733B6" w:rsidRPr="00D562F1" w:rsidRDefault="003733B6" w:rsidP="0040594E">
            <w:pPr>
              <w:pStyle w:val="Tablebody"/>
              <w:rPr>
                <w:sz w:val="24"/>
                <w:szCs w:val="24"/>
              </w:rPr>
            </w:pPr>
            <w:r w:rsidRPr="00D562F1">
              <w:rPr>
                <w:sz w:val="24"/>
                <w:szCs w:val="24"/>
              </w:rPr>
              <w:t>5</w:t>
            </w:r>
          </w:p>
        </w:tc>
        <w:tc>
          <w:tcPr>
            <w:tcW w:w="879" w:type="dxa"/>
            <w:gridSpan w:val="2"/>
            <w:vAlign w:val="bottom"/>
          </w:tcPr>
          <w:p w14:paraId="263B9DF5" w14:textId="77777777" w:rsidR="003733B6" w:rsidRPr="00D562F1" w:rsidRDefault="003733B6" w:rsidP="0040594E">
            <w:pPr>
              <w:pStyle w:val="Tablebody"/>
              <w:rPr>
                <w:sz w:val="24"/>
                <w:szCs w:val="24"/>
              </w:rPr>
            </w:pPr>
            <w:r w:rsidRPr="00D562F1">
              <w:rPr>
                <w:sz w:val="24"/>
                <w:szCs w:val="24"/>
              </w:rPr>
              <w:t>(31%)</w:t>
            </w:r>
          </w:p>
        </w:tc>
        <w:tc>
          <w:tcPr>
            <w:tcW w:w="715" w:type="dxa"/>
            <w:vAlign w:val="bottom"/>
          </w:tcPr>
          <w:p w14:paraId="582781A4" w14:textId="77777777" w:rsidR="003733B6" w:rsidRPr="00D562F1" w:rsidRDefault="003733B6" w:rsidP="0040594E">
            <w:pPr>
              <w:pStyle w:val="Tablebody"/>
              <w:rPr>
                <w:sz w:val="24"/>
                <w:szCs w:val="24"/>
              </w:rPr>
            </w:pPr>
            <w:r w:rsidRPr="00D562F1">
              <w:rPr>
                <w:sz w:val="24"/>
                <w:szCs w:val="24"/>
              </w:rPr>
              <w:t>14</w:t>
            </w:r>
          </w:p>
        </w:tc>
        <w:tc>
          <w:tcPr>
            <w:tcW w:w="879" w:type="dxa"/>
            <w:vAlign w:val="bottom"/>
          </w:tcPr>
          <w:p w14:paraId="7EA54EE9" w14:textId="77777777" w:rsidR="003733B6" w:rsidRPr="00D562F1" w:rsidRDefault="003733B6" w:rsidP="0040594E">
            <w:pPr>
              <w:pStyle w:val="Tablebody"/>
              <w:rPr>
                <w:sz w:val="24"/>
                <w:szCs w:val="24"/>
              </w:rPr>
            </w:pPr>
            <w:r w:rsidRPr="00D562F1">
              <w:rPr>
                <w:sz w:val="24"/>
                <w:szCs w:val="24"/>
              </w:rPr>
              <w:t>(25%)</w:t>
            </w:r>
          </w:p>
        </w:tc>
        <w:tc>
          <w:tcPr>
            <w:tcW w:w="868" w:type="dxa"/>
            <w:gridSpan w:val="2"/>
            <w:vAlign w:val="bottom"/>
          </w:tcPr>
          <w:p w14:paraId="26D134C9" w14:textId="77777777" w:rsidR="003733B6" w:rsidRPr="00D562F1" w:rsidRDefault="003733B6" w:rsidP="0040594E">
            <w:pPr>
              <w:pStyle w:val="Tablebody"/>
              <w:rPr>
                <w:sz w:val="24"/>
                <w:szCs w:val="24"/>
              </w:rPr>
            </w:pPr>
            <w:r w:rsidRPr="00D562F1">
              <w:rPr>
                <w:sz w:val="24"/>
                <w:szCs w:val="24"/>
              </w:rPr>
              <w:t>1.9</w:t>
            </w:r>
          </w:p>
        </w:tc>
        <w:tc>
          <w:tcPr>
            <w:tcW w:w="1169" w:type="dxa"/>
            <w:vAlign w:val="bottom"/>
          </w:tcPr>
          <w:p w14:paraId="42E2CB53" w14:textId="77777777" w:rsidR="003733B6" w:rsidRPr="00D562F1" w:rsidRDefault="003733B6" w:rsidP="0040594E">
            <w:pPr>
              <w:pStyle w:val="Tablebody"/>
              <w:rPr>
                <w:sz w:val="24"/>
                <w:szCs w:val="24"/>
              </w:rPr>
            </w:pPr>
            <w:r w:rsidRPr="00D562F1">
              <w:rPr>
                <w:sz w:val="24"/>
                <w:szCs w:val="24"/>
              </w:rPr>
              <w:t>0.2-25</w:t>
            </w:r>
          </w:p>
        </w:tc>
        <w:tc>
          <w:tcPr>
            <w:tcW w:w="1005" w:type="dxa"/>
            <w:vAlign w:val="bottom"/>
          </w:tcPr>
          <w:p w14:paraId="119F13DC" w14:textId="77777777" w:rsidR="003733B6" w:rsidRPr="00D562F1" w:rsidRDefault="003733B6" w:rsidP="0040594E">
            <w:pPr>
              <w:pStyle w:val="Tablebody"/>
              <w:rPr>
                <w:sz w:val="24"/>
                <w:szCs w:val="24"/>
              </w:rPr>
            </w:pPr>
            <w:r w:rsidRPr="00D562F1">
              <w:rPr>
                <w:sz w:val="24"/>
                <w:szCs w:val="24"/>
              </w:rPr>
              <w:t>0.62</w:t>
            </w:r>
          </w:p>
        </w:tc>
      </w:tr>
      <w:tr w:rsidR="003733B6" w14:paraId="1CE245F7" w14:textId="77777777" w:rsidTr="00CE4655">
        <w:trPr>
          <w:gridAfter w:val="2"/>
          <w:wAfter w:w="80" w:type="dxa"/>
          <w:trHeight w:hRule="exact" w:val="288"/>
        </w:trPr>
        <w:tc>
          <w:tcPr>
            <w:tcW w:w="9468" w:type="dxa"/>
            <w:gridSpan w:val="12"/>
            <w:vAlign w:val="bottom"/>
          </w:tcPr>
          <w:p w14:paraId="36BA1C73" w14:textId="77777777" w:rsidR="003733B6" w:rsidRPr="00D562F1" w:rsidRDefault="003733B6" w:rsidP="0040594E">
            <w:pPr>
              <w:spacing w:line="240" w:lineRule="auto"/>
              <w:rPr>
                <w:rFonts w:asciiTheme="minorHAnsi" w:hAnsiTheme="minorHAnsi"/>
              </w:rPr>
            </w:pPr>
            <w:r w:rsidRPr="00D562F1">
              <w:rPr>
                <w:rFonts w:asciiTheme="minorHAnsi" w:hAnsiTheme="minorHAnsi"/>
              </w:rPr>
              <w:t>Dichotomous Combined Measure</w:t>
            </w:r>
          </w:p>
        </w:tc>
      </w:tr>
      <w:tr w:rsidR="003733B6" w14:paraId="75A48265" w14:textId="77777777" w:rsidTr="00C96544">
        <w:trPr>
          <w:gridAfter w:val="2"/>
          <w:wAfter w:w="80" w:type="dxa"/>
        </w:trPr>
        <w:tc>
          <w:tcPr>
            <w:tcW w:w="3238" w:type="dxa"/>
            <w:gridSpan w:val="2"/>
            <w:vAlign w:val="bottom"/>
          </w:tcPr>
          <w:p w14:paraId="2FA2D492" w14:textId="77777777" w:rsidR="003733B6" w:rsidRPr="00D562F1" w:rsidRDefault="003733B6" w:rsidP="00484C9D">
            <w:pPr>
              <w:pStyle w:val="Tablebody"/>
              <w:ind w:left="350"/>
              <w:rPr>
                <w:sz w:val="24"/>
                <w:szCs w:val="24"/>
              </w:rPr>
            </w:pPr>
            <w:r w:rsidRPr="00D562F1">
              <w:rPr>
                <w:sz w:val="24"/>
                <w:szCs w:val="24"/>
              </w:rPr>
              <w:t>No Exposure</w:t>
            </w:r>
          </w:p>
        </w:tc>
        <w:tc>
          <w:tcPr>
            <w:tcW w:w="715" w:type="dxa"/>
            <w:gridSpan w:val="2"/>
            <w:vAlign w:val="bottom"/>
          </w:tcPr>
          <w:p w14:paraId="14C1B597" w14:textId="77777777" w:rsidR="003733B6" w:rsidRPr="00D562F1" w:rsidRDefault="003733B6" w:rsidP="0040594E">
            <w:pPr>
              <w:pStyle w:val="Tablebody"/>
              <w:rPr>
                <w:sz w:val="24"/>
                <w:szCs w:val="24"/>
              </w:rPr>
            </w:pPr>
            <w:r w:rsidRPr="00D562F1">
              <w:rPr>
                <w:sz w:val="24"/>
                <w:szCs w:val="24"/>
              </w:rPr>
              <w:t>8</w:t>
            </w:r>
          </w:p>
        </w:tc>
        <w:tc>
          <w:tcPr>
            <w:tcW w:w="879" w:type="dxa"/>
            <w:gridSpan w:val="2"/>
            <w:vAlign w:val="bottom"/>
          </w:tcPr>
          <w:p w14:paraId="66601F72" w14:textId="77777777" w:rsidR="003733B6" w:rsidRPr="00D562F1" w:rsidRDefault="003733B6" w:rsidP="0040594E">
            <w:pPr>
              <w:pStyle w:val="Tablebody"/>
              <w:rPr>
                <w:sz w:val="24"/>
                <w:szCs w:val="24"/>
              </w:rPr>
            </w:pPr>
            <w:r w:rsidRPr="00D562F1">
              <w:rPr>
                <w:sz w:val="24"/>
                <w:szCs w:val="24"/>
              </w:rPr>
              <w:t>(50%)</w:t>
            </w:r>
          </w:p>
        </w:tc>
        <w:tc>
          <w:tcPr>
            <w:tcW w:w="715" w:type="dxa"/>
            <w:vAlign w:val="bottom"/>
          </w:tcPr>
          <w:p w14:paraId="10A33E18" w14:textId="77777777" w:rsidR="003733B6" w:rsidRPr="00D562F1" w:rsidRDefault="003733B6" w:rsidP="0040594E">
            <w:pPr>
              <w:pStyle w:val="Tablebody"/>
              <w:rPr>
                <w:sz w:val="24"/>
                <w:szCs w:val="24"/>
              </w:rPr>
            </w:pPr>
            <w:r w:rsidRPr="00D562F1">
              <w:rPr>
                <w:sz w:val="24"/>
                <w:szCs w:val="24"/>
              </w:rPr>
              <w:t>33</w:t>
            </w:r>
          </w:p>
        </w:tc>
        <w:tc>
          <w:tcPr>
            <w:tcW w:w="879" w:type="dxa"/>
            <w:vAlign w:val="bottom"/>
          </w:tcPr>
          <w:p w14:paraId="6191E4DA" w14:textId="77777777" w:rsidR="003733B6" w:rsidRPr="00D562F1" w:rsidRDefault="003733B6" w:rsidP="0040594E">
            <w:pPr>
              <w:pStyle w:val="Tablebody"/>
              <w:rPr>
                <w:sz w:val="24"/>
                <w:szCs w:val="24"/>
              </w:rPr>
            </w:pPr>
            <w:r w:rsidRPr="00D562F1">
              <w:rPr>
                <w:sz w:val="24"/>
                <w:szCs w:val="24"/>
              </w:rPr>
              <w:t>(58%)</w:t>
            </w:r>
          </w:p>
        </w:tc>
        <w:tc>
          <w:tcPr>
            <w:tcW w:w="868" w:type="dxa"/>
            <w:gridSpan w:val="2"/>
            <w:vAlign w:val="bottom"/>
          </w:tcPr>
          <w:p w14:paraId="350559A2" w14:textId="77777777" w:rsidR="003733B6" w:rsidRPr="00D562F1" w:rsidRDefault="003733B6" w:rsidP="0040594E">
            <w:pPr>
              <w:pStyle w:val="Tablebody"/>
              <w:rPr>
                <w:sz w:val="24"/>
                <w:szCs w:val="24"/>
              </w:rPr>
            </w:pPr>
            <w:r w:rsidRPr="00D562F1">
              <w:rPr>
                <w:sz w:val="24"/>
                <w:szCs w:val="24"/>
              </w:rPr>
              <w:t>1.0</w:t>
            </w:r>
          </w:p>
        </w:tc>
        <w:tc>
          <w:tcPr>
            <w:tcW w:w="1169" w:type="dxa"/>
            <w:vAlign w:val="bottom"/>
          </w:tcPr>
          <w:p w14:paraId="294C7EE9" w14:textId="77777777" w:rsidR="003733B6" w:rsidRPr="00D562F1" w:rsidRDefault="003733B6" w:rsidP="0040594E">
            <w:pPr>
              <w:pStyle w:val="Tablebody"/>
              <w:rPr>
                <w:sz w:val="24"/>
                <w:szCs w:val="24"/>
              </w:rPr>
            </w:pPr>
            <w:r w:rsidRPr="00D562F1">
              <w:rPr>
                <w:sz w:val="24"/>
                <w:szCs w:val="24"/>
              </w:rPr>
              <w:t>-ref-</w:t>
            </w:r>
          </w:p>
        </w:tc>
        <w:tc>
          <w:tcPr>
            <w:tcW w:w="1005" w:type="dxa"/>
            <w:vAlign w:val="bottom"/>
          </w:tcPr>
          <w:p w14:paraId="76AD6910" w14:textId="77777777" w:rsidR="003733B6" w:rsidRPr="00D562F1" w:rsidRDefault="003733B6" w:rsidP="0040594E">
            <w:pPr>
              <w:pStyle w:val="Tablebody"/>
              <w:rPr>
                <w:sz w:val="24"/>
                <w:szCs w:val="24"/>
              </w:rPr>
            </w:pPr>
          </w:p>
        </w:tc>
      </w:tr>
      <w:tr w:rsidR="003733B6" w14:paraId="28231F32" w14:textId="77777777" w:rsidTr="00C96544">
        <w:trPr>
          <w:gridBefore w:val="1"/>
          <w:gridAfter w:val="2"/>
          <w:wBefore w:w="90" w:type="dxa"/>
          <w:wAfter w:w="80" w:type="dxa"/>
        </w:trPr>
        <w:tc>
          <w:tcPr>
            <w:tcW w:w="3205" w:type="dxa"/>
            <w:gridSpan w:val="2"/>
            <w:vAlign w:val="bottom"/>
          </w:tcPr>
          <w:p w14:paraId="432B58FF" w14:textId="5F770985" w:rsidR="003733B6" w:rsidRPr="00D562F1" w:rsidRDefault="003733B6" w:rsidP="00484C9D">
            <w:pPr>
              <w:pStyle w:val="Tablebody"/>
              <w:ind w:left="249"/>
              <w:rPr>
                <w:sz w:val="24"/>
                <w:szCs w:val="24"/>
              </w:rPr>
            </w:pPr>
            <w:r w:rsidRPr="00D562F1">
              <w:rPr>
                <w:sz w:val="24"/>
                <w:szCs w:val="24"/>
              </w:rPr>
              <w:t xml:space="preserve">NDMA or </w:t>
            </w:r>
            <w:r w:rsidR="003C053D" w:rsidRPr="00D562F1">
              <w:rPr>
                <w:sz w:val="24"/>
                <w:szCs w:val="24"/>
              </w:rPr>
              <w:t xml:space="preserve">NDMA and </w:t>
            </w:r>
            <w:r w:rsidRPr="00D562F1">
              <w:rPr>
                <w:sz w:val="24"/>
                <w:szCs w:val="24"/>
              </w:rPr>
              <w:t>TCE</w:t>
            </w:r>
          </w:p>
        </w:tc>
        <w:tc>
          <w:tcPr>
            <w:tcW w:w="658" w:type="dxa"/>
            <w:vAlign w:val="bottom"/>
          </w:tcPr>
          <w:p w14:paraId="710215A9" w14:textId="4D28E133" w:rsidR="003733B6" w:rsidRPr="00D562F1" w:rsidRDefault="00FA43C1" w:rsidP="00484C9D">
            <w:pPr>
              <w:pStyle w:val="Tablebody"/>
              <w:ind w:left="-111" w:right="346"/>
              <w:rPr>
                <w:sz w:val="24"/>
                <w:szCs w:val="24"/>
              </w:rPr>
            </w:pPr>
            <w:r>
              <w:rPr>
                <w:sz w:val="24"/>
                <w:szCs w:val="24"/>
              </w:rPr>
              <w:t xml:space="preserve"> </w:t>
            </w:r>
            <w:r w:rsidR="003733B6" w:rsidRPr="00D562F1">
              <w:rPr>
                <w:sz w:val="24"/>
                <w:szCs w:val="24"/>
              </w:rPr>
              <w:t>8</w:t>
            </w:r>
          </w:p>
        </w:tc>
        <w:tc>
          <w:tcPr>
            <w:tcW w:w="879" w:type="dxa"/>
            <w:gridSpan w:val="2"/>
            <w:vAlign w:val="bottom"/>
          </w:tcPr>
          <w:p w14:paraId="7805EB3A" w14:textId="77777777" w:rsidR="003733B6" w:rsidRPr="00D562F1" w:rsidRDefault="003733B6" w:rsidP="00FA43C1">
            <w:pPr>
              <w:pStyle w:val="Tablebody"/>
              <w:rPr>
                <w:sz w:val="24"/>
                <w:szCs w:val="24"/>
              </w:rPr>
            </w:pPr>
            <w:r w:rsidRPr="00D562F1">
              <w:rPr>
                <w:sz w:val="24"/>
                <w:szCs w:val="24"/>
              </w:rPr>
              <w:t>(50%)</w:t>
            </w:r>
          </w:p>
        </w:tc>
        <w:tc>
          <w:tcPr>
            <w:tcW w:w="715" w:type="dxa"/>
            <w:vAlign w:val="bottom"/>
          </w:tcPr>
          <w:p w14:paraId="161E136C" w14:textId="77777777" w:rsidR="003733B6" w:rsidRPr="00D562F1" w:rsidRDefault="003733B6" w:rsidP="0040594E">
            <w:pPr>
              <w:pStyle w:val="Tablebody"/>
              <w:rPr>
                <w:sz w:val="24"/>
                <w:szCs w:val="24"/>
              </w:rPr>
            </w:pPr>
            <w:r w:rsidRPr="00D562F1">
              <w:rPr>
                <w:sz w:val="24"/>
                <w:szCs w:val="24"/>
              </w:rPr>
              <w:t>24</w:t>
            </w:r>
          </w:p>
        </w:tc>
        <w:tc>
          <w:tcPr>
            <w:tcW w:w="879" w:type="dxa"/>
            <w:vAlign w:val="bottom"/>
          </w:tcPr>
          <w:p w14:paraId="1ADBD9BF" w14:textId="77777777" w:rsidR="003733B6" w:rsidRPr="00D562F1" w:rsidRDefault="003733B6" w:rsidP="0040594E">
            <w:pPr>
              <w:pStyle w:val="Tablebody"/>
              <w:rPr>
                <w:sz w:val="24"/>
                <w:szCs w:val="24"/>
              </w:rPr>
            </w:pPr>
            <w:r w:rsidRPr="00D562F1">
              <w:rPr>
                <w:sz w:val="24"/>
                <w:szCs w:val="24"/>
              </w:rPr>
              <w:t>(42%)</w:t>
            </w:r>
          </w:p>
        </w:tc>
        <w:tc>
          <w:tcPr>
            <w:tcW w:w="868" w:type="dxa"/>
            <w:gridSpan w:val="2"/>
            <w:vAlign w:val="bottom"/>
          </w:tcPr>
          <w:p w14:paraId="7F3D411C" w14:textId="77777777" w:rsidR="003733B6" w:rsidRPr="00D562F1" w:rsidRDefault="003733B6" w:rsidP="0040594E">
            <w:pPr>
              <w:pStyle w:val="Tablebody"/>
              <w:rPr>
                <w:sz w:val="24"/>
                <w:szCs w:val="24"/>
              </w:rPr>
            </w:pPr>
            <w:r w:rsidRPr="00D562F1">
              <w:rPr>
                <w:sz w:val="24"/>
                <w:szCs w:val="24"/>
              </w:rPr>
              <w:t>1.8</w:t>
            </w:r>
          </w:p>
        </w:tc>
        <w:tc>
          <w:tcPr>
            <w:tcW w:w="1169" w:type="dxa"/>
            <w:vAlign w:val="bottom"/>
          </w:tcPr>
          <w:p w14:paraId="6BF7CF5F" w14:textId="77777777" w:rsidR="003733B6" w:rsidRPr="00D562F1" w:rsidRDefault="003733B6" w:rsidP="0040594E">
            <w:pPr>
              <w:pStyle w:val="Tablebody"/>
              <w:rPr>
                <w:sz w:val="24"/>
                <w:szCs w:val="24"/>
              </w:rPr>
            </w:pPr>
            <w:r w:rsidRPr="00D562F1">
              <w:rPr>
                <w:sz w:val="24"/>
                <w:szCs w:val="24"/>
              </w:rPr>
              <w:t>0.5-6.2</w:t>
            </w:r>
          </w:p>
        </w:tc>
        <w:tc>
          <w:tcPr>
            <w:tcW w:w="1005" w:type="dxa"/>
            <w:vAlign w:val="bottom"/>
          </w:tcPr>
          <w:p w14:paraId="1CDB67A0" w14:textId="77777777" w:rsidR="003733B6" w:rsidRPr="00D562F1" w:rsidRDefault="003733B6" w:rsidP="0040594E">
            <w:pPr>
              <w:pStyle w:val="Tablebody"/>
              <w:rPr>
                <w:sz w:val="24"/>
                <w:szCs w:val="24"/>
              </w:rPr>
            </w:pPr>
            <w:r w:rsidRPr="00D562F1">
              <w:rPr>
                <w:sz w:val="24"/>
                <w:szCs w:val="24"/>
              </w:rPr>
              <w:t>0.37</w:t>
            </w:r>
          </w:p>
        </w:tc>
      </w:tr>
      <w:tr w:rsidR="003733B6" w14:paraId="40FB8A01" w14:textId="77777777" w:rsidTr="00C96544">
        <w:trPr>
          <w:gridAfter w:val="2"/>
          <w:wAfter w:w="80" w:type="dxa"/>
        </w:trPr>
        <w:tc>
          <w:tcPr>
            <w:tcW w:w="3238" w:type="dxa"/>
            <w:gridSpan w:val="2"/>
            <w:vAlign w:val="bottom"/>
          </w:tcPr>
          <w:p w14:paraId="6670923C" w14:textId="77777777" w:rsidR="003733B6" w:rsidRPr="00D562F1" w:rsidRDefault="003733B6" w:rsidP="00CE4655">
            <w:pPr>
              <w:pStyle w:val="Tablebody"/>
              <w:ind w:right="-1164"/>
              <w:rPr>
                <w:sz w:val="24"/>
                <w:szCs w:val="24"/>
              </w:rPr>
            </w:pPr>
            <w:r w:rsidRPr="00D562F1">
              <w:rPr>
                <w:sz w:val="24"/>
                <w:szCs w:val="24"/>
              </w:rPr>
              <w:t>Three-level Combined Measure</w:t>
            </w:r>
          </w:p>
        </w:tc>
        <w:tc>
          <w:tcPr>
            <w:tcW w:w="715" w:type="dxa"/>
            <w:gridSpan w:val="2"/>
            <w:vAlign w:val="bottom"/>
          </w:tcPr>
          <w:p w14:paraId="07A6F62C" w14:textId="77777777" w:rsidR="003733B6" w:rsidRPr="00D562F1" w:rsidRDefault="003733B6" w:rsidP="0040594E">
            <w:pPr>
              <w:pStyle w:val="Tablebody"/>
              <w:rPr>
                <w:sz w:val="24"/>
                <w:szCs w:val="24"/>
              </w:rPr>
            </w:pPr>
          </w:p>
        </w:tc>
        <w:tc>
          <w:tcPr>
            <w:tcW w:w="879" w:type="dxa"/>
            <w:gridSpan w:val="2"/>
            <w:vAlign w:val="bottom"/>
          </w:tcPr>
          <w:p w14:paraId="2B3E9874" w14:textId="77777777" w:rsidR="003733B6" w:rsidRPr="00D562F1" w:rsidRDefault="003733B6" w:rsidP="0040594E">
            <w:pPr>
              <w:pStyle w:val="Tablebody"/>
              <w:rPr>
                <w:sz w:val="24"/>
                <w:szCs w:val="24"/>
              </w:rPr>
            </w:pPr>
          </w:p>
        </w:tc>
        <w:tc>
          <w:tcPr>
            <w:tcW w:w="715" w:type="dxa"/>
            <w:vAlign w:val="bottom"/>
          </w:tcPr>
          <w:p w14:paraId="1B6B62E6" w14:textId="77777777" w:rsidR="003733B6" w:rsidRPr="00D562F1" w:rsidRDefault="003733B6" w:rsidP="0040594E">
            <w:pPr>
              <w:pStyle w:val="Tablebody"/>
              <w:rPr>
                <w:sz w:val="24"/>
                <w:szCs w:val="24"/>
              </w:rPr>
            </w:pPr>
          </w:p>
        </w:tc>
        <w:tc>
          <w:tcPr>
            <w:tcW w:w="879" w:type="dxa"/>
            <w:vAlign w:val="bottom"/>
          </w:tcPr>
          <w:p w14:paraId="01BDD359" w14:textId="77777777" w:rsidR="003733B6" w:rsidRPr="00D562F1" w:rsidRDefault="003733B6" w:rsidP="0040594E">
            <w:pPr>
              <w:pStyle w:val="Tablebody"/>
              <w:rPr>
                <w:sz w:val="24"/>
                <w:szCs w:val="24"/>
              </w:rPr>
            </w:pPr>
          </w:p>
        </w:tc>
        <w:tc>
          <w:tcPr>
            <w:tcW w:w="868" w:type="dxa"/>
            <w:gridSpan w:val="2"/>
            <w:vAlign w:val="bottom"/>
          </w:tcPr>
          <w:p w14:paraId="6A619CE0" w14:textId="77777777" w:rsidR="003733B6" w:rsidRPr="00D562F1" w:rsidRDefault="003733B6" w:rsidP="0040594E">
            <w:pPr>
              <w:pStyle w:val="Tablebody"/>
              <w:rPr>
                <w:sz w:val="24"/>
                <w:szCs w:val="24"/>
              </w:rPr>
            </w:pPr>
          </w:p>
        </w:tc>
        <w:tc>
          <w:tcPr>
            <w:tcW w:w="1169" w:type="dxa"/>
            <w:vAlign w:val="bottom"/>
          </w:tcPr>
          <w:p w14:paraId="3DCC2946" w14:textId="77777777" w:rsidR="003733B6" w:rsidRPr="00D562F1" w:rsidRDefault="003733B6" w:rsidP="0040594E">
            <w:pPr>
              <w:pStyle w:val="Tablebody"/>
              <w:rPr>
                <w:sz w:val="24"/>
                <w:szCs w:val="24"/>
              </w:rPr>
            </w:pPr>
          </w:p>
        </w:tc>
        <w:tc>
          <w:tcPr>
            <w:tcW w:w="1005" w:type="dxa"/>
            <w:vAlign w:val="bottom"/>
          </w:tcPr>
          <w:p w14:paraId="5C58427D" w14:textId="77777777" w:rsidR="003733B6" w:rsidRPr="00D562F1" w:rsidRDefault="003733B6" w:rsidP="0040594E">
            <w:pPr>
              <w:pStyle w:val="Tablebody"/>
              <w:rPr>
                <w:sz w:val="24"/>
                <w:szCs w:val="24"/>
              </w:rPr>
            </w:pPr>
          </w:p>
        </w:tc>
      </w:tr>
      <w:tr w:rsidR="003733B6" w14:paraId="4FA75DA5" w14:textId="77777777" w:rsidTr="00C96544">
        <w:trPr>
          <w:gridAfter w:val="2"/>
          <w:wAfter w:w="80" w:type="dxa"/>
        </w:trPr>
        <w:tc>
          <w:tcPr>
            <w:tcW w:w="3238" w:type="dxa"/>
            <w:gridSpan w:val="2"/>
            <w:vAlign w:val="bottom"/>
          </w:tcPr>
          <w:p w14:paraId="0CEA24FA" w14:textId="77777777" w:rsidR="003733B6" w:rsidRPr="00D562F1" w:rsidRDefault="003733B6" w:rsidP="00FA43C1">
            <w:pPr>
              <w:pStyle w:val="Tablebodyindented"/>
              <w:ind w:left="440"/>
              <w:rPr>
                <w:sz w:val="24"/>
                <w:szCs w:val="24"/>
              </w:rPr>
            </w:pPr>
            <w:r w:rsidRPr="00D562F1">
              <w:rPr>
                <w:sz w:val="24"/>
                <w:szCs w:val="24"/>
              </w:rPr>
              <w:t>No Exposure</w:t>
            </w:r>
          </w:p>
        </w:tc>
        <w:tc>
          <w:tcPr>
            <w:tcW w:w="715" w:type="dxa"/>
            <w:gridSpan w:val="2"/>
            <w:vAlign w:val="bottom"/>
          </w:tcPr>
          <w:p w14:paraId="0D9951C8" w14:textId="77777777" w:rsidR="003733B6" w:rsidRPr="00D562F1" w:rsidRDefault="003733B6" w:rsidP="0040594E">
            <w:pPr>
              <w:pStyle w:val="Tablebody"/>
              <w:rPr>
                <w:sz w:val="24"/>
                <w:szCs w:val="24"/>
              </w:rPr>
            </w:pPr>
            <w:r w:rsidRPr="00D562F1">
              <w:rPr>
                <w:sz w:val="24"/>
                <w:szCs w:val="24"/>
              </w:rPr>
              <w:t>8</w:t>
            </w:r>
          </w:p>
        </w:tc>
        <w:tc>
          <w:tcPr>
            <w:tcW w:w="879" w:type="dxa"/>
            <w:gridSpan w:val="2"/>
            <w:vAlign w:val="bottom"/>
          </w:tcPr>
          <w:p w14:paraId="4DE319A8" w14:textId="77777777" w:rsidR="003733B6" w:rsidRPr="00D562F1" w:rsidRDefault="003733B6" w:rsidP="0040594E">
            <w:pPr>
              <w:pStyle w:val="Tablebody"/>
              <w:rPr>
                <w:sz w:val="24"/>
                <w:szCs w:val="24"/>
              </w:rPr>
            </w:pPr>
            <w:r w:rsidRPr="00D562F1">
              <w:rPr>
                <w:sz w:val="24"/>
                <w:szCs w:val="24"/>
              </w:rPr>
              <w:t>(50%)</w:t>
            </w:r>
          </w:p>
        </w:tc>
        <w:tc>
          <w:tcPr>
            <w:tcW w:w="715" w:type="dxa"/>
            <w:vAlign w:val="bottom"/>
          </w:tcPr>
          <w:p w14:paraId="1C5C1E1F" w14:textId="77777777" w:rsidR="003733B6" w:rsidRPr="00D562F1" w:rsidRDefault="003733B6" w:rsidP="0040594E">
            <w:pPr>
              <w:pStyle w:val="Tablebody"/>
              <w:rPr>
                <w:sz w:val="24"/>
                <w:szCs w:val="24"/>
              </w:rPr>
            </w:pPr>
            <w:r w:rsidRPr="00D562F1">
              <w:rPr>
                <w:sz w:val="24"/>
                <w:szCs w:val="24"/>
              </w:rPr>
              <w:t>33</w:t>
            </w:r>
          </w:p>
        </w:tc>
        <w:tc>
          <w:tcPr>
            <w:tcW w:w="879" w:type="dxa"/>
            <w:vAlign w:val="bottom"/>
          </w:tcPr>
          <w:p w14:paraId="14FC47CF" w14:textId="77777777" w:rsidR="003733B6" w:rsidRPr="00D562F1" w:rsidRDefault="003733B6" w:rsidP="0040594E">
            <w:pPr>
              <w:pStyle w:val="Tablebody"/>
              <w:rPr>
                <w:sz w:val="24"/>
                <w:szCs w:val="24"/>
              </w:rPr>
            </w:pPr>
            <w:r w:rsidRPr="00D562F1">
              <w:rPr>
                <w:sz w:val="24"/>
                <w:szCs w:val="24"/>
              </w:rPr>
              <w:t>(58%)</w:t>
            </w:r>
          </w:p>
        </w:tc>
        <w:tc>
          <w:tcPr>
            <w:tcW w:w="868" w:type="dxa"/>
            <w:gridSpan w:val="2"/>
            <w:vAlign w:val="bottom"/>
          </w:tcPr>
          <w:p w14:paraId="2D5B7AAF" w14:textId="77777777" w:rsidR="003733B6" w:rsidRPr="00D562F1" w:rsidRDefault="003733B6" w:rsidP="0040594E">
            <w:pPr>
              <w:pStyle w:val="Tablebody"/>
              <w:rPr>
                <w:sz w:val="24"/>
                <w:szCs w:val="24"/>
              </w:rPr>
            </w:pPr>
            <w:r w:rsidRPr="00D562F1">
              <w:rPr>
                <w:sz w:val="24"/>
                <w:szCs w:val="24"/>
              </w:rPr>
              <w:t>1.0</w:t>
            </w:r>
          </w:p>
        </w:tc>
        <w:tc>
          <w:tcPr>
            <w:tcW w:w="1169" w:type="dxa"/>
            <w:vAlign w:val="bottom"/>
          </w:tcPr>
          <w:p w14:paraId="297E650A" w14:textId="77777777" w:rsidR="003733B6" w:rsidRPr="00D562F1" w:rsidRDefault="003733B6" w:rsidP="0040594E">
            <w:pPr>
              <w:pStyle w:val="Tablebody"/>
              <w:rPr>
                <w:sz w:val="24"/>
                <w:szCs w:val="24"/>
              </w:rPr>
            </w:pPr>
            <w:r w:rsidRPr="00D562F1">
              <w:rPr>
                <w:sz w:val="24"/>
                <w:szCs w:val="24"/>
              </w:rPr>
              <w:t>-ref-</w:t>
            </w:r>
          </w:p>
        </w:tc>
        <w:tc>
          <w:tcPr>
            <w:tcW w:w="1005" w:type="dxa"/>
            <w:vAlign w:val="bottom"/>
          </w:tcPr>
          <w:p w14:paraId="70F705D3" w14:textId="77777777" w:rsidR="003733B6" w:rsidRPr="00D562F1" w:rsidRDefault="003733B6" w:rsidP="0040594E">
            <w:pPr>
              <w:pStyle w:val="Tablebody"/>
              <w:rPr>
                <w:sz w:val="24"/>
                <w:szCs w:val="24"/>
              </w:rPr>
            </w:pPr>
          </w:p>
        </w:tc>
      </w:tr>
      <w:tr w:rsidR="003733B6" w14:paraId="694FE315" w14:textId="77777777" w:rsidTr="00C96544">
        <w:trPr>
          <w:gridAfter w:val="2"/>
          <w:wAfter w:w="80" w:type="dxa"/>
        </w:trPr>
        <w:tc>
          <w:tcPr>
            <w:tcW w:w="3238" w:type="dxa"/>
            <w:gridSpan w:val="2"/>
            <w:vAlign w:val="bottom"/>
          </w:tcPr>
          <w:p w14:paraId="62C075A8" w14:textId="29EE0420" w:rsidR="003733B6" w:rsidRPr="00D562F1" w:rsidRDefault="003733B6" w:rsidP="00FA43C1">
            <w:pPr>
              <w:pStyle w:val="Tablebodyindented"/>
              <w:ind w:left="440"/>
              <w:rPr>
                <w:sz w:val="24"/>
                <w:szCs w:val="24"/>
              </w:rPr>
            </w:pPr>
            <w:r w:rsidRPr="00D562F1">
              <w:rPr>
                <w:sz w:val="24"/>
                <w:szCs w:val="24"/>
              </w:rPr>
              <w:t>NDMA alone</w:t>
            </w:r>
          </w:p>
        </w:tc>
        <w:tc>
          <w:tcPr>
            <w:tcW w:w="715" w:type="dxa"/>
            <w:gridSpan w:val="2"/>
            <w:vAlign w:val="bottom"/>
          </w:tcPr>
          <w:p w14:paraId="0C6E8B65" w14:textId="77777777" w:rsidR="003733B6" w:rsidRPr="00D562F1" w:rsidRDefault="003733B6" w:rsidP="0040594E">
            <w:pPr>
              <w:pStyle w:val="Tablebody"/>
              <w:rPr>
                <w:sz w:val="24"/>
                <w:szCs w:val="24"/>
              </w:rPr>
            </w:pPr>
            <w:r w:rsidRPr="00D562F1">
              <w:rPr>
                <w:sz w:val="24"/>
                <w:szCs w:val="24"/>
              </w:rPr>
              <w:t>3</w:t>
            </w:r>
          </w:p>
        </w:tc>
        <w:tc>
          <w:tcPr>
            <w:tcW w:w="879" w:type="dxa"/>
            <w:gridSpan w:val="2"/>
            <w:vAlign w:val="bottom"/>
          </w:tcPr>
          <w:p w14:paraId="07E6619C" w14:textId="77777777" w:rsidR="003733B6" w:rsidRPr="00D562F1" w:rsidRDefault="003733B6" w:rsidP="0040594E">
            <w:pPr>
              <w:pStyle w:val="Tablebody"/>
              <w:rPr>
                <w:sz w:val="24"/>
                <w:szCs w:val="24"/>
              </w:rPr>
            </w:pPr>
            <w:r w:rsidRPr="00D562F1">
              <w:rPr>
                <w:sz w:val="24"/>
                <w:szCs w:val="24"/>
              </w:rPr>
              <w:t>(19%)</w:t>
            </w:r>
          </w:p>
        </w:tc>
        <w:tc>
          <w:tcPr>
            <w:tcW w:w="715" w:type="dxa"/>
            <w:vAlign w:val="bottom"/>
          </w:tcPr>
          <w:p w14:paraId="2C3B4ED4" w14:textId="77777777" w:rsidR="003733B6" w:rsidRPr="00D562F1" w:rsidRDefault="003733B6" w:rsidP="0040594E">
            <w:pPr>
              <w:pStyle w:val="Tablebody"/>
              <w:rPr>
                <w:sz w:val="24"/>
                <w:szCs w:val="24"/>
              </w:rPr>
            </w:pPr>
            <w:r w:rsidRPr="00D562F1">
              <w:rPr>
                <w:sz w:val="24"/>
                <w:szCs w:val="24"/>
              </w:rPr>
              <w:t>10</w:t>
            </w:r>
          </w:p>
        </w:tc>
        <w:tc>
          <w:tcPr>
            <w:tcW w:w="879" w:type="dxa"/>
            <w:vAlign w:val="bottom"/>
          </w:tcPr>
          <w:p w14:paraId="7A4BD47B" w14:textId="77777777" w:rsidR="003733B6" w:rsidRPr="00D562F1" w:rsidRDefault="003733B6" w:rsidP="0040594E">
            <w:pPr>
              <w:pStyle w:val="Tablebody"/>
              <w:rPr>
                <w:sz w:val="24"/>
                <w:szCs w:val="24"/>
              </w:rPr>
            </w:pPr>
            <w:r w:rsidRPr="00D562F1">
              <w:rPr>
                <w:sz w:val="24"/>
                <w:szCs w:val="24"/>
              </w:rPr>
              <w:t>(18%)</w:t>
            </w:r>
          </w:p>
        </w:tc>
        <w:tc>
          <w:tcPr>
            <w:tcW w:w="868" w:type="dxa"/>
            <w:gridSpan w:val="2"/>
            <w:vAlign w:val="bottom"/>
          </w:tcPr>
          <w:p w14:paraId="4A237F19" w14:textId="77777777" w:rsidR="003733B6" w:rsidRPr="00D562F1" w:rsidRDefault="003733B6" w:rsidP="0040594E">
            <w:pPr>
              <w:pStyle w:val="Tablebody"/>
              <w:rPr>
                <w:sz w:val="24"/>
                <w:szCs w:val="24"/>
              </w:rPr>
            </w:pPr>
            <w:r w:rsidRPr="00D562F1">
              <w:rPr>
                <w:sz w:val="24"/>
                <w:szCs w:val="24"/>
              </w:rPr>
              <w:t>1.2</w:t>
            </w:r>
          </w:p>
        </w:tc>
        <w:tc>
          <w:tcPr>
            <w:tcW w:w="1169" w:type="dxa"/>
            <w:vAlign w:val="bottom"/>
          </w:tcPr>
          <w:p w14:paraId="4ECFCB0E" w14:textId="77777777" w:rsidR="003733B6" w:rsidRPr="00D562F1" w:rsidRDefault="003733B6" w:rsidP="0040594E">
            <w:pPr>
              <w:pStyle w:val="Tablebody"/>
              <w:rPr>
                <w:sz w:val="24"/>
                <w:szCs w:val="24"/>
              </w:rPr>
            </w:pPr>
            <w:r w:rsidRPr="00D562F1">
              <w:rPr>
                <w:sz w:val="24"/>
                <w:szCs w:val="24"/>
              </w:rPr>
              <w:t>0.2-8.7</w:t>
            </w:r>
          </w:p>
        </w:tc>
        <w:tc>
          <w:tcPr>
            <w:tcW w:w="1005" w:type="dxa"/>
            <w:vAlign w:val="bottom"/>
          </w:tcPr>
          <w:p w14:paraId="14ADC449" w14:textId="77777777" w:rsidR="003733B6" w:rsidRPr="00D562F1" w:rsidRDefault="003733B6" w:rsidP="0040594E">
            <w:pPr>
              <w:pStyle w:val="Tablebody"/>
              <w:rPr>
                <w:sz w:val="24"/>
                <w:szCs w:val="24"/>
              </w:rPr>
            </w:pPr>
            <w:r w:rsidRPr="00D562F1">
              <w:rPr>
                <w:sz w:val="24"/>
                <w:szCs w:val="24"/>
              </w:rPr>
              <w:t>0.86</w:t>
            </w:r>
          </w:p>
        </w:tc>
      </w:tr>
      <w:tr w:rsidR="003733B6" w14:paraId="4BA16A8C" w14:textId="77777777" w:rsidTr="00C96544">
        <w:trPr>
          <w:gridAfter w:val="2"/>
          <w:wAfter w:w="80" w:type="dxa"/>
        </w:trPr>
        <w:tc>
          <w:tcPr>
            <w:tcW w:w="3238" w:type="dxa"/>
            <w:gridSpan w:val="2"/>
            <w:vAlign w:val="bottom"/>
          </w:tcPr>
          <w:p w14:paraId="38C7902B" w14:textId="77777777" w:rsidR="003733B6" w:rsidRPr="00D562F1" w:rsidRDefault="003733B6" w:rsidP="00FA43C1">
            <w:pPr>
              <w:pStyle w:val="Tablebodyindented"/>
              <w:ind w:left="440"/>
              <w:rPr>
                <w:sz w:val="24"/>
                <w:szCs w:val="24"/>
              </w:rPr>
            </w:pPr>
            <w:r w:rsidRPr="00D562F1">
              <w:rPr>
                <w:sz w:val="24"/>
                <w:szCs w:val="24"/>
              </w:rPr>
              <w:t>NDMA and TCE</w:t>
            </w:r>
          </w:p>
        </w:tc>
        <w:tc>
          <w:tcPr>
            <w:tcW w:w="715" w:type="dxa"/>
            <w:gridSpan w:val="2"/>
            <w:vAlign w:val="bottom"/>
          </w:tcPr>
          <w:p w14:paraId="5AF29EE8" w14:textId="77777777" w:rsidR="003733B6" w:rsidRPr="00D562F1" w:rsidRDefault="003733B6" w:rsidP="0040594E">
            <w:pPr>
              <w:pStyle w:val="Tablebody"/>
              <w:rPr>
                <w:sz w:val="24"/>
                <w:szCs w:val="24"/>
              </w:rPr>
            </w:pPr>
            <w:r w:rsidRPr="00D562F1">
              <w:rPr>
                <w:sz w:val="24"/>
                <w:szCs w:val="24"/>
              </w:rPr>
              <w:t>5</w:t>
            </w:r>
          </w:p>
        </w:tc>
        <w:tc>
          <w:tcPr>
            <w:tcW w:w="879" w:type="dxa"/>
            <w:gridSpan w:val="2"/>
            <w:vAlign w:val="bottom"/>
          </w:tcPr>
          <w:p w14:paraId="28C70997" w14:textId="77777777" w:rsidR="003733B6" w:rsidRPr="00D562F1" w:rsidRDefault="003733B6" w:rsidP="0040594E">
            <w:pPr>
              <w:pStyle w:val="Tablebody"/>
              <w:rPr>
                <w:sz w:val="24"/>
                <w:szCs w:val="24"/>
              </w:rPr>
            </w:pPr>
            <w:r w:rsidRPr="00D562F1">
              <w:rPr>
                <w:sz w:val="24"/>
                <w:szCs w:val="24"/>
              </w:rPr>
              <w:t>(31%)</w:t>
            </w:r>
          </w:p>
        </w:tc>
        <w:tc>
          <w:tcPr>
            <w:tcW w:w="715" w:type="dxa"/>
            <w:vAlign w:val="bottom"/>
          </w:tcPr>
          <w:p w14:paraId="76C7C17D" w14:textId="77777777" w:rsidR="003733B6" w:rsidRPr="00D562F1" w:rsidRDefault="003733B6" w:rsidP="0040594E">
            <w:pPr>
              <w:pStyle w:val="Tablebody"/>
              <w:rPr>
                <w:sz w:val="24"/>
                <w:szCs w:val="24"/>
              </w:rPr>
            </w:pPr>
            <w:r w:rsidRPr="00D562F1">
              <w:rPr>
                <w:sz w:val="24"/>
                <w:szCs w:val="24"/>
              </w:rPr>
              <w:t>14</w:t>
            </w:r>
          </w:p>
        </w:tc>
        <w:tc>
          <w:tcPr>
            <w:tcW w:w="879" w:type="dxa"/>
            <w:vAlign w:val="bottom"/>
          </w:tcPr>
          <w:p w14:paraId="6856DE3B" w14:textId="77777777" w:rsidR="003733B6" w:rsidRPr="00D562F1" w:rsidRDefault="003733B6" w:rsidP="0040594E">
            <w:pPr>
              <w:pStyle w:val="Tablebody"/>
              <w:rPr>
                <w:sz w:val="24"/>
                <w:szCs w:val="24"/>
              </w:rPr>
            </w:pPr>
            <w:r w:rsidRPr="00D562F1">
              <w:rPr>
                <w:sz w:val="24"/>
                <w:szCs w:val="24"/>
              </w:rPr>
              <w:t>(25%)</w:t>
            </w:r>
          </w:p>
        </w:tc>
        <w:tc>
          <w:tcPr>
            <w:tcW w:w="868" w:type="dxa"/>
            <w:gridSpan w:val="2"/>
            <w:vAlign w:val="bottom"/>
          </w:tcPr>
          <w:p w14:paraId="67986701" w14:textId="77777777" w:rsidR="003733B6" w:rsidRPr="00D562F1" w:rsidRDefault="003733B6" w:rsidP="0040594E">
            <w:pPr>
              <w:pStyle w:val="Tablebody"/>
              <w:rPr>
                <w:sz w:val="24"/>
                <w:szCs w:val="24"/>
              </w:rPr>
            </w:pPr>
            <w:r w:rsidRPr="00D562F1">
              <w:rPr>
                <w:sz w:val="24"/>
                <w:szCs w:val="24"/>
              </w:rPr>
              <w:t>2.3</w:t>
            </w:r>
          </w:p>
        </w:tc>
        <w:tc>
          <w:tcPr>
            <w:tcW w:w="1169" w:type="dxa"/>
            <w:vAlign w:val="bottom"/>
          </w:tcPr>
          <w:p w14:paraId="5CB48EF1" w14:textId="77777777" w:rsidR="003733B6" w:rsidRPr="00D562F1" w:rsidRDefault="003733B6" w:rsidP="0040594E">
            <w:pPr>
              <w:pStyle w:val="Tablebody"/>
              <w:rPr>
                <w:sz w:val="24"/>
                <w:szCs w:val="24"/>
              </w:rPr>
            </w:pPr>
            <w:r w:rsidRPr="00D562F1">
              <w:rPr>
                <w:sz w:val="24"/>
                <w:szCs w:val="24"/>
              </w:rPr>
              <w:t>0.5-12</w:t>
            </w:r>
          </w:p>
        </w:tc>
        <w:tc>
          <w:tcPr>
            <w:tcW w:w="1005" w:type="dxa"/>
            <w:vAlign w:val="bottom"/>
          </w:tcPr>
          <w:p w14:paraId="15DC9DE0" w14:textId="77777777" w:rsidR="003733B6" w:rsidRPr="00D562F1" w:rsidRDefault="003733B6" w:rsidP="0040594E">
            <w:pPr>
              <w:pStyle w:val="Tablebody"/>
              <w:rPr>
                <w:sz w:val="24"/>
                <w:szCs w:val="24"/>
              </w:rPr>
            </w:pPr>
            <w:r w:rsidRPr="00D562F1">
              <w:rPr>
                <w:sz w:val="24"/>
                <w:szCs w:val="24"/>
              </w:rPr>
              <w:t>0.32</w:t>
            </w:r>
          </w:p>
        </w:tc>
      </w:tr>
      <w:tr w:rsidR="003733B6" w:rsidRPr="00FA43C1" w14:paraId="78A58BD6" w14:textId="77777777" w:rsidTr="00C96544">
        <w:trPr>
          <w:gridAfter w:val="2"/>
          <w:wAfter w:w="80" w:type="dxa"/>
          <w:trHeight w:val="675"/>
        </w:trPr>
        <w:tc>
          <w:tcPr>
            <w:tcW w:w="3238" w:type="dxa"/>
            <w:gridSpan w:val="2"/>
            <w:vAlign w:val="bottom"/>
          </w:tcPr>
          <w:p w14:paraId="0A816457" w14:textId="77777777" w:rsidR="003733B6" w:rsidRPr="00423581" w:rsidRDefault="003733B6" w:rsidP="0040594E">
            <w:pPr>
              <w:pStyle w:val="Tablebody"/>
              <w:rPr>
                <w:b/>
                <w:bCs/>
                <w:sz w:val="24"/>
                <w:szCs w:val="24"/>
              </w:rPr>
            </w:pPr>
            <w:r w:rsidRPr="00423581">
              <w:rPr>
                <w:b/>
                <w:bCs/>
                <w:sz w:val="24"/>
                <w:szCs w:val="24"/>
              </w:rPr>
              <w:t>Leukemia/Lymphoma</w:t>
            </w:r>
          </w:p>
        </w:tc>
        <w:tc>
          <w:tcPr>
            <w:tcW w:w="1532" w:type="dxa"/>
            <w:gridSpan w:val="3"/>
            <w:vAlign w:val="bottom"/>
          </w:tcPr>
          <w:p w14:paraId="20F30B2A" w14:textId="52732F26" w:rsidR="003733B6" w:rsidRPr="00FA43C1" w:rsidRDefault="003733B6" w:rsidP="0040594E">
            <w:pPr>
              <w:pStyle w:val="Tablebody"/>
              <w:rPr>
                <w:b/>
                <w:bCs/>
                <w:sz w:val="24"/>
                <w:szCs w:val="24"/>
              </w:rPr>
            </w:pPr>
            <w:r w:rsidRPr="00FA43C1">
              <w:rPr>
                <w:b/>
                <w:bCs/>
                <w:sz w:val="24"/>
                <w:szCs w:val="24"/>
              </w:rPr>
              <w:t>Cases   (n=10)</w:t>
            </w:r>
          </w:p>
        </w:tc>
        <w:tc>
          <w:tcPr>
            <w:tcW w:w="1800" w:type="dxa"/>
            <w:gridSpan w:val="4"/>
            <w:vAlign w:val="bottom"/>
          </w:tcPr>
          <w:p w14:paraId="27000E85" w14:textId="77777777" w:rsidR="003733B6" w:rsidRPr="00FA43C1" w:rsidRDefault="003733B6" w:rsidP="0040594E">
            <w:pPr>
              <w:pStyle w:val="Tablebody"/>
              <w:rPr>
                <w:b/>
                <w:bCs/>
                <w:sz w:val="24"/>
                <w:szCs w:val="24"/>
              </w:rPr>
            </w:pPr>
            <w:r w:rsidRPr="00FA43C1">
              <w:rPr>
                <w:b/>
                <w:bCs/>
                <w:sz w:val="24"/>
                <w:szCs w:val="24"/>
              </w:rPr>
              <w:t>Controls (n=39)</w:t>
            </w:r>
          </w:p>
        </w:tc>
        <w:tc>
          <w:tcPr>
            <w:tcW w:w="724" w:type="dxa"/>
            <w:vAlign w:val="bottom"/>
          </w:tcPr>
          <w:p w14:paraId="4839CA00" w14:textId="77777777" w:rsidR="003733B6" w:rsidRPr="00FA43C1" w:rsidRDefault="003733B6" w:rsidP="0040594E">
            <w:pPr>
              <w:pStyle w:val="Tablebody"/>
              <w:rPr>
                <w:b/>
                <w:bCs/>
                <w:sz w:val="24"/>
                <w:szCs w:val="24"/>
              </w:rPr>
            </w:pPr>
          </w:p>
        </w:tc>
        <w:tc>
          <w:tcPr>
            <w:tcW w:w="1169" w:type="dxa"/>
            <w:vAlign w:val="bottom"/>
          </w:tcPr>
          <w:p w14:paraId="6C0738FD" w14:textId="77777777" w:rsidR="003733B6" w:rsidRPr="00FA43C1" w:rsidRDefault="003733B6" w:rsidP="0040594E">
            <w:pPr>
              <w:pStyle w:val="Tablebody"/>
              <w:rPr>
                <w:b/>
                <w:bCs/>
                <w:sz w:val="24"/>
                <w:szCs w:val="24"/>
              </w:rPr>
            </w:pPr>
          </w:p>
        </w:tc>
        <w:tc>
          <w:tcPr>
            <w:tcW w:w="1005" w:type="dxa"/>
            <w:vAlign w:val="bottom"/>
          </w:tcPr>
          <w:p w14:paraId="6C223DB0" w14:textId="77777777" w:rsidR="003733B6" w:rsidRPr="00FA43C1" w:rsidRDefault="003733B6" w:rsidP="0040594E">
            <w:pPr>
              <w:pStyle w:val="Tablebody"/>
              <w:rPr>
                <w:b/>
                <w:bCs/>
                <w:sz w:val="24"/>
                <w:szCs w:val="24"/>
              </w:rPr>
            </w:pPr>
          </w:p>
        </w:tc>
      </w:tr>
      <w:tr w:rsidR="003733B6" w14:paraId="64E33B5D" w14:textId="77777777" w:rsidTr="00C96544">
        <w:trPr>
          <w:trHeight w:hRule="exact" w:val="288"/>
        </w:trPr>
        <w:tc>
          <w:tcPr>
            <w:tcW w:w="3238" w:type="dxa"/>
            <w:gridSpan w:val="2"/>
            <w:vAlign w:val="bottom"/>
          </w:tcPr>
          <w:p w14:paraId="01F2772C" w14:textId="77777777" w:rsidR="003733B6" w:rsidRPr="00D562F1" w:rsidRDefault="003733B6" w:rsidP="0040594E">
            <w:pPr>
              <w:pStyle w:val="Tablebody"/>
              <w:rPr>
                <w:sz w:val="24"/>
                <w:szCs w:val="24"/>
              </w:rPr>
            </w:pPr>
          </w:p>
        </w:tc>
        <w:tc>
          <w:tcPr>
            <w:tcW w:w="715" w:type="dxa"/>
            <w:gridSpan w:val="2"/>
            <w:tcBorders>
              <w:bottom w:val="single" w:sz="4" w:space="0" w:color="auto"/>
            </w:tcBorders>
            <w:vAlign w:val="bottom"/>
          </w:tcPr>
          <w:p w14:paraId="4DD29226" w14:textId="77777777" w:rsidR="003733B6" w:rsidRPr="00FA43C1" w:rsidRDefault="003733B6" w:rsidP="0040594E">
            <w:pPr>
              <w:pStyle w:val="Tablebody"/>
              <w:rPr>
                <w:b/>
                <w:bCs/>
                <w:sz w:val="24"/>
                <w:szCs w:val="24"/>
              </w:rPr>
            </w:pPr>
            <w:r w:rsidRPr="00FA43C1">
              <w:rPr>
                <w:b/>
                <w:bCs/>
                <w:sz w:val="24"/>
                <w:szCs w:val="24"/>
              </w:rPr>
              <w:t>n</w:t>
            </w:r>
          </w:p>
        </w:tc>
        <w:tc>
          <w:tcPr>
            <w:tcW w:w="879" w:type="dxa"/>
            <w:gridSpan w:val="2"/>
            <w:tcBorders>
              <w:bottom w:val="single" w:sz="4" w:space="0" w:color="auto"/>
            </w:tcBorders>
            <w:vAlign w:val="bottom"/>
          </w:tcPr>
          <w:p w14:paraId="223D9A5E" w14:textId="77777777" w:rsidR="003733B6" w:rsidRPr="00FA43C1" w:rsidRDefault="003733B6" w:rsidP="0040594E">
            <w:pPr>
              <w:pStyle w:val="Tablebody"/>
              <w:rPr>
                <w:b/>
                <w:bCs/>
                <w:sz w:val="24"/>
                <w:szCs w:val="24"/>
              </w:rPr>
            </w:pPr>
            <w:r w:rsidRPr="00FA43C1">
              <w:rPr>
                <w:b/>
                <w:bCs/>
                <w:sz w:val="24"/>
                <w:szCs w:val="24"/>
              </w:rPr>
              <w:t>(%)</w:t>
            </w:r>
          </w:p>
        </w:tc>
        <w:tc>
          <w:tcPr>
            <w:tcW w:w="715" w:type="dxa"/>
            <w:tcBorders>
              <w:bottom w:val="single" w:sz="4" w:space="0" w:color="auto"/>
            </w:tcBorders>
            <w:vAlign w:val="bottom"/>
          </w:tcPr>
          <w:p w14:paraId="3057DB78" w14:textId="77777777" w:rsidR="003733B6" w:rsidRPr="00FA43C1" w:rsidRDefault="003733B6" w:rsidP="0040594E">
            <w:pPr>
              <w:pStyle w:val="Tablebody"/>
              <w:rPr>
                <w:b/>
                <w:bCs/>
                <w:sz w:val="24"/>
                <w:szCs w:val="24"/>
              </w:rPr>
            </w:pPr>
            <w:r w:rsidRPr="00FA43C1">
              <w:rPr>
                <w:b/>
                <w:bCs/>
                <w:sz w:val="24"/>
                <w:szCs w:val="24"/>
              </w:rPr>
              <w:t>n</w:t>
            </w:r>
          </w:p>
        </w:tc>
        <w:tc>
          <w:tcPr>
            <w:tcW w:w="879" w:type="dxa"/>
            <w:tcBorders>
              <w:bottom w:val="single" w:sz="4" w:space="0" w:color="auto"/>
            </w:tcBorders>
            <w:vAlign w:val="bottom"/>
          </w:tcPr>
          <w:p w14:paraId="358B63D6" w14:textId="77777777" w:rsidR="003733B6" w:rsidRPr="00FA43C1" w:rsidRDefault="003733B6" w:rsidP="0040594E">
            <w:pPr>
              <w:pStyle w:val="Tablebody"/>
              <w:rPr>
                <w:b/>
                <w:bCs/>
                <w:sz w:val="24"/>
                <w:szCs w:val="24"/>
              </w:rPr>
            </w:pPr>
            <w:r w:rsidRPr="00FA43C1">
              <w:rPr>
                <w:b/>
                <w:bCs/>
                <w:sz w:val="24"/>
                <w:szCs w:val="24"/>
              </w:rPr>
              <w:t>(%)</w:t>
            </w:r>
          </w:p>
        </w:tc>
        <w:tc>
          <w:tcPr>
            <w:tcW w:w="868" w:type="dxa"/>
            <w:gridSpan w:val="2"/>
            <w:tcBorders>
              <w:bottom w:val="single" w:sz="4" w:space="0" w:color="auto"/>
            </w:tcBorders>
            <w:vAlign w:val="bottom"/>
          </w:tcPr>
          <w:p w14:paraId="3F81C908" w14:textId="77777777" w:rsidR="003733B6" w:rsidRPr="00FA43C1" w:rsidRDefault="003733B6" w:rsidP="0040594E">
            <w:pPr>
              <w:pStyle w:val="Tablebody"/>
              <w:rPr>
                <w:b/>
                <w:bCs/>
                <w:sz w:val="24"/>
                <w:szCs w:val="24"/>
              </w:rPr>
            </w:pPr>
            <w:proofErr w:type="spellStart"/>
            <w:r w:rsidRPr="00FA43C1">
              <w:rPr>
                <w:b/>
                <w:bCs/>
                <w:sz w:val="24"/>
                <w:szCs w:val="24"/>
              </w:rPr>
              <w:t>OR</w:t>
            </w:r>
            <w:r w:rsidRPr="00FA43C1">
              <w:rPr>
                <w:b/>
                <w:bCs/>
                <w:sz w:val="24"/>
                <w:szCs w:val="24"/>
                <w:vertAlign w:val="superscript"/>
              </w:rPr>
              <w:t>a</w:t>
            </w:r>
            <w:proofErr w:type="spellEnd"/>
          </w:p>
        </w:tc>
        <w:tc>
          <w:tcPr>
            <w:tcW w:w="1169" w:type="dxa"/>
            <w:tcBorders>
              <w:bottom w:val="single" w:sz="4" w:space="0" w:color="auto"/>
            </w:tcBorders>
            <w:vAlign w:val="bottom"/>
          </w:tcPr>
          <w:p w14:paraId="710A0BE6" w14:textId="77777777" w:rsidR="003733B6" w:rsidRPr="00FA43C1" w:rsidRDefault="003733B6" w:rsidP="0040594E">
            <w:pPr>
              <w:pStyle w:val="Tablebody"/>
              <w:rPr>
                <w:b/>
                <w:bCs/>
                <w:sz w:val="24"/>
                <w:szCs w:val="24"/>
              </w:rPr>
            </w:pPr>
            <w:r w:rsidRPr="00FA43C1">
              <w:rPr>
                <w:b/>
                <w:bCs/>
                <w:sz w:val="24"/>
                <w:szCs w:val="24"/>
              </w:rPr>
              <w:t xml:space="preserve">95% </w:t>
            </w:r>
            <w:proofErr w:type="spellStart"/>
            <w:r w:rsidRPr="00FA43C1">
              <w:rPr>
                <w:b/>
                <w:bCs/>
                <w:sz w:val="24"/>
                <w:szCs w:val="24"/>
              </w:rPr>
              <w:t>CI</w:t>
            </w:r>
            <w:r w:rsidRPr="00FA43C1">
              <w:rPr>
                <w:b/>
                <w:bCs/>
                <w:sz w:val="24"/>
                <w:szCs w:val="24"/>
                <w:vertAlign w:val="superscript"/>
              </w:rPr>
              <w:t>b</w:t>
            </w:r>
            <w:proofErr w:type="spellEnd"/>
          </w:p>
        </w:tc>
        <w:tc>
          <w:tcPr>
            <w:tcW w:w="1085" w:type="dxa"/>
            <w:gridSpan w:val="3"/>
            <w:tcBorders>
              <w:bottom w:val="single" w:sz="4" w:space="0" w:color="auto"/>
            </w:tcBorders>
            <w:vAlign w:val="bottom"/>
          </w:tcPr>
          <w:p w14:paraId="29776826" w14:textId="77777777" w:rsidR="003733B6" w:rsidRPr="00FA43C1" w:rsidRDefault="003733B6" w:rsidP="0040594E">
            <w:pPr>
              <w:pStyle w:val="Tablebody"/>
              <w:rPr>
                <w:b/>
                <w:bCs/>
                <w:sz w:val="24"/>
                <w:szCs w:val="24"/>
              </w:rPr>
            </w:pPr>
            <w:r w:rsidRPr="00FA43C1">
              <w:rPr>
                <w:b/>
                <w:bCs/>
                <w:i/>
                <w:sz w:val="24"/>
                <w:szCs w:val="24"/>
              </w:rPr>
              <w:t>p</w:t>
            </w:r>
            <w:r w:rsidRPr="00FA43C1">
              <w:rPr>
                <w:b/>
                <w:bCs/>
                <w:sz w:val="24"/>
                <w:szCs w:val="24"/>
              </w:rPr>
              <w:t>-value</w:t>
            </w:r>
          </w:p>
        </w:tc>
      </w:tr>
      <w:tr w:rsidR="003733B6" w14:paraId="5CEB5D45" w14:textId="77777777" w:rsidTr="00C96544">
        <w:trPr>
          <w:gridAfter w:val="2"/>
          <w:wAfter w:w="80" w:type="dxa"/>
        </w:trPr>
        <w:tc>
          <w:tcPr>
            <w:tcW w:w="3238" w:type="dxa"/>
            <w:gridSpan w:val="2"/>
            <w:vAlign w:val="bottom"/>
          </w:tcPr>
          <w:p w14:paraId="7C695C83" w14:textId="77777777" w:rsidR="003733B6" w:rsidRPr="00D562F1" w:rsidRDefault="003733B6" w:rsidP="0040594E">
            <w:pPr>
              <w:pStyle w:val="Tablebody"/>
              <w:rPr>
                <w:sz w:val="24"/>
                <w:szCs w:val="24"/>
              </w:rPr>
            </w:pPr>
            <w:r w:rsidRPr="00D562F1">
              <w:rPr>
                <w:sz w:val="24"/>
                <w:szCs w:val="24"/>
              </w:rPr>
              <w:t>Crude NDMA</w:t>
            </w:r>
          </w:p>
        </w:tc>
        <w:tc>
          <w:tcPr>
            <w:tcW w:w="715" w:type="dxa"/>
            <w:gridSpan w:val="2"/>
            <w:tcBorders>
              <w:top w:val="single" w:sz="4" w:space="0" w:color="auto"/>
            </w:tcBorders>
            <w:vAlign w:val="bottom"/>
          </w:tcPr>
          <w:p w14:paraId="710F05D9" w14:textId="77777777" w:rsidR="003733B6" w:rsidRPr="00D562F1" w:rsidRDefault="003733B6" w:rsidP="0040594E">
            <w:pPr>
              <w:pStyle w:val="Tablebody"/>
              <w:rPr>
                <w:sz w:val="24"/>
                <w:szCs w:val="24"/>
              </w:rPr>
            </w:pPr>
          </w:p>
        </w:tc>
        <w:tc>
          <w:tcPr>
            <w:tcW w:w="879" w:type="dxa"/>
            <w:gridSpan w:val="2"/>
            <w:tcBorders>
              <w:top w:val="single" w:sz="4" w:space="0" w:color="auto"/>
            </w:tcBorders>
            <w:vAlign w:val="bottom"/>
          </w:tcPr>
          <w:p w14:paraId="68604433" w14:textId="77777777" w:rsidR="003733B6" w:rsidRPr="00D562F1" w:rsidRDefault="003733B6" w:rsidP="0040594E">
            <w:pPr>
              <w:pStyle w:val="Tablebody"/>
              <w:rPr>
                <w:sz w:val="24"/>
                <w:szCs w:val="24"/>
              </w:rPr>
            </w:pPr>
          </w:p>
        </w:tc>
        <w:tc>
          <w:tcPr>
            <w:tcW w:w="715" w:type="dxa"/>
            <w:tcBorders>
              <w:top w:val="single" w:sz="4" w:space="0" w:color="auto"/>
            </w:tcBorders>
            <w:vAlign w:val="bottom"/>
          </w:tcPr>
          <w:p w14:paraId="502547CC" w14:textId="77777777" w:rsidR="003733B6" w:rsidRPr="00D562F1" w:rsidRDefault="003733B6" w:rsidP="0040594E">
            <w:pPr>
              <w:pStyle w:val="Tablebody"/>
              <w:rPr>
                <w:sz w:val="24"/>
                <w:szCs w:val="24"/>
              </w:rPr>
            </w:pPr>
          </w:p>
        </w:tc>
        <w:tc>
          <w:tcPr>
            <w:tcW w:w="879" w:type="dxa"/>
            <w:tcBorders>
              <w:top w:val="single" w:sz="4" w:space="0" w:color="auto"/>
            </w:tcBorders>
            <w:vAlign w:val="bottom"/>
          </w:tcPr>
          <w:p w14:paraId="41402CD5" w14:textId="77777777" w:rsidR="003733B6" w:rsidRPr="00D562F1" w:rsidRDefault="003733B6" w:rsidP="0040594E">
            <w:pPr>
              <w:pStyle w:val="Tablebody"/>
              <w:rPr>
                <w:sz w:val="24"/>
                <w:szCs w:val="24"/>
              </w:rPr>
            </w:pPr>
          </w:p>
        </w:tc>
        <w:tc>
          <w:tcPr>
            <w:tcW w:w="868" w:type="dxa"/>
            <w:gridSpan w:val="2"/>
            <w:tcBorders>
              <w:top w:val="single" w:sz="4" w:space="0" w:color="auto"/>
            </w:tcBorders>
            <w:vAlign w:val="bottom"/>
          </w:tcPr>
          <w:p w14:paraId="5604CB68" w14:textId="77777777" w:rsidR="003733B6" w:rsidRPr="00D562F1" w:rsidRDefault="003733B6" w:rsidP="0040594E">
            <w:pPr>
              <w:pStyle w:val="Tablebody"/>
              <w:rPr>
                <w:sz w:val="24"/>
                <w:szCs w:val="24"/>
              </w:rPr>
            </w:pPr>
          </w:p>
        </w:tc>
        <w:tc>
          <w:tcPr>
            <w:tcW w:w="1169" w:type="dxa"/>
            <w:tcBorders>
              <w:top w:val="single" w:sz="4" w:space="0" w:color="auto"/>
            </w:tcBorders>
            <w:vAlign w:val="bottom"/>
          </w:tcPr>
          <w:p w14:paraId="10FC416E" w14:textId="77777777" w:rsidR="003733B6" w:rsidRPr="00D562F1" w:rsidRDefault="003733B6" w:rsidP="0040594E">
            <w:pPr>
              <w:pStyle w:val="Tablebody"/>
              <w:rPr>
                <w:sz w:val="24"/>
                <w:szCs w:val="24"/>
              </w:rPr>
            </w:pPr>
          </w:p>
        </w:tc>
        <w:tc>
          <w:tcPr>
            <w:tcW w:w="1005" w:type="dxa"/>
            <w:tcBorders>
              <w:top w:val="single" w:sz="4" w:space="0" w:color="auto"/>
            </w:tcBorders>
            <w:vAlign w:val="bottom"/>
          </w:tcPr>
          <w:p w14:paraId="3866DAF9" w14:textId="77777777" w:rsidR="003733B6" w:rsidRPr="00D562F1" w:rsidRDefault="003733B6" w:rsidP="0040594E">
            <w:pPr>
              <w:pStyle w:val="Tablebody"/>
              <w:rPr>
                <w:sz w:val="24"/>
                <w:szCs w:val="24"/>
              </w:rPr>
            </w:pPr>
          </w:p>
        </w:tc>
      </w:tr>
      <w:tr w:rsidR="003733B6" w14:paraId="709E051F" w14:textId="77777777" w:rsidTr="00C96544">
        <w:trPr>
          <w:gridAfter w:val="2"/>
          <w:wAfter w:w="80" w:type="dxa"/>
        </w:trPr>
        <w:tc>
          <w:tcPr>
            <w:tcW w:w="3238" w:type="dxa"/>
            <w:gridSpan w:val="2"/>
            <w:vAlign w:val="bottom"/>
          </w:tcPr>
          <w:p w14:paraId="4C65FF99" w14:textId="77777777" w:rsidR="003733B6" w:rsidRPr="00D562F1" w:rsidRDefault="003733B6" w:rsidP="00FA43C1">
            <w:pPr>
              <w:pStyle w:val="Tablebodyindented"/>
              <w:ind w:left="350"/>
              <w:rPr>
                <w:sz w:val="24"/>
                <w:szCs w:val="24"/>
              </w:rPr>
            </w:pPr>
            <w:r w:rsidRPr="00D562F1">
              <w:rPr>
                <w:sz w:val="24"/>
                <w:szCs w:val="24"/>
              </w:rPr>
              <w:t>Ever vs. Never</w:t>
            </w:r>
          </w:p>
        </w:tc>
        <w:tc>
          <w:tcPr>
            <w:tcW w:w="715" w:type="dxa"/>
            <w:gridSpan w:val="2"/>
            <w:vAlign w:val="bottom"/>
          </w:tcPr>
          <w:p w14:paraId="000B8121" w14:textId="77777777" w:rsidR="003733B6" w:rsidRPr="00D562F1" w:rsidRDefault="003733B6" w:rsidP="0040594E">
            <w:pPr>
              <w:pStyle w:val="Tablebody"/>
              <w:rPr>
                <w:sz w:val="24"/>
                <w:szCs w:val="24"/>
              </w:rPr>
            </w:pPr>
            <w:r w:rsidRPr="00D562F1">
              <w:rPr>
                <w:sz w:val="24"/>
                <w:szCs w:val="24"/>
              </w:rPr>
              <w:t>6</w:t>
            </w:r>
          </w:p>
        </w:tc>
        <w:tc>
          <w:tcPr>
            <w:tcW w:w="879" w:type="dxa"/>
            <w:gridSpan w:val="2"/>
            <w:vAlign w:val="bottom"/>
          </w:tcPr>
          <w:p w14:paraId="54657BB8" w14:textId="77777777" w:rsidR="003733B6" w:rsidRPr="00D562F1" w:rsidRDefault="003733B6" w:rsidP="0040594E">
            <w:pPr>
              <w:pStyle w:val="Tablebody"/>
              <w:rPr>
                <w:sz w:val="24"/>
                <w:szCs w:val="24"/>
              </w:rPr>
            </w:pPr>
            <w:r w:rsidRPr="00D562F1">
              <w:rPr>
                <w:sz w:val="24"/>
                <w:szCs w:val="24"/>
              </w:rPr>
              <w:t>(60%)</w:t>
            </w:r>
          </w:p>
        </w:tc>
        <w:tc>
          <w:tcPr>
            <w:tcW w:w="715" w:type="dxa"/>
            <w:vAlign w:val="bottom"/>
          </w:tcPr>
          <w:p w14:paraId="54482C8B" w14:textId="77777777" w:rsidR="003733B6" w:rsidRPr="00D562F1" w:rsidRDefault="003733B6" w:rsidP="0040594E">
            <w:pPr>
              <w:pStyle w:val="Tablebody"/>
              <w:rPr>
                <w:sz w:val="24"/>
                <w:szCs w:val="24"/>
              </w:rPr>
            </w:pPr>
            <w:r w:rsidRPr="00D562F1">
              <w:rPr>
                <w:sz w:val="24"/>
                <w:szCs w:val="24"/>
              </w:rPr>
              <w:t>16</w:t>
            </w:r>
          </w:p>
        </w:tc>
        <w:tc>
          <w:tcPr>
            <w:tcW w:w="879" w:type="dxa"/>
            <w:vAlign w:val="bottom"/>
          </w:tcPr>
          <w:p w14:paraId="6FE1AAC8" w14:textId="77777777" w:rsidR="003733B6" w:rsidRPr="00D562F1" w:rsidRDefault="003733B6" w:rsidP="0040594E">
            <w:pPr>
              <w:pStyle w:val="Tablebody"/>
              <w:rPr>
                <w:sz w:val="24"/>
                <w:szCs w:val="24"/>
              </w:rPr>
            </w:pPr>
            <w:r w:rsidRPr="00D562F1">
              <w:rPr>
                <w:sz w:val="24"/>
                <w:szCs w:val="24"/>
              </w:rPr>
              <w:t>(41%)</w:t>
            </w:r>
          </w:p>
        </w:tc>
        <w:tc>
          <w:tcPr>
            <w:tcW w:w="868" w:type="dxa"/>
            <w:gridSpan w:val="2"/>
            <w:vAlign w:val="bottom"/>
          </w:tcPr>
          <w:p w14:paraId="3F61B623" w14:textId="77777777" w:rsidR="003733B6" w:rsidRPr="00D562F1" w:rsidRDefault="003733B6" w:rsidP="0040594E">
            <w:pPr>
              <w:pStyle w:val="Tablebody"/>
              <w:rPr>
                <w:sz w:val="24"/>
                <w:szCs w:val="24"/>
              </w:rPr>
            </w:pPr>
            <w:r w:rsidRPr="00D562F1">
              <w:rPr>
                <w:sz w:val="24"/>
                <w:szCs w:val="24"/>
              </w:rPr>
              <w:t>1.9</w:t>
            </w:r>
          </w:p>
        </w:tc>
        <w:tc>
          <w:tcPr>
            <w:tcW w:w="1169" w:type="dxa"/>
            <w:vAlign w:val="bottom"/>
          </w:tcPr>
          <w:p w14:paraId="229543BE" w14:textId="77777777" w:rsidR="003733B6" w:rsidRPr="00D562F1" w:rsidRDefault="003733B6" w:rsidP="0040594E">
            <w:pPr>
              <w:pStyle w:val="Tablebody"/>
              <w:rPr>
                <w:sz w:val="24"/>
                <w:szCs w:val="24"/>
              </w:rPr>
            </w:pPr>
            <w:r w:rsidRPr="00D562F1">
              <w:rPr>
                <w:sz w:val="24"/>
                <w:szCs w:val="24"/>
              </w:rPr>
              <w:t>0.5-8.2</w:t>
            </w:r>
          </w:p>
        </w:tc>
        <w:tc>
          <w:tcPr>
            <w:tcW w:w="1005" w:type="dxa"/>
            <w:vAlign w:val="bottom"/>
          </w:tcPr>
          <w:p w14:paraId="5354A07F" w14:textId="77777777" w:rsidR="003733B6" w:rsidRPr="00D562F1" w:rsidRDefault="003733B6" w:rsidP="0040594E">
            <w:pPr>
              <w:pStyle w:val="Tablebody"/>
              <w:rPr>
                <w:sz w:val="24"/>
                <w:szCs w:val="24"/>
              </w:rPr>
            </w:pPr>
            <w:r w:rsidRPr="00D562F1">
              <w:rPr>
                <w:sz w:val="24"/>
                <w:szCs w:val="24"/>
              </w:rPr>
              <w:t>0.37</w:t>
            </w:r>
          </w:p>
        </w:tc>
      </w:tr>
      <w:tr w:rsidR="003733B6" w14:paraId="14D41356" w14:textId="77777777" w:rsidTr="00C96544">
        <w:trPr>
          <w:gridAfter w:val="2"/>
          <w:wAfter w:w="80" w:type="dxa"/>
        </w:trPr>
        <w:tc>
          <w:tcPr>
            <w:tcW w:w="3238" w:type="dxa"/>
            <w:gridSpan w:val="2"/>
            <w:vAlign w:val="bottom"/>
          </w:tcPr>
          <w:p w14:paraId="7937600F" w14:textId="77777777" w:rsidR="003733B6" w:rsidRPr="00D562F1" w:rsidRDefault="003733B6" w:rsidP="0040594E">
            <w:pPr>
              <w:pStyle w:val="Tablebody"/>
              <w:rPr>
                <w:sz w:val="24"/>
                <w:szCs w:val="24"/>
              </w:rPr>
            </w:pPr>
            <w:r w:rsidRPr="00D562F1">
              <w:rPr>
                <w:sz w:val="24"/>
                <w:szCs w:val="24"/>
              </w:rPr>
              <w:t>Crude TCE</w:t>
            </w:r>
          </w:p>
        </w:tc>
        <w:tc>
          <w:tcPr>
            <w:tcW w:w="715" w:type="dxa"/>
            <w:gridSpan w:val="2"/>
            <w:vAlign w:val="bottom"/>
          </w:tcPr>
          <w:p w14:paraId="5C6D0B92" w14:textId="77777777" w:rsidR="003733B6" w:rsidRPr="00D562F1" w:rsidRDefault="003733B6" w:rsidP="0040594E">
            <w:pPr>
              <w:pStyle w:val="Tablebody"/>
              <w:rPr>
                <w:sz w:val="24"/>
                <w:szCs w:val="24"/>
              </w:rPr>
            </w:pPr>
          </w:p>
        </w:tc>
        <w:tc>
          <w:tcPr>
            <w:tcW w:w="879" w:type="dxa"/>
            <w:gridSpan w:val="2"/>
            <w:vAlign w:val="bottom"/>
          </w:tcPr>
          <w:p w14:paraId="5E61BE13" w14:textId="77777777" w:rsidR="003733B6" w:rsidRPr="00D562F1" w:rsidRDefault="003733B6" w:rsidP="0040594E">
            <w:pPr>
              <w:pStyle w:val="Tablebody"/>
              <w:rPr>
                <w:sz w:val="24"/>
                <w:szCs w:val="24"/>
              </w:rPr>
            </w:pPr>
          </w:p>
        </w:tc>
        <w:tc>
          <w:tcPr>
            <w:tcW w:w="715" w:type="dxa"/>
            <w:vAlign w:val="bottom"/>
          </w:tcPr>
          <w:p w14:paraId="66C5B72A" w14:textId="77777777" w:rsidR="003733B6" w:rsidRPr="00D562F1" w:rsidRDefault="003733B6" w:rsidP="0040594E">
            <w:pPr>
              <w:pStyle w:val="Tablebody"/>
              <w:rPr>
                <w:sz w:val="24"/>
                <w:szCs w:val="24"/>
              </w:rPr>
            </w:pPr>
          </w:p>
        </w:tc>
        <w:tc>
          <w:tcPr>
            <w:tcW w:w="879" w:type="dxa"/>
            <w:vAlign w:val="bottom"/>
          </w:tcPr>
          <w:p w14:paraId="4A10C569" w14:textId="77777777" w:rsidR="003733B6" w:rsidRPr="00D562F1" w:rsidRDefault="003733B6" w:rsidP="0040594E">
            <w:pPr>
              <w:pStyle w:val="Tablebody"/>
              <w:rPr>
                <w:sz w:val="24"/>
                <w:szCs w:val="24"/>
              </w:rPr>
            </w:pPr>
          </w:p>
        </w:tc>
        <w:tc>
          <w:tcPr>
            <w:tcW w:w="868" w:type="dxa"/>
            <w:gridSpan w:val="2"/>
            <w:vAlign w:val="bottom"/>
          </w:tcPr>
          <w:p w14:paraId="0072305B" w14:textId="77777777" w:rsidR="003733B6" w:rsidRPr="00D562F1" w:rsidRDefault="003733B6" w:rsidP="0040594E">
            <w:pPr>
              <w:pStyle w:val="Tablebody"/>
              <w:rPr>
                <w:sz w:val="24"/>
                <w:szCs w:val="24"/>
              </w:rPr>
            </w:pPr>
          </w:p>
        </w:tc>
        <w:tc>
          <w:tcPr>
            <w:tcW w:w="1169" w:type="dxa"/>
            <w:vAlign w:val="bottom"/>
          </w:tcPr>
          <w:p w14:paraId="37B5B30E" w14:textId="77777777" w:rsidR="003733B6" w:rsidRPr="00D562F1" w:rsidRDefault="003733B6" w:rsidP="0040594E">
            <w:pPr>
              <w:pStyle w:val="Tablebody"/>
              <w:rPr>
                <w:sz w:val="24"/>
                <w:szCs w:val="24"/>
              </w:rPr>
            </w:pPr>
          </w:p>
        </w:tc>
        <w:tc>
          <w:tcPr>
            <w:tcW w:w="1005" w:type="dxa"/>
            <w:vAlign w:val="bottom"/>
          </w:tcPr>
          <w:p w14:paraId="50A2E911" w14:textId="77777777" w:rsidR="003733B6" w:rsidRPr="00D562F1" w:rsidRDefault="003733B6" w:rsidP="0040594E">
            <w:pPr>
              <w:pStyle w:val="Tablebody"/>
              <w:rPr>
                <w:sz w:val="24"/>
                <w:szCs w:val="24"/>
              </w:rPr>
            </w:pPr>
          </w:p>
        </w:tc>
      </w:tr>
      <w:tr w:rsidR="003733B6" w14:paraId="6CABBE66" w14:textId="77777777" w:rsidTr="00C96544">
        <w:trPr>
          <w:gridAfter w:val="2"/>
          <w:wAfter w:w="80" w:type="dxa"/>
        </w:trPr>
        <w:tc>
          <w:tcPr>
            <w:tcW w:w="3238" w:type="dxa"/>
            <w:gridSpan w:val="2"/>
            <w:vAlign w:val="bottom"/>
          </w:tcPr>
          <w:p w14:paraId="26F67BC6" w14:textId="77777777" w:rsidR="003733B6" w:rsidRPr="00D562F1" w:rsidRDefault="003733B6" w:rsidP="00FA43C1">
            <w:pPr>
              <w:pStyle w:val="Tablebodyindented"/>
              <w:ind w:left="350"/>
              <w:rPr>
                <w:sz w:val="24"/>
                <w:szCs w:val="24"/>
              </w:rPr>
            </w:pPr>
            <w:r w:rsidRPr="00D562F1">
              <w:rPr>
                <w:sz w:val="24"/>
                <w:szCs w:val="24"/>
              </w:rPr>
              <w:t>Ever vs. Never</w:t>
            </w:r>
          </w:p>
        </w:tc>
        <w:tc>
          <w:tcPr>
            <w:tcW w:w="715" w:type="dxa"/>
            <w:gridSpan w:val="2"/>
            <w:vAlign w:val="bottom"/>
          </w:tcPr>
          <w:p w14:paraId="58F710E0" w14:textId="77777777" w:rsidR="003733B6" w:rsidRPr="00D562F1" w:rsidRDefault="003733B6" w:rsidP="0040594E">
            <w:pPr>
              <w:pStyle w:val="Tablebody"/>
              <w:rPr>
                <w:sz w:val="24"/>
                <w:szCs w:val="24"/>
              </w:rPr>
            </w:pPr>
            <w:r w:rsidRPr="00D562F1">
              <w:rPr>
                <w:sz w:val="24"/>
                <w:szCs w:val="24"/>
              </w:rPr>
              <w:t>3</w:t>
            </w:r>
          </w:p>
        </w:tc>
        <w:tc>
          <w:tcPr>
            <w:tcW w:w="879" w:type="dxa"/>
            <w:gridSpan w:val="2"/>
            <w:vAlign w:val="bottom"/>
          </w:tcPr>
          <w:p w14:paraId="194F5930" w14:textId="77777777" w:rsidR="003733B6" w:rsidRPr="00D562F1" w:rsidRDefault="003733B6" w:rsidP="0040594E">
            <w:pPr>
              <w:pStyle w:val="Tablebody"/>
              <w:rPr>
                <w:sz w:val="24"/>
                <w:szCs w:val="24"/>
              </w:rPr>
            </w:pPr>
            <w:r w:rsidRPr="00D562F1">
              <w:rPr>
                <w:sz w:val="24"/>
                <w:szCs w:val="24"/>
              </w:rPr>
              <w:t>(30%)</w:t>
            </w:r>
          </w:p>
        </w:tc>
        <w:tc>
          <w:tcPr>
            <w:tcW w:w="715" w:type="dxa"/>
            <w:vAlign w:val="bottom"/>
          </w:tcPr>
          <w:p w14:paraId="141D4AED" w14:textId="77777777" w:rsidR="003733B6" w:rsidRPr="00D562F1" w:rsidRDefault="003733B6" w:rsidP="0040594E">
            <w:pPr>
              <w:pStyle w:val="Tablebody"/>
              <w:rPr>
                <w:sz w:val="24"/>
                <w:szCs w:val="24"/>
              </w:rPr>
            </w:pPr>
            <w:r w:rsidRPr="00D562F1">
              <w:rPr>
                <w:sz w:val="24"/>
                <w:szCs w:val="24"/>
              </w:rPr>
              <w:t>9</w:t>
            </w:r>
          </w:p>
        </w:tc>
        <w:tc>
          <w:tcPr>
            <w:tcW w:w="879" w:type="dxa"/>
            <w:vAlign w:val="bottom"/>
          </w:tcPr>
          <w:p w14:paraId="42D01A53" w14:textId="77777777" w:rsidR="003733B6" w:rsidRPr="00D562F1" w:rsidRDefault="003733B6" w:rsidP="0040594E">
            <w:pPr>
              <w:pStyle w:val="Tablebody"/>
              <w:rPr>
                <w:sz w:val="24"/>
                <w:szCs w:val="24"/>
              </w:rPr>
            </w:pPr>
            <w:r w:rsidRPr="00D562F1">
              <w:rPr>
                <w:sz w:val="24"/>
                <w:szCs w:val="24"/>
              </w:rPr>
              <w:t>(23%)</w:t>
            </w:r>
          </w:p>
        </w:tc>
        <w:tc>
          <w:tcPr>
            <w:tcW w:w="868" w:type="dxa"/>
            <w:gridSpan w:val="2"/>
            <w:vAlign w:val="bottom"/>
          </w:tcPr>
          <w:p w14:paraId="448EACC8" w14:textId="77777777" w:rsidR="003733B6" w:rsidRPr="00D562F1" w:rsidRDefault="003733B6" w:rsidP="0040594E">
            <w:pPr>
              <w:pStyle w:val="Tablebody"/>
              <w:rPr>
                <w:sz w:val="24"/>
                <w:szCs w:val="24"/>
              </w:rPr>
            </w:pPr>
            <w:r w:rsidRPr="00D562F1">
              <w:rPr>
                <w:sz w:val="24"/>
                <w:szCs w:val="24"/>
              </w:rPr>
              <w:t>1.7</w:t>
            </w:r>
          </w:p>
        </w:tc>
        <w:tc>
          <w:tcPr>
            <w:tcW w:w="1169" w:type="dxa"/>
            <w:vAlign w:val="bottom"/>
          </w:tcPr>
          <w:p w14:paraId="30874B33" w14:textId="77777777" w:rsidR="003733B6" w:rsidRPr="00D562F1" w:rsidRDefault="003733B6" w:rsidP="0040594E">
            <w:pPr>
              <w:pStyle w:val="Tablebody"/>
              <w:rPr>
                <w:sz w:val="24"/>
                <w:szCs w:val="24"/>
              </w:rPr>
            </w:pPr>
            <w:r w:rsidRPr="00D562F1">
              <w:rPr>
                <w:sz w:val="24"/>
                <w:szCs w:val="24"/>
              </w:rPr>
              <w:t>0.3-11</w:t>
            </w:r>
          </w:p>
        </w:tc>
        <w:tc>
          <w:tcPr>
            <w:tcW w:w="1005" w:type="dxa"/>
            <w:vAlign w:val="bottom"/>
          </w:tcPr>
          <w:p w14:paraId="515CB580" w14:textId="77777777" w:rsidR="003733B6" w:rsidRPr="00D562F1" w:rsidRDefault="003733B6" w:rsidP="0040594E">
            <w:pPr>
              <w:pStyle w:val="Tablebody"/>
              <w:rPr>
                <w:sz w:val="24"/>
                <w:szCs w:val="24"/>
              </w:rPr>
            </w:pPr>
            <w:r w:rsidRPr="00D562F1">
              <w:rPr>
                <w:sz w:val="24"/>
                <w:szCs w:val="24"/>
              </w:rPr>
              <w:t>0.55</w:t>
            </w:r>
          </w:p>
        </w:tc>
      </w:tr>
      <w:tr w:rsidR="003733B6" w14:paraId="440FF507" w14:textId="77777777" w:rsidTr="00C96544">
        <w:trPr>
          <w:gridAfter w:val="2"/>
          <w:wAfter w:w="80" w:type="dxa"/>
        </w:trPr>
        <w:tc>
          <w:tcPr>
            <w:tcW w:w="3238" w:type="dxa"/>
            <w:gridSpan w:val="2"/>
            <w:vAlign w:val="bottom"/>
          </w:tcPr>
          <w:p w14:paraId="13B43329" w14:textId="77777777" w:rsidR="003733B6" w:rsidRPr="00D562F1" w:rsidRDefault="003733B6" w:rsidP="0040594E">
            <w:pPr>
              <w:pStyle w:val="Tablebody"/>
              <w:rPr>
                <w:sz w:val="24"/>
                <w:szCs w:val="24"/>
              </w:rPr>
            </w:pPr>
            <w:r w:rsidRPr="00D562F1">
              <w:rPr>
                <w:sz w:val="24"/>
                <w:szCs w:val="24"/>
              </w:rPr>
              <w:t>Multivariate</w:t>
            </w:r>
          </w:p>
        </w:tc>
        <w:tc>
          <w:tcPr>
            <w:tcW w:w="715" w:type="dxa"/>
            <w:gridSpan w:val="2"/>
            <w:vAlign w:val="bottom"/>
          </w:tcPr>
          <w:p w14:paraId="031B7926" w14:textId="77777777" w:rsidR="003733B6" w:rsidRPr="00D562F1" w:rsidRDefault="003733B6" w:rsidP="0040594E">
            <w:pPr>
              <w:pStyle w:val="Tablebody"/>
              <w:rPr>
                <w:sz w:val="24"/>
                <w:szCs w:val="24"/>
              </w:rPr>
            </w:pPr>
          </w:p>
        </w:tc>
        <w:tc>
          <w:tcPr>
            <w:tcW w:w="879" w:type="dxa"/>
            <w:gridSpan w:val="2"/>
            <w:vAlign w:val="bottom"/>
          </w:tcPr>
          <w:p w14:paraId="500364B2" w14:textId="77777777" w:rsidR="003733B6" w:rsidRPr="00D562F1" w:rsidRDefault="003733B6" w:rsidP="0040594E">
            <w:pPr>
              <w:pStyle w:val="Tablebody"/>
              <w:rPr>
                <w:sz w:val="24"/>
                <w:szCs w:val="24"/>
              </w:rPr>
            </w:pPr>
          </w:p>
        </w:tc>
        <w:tc>
          <w:tcPr>
            <w:tcW w:w="715" w:type="dxa"/>
            <w:vAlign w:val="bottom"/>
          </w:tcPr>
          <w:p w14:paraId="2D3ADBDB" w14:textId="77777777" w:rsidR="003733B6" w:rsidRPr="00D562F1" w:rsidRDefault="003733B6" w:rsidP="0040594E">
            <w:pPr>
              <w:pStyle w:val="Tablebody"/>
              <w:rPr>
                <w:sz w:val="24"/>
                <w:szCs w:val="24"/>
              </w:rPr>
            </w:pPr>
          </w:p>
        </w:tc>
        <w:tc>
          <w:tcPr>
            <w:tcW w:w="879" w:type="dxa"/>
            <w:vAlign w:val="bottom"/>
          </w:tcPr>
          <w:p w14:paraId="46112D36" w14:textId="77777777" w:rsidR="003733B6" w:rsidRPr="00D562F1" w:rsidRDefault="003733B6" w:rsidP="0040594E">
            <w:pPr>
              <w:pStyle w:val="Tablebody"/>
              <w:rPr>
                <w:sz w:val="24"/>
                <w:szCs w:val="24"/>
              </w:rPr>
            </w:pPr>
          </w:p>
        </w:tc>
        <w:tc>
          <w:tcPr>
            <w:tcW w:w="868" w:type="dxa"/>
            <w:gridSpan w:val="2"/>
            <w:vAlign w:val="bottom"/>
          </w:tcPr>
          <w:p w14:paraId="1C00437E" w14:textId="77777777" w:rsidR="003733B6" w:rsidRPr="00D562F1" w:rsidRDefault="003733B6" w:rsidP="0040594E">
            <w:pPr>
              <w:pStyle w:val="Tablebody"/>
              <w:rPr>
                <w:sz w:val="24"/>
                <w:szCs w:val="24"/>
              </w:rPr>
            </w:pPr>
          </w:p>
        </w:tc>
        <w:tc>
          <w:tcPr>
            <w:tcW w:w="1169" w:type="dxa"/>
            <w:vAlign w:val="bottom"/>
          </w:tcPr>
          <w:p w14:paraId="5129E834" w14:textId="77777777" w:rsidR="003733B6" w:rsidRPr="00D562F1" w:rsidRDefault="003733B6" w:rsidP="0040594E">
            <w:pPr>
              <w:pStyle w:val="Tablebody"/>
              <w:rPr>
                <w:sz w:val="24"/>
                <w:szCs w:val="24"/>
              </w:rPr>
            </w:pPr>
          </w:p>
        </w:tc>
        <w:tc>
          <w:tcPr>
            <w:tcW w:w="1005" w:type="dxa"/>
            <w:vAlign w:val="bottom"/>
          </w:tcPr>
          <w:p w14:paraId="4FBDEBE8" w14:textId="77777777" w:rsidR="003733B6" w:rsidRPr="00D562F1" w:rsidRDefault="003733B6" w:rsidP="0040594E">
            <w:pPr>
              <w:pStyle w:val="Tablebody"/>
              <w:rPr>
                <w:sz w:val="24"/>
                <w:szCs w:val="24"/>
              </w:rPr>
            </w:pPr>
          </w:p>
        </w:tc>
      </w:tr>
      <w:tr w:rsidR="003733B6" w14:paraId="54587B5C" w14:textId="77777777" w:rsidTr="00C96544">
        <w:trPr>
          <w:gridAfter w:val="2"/>
          <w:wAfter w:w="80" w:type="dxa"/>
        </w:trPr>
        <w:tc>
          <w:tcPr>
            <w:tcW w:w="3238" w:type="dxa"/>
            <w:gridSpan w:val="2"/>
            <w:vAlign w:val="bottom"/>
          </w:tcPr>
          <w:p w14:paraId="3337EDE7" w14:textId="77777777" w:rsidR="003733B6" w:rsidRPr="00D562F1" w:rsidRDefault="003733B6" w:rsidP="00FA43C1">
            <w:pPr>
              <w:pStyle w:val="Tablebodyindented"/>
              <w:ind w:left="350" w:firstLine="10"/>
              <w:rPr>
                <w:sz w:val="24"/>
                <w:szCs w:val="24"/>
              </w:rPr>
            </w:pPr>
            <w:r w:rsidRPr="00D562F1">
              <w:rPr>
                <w:sz w:val="24"/>
                <w:szCs w:val="24"/>
              </w:rPr>
              <w:t>Ever NDMA vs. Never</w:t>
            </w:r>
          </w:p>
        </w:tc>
        <w:tc>
          <w:tcPr>
            <w:tcW w:w="715" w:type="dxa"/>
            <w:gridSpan w:val="2"/>
            <w:vAlign w:val="bottom"/>
          </w:tcPr>
          <w:p w14:paraId="03AE8107" w14:textId="77777777" w:rsidR="003733B6" w:rsidRPr="00D562F1" w:rsidRDefault="003733B6" w:rsidP="0040594E">
            <w:pPr>
              <w:pStyle w:val="Tablebody"/>
              <w:rPr>
                <w:sz w:val="24"/>
                <w:szCs w:val="24"/>
              </w:rPr>
            </w:pPr>
            <w:r w:rsidRPr="00D562F1">
              <w:rPr>
                <w:sz w:val="24"/>
                <w:szCs w:val="24"/>
              </w:rPr>
              <w:t>6</w:t>
            </w:r>
          </w:p>
        </w:tc>
        <w:tc>
          <w:tcPr>
            <w:tcW w:w="879" w:type="dxa"/>
            <w:gridSpan w:val="2"/>
            <w:vAlign w:val="bottom"/>
          </w:tcPr>
          <w:p w14:paraId="58988F4E" w14:textId="77777777" w:rsidR="003733B6" w:rsidRPr="00D562F1" w:rsidRDefault="003733B6" w:rsidP="0040594E">
            <w:pPr>
              <w:pStyle w:val="Tablebody"/>
              <w:rPr>
                <w:sz w:val="24"/>
                <w:szCs w:val="24"/>
              </w:rPr>
            </w:pPr>
            <w:r w:rsidRPr="00D562F1">
              <w:rPr>
                <w:sz w:val="24"/>
                <w:szCs w:val="24"/>
              </w:rPr>
              <w:t>(60%)</w:t>
            </w:r>
          </w:p>
        </w:tc>
        <w:tc>
          <w:tcPr>
            <w:tcW w:w="715" w:type="dxa"/>
            <w:vAlign w:val="bottom"/>
          </w:tcPr>
          <w:p w14:paraId="6FBE9227" w14:textId="77777777" w:rsidR="003733B6" w:rsidRPr="00D562F1" w:rsidRDefault="003733B6" w:rsidP="0040594E">
            <w:pPr>
              <w:pStyle w:val="Tablebody"/>
              <w:rPr>
                <w:sz w:val="24"/>
                <w:szCs w:val="24"/>
              </w:rPr>
            </w:pPr>
            <w:r w:rsidRPr="00D562F1">
              <w:rPr>
                <w:sz w:val="24"/>
                <w:szCs w:val="24"/>
              </w:rPr>
              <w:t>16</w:t>
            </w:r>
          </w:p>
        </w:tc>
        <w:tc>
          <w:tcPr>
            <w:tcW w:w="879" w:type="dxa"/>
            <w:vAlign w:val="bottom"/>
          </w:tcPr>
          <w:p w14:paraId="7CF9D4CE" w14:textId="77777777" w:rsidR="003733B6" w:rsidRPr="00D562F1" w:rsidRDefault="003733B6" w:rsidP="0040594E">
            <w:pPr>
              <w:pStyle w:val="Tablebody"/>
              <w:rPr>
                <w:sz w:val="24"/>
                <w:szCs w:val="24"/>
              </w:rPr>
            </w:pPr>
            <w:r w:rsidRPr="00D562F1">
              <w:rPr>
                <w:sz w:val="24"/>
                <w:szCs w:val="24"/>
              </w:rPr>
              <w:t>(41%)</w:t>
            </w:r>
          </w:p>
        </w:tc>
        <w:tc>
          <w:tcPr>
            <w:tcW w:w="868" w:type="dxa"/>
            <w:gridSpan w:val="2"/>
            <w:vAlign w:val="bottom"/>
          </w:tcPr>
          <w:p w14:paraId="1765DF98" w14:textId="77777777" w:rsidR="003733B6" w:rsidRPr="00D562F1" w:rsidRDefault="003733B6" w:rsidP="0040594E">
            <w:pPr>
              <w:pStyle w:val="Tablebody"/>
              <w:rPr>
                <w:sz w:val="24"/>
                <w:szCs w:val="24"/>
              </w:rPr>
            </w:pPr>
            <w:r w:rsidRPr="00D562F1">
              <w:rPr>
                <w:sz w:val="24"/>
                <w:szCs w:val="24"/>
              </w:rPr>
              <w:t>2.4</w:t>
            </w:r>
          </w:p>
        </w:tc>
        <w:tc>
          <w:tcPr>
            <w:tcW w:w="1169" w:type="dxa"/>
            <w:vAlign w:val="bottom"/>
          </w:tcPr>
          <w:p w14:paraId="3A3F8E54" w14:textId="77777777" w:rsidR="003733B6" w:rsidRPr="00D562F1" w:rsidRDefault="003733B6" w:rsidP="0040594E">
            <w:pPr>
              <w:pStyle w:val="Tablebody"/>
              <w:rPr>
                <w:sz w:val="24"/>
                <w:szCs w:val="24"/>
              </w:rPr>
            </w:pPr>
            <w:r w:rsidRPr="00D562F1">
              <w:rPr>
                <w:sz w:val="24"/>
                <w:szCs w:val="24"/>
              </w:rPr>
              <w:t>0.2-27</w:t>
            </w:r>
          </w:p>
        </w:tc>
        <w:tc>
          <w:tcPr>
            <w:tcW w:w="1005" w:type="dxa"/>
            <w:vAlign w:val="bottom"/>
          </w:tcPr>
          <w:p w14:paraId="33440AA0" w14:textId="77777777" w:rsidR="003733B6" w:rsidRPr="00D562F1" w:rsidRDefault="003733B6" w:rsidP="0040594E">
            <w:pPr>
              <w:pStyle w:val="Tablebody"/>
              <w:rPr>
                <w:sz w:val="24"/>
                <w:szCs w:val="24"/>
              </w:rPr>
            </w:pPr>
            <w:r w:rsidRPr="00D562F1">
              <w:rPr>
                <w:sz w:val="24"/>
                <w:szCs w:val="24"/>
              </w:rPr>
              <w:t>0.49</w:t>
            </w:r>
          </w:p>
        </w:tc>
      </w:tr>
      <w:tr w:rsidR="003733B6" w14:paraId="03091884" w14:textId="77777777" w:rsidTr="00C96544">
        <w:trPr>
          <w:gridAfter w:val="2"/>
          <w:wAfter w:w="80" w:type="dxa"/>
        </w:trPr>
        <w:tc>
          <w:tcPr>
            <w:tcW w:w="3238" w:type="dxa"/>
            <w:gridSpan w:val="2"/>
            <w:vAlign w:val="bottom"/>
          </w:tcPr>
          <w:p w14:paraId="61814D17" w14:textId="77777777" w:rsidR="003733B6" w:rsidRPr="00D562F1" w:rsidRDefault="003733B6" w:rsidP="00FA43C1">
            <w:pPr>
              <w:pStyle w:val="Tablebodyindented"/>
              <w:ind w:left="350" w:firstLine="10"/>
              <w:rPr>
                <w:sz w:val="24"/>
                <w:szCs w:val="24"/>
              </w:rPr>
            </w:pPr>
            <w:r w:rsidRPr="00D562F1">
              <w:rPr>
                <w:sz w:val="24"/>
                <w:szCs w:val="24"/>
              </w:rPr>
              <w:t>Ever TCE vs. Never</w:t>
            </w:r>
          </w:p>
        </w:tc>
        <w:tc>
          <w:tcPr>
            <w:tcW w:w="715" w:type="dxa"/>
            <w:gridSpan w:val="2"/>
            <w:vAlign w:val="bottom"/>
          </w:tcPr>
          <w:p w14:paraId="38774EF0" w14:textId="77777777" w:rsidR="003733B6" w:rsidRPr="00D562F1" w:rsidRDefault="003733B6" w:rsidP="0040594E">
            <w:pPr>
              <w:pStyle w:val="Tablebody"/>
              <w:rPr>
                <w:sz w:val="24"/>
                <w:szCs w:val="24"/>
              </w:rPr>
            </w:pPr>
            <w:r w:rsidRPr="00D562F1">
              <w:rPr>
                <w:sz w:val="24"/>
                <w:szCs w:val="24"/>
              </w:rPr>
              <w:t>3</w:t>
            </w:r>
          </w:p>
        </w:tc>
        <w:tc>
          <w:tcPr>
            <w:tcW w:w="879" w:type="dxa"/>
            <w:gridSpan w:val="2"/>
            <w:vAlign w:val="bottom"/>
          </w:tcPr>
          <w:p w14:paraId="541C1006" w14:textId="77777777" w:rsidR="003733B6" w:rsidRPr="00D562F1" w:rsidRDefault="003733B6" w:rsidP="0040594E">
            <w:pPr>
              <w:pStyle w:val="Tablebody"/>
              <w:rPr>
                <w:sz w:val="24"/>
                <w:szCs w:val="24"/>
              </w:rPr>
            </w:pPr>
            <w:r w:rsidRPr="00D562F1">
              <w:rPr>
                <w:sz w:val="24"/>
                <w:szCs w:val="24"/>
              </w:rPr>
              <w:t>(30%)</w:t>
            </w:r>
          </w:p>
        </w:tc>
        <w:tc>
          <w:tcPr>
            <w:tcW w:w="715" w:type="dxa"/>
            <w:vAlign w:val="bottom"/>
          </w:tcPr>
          <w:p w14:paraId="539F90EB" w14:textId="77777777" w:rsidR="003733B6" w:rsidRPr="00D562F1" w:rsidRDefault="003733B6" w:rsidP="0040594E">
            <w:pPr>
              <w:pStyle w:val="Tablebody"/>
              <w:rPr>
                <w:sz w:val="24"/>
                <w:szCs w:val="24"/>
              </w:rPr>
            </w:pPr>
            <w:r w:rsidRPr="00D562F1">
              <w:rPr>
                <w:sz w:val="24"/>
                <w:szCs w:val="24"/>
              </w:rPr>
              <w:t>9</w:t>
            </w:r>
          </w:p>
        </w:tc>
        <w:tc>
          <w:tcPr>
            <w:tcW w:w="879" w:type="dxa"/>
            <w:vAlign w:val="bottom"/>
          </w:tcPr>
          <w:p w14:paraId="2B875FF0" w14:textId="77777777" w:rsidR="003733B6" w:rsidRPr="00D562F1" w:rsidRDefault="003733B6" w:rsidP="0040594E">
            <w:pPr>
              <w:pStyle w:val="Tablebody"/>
              <w:rPr>
                <w:sz w:val="24"/>
                <w:szCs w:val="24"/>
              </w:rPr>
            </w:pPr>
            <w:r w:rsidRPr="00D562F1">
              <w:rPr>
                <w:sz w:val="24"/>
                <w:szCs w:val="24"/>
              </w:rPr>
              <w:t>(23%)</w:t>
            </w:r>
          </w:p>
        </w:tc>
        <w:tc>
          <w:tcPr>
            <w:tcW w:w="868" w:type="dxa"/>
            <w:gridSpan w:val="2"/>
            <w:vAlign w:val="bottom"/>
          </w:tcPr>
          <w:p w14:paraId="0378487E" w14:textId="77777777" w:rsidR="003733B6" w:rsidRPr="00D562F1" w:rsidRDefault="003733B6" w:rsidP="0040594E">
            <w:pPr>
              <w:pStyle w:val="Tablebody"/>
              <w:rPr>
                <w:sz w:val="24"/>
                <w:szCs w:val="24"/>
              </w:rPr>
            </w:pPr>
            <w:r w:rsidRPr="00D562F1">
              <w:rPr>
                <w:sz w:val="24"/>
                <w:szCs w:val="24"/>
              </w:rPr>
              <w:t>0.7</w:t>
            </w:r>
          </w:p>
        </w:tc>
        <w:tc>
          <w:tcPr>
            <w:tcW w:w="1169" w:type="dxa"/>
            <w:vAlign w:val="bottom"/>
          </w:tcPr>
          <w:p w14:paraId="3881B622" w14:textId="77777777" w:rsidR="003733B6" w:rsidRPr="00D562F1" w:rsidRDefault="003733B6" w:rsidP="0040594E">
            <w:pPr>
              <w:pStyle w:val="Tablebody"/>
              <w:rPr>
                <w:sz w:val="24"/>
                <w:szCs w:val="24"/>
              </w:rPr>
            </w:pPr>
            <w:r w:rsidRPr="00D562F1">
              <w:rPr>
                <w:sz w:val="24"/>
                <w:szCs w:val="24"/>
              </w:rPr>
              <w:t>0.04-15</w:t>
            </w:r>
          </w:p>
        </w:tc>
        <w:tc>
          <w:tcPr>
            <w:tcW w:w="1005" w:type="dxa"/>
            <w:vAlign w:val="bottom"/>
          </w:tcPr>
          <w:p w14:paraId="6334FE35" w14:textId="77777777" w:rsidR="003733B6" w:rsidRPr="00D562F1" w:rsidRDefault="003733B6" w:rsidP="0040594E">
            <w:pPr>
              <w:pStyle w:val="Tablebody"/>
              <w:rPr>
                <w:sz w:val="24"/>
                <w:szCs w:val="24"/>
              </w:rPr>
            </w:pPr>
            <w:r w:rsidRPr="00D562F1">
              <w:rPr>
                <w:sz w:val="24"/>
                <w:szCs w:val="24"/>
              </w:rPr>
              <w:t>0.85</w:t>
            </w:r>
          </w:p>
        </w:tc>
      </w:tr>
      <w:tr w:rsidR="003733B6" w14:paraId="47B4A3E5" w14:textId="77777777" w:rsidTr="00CE4655">
        <w:trPr>
          <w:gridAfter w:val="2"/>
          <w:wAfter w:w="80" w:type="dxa"/>
        </w:trPr>
        <w:tc>
          <w:tcPr>
            <w:tcW w:w="9468" w:type="dxa"/>
            <w:gridSpan w:val="12"/>
            <w:vAlign w:val="bottom"/>
          </w:tcPr>
          <w:p w14:paraId="0EFE2A97" w14:textId="77777777" w:rsidR="003733B6" w:rsidRPr="00D562F1" w:rsidRDefault="003733B6" w:rsidP="0040594E">
            <w:pPr>
              <w:pStyle w:val="Tablebody"/>
              <w:rPr>
                <w:sz w:val="24"/>
                <w:szCs w:val="24"/>
              </w:rPr>
            </w:pPr>
            <w:r w:rsidRPr="00D562F1">
              <w:rPr>
                <w:sz w:val="24"/>
                <w:szCs w:val="24"/>
              </w:rPr>
              <w:t>Dichotomous Combined Measure</w:t>
            </w:r>
          </w:p>
        </w:tc>
      </w:tr>
      <w:tr w:rsidR="003733B6" w14:paraId="19D91A52" w14:textId="77777777" w:rsidTr="00C96544">
        <w:trPr>
          <w:gridAfter w:val="2"/>
          <w:wAfter w:w="80" w:type="dxa"/>
        </w:trPr>
        <w:tc>
          <w:tcPr>
            <w:tcW w:w="3238" w:type="dxa"/>
            <w:gridSpan w:val="2"/>
            <w:vAlign w:val="bottom"/>
          </w:tcPr>
          <w:p w14:paraId="78006C25" w14:textId="77777777" w:rsidR="003733B6" w:rsidRPr="00D562F1" w:rsidRDefault="003733B6" w:rsidP="00FA43C1">
            <w:pPr>
              <w:pStyle w:val="Tablebodyindented"/>
              <w:ind w:left="350"/>
              <w:rPr>
                <w:sz w:val="24"/>
                <w:szCs w:val="24"/>
              </w:rPr>
            </w:pPr>
            <w:r w:rsidRPr="00D562F1">
              <w:rPr>
                <w:sz w:val="24"/>
                <w:szCs w:val="24"/>
              </w:rPr>
              <w:t>No Exposure</w:t>
            </w:r>
          </w:p>
        </w:tc>
        <w:tc>
          <w:tcPr>
            <w:tcW w:w="715" w:type="dxa"/>
            <w:gridSpan w:val="2"/>
            <w:vAlign w:val="bottom"/>
          </w:tcPr>
          <w:p w14:paraId="4341AD1F" w14:textId="77777777" w:rsidR="003733B6" w:rsidRPr="00D562F1" w:rsidRDefault="003733B6" w:rsidP="0040594E">
            <w:pPr>
              <w:pStyle w:val="Tablebody"/>
              <w:rPr>
                <w:sz w:val="24"/>
                <w:szCs w:val="24"/>
              </w:rPr>
            </w:pPr>
            <w:r w:rsidRPr="00D562F1">
              <w:rPr>
                <w:sz w:val="24"/>
                <w:szCs w:val="24"/>
              </w:rPr>
              <w:t>4</w:t>
            </w:r>
          </w:p>
        </w:tc>
        <w:tc>
          <w:tcPr>
            <w:tcW w:w="879" w:type="dxa"/>
            <w:gridSpan w:val="2"/>
            <w:vAlign w:val="bottom"/>
          </w:tcPr>
          <w:p w14:paraId="499B4478" w14:textId="77777777" w:rsidR="003733B6" w:rsidRPr="00D562F1" w:rsidRDefault="003733B6" w:rsidP="0040594E">
            <w:pPr>
              <w:pStyle w:val="Tablebody"/>
              <w:rPr>
                <w:sz w:val="24"/>
                <w:szCs w:val="24"/>
              </w:rPr>
            </w:pPr>
            <w:r w:rsidRPr="00D562F1">
              <w:rPr>
                <w:sz w:val="24"/>
                <w:szCs w:val="24"/>
              </w:rPr>
              <w:t>(40%)</w:t>
            </w:r>
          </w:p>
        </w:tc>
        <w:tc>
          <w:tcPr>
            <w:tcW w:w="715" w:type="dxa"/>
            <w:vAlign w:val="bottom"/>
          </w:tcPr>
          <w:p w14:paraId="649E9100" w14:textId="77777777" w:rsidR="003733B6" w:rsidRPr="00D562F1" w:rsidRDefault="003733B6" w:rsidP="0040594E">
            <w:pPr>
              <w:pStyle w:val="Tablebody"/>
              <w:rPr>
                <w:sz w:val="24"/>
                <w:szCs w:val="24"/>
              </w:rPr>
            </w:pPr>
            <w:r w:rsidRPr="00D562F1">
              <w:rPr>
                <w:sz w:val="24"/>
                <w:szCs w:val="24"/>
              </w:rPr>
              <w:t>23</w:t>
            </w:r>
          </w:p>
        </w:tc>
        <w:tc>
          <w:tcPr>
            <w:tcW w:w="879" w:type="dxa"/>
            <w:vAlign w:val="bottom"/>
          </w:tcPr>
          <w:p w14:paraId="322D8BEF" w14:textId="77777777" w:rsidR="003733B6" w:rsidRPr="00D562F1" w:rsidRDefault="003733B6" w:rsidP="0040594E">
            <w:pPr>
              <w:pStyle w:val="Tablebody"/>
              <w:rPr>
                <w:sz w:val="24"/>
                <w:szCs w:val="24"/>
              </w:rPr>
            </w:pPr>
            <w:r w:rsidRPr="00D562F1">
              <w:rPr>
                <w:sz w:val="24"/>
                <w:szCs w:val="24"/>
              </w:rPr>
              <w:t>(59%)</w:t>
            </w:r>
          </w:p>
        </w:tc>
        <w:tc>
          <w:tcPr>
            <w:tcW w:w="868" w:type="dxa"/>
            <w:gridSpan w:val="2"/>
            <w:vAlign w:val="bottom"/>
          </w:tcPr>
          <w:p w14:paraId="185E2EFC" w14:textId="77777777" w:rsidR="003733B6" w:rsidRPr="00D562F1" w:rsidRDefault="003733B6" w:rsidP="0040594E">
            <w:pPr>
              <w:pStyle w:val="Tablebody"/>
              <w:rPr>
                <w:sz w:val="24"/>
                <w:szCs w:val="24"/>
              </w:rPr>
            </w:pPr>
            <w:r w:rsidRPr="00D562F1">
              <w:rPr>
                <w:sz w:val="24"/>
                <w:szCs w:val="24"/>
              </w:rPr>
              <w:t>1.0</w:t>
            </w:r>
          </w:p>
        </w:tc>
        <w:tc>
          <w:tcPr>
            <w:tcW w:w="1169" w:type="dxa"/>
            <w:vAlign w:val="bottom"/>
          </w:tcPr>
          <w:p w14:paraId="703D473F" w14:textId="77777777" w:rsidR="003733B6" w:rsidRPr="00D562F1" w:rsidRDefault="003733B6" w:rsidP="0040594E">
            <w:pPr>
              <w:pStyle w:val="Tablebody"/>
              <w:rPr>
                <w:sz w:val="24"/>
                <w:szCs w:val="24"/>
              </w:rPr>
            </w:pPr>
            <w:r w:rsidRPr="00D562F1">
              <w:rPr>
                <w:sz w:val="24"/>
                <w:szCs w:val="24"/>
              </w:rPr>
              <w:t>-ref-</w:t>
            </w:r>
          </w:p>
        </w:tc>
        <w:tc>
          <w:tcPr>
            <w:tcW w:w="1005" w:type="dxa"/>
            <w:vAlign w:val="bottom"/>
          </w:tcPr>
          <w:p w14:paraId="79E32396" w14:textId="77777777" w:rsidR="003733B6" w:rsidRPr="00D562F1" w:rsidRDefault="003733B6" w:rsidP="0040594E">
            <w:pPr>
              <w:pStyle w:val="Tablebody"/>
              <w:rPr>
                <w:sz w:val="24"/>
                <w:szCs w:val="24"/>
              </w:rPr>
            </w:pPr>
          </w:p>
        </w:tc>
      </w:tr>
      <w:tr w:rsidR="003733B6" w14:paraId="314EFA10" w14:textId="77777777" w:rsidTr="00C96544">
        <w:trPr>
          <w:gridAfter w:val="2"/>
          <w:wAfter w:w="80" w:type="dxa"/>
        </w:trPr>
        <w:tc>
          <w:tcPr>
            <w:tcW w:w="3238" w:type="dxa"/>
            <w:gridSpan w:val="2"/>
            <w:vAlign w:val="bottom"/>
          </w:tcPr>
          <w:p w14:paraId="38D373C3" w14:textId="042F13E0" w:rsidR="003733B6" w:rsidRPr="00D562F1" w:rsidRDefault="003733B6" w:rsidP="00FA43C1">
            <w:pPr>
              <w:pStyle w:val="Tablebodyindented"/>
              <w:ind w:left="350"/>
              <w:rPr>
                <w:sz w:val="24"/>
                <w:szCs w:val="24"/>
              </w:rPr>
            </w:pPr>
            <w:r w:rsidRPr="00D562F1">
              <w:rPr>
                <w:sz w:val="24"/>
                <w:szCs w:val="24"/>
              </w:rPr>
              <w:t xml:space="preserve">NDMA or </w:t>
            </w:r>
            <w:r w:rsidR="003C053D" w:rsidRPr="00D562F1">
              <w:rPr>
                <w:sz w:val="24"/>
                <w:szCs w:val="24"/>
              </w:rPr>
              <w:t xml:space="preserve">NDMA and </w:t>
            </w:r>
            <w:r w:rsidRPr="00D562F1">
              <w:rPr>
                <w:sz w:val="24"/>
                <w:szCs w:val="24"/>
              </w:rPr>
              <w:t>TCE</w:t>
            </w:r>
          </w:p>
        </w:tc>
        <w:tc>
          <w:tcPr>
            <w:tcW w:w="715" w:type="dxa"/>
            <w:gridSpan w:val="2"/>
            <w:vAlign w:val="bottom"/>
          </w:tcPr>
          <w:p w14:paraId="230CCD9E" w14:textId="77777777" w:rsidR="003733B6" w:rsidRPr="00D562F1" w:rsidRDefault="003733B6" w:rsidP="0040594E">
            <w:pPr>
              <w:pStyle w:val="Tablebody"/>
              <w:rPr>
                <w:sz w:val="24"/>
                <w:szCs w:val="24"/>
              </w:rPr>
            </w:pPr>
            <w:r w:rsidRPr="00D562F1">
              <w:rPr>
                <w:sz w:val="24"/>
                <w:szCs w:val="24"/>
              </w:rPr>
              <w:t>6</w:t>
            </w:r>
          </w:p>
        </w:tc>
        <w:tc>
          <w:tcPr>
            <w:tcW w:w="879" w:type="dxa"/>
            <w:gridSpan w:val="2"/>
            <w:vAlign w:val="bottom"/>
          </w:tcPr>
          <w:p w14:paraId="3D38EEB4" w14:textId="77777777" w:rsidR="003733B6" w:rsidRPr="00D562F1" w:rsidRDefault="003733B6" w:rsidP="0040594E">
            <w:pPr>
              <w:pStyle w:val="Tablebody"/>
              <w:rPr>
                <w:sz w:val="24"/>
                <w:szCs w:val="24"/>
              </w:rPr>
            </w:pPr>
            <w:r w:rsidRPr="00D562F1">
              <w:rPr>
                <w:sz w:val="24"/>
                <w:szCs w:val="24"/>
              </w:rPr>
              <w:t>(60%)</w:t>
            </w:r>
          </w:p>
        </w:tc>
        <w:tc>
          <w:tcPr>
            <w:tcW w:w="715" w:type="dxa"/>
            <w:vAlign w:val="bottom"/>
          </w:tcPr>
          <w:p w14:paraId="4C2A5418" w14:textId="77777777" w:rsidR="003733B6" w:rsidRPr="00D562F1" w:rsidRDefault="003733B6" w:rsidP="0040594E">
            <w:pPr>
              <w:pStyle w:val="Tablebody"/>
              <w:rPr>
                <w:sz w:val="24"/>
                <w:szCs w:val="24"/>
              </w:rPr>
            </w:pPr>
            <w:r w:rsidRPr="00D562F1">
              <w:rPr>
                <w:sz w:val="24"/>
                <w:szCs w:val="24"/>
              </w:rPr>
              <w:t>16</w:t>
            </w:r>
          </w:p>
        </w:tc>
        <w:tc>
          <w:tcPr>
            <w:tcW w:w="879" w:type="dxa"/>
            <w:vAlign w:val="bottom"/>
          </w:tcPr>
          <w:p w14:paraId="0EE8FB5B" w14:textId="77777777" w:rsidR="003733B6" w:rsidRPr="00D562F1" w:rsidRDefault="003733B6" w:rsidP="0040594E">
            <w:pPr>
              <w:pStyle w:val="Tablebody"/>
              <w:rPr>
                <w:sz w:val="24"/>
                <w:szCs w:val="24"/>
              </w:rPr>
            </w:pPr>
            <w:r w:rsidRPr="00D562F1">
              <w:rPr>
                <w:sz w:val="24"/>
                <w:szCs w:val="24"/>
              </w:rPr>
              <w:t>(41%)</w:t>
            </w:r>
          </w:p>
        </w:tc>
        <w:tc>
          <w:tcPr>
            <w:tcW w:w="868" w:type="dxa"/>
            <w:gridSpan w:val="2"/>
            <w:vAlign w:val="bottom"/>
          </w:tcPr>
          <w:p w14:paraId="1AFF9559" w14:textId="77777777" w:rsidR="003733B6" w:rsidRPr="00D562F1" w:rsidRDefault="003733B6" w:rsidP="0040594E">
            <w:pPr>
              <w:pStyle w:val="Tablebody"/>
              <w:rPr>
                <w:sz w:val="24"/>
                <w:szCs w:val="24"/>
              </w:rPr>
            </w:pPr>
            <w:r w:rsidRPr="00D562F1">
              <w:rPr>
                <w:sz w:val="24"/>
                <w:szCs w:val="24"/>
              </w:rPr>
              <w:t>1.9</w:t>
            </w:r>
          </w:p>
        </w:tc>
        <w:tc>
          <w:tcPr>
            <w:tcW w:w="1169" w:type="dxa"/>
            <w:vAlign w:val="bottom"/>
          </w:tcPr>
          <w:p w14:paraId="5A112F27" w14:textId="77777777" w:rsidR="003733B6" w:rsidRPr="00D562F1" w:rsidRDefault="003733B6" w:rsidP="0040594E">
            <w:pPr>
              <w:pStyle w:val="Tablebody"/>
              <w:rPr>
                <w:sz w:val="24"/>
                <w:szCs w:val="24"/>
              </w:rPr>
            </w:pPr>
            <w:r w:rsidRPr="00D562F1">
              <w:rPr>
                <w:sz w:val="24"/>
                <w:szCs w:val="24"/>
              </w:rPr>
              <w:t>0.5-8.2</w:t>
            </w:r>
          </w:p>
        </w:tc>
        <w:tc>
          <w:tcPr>
            <w:tcW w:w="1005" w:type="dxa"/>
            <w:vAlign w:val="bottom"/>
          </w:tcPr>
          <w:p w14:paraId="604AD15E" w14:textId="77777777" w:rsidR="003733B6" w:rsidRPr="00D562F1" w:rsidRDefault="003733B6" w:rsidP="0040594E">
            <w:pPr>
              <w:pStyle w:val="Tablebody"/>
              <w:rPr>
                <w:sz w:val="24"/>
                <w:szCs w:val="24"/>
              </w:rPr>
            </w:pPr>
            <w:r w:rsidRPr="00D562F1">
              <w:rPr>
                <w:sz w:val="24"/>
                <w:szCs w:val="24"/>
              </w:rPr>
              <w:t>0.37</w:t>
            </w:r>
          </w:p>
        </w:tc>
      </w:tr>
      <w:tr w:rsidR="003733B6" w14:paraId="7F975CAB" w14:textId="77777777" w:rsidTr="00C96544">
        <w:trPr>
          <w:gridAfter w:val="2"/>
          <w:wAfter w:w="80" w:type="dxa"/>
        </w:trPr>
        <w:tc>
          <w:tcPr>
            <w:tcW w:w="3238" w:type="dxa"/>
            <w:gridSpan w:val="2"/>
            <w:vAlign w:val="bottom"/>
          </w:tcPr>
          <w:p w14:paraId="3DDBF567" w14:textId="77777777" w:rsidR="003733B6" w:rsidRPr="00D562F1" w:rsidRDefault="003733B6" w:rsidP="0040594E">
            <w:pPr>
              <w:pStyle w:val="Tablebody"/>
              <w:rPr>
                <w:sz w:val="24"/>
                <w:szCs w:val="24"/>
              </w:rPr>
            </w:pPr>
            <w:r w:rsidRPr="00D562F1">
              <w:rPr>
                <w:sz w:val="24"/>
                <w:szCs w:val="24"/>
              </w:rPr>
              <w:t>Three-level Combined Measure</w:t>
            </w:r>
          </w:p>
        </w:tc>
        <w:tc>
          <w:tcPr>
            <w:tcW w:w="715" w:type="dxa"/>
            <w:gridSpan w:val="2"/>
            <w:vAlign w:val="bottom"/>
          </w:tcPr>
          <w:p w14:paraId="3A625619" w14:textId="77777777" w:rsidR="003733B6" w:rsidRPr="00D562F1" w:rsidRDefault="003733B6" w:rsidP="0040594E">
            <w:pPr>
              <w:pStyle w:val="Tablebody"/>
              <w:rPr>
                <w:sz w:val="24"/>
                <w:szCs w:val="24"/>
              </w:rPr>
            </w:pPr>
          </w:p>
        </w:tc>
        <w:tc>
          <w:tcPr>
            <w:tcW w:w="879" w:type="dxa"/>
            <w:gridSpan w:val="2"/>
            <w:vAlign w:val="bottom"/>
          </w:tcPr>
          <w:p w14:paraId="698DC336" w14:textId="77777777" w:rsidR="003733B6" w:rsidRPr="00D562F1" w:rsidRDefault="003733B6" w:rsidP="0040594E">
            <w:pPr>
              <w:pStyle w:val="Tablebody"/>
              <w:rPr>
                <w:sz w:val="24"/>
                <w:szCs w:val="24"/>
              </w:rPr>
            </w:pPr>
          </w:p>
        </w:tc>
        <w:tc>
          <w:tcPr>
            <w:tcW w:w="715" w:type="dxa"/>
            <w:vAlign w:val="bottom"/>
          </w:tcPr>
          <w:p w14:paraId="7E86EF6A" w14:textId="77777777" w:rsidR="003733B6" w:rsidRPr="00D562F1" w:rsidRDefault="003733B6" w:rsidP="0040594E">
            <w:pPr>
              <w:pStyle w:val="Tablebody"/>
              <w:rPr>
                <w:sz w:val="24"/>
                <w:szCs w:val="24"/>
              </w:rPr>
            </w:pPr>
          </w:p>
        </w:tc>
        <w:tc>
          <w:tcPr>
            <w:tcW w:w="879" w:type="dxa"/>
            <w:vAlign w:val="bottom"/>
          </w:tcPr>
          <w:p w14:paraId="199BBEEE" w14:textId="77777777" w:rsidR="003733B6" w:rsidRPr="00D562F1" w:rsidRDefault="003733B6" w:rsidP="0040594E">
            <w:pPr>
              <w:pStyle w:val="Tablebody"/>
              <w:rPr>
                <w:sz w:val="24"/>
                <w:szCs w:val="24"/>
              </w:rPr>
            </w:pPr>
          </w:p>
        </w:tc>
        <w:tc>
          <w:tcPr>
            <w:tcW w:w="868" w:type="dxa"/>
            <w:gridSpan w:val="2"/>
            <w:vAlign w:val="bottom"/>
          </w:tcPr>
          <w:p w14:paraId="06F868E3" w14:textId="77777777" w:rsidR="003733B6" w:rsidRPr="00D562F1" w:rsidRDefault="003733B6" w:rsidP="0040594E">
            <w:pPr>
              <w:pStyle w:val="Tablebody"/>
              <w:rPr>
                <w:sz w:val="24"/>
                <w:szCs w:val="24"/>
              </w:rPr>
            </w:pPr>
          </w:p>
        </w:tc>
        <w:tc>
          <w:tcPr>
            <w:tcW w:w="1169" w:type="dxa"/>
            <w:vAlign w:val="bottom"/>
          </w:tcPr>
          <w:p w14:paraId="02DC7754" w14:textId="77777777" w:rsidR="003733B6" w:rsidRPr="00D562F1" w:rsidRDefault="003733B6" w:rsidP="0040594E">
            <w:pPr>
              <w:pStyle w:val="Tablebody"/>
              <w:rPr>
                <w:sz w:val="24"/>
                <w:szCs w:val="24"/>
              </w:rPr>
            </w:pPr>
          </w:p>
        </w:tc>
        <w:tc>
          <w:tcPr>
            <w:tcW w:w="1005" w:type="dxa"/>
            <w:vAlign w:val="bottom"/>
          </w:tcPr>
          <w:p w14:paraId="5EDA8118" w14:textId="77777777" w:rsidR="003733B6" w:rsidRPr="00D562F1" w:rsidRDefault="003733B6" w:rsidP="0040594E">
            <w:pPr>
              <w:pStyle w:val="Tablebody"/>
              <w:rPr>
                <w:sz w:val="24"/>
                <w:szCs w:val="24"/>
              </w:rPr>
            </w:pPr>
          </w:p>
        </w:tc>
      </w:tr>
      <w:tr w:rsidR="003733B6" w14:paraId="755F30C8" w14:textId="77777777" w:rsidTr="00C96544">
        <w:trPr>
          <w:gridAfter w:val="2"/>
          <w:wAfter w:w="80" w:type="dxa"/>
        </w:trPr>
        <w:tc>
          <w:tcPr>
            <w:tcW w:w="3238" w:type="dxa"/>
            <w:gridSpan w:val="2"/>
            <w:vAlign w:val="bottom"/>
          </w:tcPr>
          <w:p w14:paraId="6CCB12FD" w14:textId="77777777" w:rsidR="003733B6" w:rsidRPr="00D562F1" w:rsidRDefault="003733B6" w:rsidP="00FA43C1">
            <w:pPr>
              <w:pStyle w:val="Tablebodyindented"/>
              <w:ind w:left="350"/>
              <w:rPr>
                <w:sz w:val="24"/>
                <w:szCs w:val="24"/>
              </w:rPr>
            </w:pPr>
            <w:r w:rsidRPr="00D562F1">
              <w:rPr>
                <w:sz w:val="24"/>
                <w:szCs w:val="24"/>
              </w:rPr>
              <w:t>No Exposure</w:t>
            </w:r>
          </w:p>
        </w:tc>
        <w:tc>
          <w:tcPr>
            <w:tcW w:w="715" w:type="dxa"/>
            <w:gridSpan w:val="2"/>
            <w:vAlign w:val="bottom"/>
          </w:tcPr>
          <w:p w14:paraId="45A47250" w14:textId="77777777" w:rsidR="003733B6" w:rsidRPr="00D562F1" w:rsidRDefault="003733B6" w:rsidP="0040594E">
            <w:pPr>
              <w:pStyle w:val="Tablebody"/>
              <w:rPr>
                <w:sz w:val="24"/>
                <w:szCs w:val="24"/>
              </w:rPr>
            </w:pPr>
            <w:r w:rsidRPr="00D562F1">
              <w:rPr>
                <w:sz w:val="24"/>
                <w:szCs w:val="24"/>
              </w:rPr>
              <w:t>4</w:t>
            </w:r>
          </w:p>
        </w:tc>
        <w:tc>
          <w:tcPr>
            <w:tcW w:w="879" w:type="dxa"/>
            <w:gridSpan w:val="2"/>
            <w:vAlign w:val="bottom"/>
          </w:tcPr>
          <w:p w14:paraId="50C25163" w14:textId="77777777" w:rsidR="003733B6" w:rsidRPr="00D562F1" w:rsidRDefault="003733B6" w:rsidP="0040594E">
            <w:pPr>
              <w:pStyle w:val="Tablebody"/>
              <w:rPr>
                <w:sz w:val="24"/>
                <w:szCs w:val="24"/>
              </w:rPr>
            </w:pPr>
            <w:r w:rsidRPr="00D562F1">
              <w:rPr>
                <w:sz w:val="24"/>
                <w:szCs w:val="24"/>
              </w:rPr>
              <w:t>(40%)</w:t>
            </w:r>
          </w:p>
        </w:tc>
        <w:tc>
          <w:tcPr>
            <w:tcW w:w="715" w:type="dxa"/>
            <w:vAlign w:val="bottom"/>
          </w:tcPr>
          <w:p w14:paraId="49B91323" w14:textId="77777777" w:rsidR="003733B6" w:rsidRPr="00D562F1" w:rsidRDefault="003733B6" w:rsidP="0040594E">
            <w:pPr>
              <w:pStyle w:val="Tablebody"/>
              <w:rPr>
                <w:sz w:val="24"/>
                <w:szCs w:val="24"/>
              </w:rPr>
            </w:pPr>
            <w:r w:rsidRPr="00D562F1">
              <w:rPr>
                <w:sz w:val="24"/>
                <w:szCs w:val="24"/>
              </w:rPr>
              <w:t>23</w:t>
            </w:r>
          </w:p>
        </w:tc>
        <w:tc>
          <w:tcPr>
            <w:tcW w:w="879" w:type="dxa"/>
            <w:vAlign w:val="bottom"/>
          </w:tcPr>
          <w:p w14:paraId="5C200D30" w14:textId="77777777" w:rsidR="003733B6" w:rsidRPr="00D562F1" w:rsidRDefault="003733B6" w:rsidP="0040594E">
            <w:pPr>
              <w:pStyle w:val="Tablebody"/>
              <w:rPr>
                <w:sz w:val="24"/>
                <w:szCs w:val="24"/>
              </w:rPr>
            </w:pPr>
            <w:r w:rsidRPr="00D562F1">
              <w:rPr>
                <w:sz w:val="24"/>
                <w:szCs w:val="24"/>
              </w:rPr>
              <w:t>(59%)</w:t>
            </w:r>
          </w:p>
        </w:tc>
        <w:tc>
          <w:tcPr>
            <w:tcW w:w="868" w:type="dxa"/>
            <w:gridSpan w:val="2"/>
            <w:vAlign w:val="bottom"/>
          </w:tcPr>
          <w:p w14:paraId="54A6E4B8" w14:textId="77777777" w:rsidR="003733B6" w:rsidRPr="00D562F1" w:rsidRDefault="003733B6" w:rsidP="0040594E">
            <w:pPr>
              <w:pStyle w:val="Tablebody"/>
              <w:rPr>
                <w:sz w:val="24"/>
                <w:szCs w:val="24"/>
              </w:rPr>
            </w:pPr>
            <w:r w:rsidRPr="00D562F1">
              <w:rPr>
                <w:sz w:val="24"/>
                <w:szCs w:val="24"/>
              </w:rPr>
              <w:t>1.0</w:t>
            </w:r>
          </w:p>
        </w:tc>
        <w:tc>
          <w:tcPr>
            <w:tcW w:w="1169" w:type="dxa"/>
            <w:vAlign w:val="bottom"/>
          </w:tcPr>
          <w:p w14:paraId="21A15178" w14:textId="77777777" w:rsidR="003733B6" w:rsidRPr="00D562F1" w:rsidRDefault="003733B6" w:rsidP="0040594E">
            <w:pPr>
              <w:pStyle w:val="Tablebody"/>
              <w:rPr>
                <w:sz w:val="24"/>
                <w:szCs w:val="24"/>
              </w:rPr>
            </w:pPr>
            <w:r w:rsidRPr="00D562F1">
              <w:rPr>
                <w:sz w:val="24"/>
                <w:szCs w:val="24"/>
              </w:rPr>
              <w:t>-ref-</w:t>
            </w:r>
          </w:p>
        </w:tc>
        <w:tc>
          <w:tcPr>
            <w:tcW w:w="1005" w:type="dxa"/>
            <w:vAlign w:val="bottom"/>
          </w:tcPr>
          <w:p w14:paraId="44BF2E47" w14:textId="77777777" w:rsidR="003733B6" w:rsidRPr="00D562F1" w:rsidRDefault="003733B6" w:rsidP="0040594E">
            <w:pPr>
              <w:pStyle w:val="Tablebody"/>
              <w:rPr>
                <w:sz w:val="24"/>
                <w:szCs w:val="24"/>
              </w:rPr>
            </w:pPr>
          </w:p>
        </w:tc>
      </w:tr>
      <w:tr w:rsidR="003733B6" w14:paraId="235ECA9B" w14:textId="77777777" w:rsidTr="00C96544">
        <w:trPr>
          <w:gridAfter w:val="2"/>
          <w:wAfter w:w="80" w:type="dxa"/>
        </w:trPr>
        <w:tc>
          <w:tcPr>
            <w:tcW w:w="3238" w:type="dxa"/>
            <w:gridSpan w:val="2"/>
            <w:vAlign w:val="bottom"/>
          </w:tcPr>
          <w:p w14:paraId="5FDF6470" w14:textId="1C1BEB74" w:rsidR="003733B6" w:rsidRPr="00D562F1" w:rsidRDefault="003733B6" w:rsidP="00FA43C1">
            <w:pPr>
              <w:pStyle w:val="Tablebodyindented"/>
              <w:ind w:left="350"/>
              <w:rPr>
                <w:sz w:val="24"/>
                <w:szCs w:val="24"/>
              </w:rPr>
            </w:pPr>
            <w:r w:rsidRPr="00D562F1">
              <w:rPr>
                <w:sz w:val="24"/>
                <w:szCs w:val="24"/>
              </w:rPr>
              <w:t>NDMA alone</w:t>
            </w:r>
          </w:p>
        </w:tc>
        <w:tc>
          <w:tcPr>
            <w:tcW w:w="715" w:type="dxa"/>
            <w:gridSpan w:val="2"/>
            <w:vAlign w:val="bottom"/>
          </w:tcPr>
          <w:p w14:paraId="181CF93A" w14:textId="77777777" w:rsidR="003733B6" w:rsidRPr="00D562F1" w:rsidRDefault="003733B6" w:rsidP="0040594E">
            <w:pPr>
              <w:pStyle w:val="Tablebody"/>
              <w:rPr>
                <w:sz w:val="24"/>
                <w:szCs w:val="24"/>
              </w:rPr>
            </w:pPr>
            <w:r w:rsidRPr="00D562F1">
              <w:rPr>
                <w:sz w:val="24"/>
                <w:szCs w:val="24"/>
              </w:rPr>
              <w:t>3</w:t>
            </w:r>
          </w:p>
        </w:tc>
        <w:tc>
          <w:tcPr>
            <w:tcW w:w="879" w:type="dxa"/>
            <w:gridSpan w:val="2"/>
            <w:vAlign w:val="bottom"/>
          </w:tcPr>
          <w:p w14:paraId="2A91E610" w14:textId="77777777" w:rsidR="003733B6" w:rsidRPr="00D562F1" w:rsidRDefault="003733B6" w:rsidP="0040594E">
            <w:pPr>
              <w:pStyle w:val="Tablebody"/>
              <w:rPr>
                <w:sz w:val="24"/>
                <w:szCs w:val="24"/>
              </w:rPr>
            </w:pPr>
            <w:r w:rsidRPr="00D562F1">
              <w:rPr>
                <w:sz w:val="24"/>
                <w:szCs w:val="24"/>
              </w:rPr>
              <w:t>(30%)</w:t>
            </w:r>
          </w:p>
        </w:tc>
        <w:tc>
          <w:tcPr>
            <w:tcW w:w="715" w:type="dxa"/>
            <w:vAlign w:val="bottom"/>
          </w:tcPr>
          <w:p w14:paraId="3A33ABEF" w14:textId="77777777" w:rsidR="003733B6" w:rsidRPr="00D562F1" w:rsidRDefault="003733B6" w:rsidP="0040594E">
            <w:pPr>
              <w:pStyle w:val="Tablebody"/>
              <w:rPr>
                <w:sz w:val="24"/>
                <w:szCs w:val="24"/>
              </w:rPr>
            </w:pPr>
            <w:r w:rsidRPr="00D562F1">
              <w:rPr>
                <w:sz w:val="24"/>
                <w:szCs w:val="24"/>
              </w:rPr>
              <w:t>7</w:t>
            </w:r>
          </w:p>
        </w:tc>
        <w:tc>
          <w:tcPr>
            <w:tcW w:w="879" w:type="dxa"/>
            <w:vAlign w:val="bottom"/>
          </w:tcPr>
          <w:p w14:paraId="6B57CB89" w14:textId="77777777" w:rsidR="003733B6" w:rsidRPr="00D562F1" w:rsidRDefault="003733B6" w:rsidP="0040594E">
            <w:pPr>
              <w:pStyle w:val="Tablebody"/>
              <w:rPr>
                <w:sz w:val="24"/>
                <w:szCs w:val="24"/>
              </w:rPr>
            </w:pPr>
            <w:r w:rsidRPr="00D562F1">
              <w:rPr>
                <w:sz w:val="24"/>
                <w:szCs w:val="24"/>
              </w:rPr>
              <w:t>(18%)</w:t>
            </w:r>
          </w:p>
        </w:tc>
        <w:tc>
          <w:tcPr>
            <w:tcW w:w="868" w:type="dxa"/>
            <w:gridSpan w:val="2"/>
            <w:vAlign w:val="bottom"/>
          </w:tcPr>
          <w:p w14:paraId="22282D33" w14:textId="77777777" w:rsidR="003733B6" w:rsidRPr="00D562F1" w:rsidRDefault="003733B6" w:rsidP="0040594E">
            <w:pPr>
              <w:pStyle w:val="Tablebody"/>
              <w:rPr>
                <w:sz w:val="24"/>
                <w:szCs w:val="24"/>
              </w:rPr>
            </w:pPr>
            <w:r w:rsidRPr="00D562F1">
              <w:rPr>
                <w:sz w:val="24"/>
                <w:szCs w:val="24"/>
              </w:rPr>
              <w:t>2.4</w:t>
            </w:r>
          </w:p>
        </w:tc>
        <w:tc>
          <w:tcPr>
            <w:tcW w:w="1169" w:type="dxa"/>
            <w:vAlign w:val="bottom"/>
          </w:tcPr>
          <w:p w14:paraId="7A5ABCB0" w14:textId="77777777" w:rsidR="003733B6" w:rsidRPr="00D562F1" w:rsidRDefault="003733B6" w:rsidP="0040594E">
            <w:pPr>
              <w:pStyle w:val="Tablebody"/>
              <w:rPr>
                <w:sz w:val="24"/>
                <w:szCs w:val="24"/>
              </w:rPr>
            </w:pPr>
            <w:r w:rsidRPr="00D562F1">
              <w:rPr>
                <w:sz w:val="24"/>
                <w:szCs w:val="24"/>
              </w:rPr>
              <w:t>0.2-27</w:t>
            </w:r>
          </w:p>
        </w:tc>
        <w:tc>
          <w:tcPr>
            <w:tcW w:w="1005" w:type="dxa"/>
            <w:vAlign w:val="bottom"/>
          </w:tcPr>
          <w:p w14:paraId="0605B0DD" w14:textId="77777777" w:rsidR="003733B6" w:rsidRPr="00D562F1" w:rsidRDefault="003733B6" w:rsidP="0040594E">
            <w:pPr>
              <w:pStyle w:val="Tablebody"/>
              <w:rPr>
                <w:sz w:val="24"/>
                <w:szCs w:val="24"/>
              </w:rPr>
            </w:pPr>
            <w:r w:rsidRPr="00D562F1">
              <w:rPr>
                <w:sz w:val="24"/>
                <w:szCs w:val="24"/>
              </w:rPr>
              <w:t>0.49</w:t>
            </w:r>
          </w:p>
        </w:tc>
      </w:tr>
      <w:tr w:rsidR="003733B6" w14:paraId="5500D05B" w14:textId="77777777" w:rsidTr="00C96544">
        <w:trPr>
          <w:gridAfter w:val="2"/>
          <w:wAfter w:w="80" w:type="dxa"/>
        </w:trPr>
        <w:tc>
          <w:tcPr>
            <w:tcW w:w="3238" w:type="dxa"/>
            <w:gridSpan w:val="2"/>
            <w:tcBorders>
              <w:bottom w:val="single" w:sz="4" w:space="0" w:color="auto"/>
            </w:tcBorders>
            <w:vAlign w:val="bottom"/>
          </w:tcPr>
          <w:p w14:paraId="068F5841" w14:textId="77777777" w:rsidR="003733B6" w:rsidRPr="00D562F1" w:rsidRDefault="003733B6" w:rsidP="00FA43C1">
            <w:pPr>
              <w:pStyle w:val="Tablebodyindented"/>
              <w:ind w:left="350"/>
              <w:rPr>
                <w:sz w:val="24"/>
                <w:szCs w:val="24"/>
              </w:rPr>
            </w:pPr>
            <w:r w:rsidRPr="00D562F1">
              <w:rPr>
                <w:sz w:val="24"/>
                <w:szCs w:val="24"/>
              </w:rPr>
              <w:t>NDMA and TCE</w:t>
            </w:r>
          </w:p>
        </w:tc>
        <w:tc>
          <w:tcPr>
            <w:tcW w:w="715" w:type="dxa"/>
            <w:gridSpan w:val="2"/>
            <w:tcBorders>
              <w:bottom w:val="single" w:sz="4" w:space="0" w:color="auto"/>
            </w:tcBorders>
            <w:vAlign w:val="bottom"/>
          </w:tcPr>
          <w:p w14:paraId="44397514" w14:textId="77777777" w:rsidR="003733B6" w:rsidRPr="00D562F1" w:rsidRDefault="003733B6" w:rsidP="0040594E">
            <w:pPr>
              <w:pStyle w:val="Tablebody"/>
              <w:rPr>
                <w:sz w:val="24"/>
                <w:szCs w:val="24"/>
              </w:rPr>
            </w:pPr>
            <w:r w:rsidRPr="00D562F1">
              <w:rPr>
                <w:sz w:val="24"/>
                <w:szCs w:val="24"/>
              </w:rPr>
              <w:t>3</w:t>
            </w:r>
          </w:p>
        </w:tc>
        <w:tc>
          <w:tcPr>
            <w:tcW w:w="879" w:type="dxa"/>
            <w:gridSpan w:val="2"/>
            <w:tcBorders>
              <w:bottom w:val="single" w:sz="4" w:space="0" w:color="auto"/>
            </w:tcBorders>
            <w:vAlign w:val="bottom"/>
          </w:tcPr>
          <w:p w14:paraId="6B4D5455" w14:textId="77777777" w:rsidR="003733B6" w:rsidRPr="00D562F1" w:rsidRDefault="003733B6" w:rsidP="0040594E">
            <w:pPr>
              <w:pStyle w:val="Tablebody"/>
              <w:rPr>
                <w:sz w:val="24"/>
                <w:szCs w:val="24"/>
              </w:rPr>
            </w:pPr>
            <w:r w:rsidRPr="00D562F1">
              <w:rPr>
                <w:sz w:val="24"/>
                <w:szCs w:val="24"/>
              </w:rPr>
              <w:t>(40%)</w:t>
            </w:r>
          </w:p>
        </w:tc>
        <w:tc>
          <w:tcPr>
            <w:tcW w:w="715" w:type="dxa"/>
            <w:tcBorders>
              <w:bottom w:val="single" w:sz="4" w:space="0" w:color="auto"/>
            </w:tcBorders>
            <w:vAlign w:val="bottom"/>
          </w:tcPr>
          <w:p w14:paraId="10A93971" w14:textId="77777777" w:rsidR="003733B6" w:rsidRPr="00D562F1" w:rsidRDefault="003733B6" w:rsidP="0040594E">
            <w:pPr>
              <w:pStyle w:val="Tablebody"/>
              <w:rPr>
                <w:sz w:val="24"/>
                <w:szCs w:val="24"/>
              </w:rPr>
            </w:pPr>
            <w:r w:rsidRPr="00D562F1">
              <w:rPr>
                <w:sz w:val="24"/>
                <w:szCs w:val="24"/>
              </w:rPr>
              <w:t>9</w:t>
            </w:r>
          </w:p>
        </w:tc>
        <w:tc>
          <w:tcPr>
            <w:tcW w:w="879" w:type="dxa"/>
            <w:tcBorders>
              <w:bottom w:val="single" w:sz="4" w:space="0" w:color="auto"/>
            </w:tcBorders>
            <w:vAlign w:val="bottom"/>
          </w:tcPr>
          <w:p w14:paraId="470D6191" w14:textId="77777777" w:rsidR="003733B6" w:rsidRPr="00D562F1" w:rsidRDefault="003733B6" w:rsidP="0040594E">
            <w:pPr>
              <w:pStyle w:val="Tablebody"/>
              <w:rPr>
                <w:sz w:val="24"/>
                <w:szCs w:val="24"/>
              </w:rPr>
            </w:pPr>
            <w:r w:rsidRPr="00D562F1">
              <w:rPr>
                <w:sz w:val="24"/>
                <w:szCs w:val="24"/>
              </w:rPr>
              <w:t>(23%)</w:t>
            </w:r>
          </w:p>
        </w:tc>
        <w:tc>
          <w:tcPr>
            <w:tcW w:w="868" w:type="dxa"/>
            <w:gridSpan w:val="2"/>
            <w:tcBorders>
              <w:bottom w:val="single" w:sz="4" w:space="0" w:color="auto"/>
            </w:tcBorders>
            <w:vAlign w:val="bottom"/>
          </w:tcPr>
          <w:p w14:paraId="6764D662" w14:textId="77777777" w:rsidR="003733B6" w:rsidRPr="00D562F1" w:rsidRDefault="003733B6" w:rsidP="0040594E">
            <w:pPr>
              <w:pStyle w:val="Tablebody"/>
              <w:rPr>
                <w:sz w:val="24"/>
                <w:szCs w:val="24"/>
              </w:rPr>
            </w:pPr>
            <w:r w:rsidRPr="00D562F1">
              <w:rPr>
                <w:sz w:val="24"/>
                <w:szCs w:val="24"/>
              </w:rPr>
              <w:t>1.7</w:t>
            </w:r>
          </w:p>
        </w:tc>
        <w:tc>
          <w:tcPr>
            <w:tcW w:w="1169" w:type="dxa"/>
            <w:tcBorders>
              <w:bottom w:val="single" w:sz="4" w:space="0" w:color="auto"/>
            </w:tcBorders>
            <w:vAlign w:val="bottom"/>
          </w:tcPr>
          <w:p w14:paraId="22815E39" w14:textId="77777777" w:rsidR="003733B6" w:rsidRPr="00D562F1" w:rsidRDefault="003733B6" w:rsidP="0040594E">
            <w:pPr>
              <w:pStyle w:val="Tablebody"/>
              <w:rPr>
                <w:sz w:val="24"/>
                <w:szCs w:val="24"/>
              </w:rPr>
            </w:pPr>
            <w:r w:rsidRPr="00D562F1">
              <w:rPr>
                <w:sz w:val="24"/>
                <w:szCs w:val="24"/>
              </w:rPr>
              <w:t>0.3-11</w:t>
            </w:r>
          </w:p>
        </w:tc>
        <w:tc>
          <w:tcPr>
            <w:tcW w:w="1005" w:type="dxa"/>
            <w:tcBorders>
              <w:bottom w:val="single" w:sz="4" w:space="0" w:color="auto"/>
            </w:tcBorders>
            <w:vAlign w:val="bottom"/>
          </w:tcPr>
          <w:p w14:paraId="58086468" w14:textId="77777777" w:rsidR="003733B6" w:rsidRPr="00D562F1" w:rsidRDefault="003733B6" w:rsidP="0040594E">
            <w:pPr>
              <w:pStyle w:val="Tablebody"/>
              <w:rPr>
                <w:sz w:val="24"/>
                <w:szCs w:val="24"/>
              </w:rPr>
            </w:pPr>
            <w:r w:rsidRPr="00D562F1">
              <w:rPr>
                <w:sz w:val="24"/>
                <w:szCs w:val="24"/>
              </w:rPr>
              <w:t>0.55</w:t>
            </w:r>
          </w:p>
        </w:tc>
      </w:tr>
    </w:tbl>
    <w:p w14:paraId="1B462673" w14:textId="77777777" w:rsidR="003733B6" w:rsidRPr="00D20DB8" w:rsidRDefault="003733B6" w:rsidP="0040594E">
      <w:pPr>
        <w:pStyle w:val="NoSpacing"/>
        <w:rPr>
          <w:sz w:val="22"/>
          <w:szCs w:val="22"/>
        </w:rPr>
      </w:pPr>
      <w:proofErr w:type="spellStart"/>
      <w:r w:rsidRPr="00D20DB8">
        <w:rPr>
          <w:sz w:val="22"/>
          <w:szCs w:val="22"/>
          <w:vertAlign w:val="superscript"/>
        </w:rPr>
        <w:t>a</w:t>
      </w:r>
      <w:r w:rsidRPr="00D20DB8">
        <w:rPr>
          <w:sz w:val="22"/>
          <w:szCs w:val="22"/>
        </w:rPr>
        <w:t>OR</w:t>
      </w:r>
      <w:proofErr w:type="spellEnd"/>
      <w:r w:rsidRPr="00D20DB8">
        <w:rPr>
          <w:sz w:val="22"/>
          <w:szCs w:val="22"/>
        </w:rPr>
        <w:t xml:space="preserve"> = Matched Odds Ratio</w:t>
      </w:r>
    </w:p>
    <w:p w14:paraId="6D3DD920" w14:textId="3D16DC19" w:rsidR="003733B6" w:rsidRDefault="003733B6" w:rsidP="0040594E">
      <w:pPr>
        <w:pStyle w:val="NoSpacing"/>
        <w:rPr>
          <w:sz w:val="22"/>
          <w:szCs w:val="22"/>
        </w:rPr>
      </w:pPr>
      <w:r w:rsidRPr="00D20DB8">
        <w:rPr>
          <w:sz w:val="22"/>
          <w:szCs w:val="22"/>
          <w:vertAlign w:val="superscript"/>
        </w:rPr>
        <w:t>b</w:t>
      </w:r>
      <w:r w:rsidRPr="00D20DB8">
        <w:rPr>
          <w:sz w:val="22"/>
          <w:szCs w:val="22"/>
        </w:rPr>
        <w:t>95% CI = 95% Confidence Interval</w:t>
      </w:r>
    </w:p>
    <w:p w14:paraId="61E4924C" w14:textId="77777777" w:rsidR="00FA43C1" w:rsidRPr="00D20DB8" w:rsidRDefault="00FA43C1" w:rsidP="0040594E">
      <w:pPr>
        <w:pStyle w:val="NoSpacing"/>
        <w:rPr>
          <w:sz w:val="22"/>
          <w:szCs w:val="22"/>
        </w:rPr>
      </w:pPr>
    </w:p>
    <w:p w14:paraId="1418621A" w14:textId="77777777" w:rsidR="00C67849" w:rsidRDefault="00FD17FB" w:rsidP="0010161F">
      <w:pPr>
        <w:pStyle w:val="Heading3"/>
      </w:pPr>
      <w:r>
        <w:lastRenderedPageBreak/>
        <w:t>Multivariate Models: Adjusting for Risk Factors</w:t>
      </w:r>
    </w:p>
    <w:p w14:paraId="06782C42" w14:textId="3B1E7DC0" w:rsidR="006E16B4" w:rsidRDefault="006E16B4" w:rsidP="00423581">
      <w:r>
        <w:t>The effect of possible confounding on the associations between childhood cancer and exposure to NDMA and TCE was evaluated</w:t>
      </w:r>
      <w:r w:rsidRPr="00075C1A">
        <w:t xml:space="preserve"> </w:t>
      </w:r>
      <w:r>
        <w:t xml:space="preserve">for each of </w:t>
      </w:r>
      <w:r w:rsidR="002725A1">
        <w:t>eleven</w:t>
      </w:r>
      <w:r>
        <w:t xml:space="preserve"> individual covariates: 1) oxygen given after birth, 2) incubator use after birth, 3) low birth weight, 4) adverse birth event, 5) </w:t>
      </w:r>
      <w:r w:rsidR="00B92738">
        <w:t xml:space="preserve">prenatal </w:t>
      </w:r>
      <w:r>
        <w:t xml:space="preserve">ultrasound, 6) antihistamine use by the child, 7) metals, alloys, or solder exposure, 8) plastics, synthetics, or resins exposure, 9) exhaust fume exposure, 10) herbicide exposure, and 11) maternal occupational exposure to ionizing radiation. These variables all had elevated odds ratios and </w:t>
      </w:r>
      <w:r>
        <w:rPr>
          <w:i/>
        </w:rPr>
        <w:t>p</w:t>
      </w:r>
      <w:r>
        <w:t>-values that were &lt;0.20 for the association with all cancers</w:t>
      </w:r>
      <w:r w:rsidR="00290CA2">
        <w:t xml:space="preserve"> or with leukemia/lymphoma</w:t>
      </w:r>
      <w:r>
        <w:t>. A variable was considered to be acting as a confounder if the effect estimates for exposure changed by at least 10% when the covariate was included in the model.</w:t>
      </w:r>
      <w:r w:rsidR="00116882">
        <w:t xml:space="preserve"> Confounding was evaluated in models of </w:t>
      </w:r>
      <w:r w:rsidR="00290CA2">
        <w:t xml:space="preserve">association between both the </w:t>
      </w:r>
      <w:r w:rsidR="007F74B7">
        <w:t>All Cancers</w:t>
      </w:r>
      <w:r w:rsidR="00290CA2">
        <w:t xml:space="preserve"> group and the </w:t>
      </w:r>
      <w:r w:rsidR="007F74B7">
        <w:t>Leukemia/Lymphoma</w:t>
      </w:r>
      <w:r w:rsidR="00290CA2">
        <w:t xml:space="preserve"> sub-group for maternal NDMA exposure measured as </w:t>
      </w:r>
      <w:r w:rsidR="00290CA2" w:rsidRPr="00F80B1F">
        <w:t xml:space="preserve">dichotomous (ever/never) </w:t>
      </w:r>
      <w:r w:rsidR="00290CA2">
        <w:t>and as categorical (zero</w:t>
      </w:r>
      <w:r w:rsidR="00290CA2" w:rsidRPr="00F80B1F">
        <w:t>, low, high</w:t>
      </w:r>
      <w:r w:rsidR="00290CA2">
        <w:t xml:space="preserve">) average modeled </w:t>
      </w:r>
      <w:r w:rsidR="00290CA2" w:rsidRPr="00F80B1F">
        <w:t>NDMA con</w:t>
      </w:r>
      <w:r w:rsidR="00290CA2">
        <w:t>centra</w:t>
      </w:r>
      <w:r w:rsidR="00290CA2" w:rsidRPr="00F80B1F">
        <w:t>tion</w:t>
      </w:r>
      <w:r w:rsidR="00290CA2">
        <w:t>s</w:t>
      </w:r>
      <w:r w:rsidR="00290CA2" w:rsidRPr="00F80B1F">
        <w:t xml:space="preserve"> in drinking water</w:t>
      </w:r>
      <w:r w:rsidR="00290CA2">
        <w:t xml:space="preserve">. Due to sample size considerations, TCE exposure analyses were evaluated for confounding only among the </w:t>
      </w:r>
      <w:r w:rsidR="007F74B7">
        <w:t>All Cancers</w:t>
      </w:r>
      <w:r w:rsidR="00290CA2">
        <w:t xml:space="preserve"> group and only using </w:t>
      </w:r>
      <w:r w:rsidR="00290CA2" w:rsidRPr="00F80B1F">
        <w:t>dichotomous (ever/never)</w:t>
      </w:r>
      <w:r w:rsidR="00290CA2">
        <w:t xml:space="preserve"> modeled TCE concentrations in maternal drinking water.</w:t>
      </w:r>
      <w:r w:rsidR="00E7152D">
        <w:t xml:space="preserve"> Confounding was not evaluated in models with multiple </w:t>
      </w:r>
      <w:r w:rsidR="002725A1">
        <w:t>covariates</w:t>
      </w:r>
      <w:r w:rsidR="00E7152D">
        <w:t xml:space="preserve"> due to sample size limitations.</w:t>
      </w:r>
    </w:p>
    <w:p w14:paraId="4B4684EA" w14:textId="27E4B0BA" w:rsidR="00290CA2" w:rsidRDefault="00290CA2" w:rsidP="00423581">
      <w:r>
        <w:t xml:space="preserve">In all adjusted models, potential exposure to NDMA in maternal drinking water remained positively associated with childhood cancer (all cancers and leukemia/lymphoma). </w:t>
      </w:r>
      <w:r w:rsidR="00957533">
        <w:t xml:space="preserve">For the analysis of categorical </w:t>
      </w:r>
      <w:r w:rsidR="000932AF">
        <w:t xml:space="preserve">maternal </w:t>
      </w:r>
      <w:r w:rsidR="00957533">
        <w:t>NDMA concentrations and all cancers, eight of the eleven variables were determined to be confounders</w:t>
      </w:r>
      <w:r w:rsidR="005A7F9A">
        <w:t>.</w:t>
      </w:r>
      <w:r w:rsidR="00957533">
        <w:t xml:space="preserve"> </w:t>
      </w:r>
      <w:r w:rsidR="005A7F9A">
        <w:t xml:space="preserve">Due to varying amounts of missing information across covariates, crude models were also re-run to evaluate effects within the sample of participants having complete information for each covariate. To highlight the impact that each covariate had on the effect estimates for NDMA, </w:t>
      </w:r>
      <w:r w:rsidR="0026662D">
        <w:fldChar w:fldCharType="begin"/>
      </w:r>
      <w:r w:rsidR="0026662D">
        <w:instrText xml:space="preserve"> REF  Table14 \h </w:instrText>
      </w:r>
      <w:r w:rsidR="00423581">
        <w:instrText xml:space="preserve"> \* MERGEFORMAT </w:instrText>
      </w:r>
      <w:r w:rsidR="0026662D">
        <w:fldChar w:fldCharType="separate"/>
      </w:r>
      <w:r w:rsidR="00977423">
        <w:t xml:space="preserve">Table </w:t>
      </w:r>
      <w:r w:rsidR="00977423">
        <w:rPr>
          <w:noProof/>
        </w:rPr>
        <w:t>14</w:t>
      </w:r>
      <w:r w:rsidR="0026662D">
        <w:fldChar w:fldCharType="end"/>
      </w:r>
      <w:r>
        <w:t xml:space="preserve"> presents </w:t>
      </w:r>
      <w:r w:rsidR="005A7F9A">
        <w:t xml:space="preserve">the new crude ORs for NDMA alongside the adjusted ORs for each </w:t>
      </w:r>
      <w:r w:rsidR="006C32AE">
        <w:t>multi</w:t>
      </w:r>
      <w:r w:rsidR="005A7F9A">
        <w:t>variate model</w:t>
      </w:r>
      <w:r>
        <w:t>.</w:t>
      </w:r>
      <w:r w:rsidR="00957533">
        <w:t xml:space="preserve"> In summary, crude ORs for the effect of high NDMA concentrations compared to no estimated exposure to NDMA ranged from 2.4 to 3.3 and adjusted ORs for this comparison ranged from 2.5 to 3.9.</w:t>
      </w:r>
    </w:p>
    <w:p w14:paraId="298D710E" w14:textId="0484DBB8" w:rsidR="00630D1E" w:rsidRDefault="000932AF" w:rsidP="00423581">
      <w:r>
        <w:t xml:space="preserve">Similarly modest changes were observed in adjusted models for the dichotomous (ever/never) </w:t>
      </w:r>
      <w:r w:rsidR="006C42C2">
        <w:t xml:space="preserve">maternal </w:t>
      </w:r>
      <w:r>
        <w:t xml:space="preserve">NDMA exposure </w:t>
      </w:r>
      <w:r w:rsidR="00C9271A">
        <w:t>in</w:t>
      </w:r>
      <w:r>
        <w:t xml:space="preserve"> the </w:t>
      </w:r>
      <w:r w:rsidR="007F74B7">
        <w:t>All Cancers</w:t>
      </w:r>
      <w:r>
        <w:t xml:space="preserve"> group with only </w:t>
      </w:r>
      <w:r w:rsidR="001352E3">
        <w:t>four</w:t>
      </w:r>
      <w:r w:rsidR="00C9271A">
        <w:t xml:space="preserve"> </w:t>
      </w:r>
      <w:r>
        <w:t xml:space="preserve">variables </w:t>
      </w:r>
      <w:r w:rsidR="00C9271A">
        <w:t xml:space="preserve">found to be </w:t>
      </w:r>
      <w:r>
        <w:t>acting as confounders</w:t>
      </w:r>
      <w:r w:rsidR="006C42C2">
        <w:t xml:space="preserve"> (oxygen given after birth, incubator use after birth, low birth weight, and </w:t>
      </w:r>
      <w:r w:rsidR="00B92738">
        <w:t xml:space="preserve">prenatal </w:t>
      </w:r>
      <w:r w:rsidR="006C42C2">
        <w:t>ultrasound)</w:t>
      </w:r>
      <w:r w:rsidR="005A7F9A">
        <w:t>.</w:t>
      </w:r>
      <w:r w:rsidR="006C42C2">
        <w:t xml:space="preserve"> </w:t>
      </w:r>
      <w:r w:rsidR="005A7F9A">
        <w:t>C</w:t>
      </w:r>
      <w:r>
        <w:t>rude OR</w:t>
      </w:r>
      <w:r w:rsidR="006C42C2">
        <w:t>s rang</w:t>
      </w:r>
      <w:r w:rsidR="005A7F9A">
        <w:t>ed</w:t>
      </w:r>
      <w:r w:rsidR="006C42C2">
        <w:t xml:space="preserve"> from</w:t>
      </w:r>
      <w:r>
        <w:t xml:space="preserve"> 1.7</w:t>
      </w:r>
      <w:r w:rsidR="006C42C2">
        <w:t xml:space="preserve"> to </w:t>
      </w:r>
      <w:r>
        <w:t>2.7</w:t>
      </w:r>
      <w:r w:rsidR="006C42C2">
        <w:t xml:space="preserve"> compared to a</w:t>
      </w:r>
      <w:r>
        <w:t>djusted OR</w:t>
      </w:r>
      <w:r w:rsidR="006C42C2">
        <w:t>s of</w:t>
      </w:r>
      <w:r>
        <w:t xml:space="preserve"> 1.6</w:t>
      </w:r>
      <w:r w:rsidR="006C42C2">
        <w:t xml:space="preserve"> to </w:t>
      </w:r>
      <w:r>
        <w:t xml:space="preserve">2.4. </w:t>
      </w:r>
      <w:r w:rsidR="006C42C2">
        <w:t xml:space="preserve">In the </w:t>
      </w:r>
      <w:r w:rsidR="007F74B7">
        <w:t>Leukemia/Lymphoma</w:t>
      </w:r>
      <w:r w:rsidR="006C42C2">
        <w:t xml:space="preserve"> subgroup analysis, </w:t>
      </w:r>
      <w:r w:rsidR="00B92738">
        <w:t>sample size limitations and lack of discordant pairs inhibited evaluation of some variables as confounders, including low birth weight, prenatal ultrasound, and</w:t>
      </w:r>
      <w:r w:rsidR="004B3849">
        <w:t xml:space="preserve"> metals, alloys, or solder exposure; adverse birth event was evaluated in the ever/never analysis for the </w:t>
      </w:r>
      <w:r w:rsidR="007F74B7">
        <w:t>Leukemia/Lymphoma</w:t>
      </w:r>
      <w:r w:rsidR="004B3849">
        <w:t xml:space="preserve"> subgroup, but not in </w:t>
      </w:r>
      <w:r w:rsidR="00FB5B93">
        <w:t xml:space="preserve">the </w:t>
      </w:r>
      <w:r w:rsidR="004B3849">
        <w:t>categorical exposure analysis</w:t>
      </w:r>
      <w:r w:rsidR="00B92738">
        <w:t xml:space="preserve">. </w:t>
      </w:r>
      <w:r w:rsidR="004B3849">
        <w:t xml:space="preserve">In all, </w:t>
      </w:r>
      <w:r w:rsidR="001352E3">
        <w:t>six</w:t>
      </w:r>
      <w:r w:rsidR="004B3849">
        <w:t xml:space="preserve"> </w:t>
      </w:r>
      <w:r w:rsidR="004B3849">
        <w:lastRenderedPageBreak/>
        <w:t xml:space="preserve">variables were found to act as confounders of </w:t>
      </w:r>
      <w:r w:rsidR="006C42C2">
        <w:t>the categorical NDMA results</w:t>
      </w:r>
      <w:r w:rsidR="004B3849">
        <w:t xml:space="preserve"> </w:t>
      </w:r>
      <w:r w:rsidR="001352E3">
        <w:t xml:space="preserve">and five variables impacted the dichotomous (ever/never) NDMA results. </w:t>
      </w:r>
      <w:r w:rsidR="00B201E6">
        <w:t>Crude and adjusted ORs ranged from 2.5 to 3.6 and 1.6 to 3.7, respectively, for dichotomous (ever/never) maternal exposure to NDMA and odds of leukemia/lymphoma</w:t>
      </w:r>
      <w:r w:rsidR="001D5E8E">
        <w:t>. F</w:t>
      </w:r>
      <w:r w:rsidR="00B201E6">
        <w:t xml:space="preserve">or the categorical analysis, high </w:t>
      </w:r>
      <w:r w:rsidR="00FB5B93">
        <w:t xml:space="preserve">compared to no estimated </w:t>
      </w:r>
      <w:r w:rsidR="00B201E6">
        <w:t xml:space="preserve">maternal NDMA concentrations </w:t>
      </w:r>
      <w:r w:rsidR="00FB5B93">
        <w:t xml:space="preserve">resulted </w:t>
      </w:r>
      <w:r w:rsidR="00B201E6">
        <w:t>in crude and adjusted ORs ranging from 4.6 to 11 and 4.0 to 16, respectively</w:t>
      </w:r>
      <w:r w:rsidR="001D5E8E">
        <w:t>, for the odds of leukemia/lymphoma</w:t>
      </w:r>
      <w:r w:rsidR="00B201E6">
        <w:t xml:space="preserve">. </w:t>
      </w:r>
      <w:r w:rsidR="00FB5B93">
        <w:t>Four variables were found to be co</w:t>
      </w:r>
      <w:r w:rsidR="004822CE">
        <w:t>n</w:t>
      </w:r>
      <w:r w:rsidR="00FB5B93">
        <w:t xml:space="preserve">founders of the association between dichotomous (ever/never) exposure to TCE and childhood cancer with crude and adjusted ORs </w:t>
      </w:r>
      <w:r w:rsidR="00192F3F">
        <w:t>ranging from 2.0</w:t>
      </w:r>
      <w:r w:rsidR="00FB5B93">
        <w:t xml:space="preserve">-2.3 and 1.9 to 2.8, respectively. </w:t>
      </w:r>
      <w:r w:rsidR="000C76B3">
        <w:t>Detailed results of all</w:t>
      </w:r>
      <w:r>
        <w:t xml:space="preserve"> confounding analyses are presented in Appendix </w:t>
      </w:r>
      <w:r w:rsidR="00471168">
        <w:t>E</w:t>
      </w:r>
      <w:r w:rsidR="000C76B3">
        <w:t>.</w:t>
      </w:r>
      <w:bookmarkStart w:id="200" w:name="_Ref13476492"/>
      <w:bookmarkStart w:id="201" w:name="_Toc12013076"/>
      <w:bookmarkStart w:id="202" w:name="_Toc12012882"/>
    </w:p>
    <w:p w14:paraId="77EDC92E" w14:textId="77777777" w:rsidR="00630D1E" w:rsidRDefault="00630D1E">
      <w:pPr>
        <w:spacing w:after="0" w:line="240" w:lineRule="auto"/>
      </w:pPr>
      <w:r>
        <w:br w:type="page"/>
      </w:r>
    </w:p>
    <w:p w14:paraId="414AB82A" w14:textId="19A2736C" w:rsidR="006E16B4" w:rsidRDefault="006E16B4" w:rsidP="00423581">
      <w:pPr>
        <w:pStyle w:val="Caption"/>
        <w:keepNext/>
        <w:spacing w:after="0"/>
      </w:pPr>
      <w:bookmarkStart w:id="203" w:name="_Ref30150641"/>
      <w:bookmarkStart w:id="204" w:name="Table19"/>
      <w:bookmarkStart w:id="205" w:name="_Toc45714898"/>
      <w:r>
        <w:lastRenderedPageBreak/>
        <w:t xml:space="preserve">Table </w:t>
      </w:r>
      <w:r w:rsidR="00D616DB">
        <w:rPr>
          <w:noProof/>
        </w:rPr>
        <w:fldChar w:fldCharType="begin"/>
      </w:r>
      <w:r w:rsidR="00D616DB">
        <w:rPr>
          <w:noProof/>
        </w:rPr>
        <w:instrText xml:space="preserve"> SEQ Table \* ARABIC </w:instrText>
      </w:r>
      <w:r w:rsidR="00D616DB">
        <w:rPr>
          <w:noProof/>
        </w:rPr>
        <w:fldChar w:fldCharType="separate"/>
      </w:r>
      <w:r w:rsidR="00977423">
        <w:rPr>
          <w:noProof/>
        </w:rPr>
        <w:t>19</w:t>
      </w:r>
      <w:r w:rsidR="00D616DB">
        <w:rPr>
          <w:noProof/>
        </w:rPr>
        <w:fldChar w:fldCharType="end"/>
      </w:r>
      <w:bookmarkEnd w:id="200"/>
      <w:bookmarkEnd w:id="203"/>
      <w:bookmarkEnd w:id="204"/>
      <w:r>
        <w:t xml:space="preserve">. Odds ratios and 95% confidence intervals for the association between NDMA in drinking water and </w:t>
      </w:r>
      <w:r w:rsidR="00594471">
        <w:t xml:space="preserve">any </w:t>
      </w:r>
      <w:r>
        <w:t>childhood cancer following adjustment for confounding variables</w:t>
      </w:r>
      <w:bookmarkEnd w:id="201"/>
      <w:bookmarkEnd w:id="202"/>
      <w:bookmarkEnd w:id="205"/>
    </w:p>
    <w:tbl>
      <w:tblPr>
        <w:tblStyle w:val="TableGrid"/>
        <w:tblW w:w="8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664"/>
        <w:gridCol w:w="222"/>
        <w:gridCol w:w="14"/>
        <w:gridCol w:w="1804"/>
        <w:gridCol w:w="269"/>
        <w:gridCol w:w="841"/>
        <w:gridCol w:w="1800"/>
      </w:tblGrid>
      <w:tr w:rsidR="004B40BA" w:rsidRPr="000E7ED5" w14:paraId="40FDBE14" w14:textId="77777777" w:rsidTr="000E7ED5">
        <w:trPr>
          <w:trHeight w:val="300"/>
        </w:trPr>
        <w:tc>
          <w:tcPr>
            <w:tcW w:w="3078" w:type="dxa"/>
            <w:tcBorders>
              <w:top w:val="single" w:sz="4" w:space="0" w:color="auto"/>
            </w:tcBorders>
            <w:noWrap/>
            <w:hideMark/>
          </w:tcPr>
          <w:p w14:paraId="6A87F59A" w14:textId="77777777" w:rsidR="004B40BA" w:rsidRPr="0026662D" w:rsidRDefault="000E7ED5" w:rsidP="0040594E">
            <w:pPr>
              <w:pStyle w:val="Tablebody"/>
              <w:rPr>
                <w:b/>
                <w:bCs/>
                <w:sz w:val="24"/>
                <w:szCs w:val="24"/>
              </w:rPr>
            </w:pPr>
            <w:r w:rsidRPr="0026662D">
              <w:rPr>
                <w:b/>
                <w:bCs/>
                <w:sz w:val="24"/>
                <w:szCs w:val="24"/>
              </w:rPr>
              <w:t>All Cancers</w:t>
            </w:r>
          </w:p>
        </w:tc>
        <w:tc>
          <w:tcPr>
            <w:tcW w:w="2704" w:type="dxa"/>
            <w:gridSpan w:val="4"/>
            <w:tcBorders>
              <w:top w:val="single" w:sz="4" w:space="0" w:color="auto"/>
              <w:left w:val="nil"/>
              <w:bottom w:val="single" w:sz="4" w:space="0" w:color="auto"/>
              <w:right w:val="nil"/>
            </w:tcBorders>
            <w:noWrap/>
            <w:hideMark/>
          </w:tcPr>
          <w:p w14:paraId="7CE606AF" w14:textId="77777777" w:rsidR="004B40BA" w:rsidRPr="0026662D" w:rsidRDefault="004B40BA" w:rsidP="0040594E">
            <w:pPr>
              <w:pStyle w:val="Tablebody"/>
              <w:rPr>
                <w:b/>
                <w:bCs/>
                <w:sz w:val="24"/>
                <w:szCs w:val="24"/>
              </w:rPr>
            </w:pPr>
            <w:r w:rsidRPr="0026662D">
              <w:rPr>
                <w:b/>
                <w:bCs/>
                <w:sz w:val="24"/>
                <w:szCs w:val="24"/>
              </w:rPr>
              <w:t>Crude</w:t>
            </w:r>
          </w:p>
        </w:tc>
        <w:tc>
          <w:tcPr>
            <w:tcW w:w="269" w:type="dxa"/>
            <w:tcBorders>
              <w:top w:val="single" w:sz="4" w:space="0" w:color="auto"/>
            </w:tcBorders>
            <w:noWrap/>
          </w:tcPr>
          <w:p w14:paraId="1F9B5D70" w14:textId="77777777" w:rsidR="004B40BA" w:rsidRPr="0026662D" w:rsidRDefault="004B40BA" w:rsidP="0040594E">
            <w:pPr>
              <w:pStyle w:val="Tablebody"/>
              <w:rPr>
                <w:b/>
                <w:bCs/>
                <w:sz w:val="24"/>
                <w:szCs w:val="24"/>
              </w:rPr>
            </w:pPr>
          </w:p>
        </w:tc>
        <w:tc>
          <w:tcPr>
            <w:tcW w:w="2641" w:type="dxa"/>
            <w:gridSpan w:val="2"/>
            <w:tcBorders>
              <w:top w:val="single" w:sz="4" w:space="0" w:color="auto"/>
              <w:left w:val="nil"/>
              <w:bottom w:val="single" w:sz="4" w:space="0" w:color="auto"/>
              <w:right w:val="nil"/>
            </w:tcBorders>
            <w:shd w:val="clear" w:color="auto" w:fill="D9D9D9" w:themeFill="background1" w:themeFillShade="D9"/>
            <w:noWrap/>
            <w:hideMark/>
          </w:tcPr>
          <w:p w14:paraId="265C60E3" w14:textId="77777777" w:rsidR="004B40BA" w:rsidRPr="0026662D" w:rsidRDefault="004B40BA" w:rsidP="0040594E">
            <w:pPr>
              <w:pStyle w:val="Tablebody"/>
              <w:rPr>
                <w:b/>
                <w:bCs/>
                <w:sz w:val="24"/>
                <w:szCs w:val="24"/>
              </w:rPr>
            </w:pPr>
            <w:r w:rsidRPr="0026662D">
              <w:rPr>
                <w:b/>
                <w:bCs/>
                <w:sz w:val="24"/>
                <w:szCs w:val="24"/>
              </w:rPr>
              <w:t>Adjusted</w:t>
            </w:r>
          </w:p>
        </w:tc>
      </w:tr>
      <w:tr w:rsidR="004B40BA" w:rsidRPr="000E7ED5" w14:paraId="267EFBFA" w14:textId="77777777" w:rsidTr="000E7ED5">
        <w:trPr>
          <w:trHeight w:val="345"/>
        </w:trPr>
        <w:tc>
          <w:tcPr>
            <w:tcW w:w="3078" w:type="dxa"/>
            <w:tcBorders>
              <w:bottom w:val="single" w:sz="4" w:space="0" w:color="auto"/>
            </w:tcBorders>
            <w:noWrap/>
            <w:hideMark/>
          </w:tcPr>
          <w:p w14:paraId="6171E865" w14:textId="77777777" w:rsidR="004B40BA" w:rsidRPr="0026662D" w:rsidRDefault="000E7ED5" w:rsidP="0040594E">
            <w:pPr>
              <w:pStyle w:val="Tablebody"/>
              <w:rPr>
                <w:b/>
                <w:bCs/>
                <w:sz w:val="24"/>
                <w:szCs w:val="24"/>
              </w:rPr>
            </w:pPr>
            <w:r w:rsidRPr="0026662D">
              <w:rPr>
                <w:b/>
                <w:bCs/>
                <w:sz w:val="24"/>
                <w:szCs w:val="24"/>
              </w:rPr>
              <w:t>Maternal Exposure</w:t>
            </w:r>
          </w:p>
        </w:tc>
        <w:tc>
          <w:tcPr>
            <w:tcW w:w="664" w:type="dxa"/>
            <w:tcBorders>
              <w:top w:val="single" w:sz="4" w:space="0" w:color="auto"/>
              <w:left w:val="nil"/>
              <w:bottom w:val="nil"/>
              <w:right w:val="nil"/>
            </w:tcBorders>
            <w:noWrap/>
            <w:hideMark/>
          </w:tcPr>
          <w:p w14:paraId="69ED5071" w14:textId="77777777" w:rsidR="004B40BA" w:rsidRPr="0026662D" w:rsidRDefault="004B40BA" w:rsidP="0040594E">
            <w:pPr>
              <w:pStyle w:val="Tablebody"/>
              <w:rPr>
                <w:b/>
                <w:bCs/>
                <w:sz w:val="24"/>
                <w:szCs w:val="24"/>
                <w:vertAlign w:val="superscript"/>
              </w:rPr>
            </w:pPr>
            <w:proofErr w:type="spellStart"/>
            <w:r w:rsidRPr="0026662D">
              <w:rPr>
                <w:b/>
                <w:bCs/>
                <w:sz w:val="24"/>
                <w:szCs w:val="24"/>
              </w:rPr>
              <w:t>OR</w:t>
            </w:r>
            <w:r w:rsidR="000E7ED5" w:rsidRPr="0026662D">
              <w:rPr>
                <w:b/>
                <w:bCs/>
                <w:sz w:val="24"/>
                <w:szCs w:val="24"/>
                <w:vertAlign w:val="superscript"/>
              </w:rPr>
              <w:t>a</w:t>
            </w:r>
            <w:proofErr w:type="spellEnd"/>
          </w:p>
        </w:tc>
        <w:tc>
          <w:tcPr>
            <w:tcW w:w="222" w:type="dxa"/>
            <w:tcBorders>
              <w:top w:val="single" w:sz="4" w:space="0" w:color="auto"/>
              <w:left w:val="nil"/>
              <w:bottom w:val="nil"/>
              <w:right w:val="nil"/>
            </w:tcBorders>
            <w:noWrap/>
            <w:hideMark/>
          </w:tcPr>
          <w:p w14:paraId="5033F284" w14:textId="77777777" w:rsidR="004B40BA" w:rsidRPr="0026662D" w:rsidRDefault="004B40BA" w:rsidP="0040594E">
            <w:pPr>
              <w:pStyle w:val="Tablebody"/>
              <w:rPr>
                <w:b/>
                <w:bCs/>
                <w:sz w:val="24"/>
                <w:szCs w:val="24"/>
              </w:rPr>
            </w:pPr>
            <w:r w:rsidRPr="0026662D">
              <w:rPr>
                <w:b/>
                <w:bCs/>
                <w:sz w:val="24"/>
                <w:szCs w:val="24"/>
              </w:rPr>
              <w:t xml:space="preserve"> </w:t>
            </w:r>
          </w:p>
        </w:tc>
        <w:tc>
          <w:tcPr>
            <w:tcW w:w="1818" w:type="dxa"/>
            <w:gridSpan w:val="2"/>
            <w:tcBorders>
              <w:top w:val="single" w:sz="4" w:space="0" w:color="auto"/>
              <w:left w:val="nil"/>
              <w:bottom w:val="nil"/>
              <w:right w:val="nil"/>
            </w:tcBorders>
            <w:noWrap/>
            <w:hideMark/>
          </w:tcPr>
          <w:p w14:paraId="73EB8845" w14:textId="77777777" w:rsidR="004B40BA" w:rsidRPr="0026662D" w:rsidRDefault="004B40BA" w:rsidP="0040594E">
            <w:pPr>
              <w:pStyle w:val="Tablebody"/>
              <w:rPr>
                <w:b/>
                <w:bCs/>
                <w:sz w:val="24"/>
                <w:szCs w:val="24"/>
                <w:vertAlign w:val="superscript"/>
              </w:rPr>
            </w:pPr>
            <w:r w:rsidRPr="0026662D">
              <w:rPr>
                <w:b/>
                <w:bCs/>
                <w:sz w:val="24"/>
                <w:szCs w:val="24"/>
              </w:rPr>
              <w:t xml:space="preserve">95% </w:t>
            </w:r>
            <w:proofErr w:type="spellStart"/>
            <w:r w:rsidRPr="0026662D">
              <w:rPr>
                <w:b/>
                <w:bCs/>
                <w:sz w:val="24"/>
                <w:szCs w:val="24"/>
              </w:rPr>
              <w:t>CI</w:t>
            </w:r>
            <w:r w:rsidR="000E7ED5" w:rsidRPr="0026662D">
              <w:rPr>
                <w:b/>
                <w:bCs/>
                <w:sz w:val="24"/>
                <w:szCs w:val="24"/>
                <w:vertAlign w:val="superscript"/>
              </w:rPr>
              <w:t>b</w:t>
            </w:r>
            <w:proofErr w:type="spellEnd"/>
          </w:p>
        </w:tc>
        <w:tc>
          <w:tcPr>
            <w:tcW w:w="269" w:type="dxa"/>
            <w:noWrap/>
          </w:tcPr>
          <w:p w14:paraId="2DD7A27F" w14:textId="77777777" w:rsidR="004B40BA" w:rsidRPr="0026662D" w:rsidRDefault="004B40BA" w:rsidP="0040594E">
            <w:pPr>
              <w:pStyle w:val="Tablebody"/>
              <w:rPr>
                <w:b/>
                <w:bCs/>
                <w:sz w:val="24"/>
                <w:szCs w:val="24"/>
              </w:rPr>
            </w:pPr>
          </w:p>
        </w:tc>
        <w:tc>
          <w:tcPr>
            <w:tcW w:w="841" w:type="dxa"/>
            <w:shd w:val="clear" w:color="auto" w:fill="D9D9D9" w:themeFill="background1" w:themeFillShade="D9"/>
            <w:noWrap/>
            <w:hideMark/>
          </w:tcPr>
          <w:p w14:paraId="4481BD79" w14:textId="77777777" w:rsidR="004B40BA" w:rsidRPr="0026662D" w:rsidRDefault="004B40BA" w:rsidP="0040594E">
            <w:pPr>
              <w:pStyle w:val="Tablebody"/>
              <w:rPr>
                <w:b/>
                <w:bCs/>
                <w:sz w:val="24"/>
                <w:szCs w:val="24"/>
              </w:rPr>
            </w:pPr>
            <w:proofErr w:type="spellStart"/>
            <w:r w:rsidRPr="0026662D">
              <w:rPr>
                <w:b/>
                <w:bCs/>
                <w:sz w:val="24"/>
                <w:szCs w:val="24"/>
              </w:rPr>
              <w:t>OR</w:t>
            </w:r>
            <w:r w:rsidRPr="0026662D">
              <w:rPr>
                <w:b/>
                <w:bCs/>
                <w:sz w:val="24"/>
                <w:szCs w:val="24"/>
                <w:vertAlign w:val="superscript"/>
              </w:rPr>
              <w:t>a</w:t>
            </w:r>
            <w:proofErr w:type="spellEnd"/>
            <w:r w:rsidRPr="0026662D">
              <w:rPr>
                <w:b/>
                <w:bCs/>
                <w:sz w:val="24"/>
                <w:szCs w:val="24"/>
              </w:rPr>
              <w:t xml:space="preserve"> </w:t>
            </w:r>
          </w:p>
        </w:tc>
        <w:tc>
          <w:tcPr>
            <w:tcW w:w="1800" w:type="dxa"/>
            <w:shd w:val="clear" w:color="auto" w:fill="D9D9D9" w:themeFill="background1" w:themeFillShade="D9"/>
            <w:noWrap/>
            <w:hideMark/>
          </w:tcPr>
          <w:p w14:paraId="404EB4E8" w14:textId="77777777" w:rsidR="004B40BA" w:rsidRPr="0026662D" w:rsidRDefault="004B40BA" w:rsidP="0040594E">
            <w:pPr>
              <w:pStyle w:val="Tablebody"/>
              <w:rPr>
                <w:b/>
                <w:bCs/>
                <w:sz w:val="24"/>
                <w:szCs w:val="24"/>
              </w:rPr>
            </w:pPr>
            <w:r w:rsidRPr="0026662D">
              <w:rPr>
                <w:b/>
                <w:bCs/>
                <w:sz w:val="24"/>
                <w:szCs w:val="24"/>
              </w:rPr>
              <w:t xml:space="preserve">95% </w:t>
            </w:r>
            <w:proofErr w:type="spellStart"/>
            <w:r w:rsidRPr="0026662D">
              <w:rPr>
                <w:b/>
                <w:bCs/>
                <w:sz w:val="24"/>
                <w:szCs w:val="24"/>
              </w:rPr>
              <w:t>CI</w:t>
            </w:r>
            <w:r w:rsidRPr="0026662D">
              <w:rPr>
                <w:b/>
                <w:bCs/>
                <w:sz w:val="24"/>
                <w:szCs w:val="24"/>
                <w:vertAlign w:val="superscript"/>
              </w:rPr>
              <w:t>b</w:t>
            </w:r>
            <w:proofErr w:type="spellEnd"/>
          </w:p>
        </w:tc>
      </w:tr>
      <w:tr w:rsidR="00C93528" w14:paraId="756BCDA7" w14:textId="77777777" w:rsidTr="000E7ED5">
        <w:trPr>
          <w:trHeight w:val="300"/>
        </w:trPr>
        <w:tc>
          <w:tcPr>
            <w:tcW w:w="3078" w:type="dxa"/>
            <w:tcBorders>
              <w:top w:val="single" w:sz="4" w:space="0" w:color="auto"/>
            </w:tcBorders>
            <w:noWrap/>
          </w:tcPr>
          <w:p w14:paraId="70957B89" w14:textId="77777777" w:rsidR="00C93528" w:rsidRPr="0026662D" w:rsidRDefault="00C93528" w:rsidP="0040594E">
            <w:pPr>
              <w:pStyle w:val="Tablebody"/>
              <w:rPr>
                <w:sz w:val="24"/>
                <w:szCs w:val="24"/>
              </w:rPr>
            </w:pPr>
          </w:p>
        </w:tc>
        <w:tc>
          <w:tcPr>
            <w:tcW w:w="5614" w:type="dxa"/>
            <w:gridSpan w:val="7"/>
            <w:tcBorders>
              <w:top w:val="single" w:sz="4" w:space="0" w:color="auto"/>
              <w:left w:val="nil"/>
              <w:right w:val="nil"/>
            </w:tcBorders>
            <w:noWrap/>
            <w:vAlign w:val="center"/>
          </w:tcPr>
          <w:p w14:paraId="31B12F2E" w14:textId="77777777" w:rsidR="00C93528" w:rsidRPr="0026662D" w:rsidRDefault="00C93528" w:rsidP="0040594E">
            <w:pPr>
              <w:pStyle w:val="Tablebody"/>
              <w:rPr>
                <w:sz w:val="24"/>
                <w:szCs w:val="24"/>
              </w:rPr>
            </w:pPr>
            <w:r w:rsidRPr="0026662D">
              <w:rPr>
                <w:sz w:val="24"/>
                <w:szCs w:val="24"/>
              </w:rPr>
              <w:t>Oxygen After Birth (n=77)</w:t>
            </w:r>
          </w:p>
        </w:tc>
      </w:tr>
      <w:tr w:rsidR="006E16B4" w14:paraId="2FF858EC" w14:textId="77777777" w:rsidTr="000E7ED5">
        <w:trPr>
          <w:trHeight w:val="289"/>
        </w:trPr>
        <w:tc>
          <w:tcPr>
            <w:tcW w:w="3078" w:type="dxa"/>
            <w:noWrap/>
            <w:hideMark/>
          </w:tcPr>
          <w:p w14:paraId="43BD669F" w14:textId="77777777" w:rsidR="006E16B4" w:rsidRPr="0026662D" w:rsidRDefault="006E16B4" w:rsidP="0040594E">
            <w:pPr>
              <w:pStyle w:val="Tablebody"/>
              <w:rPr>
                <w:sz w:val="24"/>
                <w:szCs w:val="24"/>
              </w:rPr>
            </w:pPr>
            <w:r w:rsidRPr="0026662D">
              <w:rPr>
                <w:sz w:val="24"/>
                <w:szCs w:val="24"/>
              </w:rPr>
              <w:t>NDMA Low vs. Zero</w:t>
            </w:r>
          </w:p>
        </w:tc>
        <w:tc>
          <w:tcPr>
            <w:tcW w:w="664" w:type="dxa"/>
            <w:noWrap/>
            <w:hideMark/>
          </w:tcPr>
          <w:p w14:paraId="5416AB6A" w14:textId="77777777" w:rsidR="006E16B4" w:rsidRPr="0026662D" w:rsidRDefault="006E16B4" w:rsidP="0040594E">
            <w:pPr>
              <w:pStyle w:val="Tablebody"/>
              <w:rPr>
                <w:sz w:val="24"/>
                <w:szCs w:val="24"/>
              </w:rPr>
            </w:pPr>
            <w:r w:rsidRPr="0026662D">
              <w:rPr>
                <w:sz w:val="24"/>
                <w:szCs w:val="24"/>
              </w:rPr>
              <w:t>1.4</w:t>
            </w:r>
          </w:p>
        </w:tc>
        <w:tc>
          <w:tcPr>
            <w:tcW w:w="222" w:type="dxa"/>
            <w:noWrap/>
            <w:hideMark/>
          </w:tcPr>
          <w:p w14:paraId="04BAF08E" w14:textId="77777777" w:rsidR="006E16B4" w:rsidRPr="0026662D" w:rsidRDefault="006E16B4" w:rsidP="0040594E">
            <w:pPr>
              <w:pStyle w:val="Tablebody"/>
              <w:rPr>
                <w:sz w:val="24"/>
                <w:szCs w:val="24"/>
              </w:rPr>
            </w:pPr>
            <w:r w:rsidRPr="0026662D">
              <w:rPr>
                <w:sz w:val="24"/>
                <w:szCs w:val="24"/>
              </w:rPr>
              <w:t xml:space="preserve"> </w:t>
            </w:r>
          </w:p>
        </w:tc>
        <w:tc>
          <w:tcPr>
            <w:tcW w:w="1818" w:type="dxa"/>
            <w:gridSpan w:val="2"/>
            <w:noWrap/>
            <w:hideMark/>
          </w:tcPr>
          <w:p w14:paraId="12AB3268" w14:textId="77777777" w:rsidR="006E16B4" w:rsidRPr="0026662D" w:rsidRDefault="006E16B4" w:rsidP="0040594E">
            <w:pPr>
              <w:pStyle w:val="Tablebody"/>
              <w:rPr>
                <w:sz w:val="24"/>
                <w:szCs w:val="24"/>
              </w:rPr>
            </w:pPr>
            <w:r w:rsidRPr="0026662D">
              <w:rPr>
                <w:sz w:val="24"/>
                <w:szCs w:val="24"/>
              </w:rPr>
              <w:t>(0.3 - 7.7)</w:t>
            </w:r>
          </w:p>
        </w:tc>
        <w:tc>
          <w:tcPr>
            <w:tcW w:w="269" w:type="dxa"/>
            <w:noWrap/>
          </w:tcPr>
          <w:p w14:paraId="4CB989CF" w14:textId="77777777" w:rsidR="006E16B4" w:rsidRPr="0026662D" w:rsidRDefault="006E16B4" w:rsidP="0040594E">
            <w:pPr>
              <w:pStyle w:val="Tablebody"/>
              <w:rPr>
                <w:sz w:val="24"/>
                <w:szCs w:val="24"/>
              </w:rPr>
            </w:pPr>
          </w:p>
        </w:tc>
        <w:tc>
          <w:tcPr>
            <w:tcW w:w="841" w:type="dxa"/>
            <w:shd w:val="clear" w:color="auto" w:fill="D9D9D9" w:themeFill="background1" w:themeFillShade="D9"/>
            <w:noWrap/>
            <w:hideMark/>
          </w:tcPr>
          <w:p w14:paraId="04E8B5BA" w14:textId="77777777" w:rsidR="006E16B4" w:rsidRPr="0026662D" w:rsidRDefault="006E16B4" w:rsidP="0040594E">
            <w:pPr>
              <w:pStyle w:val="Tablebody"/>
              <w:rPr>
                <w:sz w:val="24"/>
                <w:szCs w:val="24"/>
              </w:rPr>
            </w:pPr>
            <w:r w:rsidRPr="0026662D">
              <w:rPr>
                <w:sz w:val="24"/>
                <w:szCs w:val="24"/>
              </w:rPr>
              <w:t>1.1</w:t>
            </w:r>
          </w:p>
        </w:tc>
        <w:tc>
          <w:tcPr>
            <w:tcW w:w="1800" w:type="dxa"/>
            <w:shd w:val="clear" w:color="auto" w:fill="D9D9D9" w:themeFill="background1" w:themeFillShade="D9"/>
            <w:noWrap/>
            <w:hideMark/>
          </w:tcPr>
          <w:p w14:paraId="6E9046C8" w14:textId="77777777" w:rsidR="006E16B4" w:rsidRPr="0026662D" w:rsidRDefault="006E16B4" w:rsidP="0040594E">
            <w:pPr>
              <w:pStyle w:val="Tablebody"/>
              <w:rPr>
                <w:sz w:val="24"/>
                <w:szCs w:val="24"/>
              </w:rPr>
            </w:pPr>
            <w:r w:rsidRPr="0026662D">
              <w:rPr>
                <w:sz w:val="24"/>
                <w:szCs w:val="24"/>
              </w:rPr>
              <w:t>(0.1 - 9.0)</w:t>
            </w:r>
          </w:p>
        </w:tc>
      </w:tr>
      <w:tr w:rsidR="006E16B4" w14:paraId="34B26BB8" w14:textId="77777777" w:rsidTr="000E7ED5">
        <w:trPr>
          <w:trHeight w:val="300"/>
        </w:trPr>
        <w:tc>
          <w:tcPr>
            <w:tcW w:w="3078" w:type="dxa"/>
            <w:tcBorders>
              <w:top w:val="nil"/>
              <w:left w:val="nil"/>
              <w:right w:val="nil"/>
            </w:tcBorders>
            <w:noWrap/>
            <w:hideMark/>
          </w:tcPr>
          <w:p w14:paraId="65782FB9" w14:textId="77777777" w:rsidR="006E16B4" w:rsidRPr="0026662D" w:rsidRDefault="006E16B4" w:rsidP="0040594E">
            <w:pPr>
              <w:pStyle w:val="Tablebody"/>
              <w:rPr>
                <w:sz w:val="24"/>
                <w:szCs w:val="24"/>
              </w:rPr>
            </w:pPr>
            <w:r w:rsidRPr="0026662D">
              <w:rPr>
                <w:sz w:val="24"/>
                <w:szCs w:val="24"/>
              </w:rPr>
              <w:t>NDMA High vs. Zero</w:t>
            </w:r>
          </w:p>
        </w:tc>
        <w:tc>
          <w:tcPr>
            <w:tcW w:w="664" w:type="dxa"/>
            <w:tcBorders>
              <w:top w:val="nil"/>
              <w:left w:val="nil"/>
              <w:right w:val="nil"/>
            </w:tcBorders>
            <w:noWrap/>
            <w:hideMark/>
          </w:tcPr>
          <w:p w14:paraId="4ECBABD1" w14:textId="77777777" w:rsidR="006E16B4" w:rsidRPr="0026662D" w:rsidRDefault="006E16B4" w:rsidP="0040594E">
            <w:pPr>
              <w:pStyle w:val="Tablebody"/>
              <w:rPr>
                <w:sz w:val="24"/>
                <w:szCs w:val="24"/>
              </w:rPr>
            </w:pPr>
            <w:r w:rsidRPr="0026662D">
              <w:rPr>
                <w:sz w:val="24"/>
                <w:szCs w:val="24"/>
              </w:rPr>
              <w:t>2.9</w:t>
            </w:r>
          </w:p>
        </w:tc>
        <w:tc>
          <w:tcPr>
            <w:tcW w:w="222" w:type="dxa"/>
            <w:tcBorders>
              <w:top w:val="nil"/>
              <w:left w:val="nil"/>
              <w:right w:val="nil"/>
            </w:tcBorders>
            <w:noWrap/>
            <w:hideMark/>
          </w:tcPr>
          <w:p w14:paraId="768B4212" w14:textId="77777777" w:rsidR="006E16B4" w:rsidRPr="0026662D" w:rsidRDefault="006E16B4" w:rsidP="0040594E">
            <w:pPr>
              <w:pStyle w:val="Tablebody"/>
              <w:rPr>
                <w:sz w:val="24"/>
                <w:szCs w:val="24"/>
              </w:rPr>
            </w:pPr>
            <w:r w:rsidRPr="0026662D">
              <w:rPr>
                <w:sz w:val="24"/>
                <w:szCs w:val="24"/>
              </w:rPr>
              <w:t xml:space="preserve"> </w:t>
            </w:r>
          </w:p>
        </w:tc>
        <w:tc>
          <w:tcPr>
            <w:tcW w:w="1818" w:type="dxa"/>
            <w:gridSpan w:val="2"/>
            <w:tcBorders>
              <w:top w:val="nil"/>
              <w:left w:val="nil"/>
              <w:right w:val="nil"/>
            </w:tcBorders>
            <w:noWrap/>
            <w:hideMark/>
          </w:tcPr>
          <w:p w14:paraId="5772A1E0" w14:textId="77777777" w:rsidR="006E16B4" w:rsidRPr="0026662D" w:rsidRDefault="006E16B4" w:rsidP="0040594E">
            <w:pPr>
              <w:pStyle w:val="Tablebody"/>
              <w:rPr>
                <w:sz w:val="24"/>
                <w:szCs w:val="24"/>
              </w:rPr>
            </w:pPr>
            <w:r w:rsidRPr="0026662D">
              <w:rPr>
                <w:sz w:val="24"/>
                <w:szCs w:val="24"/>
              </w:rPr>
              <w:t>(0.6 - 15)</w:t>
            </w:r>
          </w:p>
        </w:tc>
        <w:tc>
          <w:tcPr>
            <w:tcW w:w="269" w:type="dxa"/>
            <w:tcBorders>
              <w:top w:val="nil"/>
              <w:left w:val="nil"/>
              <w:right w:val="nil"/>
            </w:tcBorders>
            <w:noWrap/>
          </w:tcPr>
          <w:p w14:paraId="63B8F998" w14:textId="77777777" w:rsidR="006E16B4" w:rsidRPr="0026662D" w:rsidRDefault="006E16B4" w:rsidP="0040594E">
            <w:pPr>
              <w:pStyle w:val="Tablebody"/>
              <w:rPr>
                <w:sz w:val="24"/>
                <w:szCs w:val="24"/>
              </w:rPr>
            </w:pPr>
          </w:p>
        </w:tc>
        <w:tc>
          <w:tcPr>
            <w:tcW w:w="841" w:type="dxa"/>
            <w:tcBorders>
              <w:top w:val="nil"/>
              <w:left w:val="nil"/>
              <w:right w:val="nil"/>
            </w:tcBorders>
            <w:shd w:val="clear" w:color="auto" w:fill="D9D9D9" w:themeFill="background1" w:themeFillShade="D9"/>
            <w:noWrap/>
            <w:hideMark/>
          </w:tcPr>
          <w:p w14:paraId="4A4C39A6" w14:textId="77777777" w:rsidR="006E16B4" w:rsidRPr="0026662D" w:rsidRDefault="006E16B4" w:rsidP="0040594E">
            <w:pPr>
              <w:pStyle w:val="Tablebody"/>
              <w:rPr>
                <w:sz w:val="24"/>
                <w:szCs w:val="24"/>
              </w:rPr>
            </w:pPr>
            <w:r w:rsidRPr="0026662D">
              <w:rPr>
                <w:sz w:val="24"/>
                <w:szCs w:val="24"/>
              </w:rPr>
              <w:t>3.9</w:t>
            </w:r>
          </w:p>
        </w:tc>
        <w:tc>
          <w:tcPr>
            <w:tcW w:w="1800" w:type="dxa"/>
            <w:tcBorders>
              <w:top w:val="nil"/>
              <w:left w:val="nil"/>
              <w:right w:val="nil"/>
            </w:tcBorders>
            <w:shd w:val="clear" w:color="auto" w:fill="D9D9D9" w:themeFill="background1" w:themeFillShade="D9"/>
            <w:noWrap/>
            <w:hideMark/>
          </w:tcPr>
          <w:p w14:paraId="694C71B0" w14:textId="77777777" w:rsidR="006E16B4" w:rsidRPr="0026662D" w:rsidRDefault="006E16B4" w:rsidP="0040594E">
            <w:pPr>
              <w:pStyle w:val="Tablebody"/>
              <w:rPr>
                <w:sz w:val="24"/>
                <w:szCs w:val="24"/>
              </w:rPr>
            </w:pPr>
            <w:r w:rsidRPr="0026662D">
              <w:rPr>
                <w:sz w:val="24"/>
                <w:szCs w:val="24"/>
              </w:rPr>
              <w:t>(0.7 - 23)</w:t>
            </w:r>
          </w:p>
        </w:tc>
      </w:tr>
      <w:tr w:rsidR="00C93528" w14:paraId="28EF8974" w14:textId="77777777" w:rsidTr="000E7ED5">
        <w:trPr>
          <w:trHeight w:val="300"/>
        </w:trPr>
        <w:tc>
          <w:tcPr>
            <w:tcW w:w="3078" w:type="dxa"/>
            <w:noWrap/>
          </w:tcPr>
          <w:p w14:paraId="3BDB3235" w14:textId="77777777" w:rsidR="00C93528" w:rsidRPr="0026662D" w:rsidRDefault="00C93528" w:rsidP="0040594E">
            <w:pPr>
              <w:pStyle w:val="Tablebody"/>
              <w:rPr>
                <w:sz w:val="24"/>
                <w:szCs w:val="24"/>
              </w:rPr>
            </w:pPr>
          </w:p>
        </w:tc>
        <w:tc>
          <w:tcPr>
            <w:tcW w:w="5614" w:type="dxa"/>
            <w:gridSpan w:val="7"/>
            <w:tcBorders>
              <w:top w:val="nil"/>
              <w:left w:val="nil"/>
              <w:right w:val="nil"/>
            </w:tcBorders>
            <w:noWrap/>
            <w:vAlign w:val="bottom"/>
          </w:tcPr>
          <w:p w14:paraId="6321F637" w14:textId="77777777" w:rsidR="00C93528" w:rsidRPr="0026662D" w:rsidRDefault="00C93528" w:rsidP="0040594E">
            <w:pPr>
              <w:pStyle w:val="Tablebody"/>
              <w:rPr>
                <w:sz w:val="24"/>
                <w:szCs w:val="24"/>
              </w:rPr>
            </w:pPr>
            <w:r w:rsidRPr="0026662D">
              <w:rPr>
                <w:sz w:val="24"/>
                <w:szCs w:val="24"/>
              </w:rPr>
              <w:t>Incubator at Birth (n=83)</w:t>
            </w:r>
          </w:p>
        </w:tc>
      </w:tr>
      <w:tr w:rsidR="000E7ED5" w14:paraId="0D2D64FE" w14:textId="77777777" w:rsidTr="000E7ED5">
        <w:trPr>
          <w:trHeight w:val="300"/>
        </w:trPr>
        <w:tc>
          <w:tcPr>
            <w:tcW w:w="3078" w:type="dxa"/>
            <w:noWrap/>
            <w:hideMark/>
          </w:tcPr>
          <w:p w14:paraId="0878E915" w14:textId="77777777" w:rsidR="000E7ED5" w:rsidRPr="0026662D" w:rsidRDefault="000E7ED5" w:rsidP="0040594E">
            <w:pPr>
              <w:pStyle w:val="Tablebody"/>
              <w:rPr>
                <w:sz w:val="24"/>
                <w:szCs w:val="24"/>
              </w:rPr>
            </w:pPr>
            <w:r w:rsidRPr="0026662D">
              <w:rPr>
                <w:sz w:val="24"/>
                <w:szCs w:val="24"/>
              </w:rPr>
              <w:t>NDMA Low vs. Zero</w:t>
            </w:r>
          </w:p>
        </w:tc>
        <w:tc>
          <w:tcPr>
            <w:tcW w:w="664" w:type="dxa"/>
            <w:noWrap/>
            <w:hideMark/>
          </w:tcPr>
          <w:p w14:paraId="2192781D" w14:textId="77777777" w:rsidR="000E7ED5" w:rsidRPr="0026662D" w:rsidRDefault="000E7ED5" w:rsidP="0040594E">
            <w:pPr>
              <w:pStyle w:val="Tablebody"/>
              <w:rPr>
                <w:sz w:val="24"/>
                <w:szCs w:val="24"/>
              </w:rPr>
            </w:pPr>
            <w:r w:rsidRPr="0026662D">
              <w:rPr>
                <w:sz w:val="24"/>
                <w:szCs w:val="24"/>
              </w:rPr>
              <w:t>1.2</w:t>
            </w:r>
          </w:p>
        </w:tc>
        <w:tc>
          <w:tcPr>
            <w:tcW w:w="236" w:type="dxa"/>
            <w:gridSpan w:val="2"/>
            <w:noWrap/>
            <w:hideMark/>
          </w:tcPr>
          <w:p w14:paraId="0B16ADD4" w14:textId="77777777" w:rsidR="000E7ED5" w:rsidRPr="0026662D" w:rsidRDefault="000E7ED5" w:rsidP="0040594E">
            <w:pPr>
              <w:pStyle w:val="Tablebody"/>
              <w:rPr>
                <w:sz w:val="24"/>
                <w:szCs w:val="24"/>
              </w:rPr>
            </w:pPr>
            <w:r w:rsidRPr="0026662D">
              <w:rPr>
                <w:sz w:val="24"/>
                <w:szCs w:val="24"/>
              </w:rPr>
              <w:t xml:space="preserve"> </w:t>
            </w:r>
          </w:p>
        </w:tc>
        <w:tc>
          <w:tcPr>
            <w:tcW w:w="1804" w:type="dxa"/>
            <w:noWrap/>
            <w:hideMark/>
          </w:tcPr>
          <w:p w14:paraId="001767D3" w14:textId="77777777" w:rsidR="000E7ED5" w:rsidRPr="0026662D" w:rsidRDefault="000E7ED5" w:rsidP="0040594E">
            <w:pPr>
              <w:pStyle w:val="Tablebody"/>
              <w:rPr>
                <w:sz w:val="24"/>
                <w:szCs w:val="24"/>
              </w:rPr>
            </w:pPr>
            <w:r w:rsidRPr="0026662D">
              <w:rPr>
                <w:sz w:val="24"/>
                <w:szCs w:val="24"/>
              </w:rPr>
              <w:t>(0.2 - 6.1)</w:t>
            </w:r>
          </w:p>
        </w:tc>
        <w:tc>
          <w:tcPr>
            <w:tcW w:w="269" w:type="dxa"/>
            <w:noWrap/>
          </w:tcPr>
          <w:p w14:paraId="1CF6B9E9" w14:textId="77777777" w:rsidR="000E7ED5" w:rsidRPr="0026662D" w:rsidRDefault="000E7ED5" w:rsidP="0040594E">
            <w:pPr>
              <w:pStyle w:val="Tablebody"/>
              <w:rPr>
                <w:sz w:val="24"/>
                <w:szCs w:val="24"/>
              </w:rPr>
            </w:pPr>
          </w:p>
        </w:tc>
        <w:tc>
          <w:tcPr>
            <w:tcW w:w="841" w:type="dxa"/>
            <w:shd w:val="clear" w:color="auto" w:fill="D9D9D9" w:themeFill="background1" w:themeFillShade="D9"/>
            <w:noWrap/>
            <w:hideMark/>
          </w:tcPr>
          <w:p w14:paraId="4046D239" w14:textId="77777777" w:rsidR="000E7ED5" w:rsidRPr="0026662D" w:rsidRDefault="000E7ED5" w:rsidP="0040594E">
            <w:pPr>
              <w:pStyle w:val="Tablebody"/>
              <w:rPr>
                <w:sz w:val="24"/>
                <w:szCs w:val="24"/>
              </w:rPr>
            </w:pPr>
            <w:r w:rsidRPr="0026662D">
              <w:rPr>
                <w:sz w:val="24"/>
                <w:szCs w:val="24"/>
              </w:rPr>
              <w:t>0.9</w:t>
            </w:r>
          </w:p>
        </w:tc>
        <w:tc>
          <w:tcPr>
            <w:tcW w:w="1800" w:type="dxa"/>
            <w:shd w:val="clear" w:color="auto" w:fill="D9D9D9" w:themeFill="background1" w:themeFillShade="D9"/>
            <w:noWrap/>
            <w:hideMark/>
          </w:tcPr>
          <w:p w14:paraId="77FBAD1F" w14:textId="77777777" w:rsidR="000E7ED5" w:rsidRPr="0026662D" w:rsidRDefault="000E7ED5" w:rsidP="0040594E">
            <w:pPr>
              <w:pStyle w:val="Tablebody"/>
              <w:rPr>
                <w:sz w:val="24"/>
                <w:szCs w:val="24"/>
              </w:rPr>
            </w:pPr>
            <w:r w:rsidRPr="0026662D">
              <w:rPr>
                <w:sz w:val="24"/>
                <w:szCs w:val="24"/>
              </w:rPr>
              <w:t>(0.2 - 4.9)</w:t>
            </w:r>
          </w:p>
        </w:tc>
      </w:tr>
      <w:tr w:rsidR="000E7ED5" w14:paraId="7456567F" w14:textId="77777777" w:rsidTr="000E7ED5">
        <w:trPr>
          <w:trHeight w:val="300"/>
        </w:trPr>
        <w:tc>
          <w:tcPr>
            <w:tcW w:w="3078" w:type="dxa"/>
            <w:tcBorders>
              <w:top w:val="nil"/>
              <w:left w:val="nil"/>
              <w:right w:val="nil"/>
            </w:tcBorders>
            <w:noWrap/>
            <w:hideMark/>
          </w:tcPr>
          <w:p w14:paraId="218818F3" w14:textId="77777777" w:rsidR="000E7ED5" w:rsidRPr="0026662D" w:rsidRDefault="000E7ED5" w:rsidP="0040594E">
            <w:pPr>
              <w:pStyle w:val="Tablebody"/>
              <w:rPr>
                <w:sz w:val="24"/>
                <w:szCs w:val="24"/>
              </w:rPr>
            </w:pPr>
            <w:r w:rsidRPr="0026662D">
              <w:rPr>
                <w:sz w:val="24"/>
                <w:szCs w:val="24"/>
              </w:rPr>
              <w:t>NDMA High vs. Zero</w:t>
            </w:r>
          </w:p>
        </w:tc>
        <w:tc>
          <w:tcPr>
            <w:tcW w:w="664" w:type="dxa"/>
            <w:tcBorders>
              <w:top w:val="nil"/>
              <w:left w:val="nil"/>
              <w:right w:val="nil"/>
            </w:tcBorders>
            <w:noWrap/>
            <w:hideMark/>
          </w:tcPr>
          <w:p w14:paraId="7D31F059" w14:textId="77777777" w:rsidR="000E7ED5" w:rsidRPr="0026662D" w:rsidRDefault="000E7ED5" w:rsidP="0040594E">
            <w:pPr>
              <w:pStyle w:val="Tablebody"/>
              <w:rPr>
                <w:sz w:val="24"/>
                <w:szCs w:val="24"/>
              </w:rPr>
            </w:pPr>
            <w:r w:rsidRPr="0026662D">
              <w:rPr>
                <w:sz w:val="24"/>
                <w:szCs w:val="24"/>
              </w:rPr>
              <w:t>2.4</w:t>
            </w:r>
          </w:p>
        </w:tc>
        <w:tc>
          <w:tcPr>
            <w:tcW w:w="236" w:type="dxa"/>
            <w:gridSpan w:val="2"/>
            <w:tcBorders>
              <w:top w:val="nil"/>
              <w:left w:val="nil"/>
              <w:right w:val="nil"/>
            </w:tcBorders>
            <w:noWrap/>
            <w:hideMark/>
          </w:tcPr>
          <w:p w14:paraId="7FDE90DF" w14:textId="77777777" w:rsidR="000E7ED5" w:rsidRPr="0026662D" w:rsidRDefault="000E7ED5" w:rsidP="0040594E">
            <w:pPr>
              <w:pStyle w:val="Tablebody"/>
              <w:rPr>
                <w:sz w:val="24"/>
                <w:szCs w:val="24"/>
              </w:rPr>
            </w:pPr>
            <w:r w:rsidRPr="0026662D">
              <w:rPr>
                <w:sz w:val="24"/>
                <w:szCs w:val="24"/>
              </w:rPr>
              <w:t xml:space="preserve"> </w:t>
            </w:r>
          </w:p>
        </w:tc>
        <w:tc>
          <w:tcPr>
            <w:tcW w:w="1804" w:type="dxa"/>
            <w:tcBorders>
              <w:top w:val="nil"/>
              <w:left w:val="nil"/>
              <w:right w:val="nil"/>
            </w:tcBorders>
            <w:noWrap/>
            <w:hideMark/>
          </w:tcPr>
          <w:p w14:paraId="1868B5AC" w14:textId="77777777" w:rsidR="000E7ED5" w:rsidRPr="0026662D" w:rsidRDefault="000E7ED5" w:rsidP="0040594E">
            <w:pPr>
              <w:pStyle w:val="Tablebody"/>
              <w:rPr>
                <w:sz w:val="24"/>
                <w:szCs w:val="24"/>
              </w:rPr>
            </w:pPr>
            <w:r w:rsidRPr="0026662D">
              <w:rPr>
                <w:sz w:val="24"/>
                <w:szCs w:val="24"/>
              </w:rPr>
              <w:t>(0.5 - 11)</w:t>
            </w:r>
          </w:p>
        </w:tc>
        <w:tc>
          <w:tcPr>
            <w:tcW w:w="269" w:type="dxa"/>
            <w:tcBorders>
              <w:top w:val="nil"/>
              <w:left w:val="nil"/>
              <w:right w:val="nil"/>
            </w:tcBorders>
            <w:noWrap/>
          </w:tcPr>
          <w:p w14:paraId="040E484D" w14:textId="77777777" w:rsidR="000E7ED5" w:rsidRPr="0026662D" w:rsidRDefault="000E7ED5" w:rsidP="0040594E">
            <w:pPr>
              <w:pStyle w:val="Tablebody"/>
              <w:rPr>
                <w:sz w:val="24"/>
                <w:szCs w:val="24"/>
              </w:rPr>
            </w:pPr>
          </w:p>
        </w:tc>
        <w:tc>
          <w:tcPr>
            <w:tcW w:w="841" w:type="dxa"/>
            <w:tcBorders>
              <w:top w:val="nil"/>
              <w:left w:val="nil"/>
              <w:right w:val="nil"/>
            </w:tcBorders>
            <w:shd w:val="clear" w:color="auto" w:fill="D9D9D9" w:themeFill="background1" w:themeFillShade="D9"/>
            <w:noWrap/>
            <w:hideMark/>
          </w:tcPr>
          <w:p w14:paraId="32F86A05" w14:textId="77777777" w:rsidR="000E7ED5" w:rsidRPr="0026662D" w:rsidRDefault="000E7ED5" w:rsidP="0040594E">
            <w:pPr>
              <w:pStyle w:val="Tablebody"/>
              <w:rPr>
                <w:sz w:val="24"/>
                <w:szCs w:val="24"/>
              </w:rPr>
            </w:pPr>
            <w:r w:rsidRPr="0026662D">
              <w:rPr>
                <w:sz w:val="24"/>
                <w:szCs w:val="24"/>
              </w:rPr>
              <w:t>2.5</w:t>
            </w:r>
          </w:p>
        </w:tc>
        <w:tc>
          <w:tcPr>
            <w:tcW w:w="1800" w:type="dxa"/>
            <w:tcBorders>
              <w:top w:val="nil"/>
              <w:left w:val="nil"/>
              <w:right w:val="nil"/>
            </w:tcBorders>
            <w:shd w:val="clear" w:color="auto" w:fill="D9D9D9" w:themeFill="background1" w:themeFillShade="D9"/>
            <w:noWrap/>
            <w:hideMark/>
          </w:tcPr>
          <w:p w14:paraId="7F08168F" w14:textId="77777777" w:rsidR="000E7ED5" w:rsidRPr="0026662D" w:rsidRDefault="000E7ED5" w:rsidP="0040594E">
            <w:pPr>
              <w:pStyle w:val="Tablebody"/>
              <w:rPr>
                <w:sz w:val="24"/>
                <w:szCs w:val="24"/>
              </w:rPr>
            </w:pPr>
            <w:r w:rsidRPr="0026662D">
              <w:rPr>
                <w:sz w:val="24"/>
                <w:szCs w:val="24"/>
              </w:rPr>
              <w:t>(0.5 - 11)</w:t>
            </w:r>
          </w:p>
        </w:tc>
      </w:tr>
      <w:tr w:rsidR="006E16B4" w14:paraId="3BE9F96A" w14:textId="77777777" w:rsidTr="000E7ED5">
        <w:trPr>
          <w:trHeight w:val="495"/>
        </w:trPr>
        <w:tc>
          <w:tcPr>
            <w:tcW w:w="3078" w:type="dxa"/>
            <w:tcBorders>
              <w:left w:val="nil"/>
              <w:bottom w:val="nil"/>
              <w:right w:val="nil"/>
            </w:tcBorders>
            <w:noWrap/>
            <w:hideMark/>
          </w:tcPr>
          <w:p w14:paraId="2F412B5E" w14:textId="77777777" w:rsidR="006E16B4" w:rsidRPr="0026662D" w:rsidRDefault="006E16B4" w:rsidP="0040594E">
            <w:pPr>
              <w:pStyle w:val="Tablebody"/>
              <w:rPr>
                <w:sz w:val="24"/>
                <w:szCs w:val="24"/>
              </w:rPr>
            </w:pPr>
            <w:r w:rsidRPr="0026662D">
              <w:rPr>
                <w:sz w:val="24"/>
                <w:szCs w:val="24"/>
              </w:rPr>
              <w:t> </w:t>
            </w:r>
          </w:p>
        </w:tc>
        <w:tc>
          <w:tcPr>
            <w:tcW w:w="5614" w:type="dxa"/>
            <w:gridSpan w:val="7"/>
            <w:tcBorders>
              <w:left w:val="nil"/>
              <w:bottom w:val="nil"/>
              <w:right w:val="nil"/>
            </w:tcBorders>
            <w:noWrap/>
            <w:hideMark/>
          </w:tcPr>
          <w:p w14:paraId="722977E8" w14:textId="77777777" w:rsidR="006E16B4" w:rsidRPr="0026662D" w:rsidRDefault="006E16B4" w:rsidP="0040594E">
            <w:pPr>
              <w:pStyle w:val="Tablebody"/>
              <w:rPr>
                <w:sz w:val="24"/>
                <w:szCs w:val="24"/>
              </w:rPr>
            </w:pPr>
            <w:r w:rsidRPr="0026662D">
              <w:rPr>
                <w:sz w:val="24"/>
                <w:szCs w:val="24"/>
              </w:rPr>
              <w:t>Low Birth Weight (n=85)</w:t>
            </w:r>
          </w:p>
        </w:tc>
      </w:tr>
      <w:tr w:rsidR="000E7ED5" w14:paraId="30E4FF65" w14:textId="77777777" w:rsidTr="000E7ED5">
        <w:trPr>
          <w:trHeight w:val="300"/>
        </w:trPr>
        <w:tc>
          <w:tcPr>
            <w:tcW w:w="3078" w:type="dxa"/>
            <w:noWrap/>
            <w:hideMark/>
          </w:tcPr>
          <w:p w14:paraId="1A123459" w14:textId="77777777" w:rsidR="000E7ED5" w:rsidRPr="0026662D" w:rsidRDefault="000E7ED5" w:rsidP="0040594E">
            <w:pPr>
              <w:pStyle w:val="Tablebody"/>
              <w:rPr>
                <w:sz w:val="24"/>
                <w:szCs w:val="24"/>
              </w:rPr>
            </w:pPr>
            <w:r w:rsidRPr="0026662D">
              <w:rPr>
                <w:sz w:val="24"/>
                <w:szCs w:val="24"/>
              </w:rPr>
              <w:t>NDMA Low vs. Zero</w:t>
            </w:r>
          </w:p>
        </w:tc>
        <w:tc>
          <w:tcPr>
            <w:tcW w:w="664" w:type="dxa"/>
            <w:noWrap/>
            <w:hideMark/>
          </w:tcPr>
          <w:p w14:paraId="476EEFD5" w14:textId="77777777" w:rsidR="000E7ED5" w:rsidRPr="0026662D" w:rsidRDefault="000E7ED5" w:rsidP="0040594E">
            <w:pPr>
              <w:pStyle w:val="Tablebody"/>
              <w:rPr>
                <w:sz w:val="24"/>
                <w:szCs w:val="24"/>
              </w:rPr>
            </w:pPr>
            <w:r w:rsidRPr="0026662D">
              <w:rPr>
                <w:sz w:val="24"/>
                <w:szCs w:val="24"/>
              </w:rPr>
              <w:t>1.2</w:t>
            </w:r>
          </w:p>
        </w:tc>
        <w:tc>
          <w:tcPr>
            <w:tcW w:w="222" w:type="dxa"/>
            <w:noWrap/>
            <w:hideMark/>
          </w:tcPr>
          <w:p w14:paraId="05F38C62"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noWrap/>
            <w:hideMark/>
          </w:tcPr>
          <w:p w14:paraId="6B5D4272" w14:textId="77777777" w:rsidR="000E7ED5" w:rsidRPr="0026662D" w:rsidRDefault="000E7ED5" w:rsidP="0040594E">
            <w:pPr>
              <w:pStyle w:val="Tablebody"/>
              <w:rPr>
                <w:sz w:val="24"/>
                <w:szCs w:val="24"/>
              </w:rPr>
            </w:pPr>
            <w:r w:rsidRPr="0026662D">
              <w:rPr>
                <w:sz w:val="24"/>
                <w:szCs w:val="24"/>
              </w:rPr>
              <w:t>(0.2 - 6.4)</w:t>
            </w:r>
          </w:p>
        </w:tc>
        <w:tc>
          <w:tcPr>
            <w:tcW w:w="269" w:type="dxa"/>
            <w:noWrap/>
          </w:tcPr>
          <w:p w14:paraId="73CB0E1D" w14:textId="77777777" w:rsidR="000E7ED5" w:rsidRPr="0026662D" w:rsidRDefault="000E7ED5" w:rsidP="0040594E">
            <w:pPr>
              <w:pStyle w:val="Tablebody"/>
              <w:rPr>
                <w:sz w:val="24"/>
                <w:szCs w:val="24"/>
              </w:rPr>
            </w:pPr>
          </w:p>
        </w:tc>
        <w:tc>
          <w:tcPr>
            <w:tcW w:w="841" w:type="dxa"/>
            <w:shd w:val="clear" w:color="auto" w:fill="D9D9D9" w:themeFill="background1" w:themeFillShade="D9"/>
            <w:noWrap/>
            <w:hideMark/>
          </w:tcPr>
          <w:p w14:paraId="4FE974BB" w14:textId="77777777" w:rsidR="000E7ED5" w:rsidRPr="0026662D" w:rsidRDefault="000E7ED5" w:rsidP="0040594E">
            <w:pPr>
              <w:pStyle w:val="Tablebody"/>
              <w:rPr>
                <w:sz w:val="24"/>
                <w:szCs w:val="24"/>
              </w:rPr>
            </w:pPr>
            <w:r w:rsidRPr="0026662D">
              <w:rPr>
                <w:sz w:val="24"/>
                <w:szCs w:val="24"/>
              </w:rPr>
              <w:t>1.7</w:t>
            </w:r>
          </w:p>
        </w:tc>
        <w:tc>
          <w:tcPr>
            <w:tcW w:w="1800" w:type="dxa"/>
            <w:shd w:val="clear" w:color="auto" w:fill="D9D9D9" w:themeFill="background1" w:themeFillShade="D9"/>
            <w:noWrap/>
            <w:hideMark/>
          </w:tcPr>
          <w:p w14:paraId="4A301010" w14:textId="77777777" w:rsidR="000E7ED5" w:rsidRPr="0026662D" w:rsidRDefault="000E7ED5" w:rsidP="0040594E">
            <w:pPr>
              <w:pStyle w:val="Tablebody"/>
              <w:rPr>
                <w:sz w:val="24"/>
                <w:szCs w:val="24"/>
              </w:rPr>
            </w:pPr>
            <w:r w:rsidRPr="0026662D">
              <w:rPr>
                <w:sz w:val="24"/>
                <w:szCs w:val="24"/>
              </w:rPr>
              <w:t>(0.3 - 9.6)</w:t>
            </w:r>
          </w:p>
        </w:tc>
      </w:tr>
      <w:tr w:rsidR="000E7ED5" w14:paraId="769EBA65" w14:textId="77777777" w:rsidTr="000E7ED5">
        <w:trPr>
          <w:trHeight w:val="300"/>
        </w:trPr>
        <w:tc>
          <w:tcPr>
            <w:tcW w:w="3078" w:type="dxa"/>
            <w:tcBorders>
              <w:top w:val="nil"/>
              <w:left w:val="nil"/>
              <w:right w:val="nil"/>
            </w:tcBorders>
            <w:noWrap/>
            <w:hideMark/>
          </w:tcPr>
          <w:p w14:paraId="5C268767" w14:textId="77777777" w:rsidR="000E7ED5" w:rsidRPr="0026662D" w:rsidRDefault="000E7ED5" w:rsidP="0040594E">
            <w:pPr>
              <w:pStyle w:val="Tablebody"/>
              <w:rPr>
                <w:sz w:val="24"/>
                <w:szCs w:val="24"/>
              </w:rPr>
            </w:pPr>
            <w:r w:rsidRPr="0026662D">
              <w:rPr>
                <w:sz w:val="24"/>
                <w:szCs w:val="24"/>
              </w:rPr>
              <w:t>NDMA High vs. Zero</w:t>
            </w:r>
          </w:p>
        </w:tc>
        <w:tc>
          <w:tcPr>
            <w:tcW w:w="664" w:type="dxa"/>
            <w:tcBorders>
              <w:top w:val="nil"/>
              <w:left w:val="nil"/>
              <w:right w:val="nil"/>
            </w:tcBorders>
            <w:noWrap/>
            <w:hideMark/>
          </w:tcPr>
          <w:p w14:paraId="4D255FB8" w14:textId="77777777" w:rsidR="000E7ED5" w:rsidRPr="0026662D" w:rsidRDefault="000E7ED5" w:rsidP="0040594E">
            <w:pPr>
              <w:pStyle w:val="Tablebody"/>
              <w:rPr>
                <w:sz w:val="24"/>
                <w:szCs w:val="24"/>
              </w:rPr>
            </w:pPr>
            <w:r w:rsidRPr="0026662D">
              <w:rPr>
                <w:sz w:val="24"/>
                <w:szCs w:val="24"/>
              </w:rPr>
              <w:t>2.6</w:t>
            </w:r>
          </w:p>
        </w:tc>
        <w:tc>
          <w:tcPr>
            <w:tcW w:w="222" w:type="dxa"/>
            <w:tcBorders>
              <w:top w:val="nil"/>
              <w:left w:val="nil"/>
              <w:right w:val="nil"/>
            </w:tcBorders>
            <w:noWrap/>
            <w:hideMark/>
          </w:tcPr>
          <w:p w14:paraId="2DD605DD"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tcBorders>
              <w:top w:val="nil"/>
              <w:left w:val="nil"/>
              <w:right w:val="nil"/>
            </w:tcBorders>
            <w:noWrap/>
            <w:hideMark/>
          </w:tcPr>
          <w:p w14:paraId="06ABB7F8" w14:textId="77777777" w:rsidR="000E7ED5" w:rsidRPr="0026662D" w:rsidRDefault="000E7ED5" w:rsidP="0040594E">
            <w:pPr>
              <w:pStyle w:val="Tablebody"/>
              <w:rPr>
                <w:sz w:val="24"/>
                <w:szCs w:val="24"/>
              </w:rPr>
            </w:pPr>
            <w:r w:rsidRPr="0026662D">
              <w:rPr>
                <w:sz w:val="24"/>
                <w:szCs w:val="24"/>
              </w:rPr>
              <w:t>(0.6 - 11)</w:t>
            </w:r>
          </w:p>
        </w:tc>
        <w:tc>
          <w:tcPr>
            <w:tcW w:w="269" w:type="dxa"/>
            <w:tcBorders>
              <w:top w:val="nil"/>
              <w:left w:val="nil"/>
              <w:right w:val="nil"/>
            </w:tcBorders>
            <w:noWrap/>
          </w:tcPr>
          <w:p w14:paraId="04BD5FEB" w14:textId="77777777" w:rsidR="000E7ED5" w:rsidRPr="0026662D" w:rsidRDefault="000E7ED5" w:rsidP="0040594E">
            <w:pPr>
              <w:pStyle w:val="Tablebody"/>
              <w:rPr>
                <w:sz w:val="24"/>
                <w:szCs w:val="24"/>
              </w:rPr>
            </w:pPr>
          </w:p>
        </w:tc>
        <w:tc>
          <w:tcPr>
            <w:tcW w:w="841" w:type="dxa"/>
            <w:tcBorders>
              <w:top w:val="nil"/>
              <w:left w:val="nil"/>
              <w:right w:val="nil"/>
            </w:tcBorders>
            <w:shd w:val="clear" w:color="auto" w:fill="D9D9D9" w:themeFill="background1" w:themeFillShade="D9"/>
            <w:noWrap/>
            <w:hideMark/>
          </w:tcPr>
          <w:p w14:paraId="70155E09" w14:textId="77777777" w:rsidR="000E7ED5" w:rsidRPr="0026662D" w:rsidRDefault="000E7ED5" w:rsidP="0040594E">
            <w:pPr>
              <w:pStyle w:val="Tablebody"/>
              <w:rPr>
                <w:sz w:val="24"/>
                <w:szCs w:val="24"/>
              </w:rPr>
            </w:pPr>
            <w:r w:rsidRPr="0026662D">
              <w:rPr>
                <w:sz w:val="24"/>
                <w:szCs w:val="24"/>
              </w:rPr>
              <w:t>3.4</w:t>
            </w:r>
          </w:p>
        </w:tc>
        <w:tc>
          <w:tcPr>
            <w:tcW w:w="1800" w:type="dxa"/>
            <w:tcBorders>
              <w:top w:val="nil"/>
              <w:left w:val="nil"/>
              <w:right w:val="nil"/>
            </w:tcBorders>
            <w:shd w:val="clear" w:color="auto" w:fill="D9D9D9" w:themeFill="background1" w:themeFillShade="D9"/>
            <w:noWrap/>
            <w:hideMark/>
          </w:tcPr>
          <w:p w14:paraId="7EC56ACA" w14:textId="77777777" w:rsidR="000E7ED5" w:rsidRPr="0026662D" w:rsidRDefault="000E7ED5" w:rsidP="0040594E">
            <w:pPr>
              <w:pStyle w:val="Tablebody"/>
              <w:rPr>
                <w:sz w:val="24"/>
                <w:szCs w:val="24"/>
              </w:rPr>
            </w:pPr>
            <w:r w:rsidRPr="0026662D">
              <w:rPr>
                <w:sz w:val="24"/>
                <w:szCs w:val="24"/>
              </w:rPr>
              <w:t>(0.7 - 17)</w:t>
            </w:r>
          </w:p>
        </w:tc>
      </w:tr>
      <w:tr w:rsidR="00C93528" w14:paraId="65A8779A" w14:textId="77777777" w:rsidTr="000E7ED5">
        <w:trPr>
          <w:trHeight w:val="300"/>
        </w:trPr>
        <w:tc>
          <w:tcPr>
            <w:tcW w:w="3078" w:type="dxa"/>
            <w:noWrap/>
          </w:tcPr>
          <w:p w14:paraId="4261AE00" w14:textId="77777777" w:rsidR="00C93528" w:rsidRPr="0026662D" w:rsidRDefault="00C93528" w:rsidP="0040594E">
            <w:pPr>
              <w:pStyle w:val="Tablebody"/>
              <w:rPr>
                <w:sz w:val="24"/>
                <w:szCs w:val="24"/>
              </w:rPr>
            </w:pPr>
          </w:p>
        </w:tc>
        <w:tc>
          <w:tcPr>
            <w:tcW w:w="5614" w:type="dxa"/>
            <w:gridSpan w:val="7"/>
            <w:tcBorders>
              <w:top w:val="nil"/>
              <w:left w:val="nil"/>
              <w:right w:val="nil"/>
            </w:tcBorders>
            <w:noWrap/>
          </w:tcPr>
          <w:p w14:paraId="385D12D6" w14:textId="77777777" w:rsidR="00EA31C2" w:rsidRPr="0026662D" w:rsidRDefault="00C93528" w:rsidP="0040594E">
            <w:pPr>
              <w:pStyle w:val="Tablebody"/>
              <w:rPr>
                <w:sz w:val="24"/>
                <w:szCs w:val="24"/>
              </w:rPr>
            </w:pPr>
            <w:r w:rsidRPr="0026662D">
              <w:rPr>
                <w:sz w:val="24"/>
                <w:szCs w:val="24"/>
              </w:rPr>
              <w:t>Adverse Birth Event (n=80)</w:t>
            </w:r>
          </w:p>
        </w:tc>
      </w:tr>
      <w:tr w:rsidR="000E7ED5" w14:paraId="7DCBABAB" w14:textId="77777777" w:rsidTr="000E7ED5">
        <w:trPr>
          <w:trHeight w:val="300"/>
        </w:trPr>
        <w:tc>
          <w:tcPr>
            <w:tcW w:w="3078" w:type="dxa"/>
            <w:noWrap/>
            <w:hideMark/>
          </w:tcPr>
          <w:p w14:paraId="0B014350" w14:textId="77777777" w:rsidR="000E7ED5" w:rsidRPr="0026662D" w:rsidRDefault="000E7ED5" w:rsidP="0040594E">
            <w:pPr>
              <w:pStyle w:val="Tablebody"/>
              <w:rPr>
                <w:sz w:val="24"/>
                <w:szCs w:val="24"/>
              </w:rPr>
            </w:pPr>
            <w:r w:rsidRPr="0026662D">
              <w:rPr>
                <w:sz w:val="24"/>
                <w:szCs w:val="24"/>
              </w:rPr>
              <w:t>NDMA Low vs. Zero</w:t>
            </w:r>
          </w:p>
        </w:tc>
        <w:tc>
          <w:tcPr>
            <w:tcW w:w="664" w:type="dxa"/>
            <w:noWrap/>
            <w:hideMark/>
          </w:tcPr>
          <w:p w14:paraId="4A800AE9" w14:textId="77777777" w:rsidR="000E7ED5" w:rsidRPr="0026662D" w:rsidRDefault="000E7ED5" w:rsidP="0040594E">
            <w:pPr>
              <w:pStyle w:val="Tablebody"/>
              <w:rPr>
                <w:sz w:val="24"/>
                <w:szCs w:val="24"/>
              </w:rPr>
            </w:pPr>
            <w:r w:rsidRPr="0026662D">
              <w:rPr>
                <w:sz w:val="24"/>
                <w:szCs w:val="24"/>
              </w:rPr>
              <w:t>1.5</w:t>
            </w:r>
          </w:p>
        </w:tc>
        <w:tc>
          <w:tcPr>
            <w:tcW w:w="222" w:type="dxa"/>
            <w:noWrap/>
            <w:hideMark/>
          </w:tcPr>
          <w:p w14:paraId="2D2F64FD"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noWrap/>
            <w:hideMark/>
          </w:tcPr>
          <w:p w14:paraId="0E41F74F" w14:textId="77777777" w:rsidR="000E7ED5" w:rsidRPr="0026662D" w:rsidRDefault="000E7ED5" w:rsidP="0040594E">
            <w:pPr>
              <w:pStyle w:val="Tablebody"/>
              <w:rPr>
                <w:sz w:val="24"/>
                <w:szCs w:val="24"/>
              </w:rPr>
            </w:pPr>
            <w:r w:rsidRPr="0026662D">
              <w:rPr>
                <w:sz w:val="24"/>
                <w:szCs w:val="24"/>
              </w:rPr>
              <w:t>(0.3 - 7.8)</w:t>
            </w:r>
          </w:p>
        </w:tc>
        <w:tc>
          <w:tcPr>
            <w:tcW w:w="269" w:type="dxa"/>
            <w:noWrap/>
          </w:tcPr>
          <w:p w14:paraId="13B94A6C" w14:textId="77777777" w:rsidR="000E7ED5" w:rsidRPr="0026662D" w:rsidRDefault="000E7ED5" w:rsidP="0040594E">
            <w:pPr>
              <w:pStyle w:val="Tablebody"/>
              <w:rPr>
                <w:sz w:val="24"/>
                <w:szCs w:val="24"/>
              </w:rPr>
            </w:pPr>
          </w:p>
        </w:tc>
        <w:tc>
          <w:tcPr>
            <w:tcW w:w="841" w:type="dxa"/>
            <w:shd w:val="clear" w:color="auto" w:fill="D9D9D9" w:themeFill="background1" w:themeFillShade="D9"/>
            <w:noWrap/>
            <w:hideMark/>
          </w:tcPr>
          <w:p w14:paraId="4668D7F7" w14:textId="77777777" w:rsidR="000E7ED5" w:rsidRPr="0026662D" w:rsidRDefault="000E7ED5" w:rsidP="0040594E">
            <w:pPr>
              <w:pStyle w:val="Tablebody"/>
              <w:rPr>
                <w:sz w:val="24"/>
                <w:szCs w:val="24"/>
              </w:rPr>
            </w:pPr>
            <w:r w:rsidRPr="0026662D">
              <w:rPr>
                <w:sz w:val="24"/>
                <w:szCs w:val="24"/>
              </w:rPr>
              <w:t>1.0</w:t>
            </w:r>
          </w:p>
        </w:tc>
        <w:tc>
          <w:tcPr>
            <w:tcW w:w="1800" w:type="dxa"/>
            <w:shd w:val="clear" w:color="auto" w:fill="D9D9D9" w:themeFill="background1" w:themeFillShade="D9"/>
            <w:noWrap/>
            <w:hideMark/>
          </w:tcPr>
          <w:p w14:paraId="3F320A8D" w14:textId="77777777" w:rsidR="000E7ED5" w:rsidRPr="0026662D" w:rsidRDefault="000E7ED5" w:rsidP="0040594E">
            <w:pPr>
              <w:pStyle w:val="Tablebody"/>
              <w:rPr>
                <w:sz w:val="24"/>
                <w:szCs w:val="24"/>
              </w:rPr>
            </w:pPr>
            <w:r w:rsidRPr="0026662D">
              <w:rPr>
                <w:sz w:val="24"/>
                <w:szCs w:val="24"/>
              </w:rPr>
              <w:t>(0.1 - 7.2)</w:t>
            </w:r>
          </w:p>
        </w:tc>
      </w:tr>
      <w:tr w:rsidR="000E7ED5" w14:paraId="6C05D637" w14:textId="77777777" w:rsidTr="000E7ED5">
        <w:trPr>
          <w:trHeight w:val="300"/>
        </w:trPr>
        <w:tc>
          <w:tcPr>
            <w:tcW w:w="3078" w:type="dxa"/>
            <w:tcBorders>
              <w:top w:val="nil"/>
              <w:left w:val="nil"/>
              <w:right w:val="nil"/>
            </w:tcBorders>
            <w:noWrap/>
            <w:hideMark/>
          </w:tcPr>
          <w:p w14:paraId="0985C745" w14:textId="77777777" w:rsidR="000E7ED5" w:rsidRPr="0026662D" w:rsidRDefault="000E7ED5" w:rsidP="0040594E">
            <w:pPr>
              <w:pStyle w:val="Tablebody"/>
              <w:rPr>
                <w:sz w:val="24"/>
                <w:szCs w:val="24"/>
              </w:rPr>
            </w:pPr>
            <w:r w:rsidRPr="0026662D">
              <w:rPr>
                <w:sz w:val="24"/>
                <w:szCs w:val="24"/>
              </w:rPr>
              <w:t>NDMA High vs. Zero</w:t>
            </w:r>
          </w:p>
        </w:tc>
        <w:tc>
          <w:tcPr>
            <w:tcW w:w="664" w:type="dxa"/>
            <w:tcBorders>
              <w:top w:val="nil"/>
              <w:left w:val="nil"/>
              <w:right w:val="nil"/>
            </w:tcBorders>
            <w:noWrap/>
            <w:hideMark/>
          </w:tcPr>
          <w:p w14:paraId="6C3A5730" w14:textId="77777777" w:rsidR="000E7ED5" w:rsidRPr="0026662D" w:rsidRDefault="000E7ED5" w:rsidP="0040594E">
            <w:pPr>
              <w:pStyle w:val="Tablebody"/>
              <w:rPr>
                <w:sz w:val="24"/>
                <w:szCs w:val="24"/>
              </w:rPr>
            </w:pPr>
            <w:r w:rsidRPr="0026662D">
              <w:rPr>
                <w:sz w:val="24"/>
                <w:szCs w:val="24"/>
              </w:rPr>
              <w:t>3.0</w:t>
            </w:r>
          </w:p>
        </w:tc>
        <w:tc>
          <w:tcPr>
            <w:tcW w:w="222" w:type="dxa"/>
            <w:tcBorders>
              <w:top w:val="nil"/>
              <w:left w:val="nil"/>
              <w:right w:val="nil"/>
            </w:tcBorders>
            <w:noWrap/>
            <w:hideMark/>
          </w:tcPr>
          <w:p w14:paraId="152FC453"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tcBorders>
              <w:top w:val="nil"/>
              <w:left w:val="nil"/>
              <w:right w:val="nil"/>
            </w:tcBorders>
            <w:noWrap/>
            <w:hideMark/>
          </w:tcPr>
          <w:p w14:paraId="648B6F9A" w14:textId="77777777" w:rsidR="000E7ED5" w:rsidRPr="0026662D" w:rsidRDefault="000E7ED5" w:rsidP="0040594E">
            <w:pPr>
              <w:pStyle w:val="Tablebody"/>
              <w:rPr>
                <w:sz w:val="24"/>
                <w:szCs w:val="24"/>
              </w:rPr>
            </w:pPr>
            <w:r w:rsidRPr="0026662D">
              <w:rPr>
                <w:sz w:val="24"/>
                <w:szCs w:val="24"/>
              </w:rPr>
              <w:t>(0.6 - 15)</w:t>
            </w:r>
          </w:p>
        </w:tc>
        <w:tc>
          <w:tcPr>
            <w:tcW w:w="269" w:type="dxa"/>
            <w:tcBorders>
              <w:top w:val="nil"/>
              <w:left w:val="nil"/>
              <w:right w:val="nil"/>
            </w:tcBorders>
            <w:noWrap/>
          </w:tcPr>
          <w:p w14:paraId="544563C6" w14:textId="77777777" w:rsidR="000E7ED5" w:rsidRPr="0026662D" w:rsidRDefault="000E7ED5" w:rsidP="0040594E">
            <w:pPr>
              <w:pStyle w:val="Tablebody"/>
              <w:rPr>
                <w:sz w:val="24"/>
                <w:szCs w:val="24"/>
              </w:rPr>
            </w:pPr>
          </w:p>
        </w:tc>
        <w:tc>
          <w:tcPr>
            <w:tcW w:w="841" w:type="dxa"/>
            <w:tcBorders>
              <w:top w:val="nil"/>
              <w:left w:val="nil"/>
              <w:right w:val="nil"/>
            </w:tcBorders>
            <w:shd w:val="clear" w:color="auto" w:fill="D9D9D9" w:themeFill="background1" w:themeFillShade="D9"/>
            <w:noWrap/>
            <w:hideMark/>
          </w:tcPr>
          <w:p w14:paraId="0511944D" w14:textId="77777777" w:rsidR="000E7ED5" w:rsidRPr="0026662D" w:rsidRDefault="000E7ED5" w:rsidP="0040594E">
            <w:pPr>
              <w:pStyle w:val="Tablebody"/>
              <w:rPr>
                <w:sz w:val="24"/>
                <w:szCs w:val="24"/>
              </w:rPr>
            </w:pPr>
            <w:r w:rsidRPr="0026662D">
              <w:rPr>
                <w:sz w:val="24"/>
                <w:szCs w:val="24"/>
              </w:rPr>
              <w:t>3.6</w:t>
            </w:r>
          </w:p>
        </w:tc>
        <w:tc>
          <w:tcPr>
            <w:tcW w:w="1800" w:type="dxa"/>
            <w:tcBorders>
              <w:top w:val="nil"/>
              <w:left w:val="nil"/>
              <w:right w:val="nil"/>
            </w:tcBorders>
            <w:shd w:val="clear" w:color="auto" w:fill="D9D9D9" w:themeFill="background1" w:themeFillShade="D9"/>
            <w:noWrap/>
            <w:hideMark/>
          </w:tcPr>
          <w:p w14:paraId="0E72FAA2" w14:textId="77777777" w:rsidR="000E7ED5" w:rsidRPr="0026662D" w:rsidRDefault="000E7ED5" w:rsidP="0040594E">
            <w:pPr>
              <w:pStyle w:val="Tablebody"/>
              <w:rPr>
                <w:sz w:val="24"/>
                <w:szCs w:val="24"/>
              </w:rPr>
            </w:pPr>
            <w:r w:rsidRPr="0026662D">
              <w:rPr>
                <w:sz w:val="24"/>
                <w:szCs w:val="24"/>
              </w:rPr>
              <w:t>(0.7 - 20)</w:t>
            </w:r>
          </w:p>
        </w:tc>
      </w:tr>
      <w:tr w:rsidR="006E16B4" w14:paraId="0686F3C0" w14:textId="77777777" w:rsidTr="000E7ED5">
        <w:trPr>
          <w:trHeight w:val="495"/>
        </w:trPr>
        <w:tc>
          <w:tcPr>
            <w:tcW w:w="3078" w:type="dxa"/>
            <w:tcBorders>
              <w:left w:val="nil"/>
              <w:bottom w:val="nil"/>
              <w:right w:val="nil"/>
            </w:tcBorders>
            <w:noWrap/>
            <w:hideMark/>
          </w:tcPr>
          <w:p w14:paraId="36F7F31E" w14:textId="77777777" w:rsidR="006E16B4" w:rsidRPr="0026662D" w:rsidRDefault="006E16B4" w:rsidP="0040594E">
            <w:pPr>
              <w:pStyle w:val="Tablebody"/>
              <w:rPr>
                <w:sz w:val="24"/>
                <w:szCs w:val="24"/>
              </w:rPr>
            </w:pPr>
            <w:r w:rsidRPr="0026662D">
              <w:rPr>
                <w:sz w:val="24"/>
                <w:szCs w:val="24"/>
              </w:rPr>
              <w:t> </w:t>
            </w:r>
          </w:p>
        </w:tc>
        <w:tc>
          <w:tcPr>
            <w:tcW w:w="5614" w:type="dxa"/>
            <w:gridSpan w:val="7"/>
            <w:tcBorders>
              <w:left w:val="nil"/>
              <w:bottom w:val="nil"/>
              <w:right w:val="nil"/>
            </w:tcBorders>
            <w:shd w:val="clear" w:color="auto" w:fill="auto"/>
            <w:noWrap/>
            <w:hideMark/>
          </w:tcPr>
          <w:p w14:paraId="6136988B" w14:textId="77777777" w:rsidR="006E16B4" w:rsidRPr="0026662D" w:rsidRDefault="006E16B4" w:rsidP="0040594E">
            <w:pPr>
              <w:pStyle w:val="Tablebody"/>
              <w:rPr>
                <w:sz w:val="24"/>
                <w:szCs w:val="24"/>
              </w:rPr>
            </w:pPr>
            <w:r w:rsidRPr="0026662D">
              <w:rPr>
                <w:sz w:val="24"/>
                <w:szCs w:val="24"/>
              </w:rPr>
              <w:t>Household Plastics/Glues Exposure (n=90)</w:t>
            </w:r>
          </w:p>
        </w:tc>
      </w:tr>
      <w:tr w:rsidR="000E7ED5" w14:paraId="54F73024" w14:textId="77777777" w:rsidTr="000E7ED5">
        <w:trPr>
          <w:trHeight w:val="300"/>
        </w:trPr>
        <w:tc>
          <w:tcPr>
            <w:tcW w:w="3078" w:type="dxa"/>
            <w:noWrap/>
            <w:hideMark/>
          </w:tcPr>
          <w:p w14:paraId="0241CBC5" w14:textId="77777777" w:rsidR="000E7ED5" w:rsidRPr="0026662D" w:rsidRDefault="000E7ED5" w:rsidP="0040594E">
            <w:pPr>
              <w:pStyle w:val="Tablebody"/>
              <w:rPr>
                <w:sz w:val="24"/>
                <w:szCs w:val="24"/>
              </w:rPr>
            </w:pPr>
            <w:r w:rsidRPr="0026662D">
              <w:rPr>
                <w:sz w:val="24"/>
                <w:szCs w:val="24"/>
              </w:rPr>
              <w:t>NDMA Low vs. Zero</w:t>
            </w:r>
          </w:p>
        </w:tc>
        <w:tc>
          <w:tcPr>
            <w:tcW w:w="664" w:type="dxa"/>
            <w:noWrap/>
            <w:hideMark/>
          </w:tcPr>
          <w:p w14:paraId="3132EED4" w14:textId="77777777" w:rsidR="000E7ED5" w:rsidRPr="0026662D" w:rsidRDefault="000E7ED5" w:rsidP="0040594E">
            <w:pPr>
              <w:pStyle w:val="Tablebody"/>
              <w:rPr>
                <w:sz w:val="24"/>
                <w:szCs w:val="24"/>
              </w:rPr>
            </w:pPr>
            <w:r w:rsidRPr="0026662D">
              <w:rPr>
                <w:sz w:val="24"/>
                <w:szCs w:val="24"/>
              </w:rPr>
              <w:t>1.4</w:t>
            </w:r>
          </w:p>
        </w:tc>
        <w:tc>
          <w:tcPr>
            <w:tcW w:w="222" w:type="dxa"/>
            <w:noWrap/>
            <w:hideMark/>
          </w:tcPr>
          <w:p w14:paraId="0A00FF95"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noWrap/>
            <w:hideMark/>
          </w:tcPr>
          <w:p w14:paraId="6359A2F6" w14:textId="77777777" w:rsidR="000E7ED5" w:rsidRPr="0026662D" w:rsidRDefault="000E7ED5" w:rsidP="0040594E">
            <w:pPr>
              <w:pStyle w:val="Tablebody"/>
              <w:rPr>
                <w:sz w:val="24"/>
                <w:szCs w:val="24"/>
              </w:rPr>
            </w:pPr>
            <w:r w:rsidRPr="0026662D">
              <w:rPr>
                <w:sz w:val="24"/>
                <w:szCs w:val="24"/>
              </w:rPr>
              <w:t>(0.3 - 6.6)</w:t>
            </w:r>
          </w:p>
        </w:tc>
        <w:tc>
          <w:tcPr>
            <w:tcW w:w="269" w:type="dxa"/>
            <w:noWrap/>
          </w:tcPr>
          <w:p w14:paraId="00CD9B2D" w14:textId="77777777" w:rsidR="000E7ED5" w:rsidRPr="0026662D" w:rsidRDefault="000E7ED5" w:rsidP="0040594E">
            <w:pPr>
              <w:pStyle w:val="Tablebody"/>
              <w:rPr>
                <w:sz w:val="24"/>
                <w:szCs w:val="24"/>
              </w:rPr>
            </w:pPr>
          </w:p>
        </w:tc>
        <w:tc>
          <w:tcPr>
            <w:tcW w:w="841" w:type="dxa"/>
            <w:shd w:val="clear" w:color="auto" w:fill="D9D9D9" w:themeFill="background1" w:themeFillShade="D9"/>
            <w:noWrap/>
            <w:hideMark/>
          </w:tcPr>
          <w:p w14:paraId="6AC6BEB9" w14:textId="77777777" w:rsidR="000E7ED5" w:rsidRPr="0026662D" w:rsidRDefault="000E7ED5" w:rsidP="0040594E">
            <w:pPr>
              <w:pStyle w:val="Tablebody"/>
              <w:rPr>
                <w:sz w:val="24"/>
                <w:szCs w:val="24"/>
              </w:rPr>
            </w:pPr>
            <w:r w:rsidRPr="0026662D">
              <w:rPr>
                <w:sz w:val="24"/>
                <w:szCs w:val="24"/>
              </w:rPr>
              <w:t>1.2</w:t>
            </w:r>
          </w:p>
        </w:tc>
        <w:tc>
          <w:tcPr>
            <w:tcW w:w="1800" w:type="dxa"/>
            <w:shd w:val="clear" w:color="auto" w:fill="D9D9D9" w:themeFill="background1" w:themeFillShade="D9"/>
            <w:noWrap/>
            <w:hideMark/>
          </w:tcPr>
          <w:p w14:paraId="658FB3F2" w14:textId="77777777" w:rsidR="000E7ED5" w:rsidRPr="0026662D" w:rsidRDefault="000E7ED5" w:rsidP="0040594E">
            <w:pPr>
              <w:pStyle w:val="Tablebody"/>
              <w:rPr>
                <w:sz w:val="24"/>
                <w:szCs w:val="24"/>
              </w:rPr>
            </w:pPr>
            <w:r w:rsidRPr="0026662D">
              <w:rPr>
                <w:sz w:val="24"/>
                <w:szCs w:val="24"/>
              </w:rPr>
              <w:t>(0.2 - 5.8)</w:t>
            </w:r>
          </w:p>
        </w:tc>
      </w:tr>
      <w:tr w:rsidR="000E7ED5" w14:paraId="5E4CDEB9" w14:textId="77777777" w:rsidTr="000E7ED5">
        <w:trPr>
          <w:trHeight w:val="300"/>
        </w:trPr>
        <w:tc>
          <w:tcPr>
            <w:tcW w:w="3078" w:type="dxa"/>
            <w:tcBorders>
              <w:top w:val="nil"/>
              <w:left w:val="nil"/>
              <w:right w:val="nil"/>
            </w:tcBorders>
            <w:noWrap/>
            <w:hideMark/>
          </w:tcPr>
          <w:p w14:paraId="29FEBE21" w14:textId="77777777" w:rsidR="000E7ED5" w:rsidRPr="0026662D" w:rsidRDefault="000E7ED5" w:rsidP="0040594E">
            <w:pPr>
              <w:pStyle w:val="Tablebody"/>
              <w:rPr>
                <w:sz w:val="24"/>
                <w:szCs w:val="24"/>
              </w:rPr>
            </w:pPr>
            <w:r w:rsidRPr="0026662D">
              <w:rPr>
                <w:sz w:val="24"/>
                <w:szCs w:val="24"/>
              </w:rPr>
              <w:t>NDMA High vs. Zero</w:t>
            </w:r>
          </w:p>
        </w:tc>
        <w:tc>
          <w:tcPr>
            <w:tcW w:w="664" w:type="dxa"/>
            <w:tcBorders>
              <w:top w:val="nil"/>
              <w:left w:val="nil"/>
              <w:right w:val="nil"/>
            </w:tcBorders>
            <w:noWrap/>
            <w:hideMark/>
          </w:tcPr>
          <w:p w14:paraId="2CD0C4CB" w14:textId="77777777" w:rsidR="000E7ED5" w:rsidRPr="0026662D" w:rsidRDefault="000E7ED5" w:rsidP="0040594E">
            <w:pPr>
              <w:pStyle w:val="Tablebody"/>
              <w:rPr>
                <w:sz w:val="24"/>
                <w:szCs w:val="24"/>
              </w:rPr>
            </w:pPr>
            <w:r w:rsidRPr="0026662D">
              <w:rPr>
                <w:sz w:val="24"/>
                <w:szCs w:val="24"/>
              </w:rPr>
              <w:t>2.9</w:t>
            </w:r>
          </w:p>
        </w:tc>
        <w:tc>
          <w:tcPr>
            <w:tcW w:w="222" w:type="dxa"/>
            <w:tcBorders>
              <w:top w:val="nil"/>
              <w:left w:val="nil"/>
              <w:right w:val="nil"/>
            </w:tcBorders>
            <w:noWrap/>
            <w:hideMark/>
          </w:tcPr>
          <w:p w14:paraId="601A5A30"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tcBorders>
              <w:top w:val="nil"/>
              <w:left w:val="nil"/>
              <w:right w:val="nil"/>
            </w:tcBorders>
            <w:noWrap/>
            <w:hideMark/>
          </w:tcPr>
          <w:p w14:paraId="6E02D759" w14:textId="77777777" w:rsidR="000E7ED5" w:rsidRPr="0026662D" w:rsidRDefault="000E7ED5" w:rsidP="0040594E">
            <w:pPr>
              <w:pStyle w:val="Tablebody"/>
              <w:rPr>
                <w:sz w:val="24"/>
                <w:szCs w:val="24"/>
              </w:rPr>
            </w:pPr>
            <w:r w:rsidRPr="0026662D">
              <w:rPr>
                <w:sz w:val="24"/>
                <w:szCs w:val="24"/>
              </w:rPr>
              <w:t>(0.8 - 10)</w:t>
            </w:r>
          </w:p>
        </w:tc>
        <w:tc>
          <w:tcPr>
            <w:tcW w:w="269" w:type="dxa"/>
            <w:tcBorders>
              <w:top w:val="nil"/>
              <w:left w:val="nil"/>
              <w:right w:val="nil"/>
            </w:tcBorders>
            <w:noWrap/>
          </w:tcPr>
          <w:p w14:paraId="7E0C7175" w14:textId="77777777" w:rsidR="000E7ED5" w:rsidRPr="0026662D" w:rsidRDefault="000E7ED5" w:rsidP="0040594E">
            <w:pPr>
              <w:pStyle w:val="Tablebody"/>
              <w:rPr>
                <w:sz w:val="24"/>
                <w:szCs w:val="24"/>
              </w:rPr>
            </w:pPr>
          </w:p>
        </w:tc>
        <w:tc>
          <w:tcPr>
            <w:tcW w:w="841" w:type="dxa"/>
            <w:tcBorders>
              <w:top w:val="nil"/>
              <w:left w:val="nil"/>
              <w:right w:val="nil"/>
            </w:tcBorders>
            <w:shd w:val="clear" w:color="auto" w:fill="D9D9D9" w:themeFill="background1" w:themeFillShade="D9"/>
            <w:noWrap/>
            <w:hideMark/>
          </w:tcPr>
          <w:p w14:paraId="3E6986B9" w14:textId="77777777" w:rsidR="000E7ED5" w:rsidRPr="0026662D" w:rsidRDefault="000E7ED5" w:rsidP="0040594E">
            <w:pPr>
              <w:pStyle w:val="Tablebody"/>
              <w:rPr>
                <w:sz w:val="24"/>
                <w:szCs w:val="24"/>
                <w:vertAlign w:val="superscript"/>
              </w:rPr>
            </w:pPr>
            <w:r w:rsidRPr="0026662D">
              <w:rPr>
                <w:sz w:val="24"/>
                <w:szCs w:val="24"/>
              </w:rPr>
              <w:t>3.3</w:t>
            </w:r>
            <w:r w:rsidRPr="0026662D">
              <w:rPr>
                <w:sz w:val="24"/>
                <w:szCs w:val="24"/>
                <w:vertAlign w:val="superscript"/>
              </w:rPr>
              <w:t>†</w:t>
            </w:r>
          </w:p>
        </w:tc>
        <w:tc>
          <w:tcPr>
            <w:tcW w:w="1800" w:type="dxa"/>
            <w:tcBorders>
              <w:top w:val="nil"/>
              <w:left w:val="nil"/>
              <w:right w:val="nil"/>
            </w:tcBorders>
            <w:shd w:val="clear" w:color="auto" w:fill="D9D9D9" w:themeFill="background1" w:themeFillShade="D9"/>
            <w:noWrap/>
            <w:hideMark/>
          </w:tcPr>
          <w:p w14:paraId="71622C5D" w14:textId="77777777" w:rsidR="000E7ED5" w:rsidRPr="0026662D" w:rsidRDefault="000E7ED5" w:rsidP="0040594E">
            <w:pPr>
              <w:pStyle w:val="Tablebody"/>
              <w:rPr>
                <w:sz w:val="24"/>
                <w:szCs w:val="24"/>
              </w:rPr>
            </w:pPr>
            <w:r w:rsidRPr="0026662D">
              <w:rPr>
                <w:sz w:val="24"/>
                <w:szCs w:val="24"/>
              </w:rPr>
              <w:t>(0.9 - 12)</w:t>
            </w:r>
          </w:p>
        </w:tc>
      </w:tr>
      <w:tr w:rsidR="00EA31C2" w14:paraId="385BDF6F" w14:textId="77777777" w:rsidTr="000E7ED5">
        <w:trPr>
          <w:trHeight w:val="300"/>
        </w:trPr>
        <w:tc>
          <w:tcPr>
            <w:tcW w:w="3078" w:type="dxa"/>
            <w:noWrap/>
          </w:tcPr>
          <w:p w14:paraId="4609519F" w14:textId="77777777" w:rsidR="00EA31C2" w:rsidRPr="0026662D" w:rsidRDefault="00EA31C2" w:rsidP="0040594E">
            <w:pPr>
              <w:pStyle w:val="Tablebody"/>
              <w:rPr>
                <w:sz w:val="24"/>
                <w:szCs w:val="24"/>
              </w:rPr>
            </w:pPr>
          </w:p>
        </w:tc>
        <w:tc>
          <w:tcPr>
            <w:tcW w:w="5614" w:type="dxa"/>
            <w:gridSpan w:val="7"/>
            <w:tcBorders>
              <w:top w:val="nil"/>
              <w:left w:val="nil"/>
              <w:right w:val="nil"/>
            </w:tcBorders>
            <w:noWrap/>
          </w:tcPr>
          <w:p w14:paraId="6E8D289C" w14:textId="77777777" w:rsidR="00EA31C2" w:rsidRPr="0026662D" w:rsidRDefault="00EA31C2" w:rsidP="0040594E">
            <w:pPr>
              <w:pStyle w:val="Tablebody"/>
              <w:rPr>
                <w:sz w:val="24"/>
                <w:szCs w:val="24"/>
              </w:rPr>
            </w:pPr>
            <w:r w:rsidRPr="0026662D">
              <w:rPr>
                <w:sz w:val="24"/>
                <w:szCs w:val="24"/>
              </w:rPr>
              <w:t>Household Metals/Solder Exposure (n=91)</w:t>
            </w:r>
          </w:p>
        </w:tc>
      </w:tr>
      <w:tr w:rsidR="000E7ED5" w14:paraId="56246C1A" w14:textId="77777777" w:rsidTr="000E7ED5">
        <w:trPr>
          <w:trHeight w:val="300"/>
        </w:trPr>
        <w:tc>
          <w:tcPr>
            <w:tcW w:w="3078" w:type="dxa"/>
            <w:noWrap/>
            <w:hideMark/>
          </w:tcPr>
          <w:p w14:paraId="37977B6B" w14:textId="77777777" w:rsidR="000E7ED5" w:rsidRPr="0026662D" w:rsidRDefault="000E7ED5" w:rsidP="0040594E">
            <w:pPr>
              <w:pStyle w:val="Tablebody"/>
              <w:rPr>
                <w:sz w:val="24"/>
                <w:szCs w:val="24"/>
              </w:rPr>
            </w:pPr>
            <w:r w:rsidRPr="0026662D">
              <w:rPr>
                <w:sz w:val="24"/>
                <w:szCs w:val="24"/>
              </w:rPr>
              <w:t>NDMA Low vs. Zero</w:t>
            </w:r>
          </w:p>
        </w:tc>
        <w:tc>
          <w:tcPr>
            <w:tcW w:w="664" w:type="dxa"/>
            <w:noWrap/>
            <w:hideMark/>
          </w:tcPr>
          <w:p w14:paraId="49668665" w14:textId="77777777" w:rsidR="000E7ED5" w:rsidRPr="0026662D" w:rsidRDefault="000E7ED5" w:rsidP="0040594E">
            <w:pPr>
              <w:pStyle w:val="Tablebody"/>
              <w:rPr>
                <w:sz w:val="24"/>
                <w:szCs w:val="24"/>
              </w:rPr>
            </w:pPr>
            <w:r w:rsidRPr="0026662D">
              <w:rPr>
                <w:sz w:val="24"/>
                <w:szCs w:val="24"/>
              </w:rPr>
              <w:t>1.4</w:t>
            </w:r>
          </w:p>
        </w:tc>
        <w:tc>
          <w:tcPr>
            <w:tcW w:w="222" w:type="dxa"/>
            <w:noWrap/>
            <w:hideMark/>
          </w:tcPr>
          <w:p w14:paraId="7D3EB850"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noWrap/>
            <w:hideMark/>
          </w:tcPr>
          <w:p w14:paraId="6A31DD48" w14:textId="77777777" w:rsidR="000E7ED5" w:rsidRPr="0026662D" w:rsidRDefault="000E7ED5" w:rsidP="0040594E">
            <w:pPr>
              <w:pStyle w:val="Tablebody"/>
              <w:rPr>
                <w:sz w:val="24"/>
                <w:szCs w:val="24"/>
              </w:rPr>
            </w:pPr>
            <w:r w:rsidRPr="0026662D">
              <w:rPr>
                <w:sz w:val="24"/>
                <w:szCs w:val="24"/>
              </w:rPr>
              <w:t>(0.3 - 6.7)</w:t>
            </w:r>
          </w:p>
        </w:tc>
        <w:tc>
          <w:tcPr>
            <w:tcW w:w="269" w:type="dxa"/>
            <w:noWrap/>
          </w:tcPr>
          <w:p w14:paraId="1602F5B1" w14:textId="77777777" w:rsidR="000E7ED5" w:rsidRPr="0026662D" w:rsidRDefault="000E7ED5" w:rsidP="0040594E">
            <w:pPr>
              <w:pStyle w:val="Tablebody"/>
              <w:rPr>
                <w:sz w:val="24"/>
                <w:szCs w:val="24"/>
              </w:rPr>
            </w:pPr>
          </w:p>
        </w:tc>
        <w:tc>
          <w:tcPr>
            <w:tcW w:w="841" w:type="dxa"/>
            <w:shd w:val="clear" w:color="auto" w:fill="D9D9D9" w:themeFill="background1" w:themeFillShade="D9"/>
            <w:noWrap/>
            <w:hideMark/>
          </w:tcPr>
          <w:p w14:paraId="0A98354F" w14:textId="77777777" w:rsidR="000E7ED5" w:rsidRPr="0026662D" w:rsidRDefault="000E7ED5" w:rsidP="0040594E">
            <w:pPr>
              <w:pStyle w:val="Tablebody"/>
              <w:rPr>
                <w:sz w:val="24"/>
                <w:szCs w:val="24"/>
              </w:rPr>
            </w:pPr>
            <w:r w:rsidRPr="0026662D">
              <w:rPr>
                <w:sz w:val="24"/>
                <w:szCs w:val="24"/>
              </w:rPr>
              <w:t>1.1</w:t>
            </w:r>
          </w:p>
        </w:tc>
        <w:tc>
          <w:tcPr>
            <w:tcW w:w="1800" w:type="dxa"/>
            <w:shd w:val="clear" w:color="auto" w:fill="D9D9D9" w:themeFill="background1" w:themeFillShade="D9"/>
            <w:noWrap/>
            <w:hideMark/>
          </w:tcPr>
          <w:p w14:paraId="0C41DF69" w14:textId="77777777" w:rsidR="000E7ED5" w:rsidRPr="0026662D" w:rsidRDefault="000E7ED5" w:rsidP="0040594E">
            <w:pPr>
              <w:pStyle w:val="Tablebody"/>
              <w:rPr>
                <w:sz w:val="24"/>
                <w:szCs w:val="24"/>
              </w:rPr>
            </w:pPr>
            <w:r w:rsidRPr="0026662D">
              <w:rPr>
                <w:sz w:val="24"/>
                <w:szCs w:val="24"/>
              </w:rPr>
              <w:t>(0.2 - 5.6)</w:t>
            </w:r>
          </w:p>
        </w:tc>
      </w:tr>
      <w:tr w:rsidR="000E7ED5" w14:paraId="2E61EA03" w14:textId="77777777" w:rsidTr="000E7ED5">
        <w:trPr>
          <w:trHeight w:val="300"/>
        </w:trPr>
        <w:tc>
          <w:tcPr>
            <w:tcW w:w="3078" w:type="dxa"/>
            <w:tcBorders>
              <w:top w:val="nil"/>
              <w:left w:val="nil"/>
              <w:right w:val="nil"/>
            </w:tcBorders>
            <w:noWrap/>
            <w:hideMark/>
          </w:tcPr>
          <w:p w14:paraId="4E53FAAF" w14:textId="77777777" w:rsidR="000E7ED5" w:rsidRPr="0026662D" w:rsidRDefault="000E7ED5" w:rsidP="0040594E">
            <w:pPr>
              <w:pStyle w:val="Tablebody"/>
              <w:rPr>
                <w:sz w:val="24"/>
                <w:szCs w:val="24"/>
              </w:rPr>
            </w:pPr>
            <w:r w:rsidRPr="0026662D">
              <w:rPr>
                <w:sz w:val="24"/>
                <w:szCs w:val="24"/>
              </w:rPr>
              <w:t>NDMA High vs. Zero</w:t>
            </w:r>
          </w:p>
        </w:tc>
        <w:tc>
          <w:tcPr>
            <w:tcW w:w="664" w:type="dxa"/>
            <w:tcBorders>
              <w:top w:val="nil"/>
              <w:left w:val="nil"/>
              <w:right w:val="nil"/>
            </w:tcBorders>
            <w:noWrap/>
            <w:hideMark/>
          </w:tcPr>
          <w:p w14:paraId="06C4F23B" w14:textId="77777777" w:rsidR="000E7ED5" w:rsidRPr="0026662D" w:rsidRDefault="000E7ED5" w:rsidP="0040594E">
            <w:pPr>
              <w:pStyle w:val="Tablebody"/>
              <w:rPr>
                <w:sz w:val="24"/>
                <w:szCs w:val="24"/>
              </w:rPr>
            </w:pPr>
            <w:r w:rsidRPr="0026662D">
              <w:rPr>
                <w:sz w:val="24"/>
                <w:szCs w:val="24"/>
              </w:rPr>
              <w:t>2.9</w:t>
            </w:r>
          </w:p>
        </w:tc>
        <w:tc>
          <w:tcPr>
            <w:tcW w:w="222" w:type="dxa"/>
            <w:tcBorders>
              <w:top w:val="nil"/>
              <w:left w:val="nil"/>
              <w:right w:val="nil"/>
            </w:tcBorders>
            <w:noWrap/>
            <w:hideMark/>
          </w:tcPr>
          <w:p w14:paraId="4C8D6F11"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tcBorders>
              <w:top w:val="nil"/>
              <w:left w:val="nil"/>
              <w:right w:val="nil"/>
            </w:tcBorders>
            <w:noWrap/>
            <w:hideMark/>
          </w:tcPr>
          <w:p w14:paraId="68EAAA67" w14:textId="77777777" w:rsidR="000E7ED5" w:rsidRPr="0026662D" w:rsidRDefault="000E7ED5" w:rsidP="0040594E">
            <w:pPr>
              <w:pStyle w:val="Tablebody"/>
              <w:rPr>
                <w:sz w:val="24"/>
                <w:szCs w:val="24"/>
              </w:rPr>
            </w:pPr>
            <w:r w:rsidRPr="0026662D">
              <w:rPr>
                <w:sz w:val="24"/>
                <w:szCs w:val="24"/>
              </w:rPr>
              <w:t>(0.8 - 10)</w:t>
            </w:r>
          </w:p>
        </w:tc>
        <w:tc>
          <w:tcPr>
            <w:tcW w:w="269" w:type="dxa"/>
            <w:tcBorders>
              <w:top w:val="nil"/>
              <w:left w:val="nil"/>
              <w:right w:val="nil"/>
            </w:tcBorders>
            <w:noWrap/>
          </w:tcPr>
          <w:p w14:paraId="0D981959" w14:textId="77777777" w:rsidR="000E7ED5" w:rsidRPr="0026662D" w:rsidRDefault="000E7ED5" w:rsidP="0040594E">
            <w:pPr>
              <w:pStyle w:val="Tablebody"/>
              <w:rPr>
                <w:sz w:val="24"/>
                <w:szCs w:val="24"/>
              </w:rPr>
            </w:pPr>
          </w:p>
        </w:tc>
        <w:tc>
          <w:tcPr>
            <w:tcW w:w="841" w:type="dxa"/>
            <w:tcBorders>
              <w:top w:val="nil"/>
              <w:left w:val="nil"/>
              <w:right w:val="nil"/>
            </w:tcBorders>
            <w:shd w:val="clear" w:color="auto" w:fill="D9D9D9" w:themeFill="background1" w:themeFillShade="D9"/>
            <w:noWrap/>
            <w:hideMark/>
          </w:tcPr>
          <w:p w14:paraId="1F111C56" w14:textId="77777777" w:rsidR="000E7ED5" w:rsidRPr="0026662D" w:rsidRDefault="000E7ED5" w:rsidP="0040594E">
            <w:pPr>
              <w:pStyle w:val="Tablebody"/>
              <w:rPr>
                <w:sz w:val="24"/>
                <w:szCs w:val="24"/>
              </w:rPr>
            </w:pPr>
            <w:r w:rsidRPr="0026662D">
              <w:rPr>
                <w:sz w:val="24"/>
                <w:szCs w:val="24"/>
              </w:rPr>
              <w:t>2.8</w:t>
            </w:r>
          </w:p>
        </w:tc>
        <w:tc>
          <w:tcPr>
            <w:tcW w:w="1800" w:type="dxa"/>
            <w:tcBorders>
              <w:top w:val="nil"/>
              <w:left w:val="nil"/>
              <w:right w:val="nil"/>
            </w:tcBorders>
            <w:shd w:val="clear" w:color="auto" w:fill="D9D9D9" w:themeFill="background1" w:themeFillShade="D9"/>
            <w:noWrap/>
            <w:hideMark/>
          </w:tcPr>
          <w:p w14:paraId="6E78E123" w14:textId="77777777" w:rsidR="000E7ED5" w:rsidRPr="0026662D" w:rsidRDefault="000E7ED5" w:rsidP="0040594E">
            <w:pPr>
              <w:pStyle w:val="Tablebody"/>
              <w:rPr>
                <w:sz w:val="24"/>
                <w:szCs w:val="24"/>
              </w:rPr>
            </w:pPr>
            <w:r w:rsidRPr="0026662D">
              <w:rPr>
                <w:sz w:val="24"/>
                <w:szCs w:val="24"/>
              </w:rPr>
              <w:t>(0.8 - 9.8)</w:t>
            </w:r>
          </w:p>
        </w:tc>
      </w:tr>
      <w:tr w:rsidR="00EA31C2" w14:paraId="5D58DEE1" w14:textId="77777777" w:rsidTr="000E7ED5">
        <w:trPr>
          <w:trHeight w:val="300"/>
        </w:trPr>
        <w:tc>
          <w:tcPr>
            <w:tcW w:w="3078" w:type="dxa"/>
            <w:noWrap/>
          </w:tcPr>
          <w:p w14:paraId="7D5B36F3" w14:textId="77777777" w:rsidR="00EA31C2" w:rsidRPr="0026662D" w:rsidRDefault="00EA31C2" w:rsidP="0040594E">
            <w:pPr>
              <w:pStyle w:val="Tablebody"/>
              <w:rPr>
                <w:sz w:val="24"/>
                <w:szCs w:val="24"/>
              </w:rPr>
            </w:pPr>
          </w:p>
        </w:tc>
        <w:tc>
          <w:tcPr>
            <w:tcW w:w="5614" w:type="dxa"/>
            <w:gridSpan w:val="7"/>
            <w:tcBorders>
              <w:top w:val="nil"/>
              <w:left w:val="nil"/>
              <w:right w:val="nil"/>
            </w:tcBorders>
            <w:noWrap/>
          </w:tcPr>
          <w:p w14:paraId="2F57FB85" w14:textId="77777777" w:rsidR="00EA31C2" w:rsidRPr="0026662D" w:rsidRDefault="009F3F7E" w:rsidP="0040594E">
            <w:pPr>
              <w:pStyle w:val="Tablebody"/>
              <w:rPr>
                <w:sz w:val="24"/>
                <w:szCs w:val="24"/>
              </w:rPr>
            </w:pPr>
            <w:r w:rsidRPr="0026662D">
              <w:rPr>
                <w:sz w:val="24"/>
                <w:szCs w:val="24"/>
              </w:rPr>
              <w:t xml:space="preserve">Prenatal </w:t>
            </w:r>
            <w:r w:rsidR="00EA31C2" w:rsidRPr="0026662D">
              <w:rPr>
                <w:sz w:val="24"/>
                <w:szCs w:val="24"/>
              </w:rPr>
              <w:t>Ultrasound (n=85)</w:t>
            </w:r>
          </w:p>
        </w:tc>
      </w:tr>
      <w:tr w:rsidR="000E7ED5" w14:paraId="7F69F1DD" w14:textId="77777777" w:rsidTr="000E7ED5">
        <w:trPr>
          <w:trHeight w:val="300"/>
        </w:trPr>
        <w:tc>
          <w:tcPr>
            <w:tcW w:w="3078" w:type="dxa"/>
            <w:noWrap/>
            <w:hideMark/>
          </w:tcPr>
          <w:p w14:paraId="356B351B" w14:textId="77777777" w:rsidR="000E7ED5" w:rsidRPr="0026662D" w:rsidRDefault="000E7ED5" w:rsidP="0040594E">
            <w:pPr>
              <w:pStyle w:val="Tablebody"/>
              <w:rPr>
                <w:sz w:val="24"/>
                <w:szCs w:val="24"/>
              </w:rPr>
            </w:pPr>
            <w:r w:rsidRPr="0026662D">
              <w:rPr>
                <w:sz w:val="24"/>
                <w:szCs w:val="24"/>
              </w:rPr>
              <w:t>NDMA Low vs. Zero</w:t>
            </w:r>
          </w:p>
        </w:tc>
        <w:tc>
          <w:tcPr>
            <w:tcW w:w="664" w:type="dxa"/>
            <w:noWrap/>
            <w:hideMark/>
          </w:tcPr>
          <w:p w14:paraId="6CE11EB4" w14:textId="77777777" w:rsidR="000E7ED5" w:rsidRPr="0026662D" w:rsidRDefault="000E7ED5" w:rsidP="0040594E">
            <w:pPr>
              <w:pStyle w:val="Tablebody"/>
              <w:rPr>
                <w:sz w:val="24"/>
                <w:szCs w:val="24"/>
              </w:rPr>
            </w:pPr>
            <w:r w:rsidRPr="0026662D">
              <w:rPr>
                <w:sz w:val="24"/>
                <w:szCs w:val="24"/>
              </w:rPr>
              <w:t>1.2</w:t>
            </w:r>
          </w:p>
        </w:tc>
        <w:tc>
          <w:tcPr>
            <w:tcW w:w="222" w:type="dxa"/>
            <w:noWrap/>
            <w:hideMark/>
          </w:tcPr>
          <w:p w14:paraId="1363CDB0"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noWrap/>
            <w:hideMark/>
          </w:tcPr>
          <w:p w14:paraId="76D69ACC" w14:textId="77777777" w:rsidR="000E7ED5" w:rsidRPr="0026662D" w:rsidRDefault="000E7ED5" w:rsidP="0040594E">
            <w:pPr>
              <w:pStyle w:val="Tablebody"/>
              <w:rPr>
                <w:sz w:val="24"/>
                <w:szCs w:val="24"/>
              </w:rPr>
            </w:pPr>
            <w:r w:rsidRPr="0026662D">
              <w:rPr>
                <w:sz w:val="24"/>
                <w:szCs w:val="24"/>
              </w:rPr>
              <w:t>(0.2 – 6.0)</w:t>
            </w:r>
          </w:p>
        </w:tc>
        <w:tc>
          <w:tcPr>
            <w:tcW w:w="269" w:type="dxa"/>
            <w:noWrap/>
          </w:tcPr>
          <w:p w14:paraId="21FD775A" w14:textId="77777777" w:rsidR="000E7ED5" w:rsidRPr="0026662D" w:rsidRDefault="000E7ED5" w:rsidP="0040594E">
            <w:pPr>
              <w:pStyle w:val="Tablebody"/>
              <w:rPr>
                <w:sz w:val="24"/>
                <w:szCs w:val="24"/>
              </w:rPr>
            </w:pPr>
          </w:p>
        </w:tc>
        <w:tc>
          <w:tcPr>
            <w:tcW w:w="841" w:type="dxa"/>
            <w:shd w:val="clear" w:color="auto" w:fill="D9D9D9" w:themeFill="background1" w:themeFillShade="D9"/>
            <w:noWrap/>
            <w:hideMark/>
          </w:tcPr>
          <w:p w14:paraId="13D87943" w14:textId="77777777" w:rsidR="000E7ED5" w:rsidRPr="0026662D" w:rsidRDefault="000E7ED5" w:rsidP="0040594E">
            <w:pPr>
              <w:pStyle w:val="Tablebody"/>
              <w:rPr>
                <w:sz w:val="24"/>
                <w:szCs w:val="24"/>
              </w:rPr>
            </w:pPr>
            <w:r w:rsidRPr="0026662D">
              <w:rPr>
                <w:sz w:val="24"/>
                <w:szCs w:val="24"/>
              </w:rPr>
              <w:t>1.0</w:t>
            </w:r>
          </w:p>
        </w:tc>
        <w:tc>
          <w:tcPr>
            <w:tcW w:w="1800" w:type="dxa"/>
            <w:shd w:val="clear" w:color="auto" w:fill="D9D9D9" w:themeFill="background1" w:themeFillShade="D9"/>
            <w:noWrap/>
            <w:hideMark/>
          </w:tcPr>
          <w:p w14:paraId="72B0B057" w14:textId="77777777" w:rsidR="000E7ED5" w:rsidRPr="0026662D" w:rsidRDefault="000E7ED5" w:rsidP="0040594E">
            <w:pPr>
              <w:pStyle w:val="Tablebody"/>
              <w:rPr>
                <w:sz w:val="24"/>
                <w:szCs w:val="24"/>
              </w:rPr>
            </w:pPr>
            <w:r w:rsidRPr="0026662D">
              <w:rPr>
                <w:sz w:val="24"/>
                <w:szCs w:val="24"/>
              </w:rPr>
              <w:t>(0.2 - 5.1)</w:t>
            </w:r>
          </w:p>
        </w:tc>
      </w:tr>
      <w:tr w:rsidR="000E7ED5" w14:paraId="141BCE1E" w14:textId="77777777" w:rsidTr="000E7ED5">
        <w:trPr>
          <w:trHeight w:val="300"/>
        </w:trPr>
        <w:tc>
          <w:tcPr>
            <w:tcW w:w="3078" w:type="dxa"/>
            <w:tcBorders>
              <w:top w:val="nil"/>
              <w:left w:val="nil"/>
              <w:right w:val="nil"/>
            </w:tcBorders>
            <w:noWrap/>
            <w:hideMark/>
          </w:tcPr>
          <w:p w14:paraId="1E7099A8" w14:textId="77777777" w:rsidR="000E7ED5" w:rsidRPr="0026662D" w:rsidRDefault="000E7ED5" w:rsidP="0040594E">
            <w:pPr>
              <w:pStyle w:val="Tablebody"/>
              <w:rPr>
                <w:sz w:val="24"/>
                <w:szCs w:val="24"/>
              </w:rPr>
            </w:pPr>
            <w:r w:rsidRPr="0026662D">
              <w:rPr>
                <w:sz w:val="24"/>
                <w:szCs w:val="24"/>
              </w:rPr>
              <w:t>NDMA High vs. Zero</w:t>
            </w:r>
          </w:p>
        </w:tc>
        <w:tc>
          <w:tcPr>
            <w:tcW w:w="664" w:type="dxa"/>
            <w:tcBorders>
              <w:top w:val="nil"/>
              <w:left w:val="nil"/>
              <w:right w:val="nil"/>
            </w:tcBorders>
            <w:noWrap/>
            <w:hideMark/>
          </w:tcPr>
          <w:p w14:paraId="60C38AEF" w14:textId="77777777" w:rsidR="000E7ED5" w:rsidRPr="0026662D" w:rsidRDefault="000E7ED5" w:rsidP="0040594E">
            <w:pPr>
              <w:pStyle w:val="Tablebody"/>
              <w:rPr>
                <w:sz w:val="24"/>
                <w:szCs w:val="24"/>
              </w:rPr>
            </w:pPr>
            <w:r w:rsidRPr="0026662D">
              <w:rPr>
                <w:sz w:val="24"/>
                <w:szCs w:val="24"/>
              </w:rPr>
              <w:t>3.3</w:t>
            </w:r>
          </w:p>
        </w:tc>
        <w:tc>
          <w:tcPr>
            <w:tcW w:w="222" w:type="dxa"/>
            <w:tcBorders>
              <w:top w:val="nil"/>
              <w:left w:val="nil"/>
              <w:right w:val="nil"/>
            </w:tcBorders>
            <w:noWrap/>
            <w:hideMark/>
          </w:tcPr>
          <w:p w14:paraId="48B5E8E9"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tcBorders>
              <w:top w:val="nil"/>
              <w:left w:val="nil"/>
              <w:right w:val="nil"/>
            </w:tcBorders>
            <w:noWrap/>
            <w:hideMark/>
          </w:tcPr>
          <w:p w14:paraId="05B516AD" w14:textId="77777777" w:rsidR="000E7ED5" w:rsidRPr="0026662D" w:rsidRDefault="000E7ED5" w:rsidP="0040594E">
            <w:pPr>
              <w:pStyle w:val="Tablebody"/>
              <w:rPr>
                <w:sz w:val="24"/>
                <w:szCs w:val="24"/>
              </w:rPr>
            </w:pPr>
            <w:r w:rsidRPr="0026662D">
              <w:rPr>
                <w:sz w:val="24"/>
                <w:szCs w:val="24"/>
              </w:rPr>
              <w:t>(0.8 - 13)</w:t>
            </w:r>
          </w:p>
        </w:tc>
        <w:tc>
          <w:tcPr>
            <w:tcW w:w="269" w:type="dxa"/>
            <w:tcBorders>
              <w:top w:val="nil"/>
              <w:left w:val="nil"/>
              <w:right w:val="nil"/>
            </w:tcBorders>
            <w:noWrap/>
          </w:tcPr>
          <w:p w14:paraId="0F33B122" w14:textId="77777777" w:rsidR="000E7ED5" w:rsidRPr="0026662D" w:rsidRDefault="000E7ED5" w:rsidP="0040594E">
            <w:pPr>
              <w:pStyle w:val="Tablebody"/>
              <w:rPr>
                <w:sz w:val="24"/>
                <w:szCs w:val="24"/>
              </w:rPr>
            </w:pPr>
          </w:p>
        </w:tc>
        <w:tc>
          <w:tcPr>
            <w:tcW w:w="841" w:type="dxa"/>
            <w:tcBorders>
              <w:top w:val="nil"/>
              <w:left w:val="nil"/>
              <w:right w:val="nil"/>
            </w:tcBorders>
            <w:shd w:val="clear" w:color="auto" w:fill="D9D9D9" w:themeFill="background1" w:themeFillShade="D9"/>
            <w:noWrap/>
            <w:hideMark/>
          </w:tcPr>
          <w:p w14:paraId="4D1F275D" w14:textId="77777777" w:rsidR="000E7ED5" w:rsidRPr="0026662D" w:rsidRDefault="000E7ED5" w:rsidP="0040594E">
            <w:pPr>
              <w:pStyle w:val="Tablebody"/>
              <w:rPr>
                <w:sz w:val="24"/>
                <w:szCs w:val="24"/>
              </w:rPr>
            </w:pPr>
            <w:r w:rsidRPr="0026662D">
              <w:rPr>
                <w:sz w:val="24"/>
                <w:szCs w:val="24"/>
              </w:rPr>
              <w:t>2.9</w:t>
            </w:r>
          </w:p>
        </w:tc>
        <w:tc>
          <w:tcPr>
            <w:tcW w:w="1800" w:type="dxa"/>
            <w:tcBorders>
              <w:top w:val="nil"/>
              <w:left w:val="nil"/>
              <w:right w:val="nil"/>
            </w:tcBorders>
            <w:shd w:val="clear" w:color="auto" w:fill="D9D9D9" w:themeFill="background1" w:themeFillShade="D9"/>
            <w:noWrap/>
            <w:hideMark/>
          </w:tcPr>
          <w:p w14:paraId="3F35F599" w14:textId="77777777" w:rsidR="000E7ED5" w:rsidRPr="0026662D" w:rsidRDefault="000E7ED5" w:rsidP="0040594E">
            <w:pPr>
              <w:pStyle w:val="Tablebody"/>
              <w:rPr>
                <w:sz w:val="24"/>
                <w:szCs w:val="24"/>
              </w:rPr>
            </w:pPr>
            <w:r w:rsidRPr="0026662D">
              <w:rPr>
                <w:sz w:val="24"/>
                <w:szCs w:val="24"/>
              </w:rPr>
              <w:t>(0.7 - 12)</w:t>
            </w:r>
          </w:p>
        </w:tc>
      </w:tr>
      <w:tr w:rsidR="008B779D" w14:paraId="2AF8551F" w14:textId="77777777" w:rsidTr="000E7ED5">
        <w:trPr>
          <w:trHeight w:val="300"/>
        </w:trPr>
        <w:tc>
          <w:tcPr>
            <w:tcW w:w="3078" w:type="dxa"/>
            <w:noWrap/>
          </w:tcPr>
          <w:p w14:paraId="09BF1F15" w14:textId="77777777" w:rsidR="008B779D" w:rsidRPr="0026662D" w:rsidRDefault="008B779D" w:rsidP="0040594E">
            <w:pPr>
              <w:pStyle w:val="Tablebody"/>
              <w:rPr>
                <w:sz w:val="24"/>
                <w:szCs w:val="24"/>
              </w:rPr>
            </w:pPr>
          </w:p>
        </w:tc>
        <w:tc>
          <w:tcPr>
            <w:tcW w:w="5614" w:type="dxa"/>
            <w:gridSpan w:val="7"/>
            <w:tcBorders>
              <w:top w:val="nil"/>
              <w:left w:val="nil"/>
              <w:right w:val="nil"/>
            </w:tcBorders>
            <w:noWrap/>
          </w:tcPr>
          <w:p w14:paraId="0418155D" w14:textId="77777777" w:rsidR="008B779D" w:rsidRPr="0026662D" w:rsidRDefault="009F3F7E" w:rsidP="0040594E">
            <w:pPr>
              <w:pStyle w:val="Tablebody"/>
              <w:rPr>
                <w:sz w:val="24"/>
                <w:szCs w:val="24"/>
              </w:rPr>
            </w:pPr>
            <w:r w:rsidRPr="0026662D">
              <w:rPr>
                <w:sz w:val="24"/>
                <w:szCs w:val="24"/>
              </w:rPr>
              <w:t xml:space="preserve">Occupational </w:t>
            </w:r>
            <w:r w:rsidR="008B779D" w:rsidRPr="0026662D">
              <w:rPr>
                <w:sz w:val="24"/>
                <w:szCs w:val="24"/>
              </w:rPr>
              <w:t>Ionizing Radiation</w:t>
            </w:r>
            <w:r w:rsidRPr="0026662D">
              <w:rPr>
                <w:sz w:val="24"/>
                <w:szCs w:val="24"/>
              </w:rPr>
              <w:t>, Maternal</w:t>
            </w:r>
            <w:r w:rsidR="008B779D" w:rsidRPr="0026662D">
              <w:rPr>
                <w:sz w:val="24"/>
                <w:szCs w:val="24"/>
              </w:rPr>
              <w:t xml:space="preserve"> (n=91)</w:t>
            </w:r>
          </w:p>
        </w:tc>
      </w:tr>
      <w:tr w:rsidR="000E7ED5" w14:paraId="2FB74A14" w14:textId="77777777" w:rsidTr="000E7ED5">
        <w:trPr>
          <w:trHeight w:val="300"/>
        </w:trPr>
        <w:tc>
          <w:tcPr>
            <w:tcW w:w="3078" w:type="dxa"/>
            <w:noWrap/>
            <w:hideMark/>
          </w:tcPr>
          <w:p w14:paraId="13E652EB" w14:textId="77777777" w:rsidR="000E7ED5" w:rsidRPr="0026662D" w:rsidRDefault="000E7ED5" w:rsidP="0040594E">
            <w:pPr>
              <w:pStyle w:val="Tablebody"/>
              <w:rPr>
                <w:sz w:val="24"/>
                <w:szCs w:val="24"/>
              </w:rPr>
            </w:pPr>
            <w:r w:rsidRPr="0026662D">
              <w:rPr>
                <w:sz w:val="24"/>
                <w:szCs w:val="24"/>
              </w:rPr>
              <w:t>NDMA Low vs. Zero</w:t>
            </w:r>
          </w:p>
        </w:tc>
        <w:tc>
          <w:tcPr>
            <w:tcW w:w="664" w:type="dxa"/>
            <w:noWrap/>
            <w:hideMark/>
          </w:tcPr>
          <w:p w14:paraId="0607ADE2" w14:textId="77777777" w:rsidR="000E7ED5" w:rsidRPr="0026662D" w:rsidRDefault="000E7ED5" w:rsidP="0040594E">
            <w:pPr>
              <w:pStyle w:val="Tablebody"/>
              <w:rPr>
                <w:sz w:val="24"/>
                <w:szCs w:val="24"/>
              </w:rPr>
            </w:pPr>
            <w:r w:rsidRPr="0026662D">
              <w:rPr>
                <w:sz w:val="24"/>
                <w:szCs w:val="24"/>
              </w:rPr>
              <w:t>1.3</w:t>
            </w:r>
          </w:p>
        </w:tc>
        <w:tc>
          <w:tcPr>
            <w:tcW w:w="222" w:type="dxa"/>
            <w:noWrap/>
            <w:hideMark/>
          </w:tcPr>
          <w:p w14:paraId="6FA66687"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noWrap/>
            <w:hideMark/>
          </w:tcPr>
          <w:p w14:paraId="5DB8486B" w14:textId="77777777" w:rsidR="000E7ED5" w:rsidRPr="0026662D" w:rsidRDefault="000E7ED5" w:rsidP="0040594E">
            <w:pPr>
              <w:pStyle w:val="Tablebody"/>
              <w:rPr>
                <w:sz w:val="24"/>
                <w:szCs w:val="24"/>
              </w:rPr>
            </w:pPr>
            <w:r w:rsidRPr="0026662D">
              <w:rPr>
                <w:sz w:val="24"/>
                <w:szCs w:val="24"/>
              </w:rPr>
              <w:t>(0.3 - 6.0)</w:t>
            </w:r>
          </w:p>
        </w:tc>
        <w:tc>
          <w:tcPr>
            <w:tcW w:w="269" w:type="dxa"/>
            <w:noWrap/>
          </w:tcPr>
          <w:p w14:paraId="01BF28FC" w14:textId="77777777" w:rsidR="000E7ED5" w:rsidRPr="0026662D" w:rsidRDefault="000E7ED5" w:rsidP="0040594E">
            <w:pPr>
              <w:pStyle w:val="Tablebody"/>
              <w:rPr>
                <w:sz w:val="24"/>
                <w:szCs w:val="24"/>
              </w:rPr>
            </w:pPr>
          </w:p>
        </w:tc>
        <w:tc>
          <w:tcPr>
            <w:tcW w:w="841" w:type="dxa"/>
            <w:shd w:val="clear" w:color="auto" w:fill="D9D9D9" w:themeFill="background1" w:themeFillShade="D9"/>
            <w:noWrap/>
            <w:hideMark/>
          </w:tcPr>
          <w:p w14:paraId="1D94058B" w14:textId="77777777" w:rsidR="000E7ED5" w:rsidRPr="0026662D" w:rsidRDefault="000E7ED5" w:rsidP="0040594E">
            <w:pPr>
              <w:pStyle w:val="Tablebody"/>
              <w:rPr>
                <w:sz w:val="24"/>
                <w:szCs w:val="24"/>
              </w:rPr>
            </w:pPr>
            <w:r w:rsidRPr="0026662D">
              <w:rPr>
                <w:sz w:val="24"/>
                <w:szCs w:val="24"/>
              </w:rPr>
              <w:t>1.5</w:t>
            </w:r>
          </w:p>
        </w:tc>
        <w:tc>
          <w:tcPr>
            <w:tcW w:w="1800" w:type="dxa"/>
            <w:shd w:val="clear" w:color="auto" w:fill="D9D9D9" w:themeFill="background1" w:themeFillShade="D9"/>
            <w:noWrap/>
            <w:hideMark/>
          </w:tcPr>
          <w:p w14:paraId="52A56F9A" w14:textId="77777777" w:rsidR="000E7ED5" w:rsidRPr="0026662D" w:rsidRDefault="000E7ED5" w:rsidP="0040594E">
            <w:pPr>
              <w:pStyle w:val="Tablebody"/>
              <w:rPr>
                <w:sz w:val="24"/>
                <w:szCs w:val="24"/>
              </w:rPr>
            </w:pPr>
            <w:r w:rsidRPr="0026662D">
              <w:rPr>
                <w:sz w:val="24"/>
                <w:szCs w:val="24"/>
              </w:rPr>
              <w:t>(0.3 - 7.3)</w:t>
            </w:r>
          </w:p>
        </w:tc>
      </w:tr>
      <w:tr w:rsidR="000E7ED5" w14:paraId="38D469C4" w14:textId="77777777" w:rsidTr="000E7ED5">
        <w:trPr>
          <w:trHeight w:val="300"/>
        </w:trPr>
        <w:tc>
          <w:tcPr>
            <w:tcW w:w="3078" w:type="dxa"/>
            <w:tcBorders>
              <w:top w:val="nil"/>
              <w:left w:val="nil"/>
              <w:bottom w:val="single" w:sz="4" w:space="0" w:color="auto"/>
              <w:right w:val="nil"/>
            </w:tcBorders>
            <w:noWrap/>
            <w:hideMark/>
          </w:tcPr>
          <w:p w14:paraId="25A1A0A8" w14:textId="77777777" w:rsidR="000E7ED5" w:rsidRPr="0026662D" w:rsidRDefault="000E7ED5" w:rsidP="0040594E">
            <w:pPr>
              <w:pStyle w:val="Tablebody"/>
              <w:rPr>
                <w:sz w:val="24"/>
                <w:szCs w:val="24"/>
              </w:rPr>
            </w:pPr>
            <w:r w:rsidRPr="0026662D">
              <w:rPr>
                <w:sz w:val="24"/>
                <w:szCs w:val="24"/>
              </w:rPr>
              <w:t>NDMA High vs. Zero</w:t>
            </w:r>
          </w:p>
        </w:tc>
        <w:tc>
          <w:tcPr>
            <w:tcW w:w="664" w:type="dxa"/>
            <w:tcBorders>
              <w:top w:val="nil"/>
              <w:left w:val="nil"/>
              <w:bottom w:val="single" w:sz="4" w:space="0" w:color="auto"/>
              <w:right w:val="nil"/>
            </w:tcBorders>
            <w:noWrap/>
            <w:hideMark/>
          </w:tcPr>
          <w:p w14:paraId="449D1A22" w14:textId="77777777" w:rsidR="000E7ED5" w:rsidRPr="0026662D" w:rsidRDefault="000E7ED5" w:rsidP="0040594E">
            <w:pPr>
              <w:pStyle w:val="Tablebody"/>
              <w:rPr>
                <w:sz w:val="24"/>
                <w:szCs w:val="24"/>
              </w:rPr>
            </w:pPr>
            <w:r w:rsidRPr="0026662D">
              <w:rPr>
                <w:sz w:val="24"/>
                <w:szCs w:val="24"/>
              </w:rPr>
              <w:t>3.0</w:t>
            </w:r>
          </w:p>
        </w:tc>
        <w:tc>
          <w:tcPr>
            <w:tcW w:w="222" w:type="dxa"/>
            <w:tcBorders>
              <w:top w:val="nil"/>
              <w:left w:val="nil"/>
              <w:bottom w:val="single" w:sz="4" w:space="0" w:color="auto"/>
              <w:right w:val="nil"/>
            </w:tcBorders>
            <w:noWrap/>
            <w:hideMark/>
          </w:tcPr>
          <w:p w14:paraId="5A0060AB" w14:textId="77777777" w:rsidR="000E7ED5" w:rsidRPr="0026662D" w:rsidRDefault="000E7ED5" w:rsidP="0040594E">
            <w:pPr>
              <w:pStyle w:val="Tablebody"/>
              <w:rPr>
                <w:sz w:val="24"/>
                <w:szCs w:val="24"/>
              </w:rPr>
            </w:pPr>
            <w:r w:rsidRPr="0026662D">
              <w:rPr>
                <w:sz w:val="24"/>
                <w:szCs w:val="24"/>
              </w:rPr>
              <w:t xml:space="preserve"> </w:t>
            </w:r>
          </w:p>
        </w:tc>
        <w:tc>
          <w:tcPr>
            <w:tcW w:w="1818" w:type="dxa"/>
            <w:gridSpan w:val="2"/>
            <w:tcBorders>
              <w:top w:val="nil"/>
              <w:left w:val="nil"/>
              <w:bottom w:val="single" w:sz="4" w:space="0" w:color="auto"/>
              <w:right w:val="nil"/>
            </w:tcBorders>
            <w:noWrap/>
            <w:hideMark/>
          </w:tcPr>
          <w:p w14:paraId="5B89638D" w14:textId="77777777" w:rsidR="000E7ED5" w:rsidRPr="0026662D" w:rsidRDefault="000E7ED5" w:rsidP="0040594E">
            <w:pPr>
              <w:pStyle w:val="Tablebody"/>
              <w:rPr>
                <w:sz w:val="24"/>
                <w:szCs w:val="24"/>
              </w:rPr>
            </w:pPr>
            <w:r w:rsidRPr="0026662D">
              <w:rPr>
                <w:sz w:val="24"/>
                <w:szCs w:val="24"/>
              </w:rPr>
              <w:t>(0.8 - 10)</w:t>
            </w:r>
          </w:p>
        </w:tc>
        <w:tc>
          <w:tcPr>
            <w:tcW w:w="269" w:type="dxa"/>
            <w:tcBorders>
              <w:top w:val="nil"/>
              <w:left w:val="nil"/>
              <w:bottom w:val="single" w:sz="4" w:space="0" w:color="auto"/>
              <w:right w:val="nil"/>
            </w:tcBorders>
            <w:noWrap/>
          </w:tcPr>
          <w:p w14:paraId="40BCF37C" w14:textId="77777777" w:rsidR="000E7ED5" w:rsidRPr="0026662D" w:rsidRDefault="000E7ED5" w:rsidP="0040594E">
            <w:pPr>
              <w:pStyle w:val="Tablebody"/>
              <w:rPr>
                <w:sz w:val="24"/>
                <w:szCs w:val="24"/>
              </w:rPr>
            </w:pPr>
          </w:p>
        </w:tc>
        <w:tc>
          <w:tcPr>
            <w:tcW w:w="841" w:type="dxa"/>
            <w:tcBorders>
              <w:top w:val="nil"/>
              <w:left w:val="nil"/>
              <w:bottom w:val="single" w:sz="4" w:space="0" w:color="auto"/>
              <w:right w:val="nil"/>
            </w:tcBorders>
            <w:shd w:val="clear" w:color="auto" w:fill="D9D9D9" w:themeFill="background1" w:themeFillShade="D9"/>
            <w:noWrap/>
            <w:hideMark/>
          </w:tcPr>
          <w:p w14:paraId="2BD5BF07" w14:textId="77777777" w:rsidR="000E7ED5" w:rsidRPr="0026662D" w:rsidRDefault="000E7ED5" w:rsidP="0040594E">
            <w:pPr>
              <w:pStyle w:val="Tablebody"/>
              <w:rPr>
                <w:sz w:val="24"/>
                <w:szCs w:val="24"/>
              </w:rPr>
            </w:pPr>
            <w:r w:rsidRPr="0026662D">
              <w:rPr>
                <w:sz w:val="24"/>
                <w:szCs w:val="24"/>
              </w:rPr>
              <w:t>2.7</w:t>
            </w:r>
          </w:p>
        </w:tc>
        <w:tc>
          <w:tcPr>
            <w:tcW w:w="1800" w:type="dxa"/>
            <w:tcBorders>
              <w:top w:val="nil"/>
              <w:left w:val="nil"/>
              <w:bottom w:val="single" w:sz="4" w:space="0" w:color="auto"/>
              <w:right w:val="nil"/>
            </w:tcBorders>
            <w:shd w:val="clear" w:color="auto" w:fill="D9D9D9" w:themeFill="background1" w:themeFillShade="D9"/>
            <w:noWrap/>
            <w:hideMark/>
          </w:tcPr>
          <w:p w14:paraId="420E475C" w14:textId="77777777" w:rsidR="000E7ED5" w:rsidRPr="0026662D" w:rsidRDefault="000E7ED5" w:rsidP="0040594E">
            <w:pPr>
              <w:pStyle w:val="Tablebody"/>
              <w:rPr>
                <w:sz w:val="24"/>
                <w:szCs w:val="24"/>
              </w:rPr>
            </w:pPr>
            <w:r w:rsidRPr="0026662D">
              <w:rPr>
                <w:sz w:val="24"/>
                <w:szCs w:val="24"/>
              </w:rPr>
              <w:t>(0.7 - 9.8)</w:t>
            </w:r>
          </w:p>
        </w:tc>
      </w:tr>
    </w:tbl>
    <w:p w14:paraId="47EA59C5" w14:textId="77777777" w:rsidR="006E16B4" w:rsidRPr="00423581" w:rsidRDefault="006E16B4" w:rsidP="0040594E">
      <w:pPr>
        <w:pStyle w:val="NoSpacing"/>
        <w:rPr>
          <w:sz w:val="20"/>
          <w:szCs w:val="20"/>
        </w:rPr>
      </w:pPr>
      <w:r w:rsidRPr="00423581">
        <w:rPr>
          <w:sz w:val="20"/>
          <w:szCs w:val="20"/>
        </w:rPr>
        <w:t>*Note: Sample size</w:t>
      </w:r>
      <w:r w:rsidR="000A200A" w:rsidRPr="00423581">
        <w:rPr>
          <w:sz w:val="20"/>
          <w:szCs w:val="20"/>
        </w:rPr>
        <w:t>s</w:t>
      </w:r>
      <w:r w:rsidRPr="00423581">
        <w:rPr>
          <w:sz w:val="20"/>
          <w:szCs w:val="20"/>
        </w:rPr>
        <w:t xml:space="preserve"> var</w:t>
      </w:r>
      <w:r w:rsidR="000A200A" w:rsidRPr="00423581">
        <w:rPr>
          <w:sz w:val="20"/>
          <w:szCs w:val="20"/>
        </w:rPr>
        <w:t>y</w:t>
      </w:r>
      <w:r w:rsidRPr="00423581">
        <w:rPr>
          <w:sz w:val="20"/>
          <w:szCs w:val="20"/>
        </w:rPr>
        <w:t xml:space="preserve"> </w:t>
      </w:r>
      <w:r w:rsidR="000A200A" w:rsidRPr="00423581">
        <w:rPr>
          <w:sz w:val="20"/>
          <w:szCs w:val="20"/>
        </w:rPr>
        <w:t>between</w:t>
      </w:r>
      <w:r w:rsidRPr="00423581">
        <w:rPr>
          <w:sz w:val="20"/>
          <w:szCs w:val="20"/>
        </w:rPr>
        <w:t xml:space="preserve"> model</w:t>
      </w:r>
      <w:r w:rsidR="000A200A" w:rsidRPr="00423581">
        <w:rPr>
          <w:sz w:val="20"/>
          <w:szCs w:val="20"/>
        </w:rPr>
        <w:t>s</w:t>
      </w:r>
      <w:r w:rsidRPr="00423581">
        <w:rPr>
          <w:sz w:val="20"/>
          <w:szCs w:val="20"/>
        </w:rPr>
        <w:t xml:space="preserve"> due to missing co</w:t>
      </w:r>
      <w:r w:rsidR="00957533" w:rsidRPr="00423581">
        <w:rPr>
          <w:sz w:val="20"/>
          <w:szCs w:val="20"/>
        </w:rPr>
        <w:t>variate data for some children</w:t>
      </w:r>
      <w:r w:rsidR="000A200A" w:rsidRPr="00423581">
        <w:rPr>
          <w:sz w:val="20"/>
          <w:szCs w:val="20"/>
        </w:rPr>
        <w:t>.</w:t>
      </w:r>
    </w:p>
    <w:p w14:paraId="0482C50B" w14:textId="77777777" w:rsidR="004B40BA" w:rsidRPr="00423581" w:rsidRDefault="004B40BA" w:rsidP="0040594E">
      <w:pPr>
        <w:pStyle w:val="NoSpacing"/>
        <w:rPr>
          <w:sz w:val="20"/>
          <w:szCs w:val="20"/>
        </w:rPr>
      </w:pPr>
      <w:proofErr w:type="spellStart"/>
      <w:r w:rsidRPr="00423581">
        <w:rPr>
          <w:sz w:val="20"/>
          <w:szCs w:val="20"/>
          <w:vertAlign w:val="superscript"/>
        </w:rPr>
        <w:t>a</w:t>
      </w:r>
      <w:r w:rsidRPr="00423581">
        <w:rPr>
          <w:sz w:val="20"/>
          <w:szCs w:val="20"/>
        </w:rPr>
        <w:t>OR</w:t>
      </w:r>
      <w:proofErr w:type="spellEnd"/>
      <w:r w:rsidRPr="00423581">
        <w:rPr>
          <w:sz w:val="20"/>
          <w:szCs w:val="20"/>
        </w:rPr>
        <w:t xml:space="preserve"> = Matched Odds Ratio</w:t>
      </w:r>
    </w:p>
    <w:p w14:paraId="27CDEEBF" w14:textId="77777777" w:rsidR="004B40BA" w:rsidRPr="00423581" w:rsidRDefault="004B40BA" w:rsidP="0040594E">
      <w:pPr>
        <w:pStyle w:val="NoSpacing"/>
        <w:rPr>
          <w:sz w:val="20"/>
          <w:szCs w:val="20"/>
        </w:rPr>
      </w:pPr>
      <w:r w:rsidRPr="00423581">
        <w:rPr>
          <w:sz w:val="20"/>
          <w:szCs w:val="20"/>
          <w:vertAlign w:val="superscript"/>
        </w:rPr>
        <w:t>b</w:t>
      </w:r>
      <w:r w:rsidRPr="00423581">
        <w:rPr>
          <w:sz w:val="20"/>
          <w:szCs w:val="20"/>
        </w:rPr>
        <w:t>95% CI = 95% Confidence Interval</w:t>
      </w:r>
    </w:p>
    <w:p w14:paraId="224CCE42" w14:textId="77777777" w:rsidR="004B40BA" w:rsidRPr="00423581" w:rsidRDefault="004B40BA" w:rsidP="0040594E">
      <w:pPr>
        <w:pStyle w:val="NoSpacing"/>
        <w:rPr>
          <w:rFonts w:eastAsiaTheme="minorHAnsi"/>
          <w:sz w:val="20"/>
          <w:szCs w:val="20"/>
        </w:rPr>
      </w:pPr>
      <w:r w:rsidRPr="00423581">
        <w:rPr>
          <w:rFonts w:eastAsiaTheme="minorHAnsi"/>
          <w:sz w:val="20"/>
          <w:szCs w:val="20"/>
        </w:rPr>
        <w:t>†Marginally significant association with the odds of childhood cancer (</w:t>
      </w:r>
      <w:r w:rsidRPr="00423581">
        <w:rPr>
          <w:i/>
          <w:sz w:val="20"/>
          <w:szCs w:val="20"/>
        </w:rPr>
        <w:t>p</w:t>
      </w:r>
      <w:r w:rsidRPr="00423581">
        <w:rPr>
          <w:rFonts w:eastAsiaTheme="minorHAnsi"/>
          <w:sz w:val="20"/>
          <w:szCs w:val="20"/>
        </w:rPr>
        <w:t xml:space="preserve"> &lt;0.10)</w:t>
      </w:r>
    </w:p>
    <w:p w14:paraId="0804A56D" w14:textId="763292A1" w:rsidR="00D20DB8" w:rsidRPr="00423581" w:rsidRDefault="004B40BA" w:rsidP="00423581">
      <w:pPr>
        <w:pStyle w:val="NoSpacing"/>
        <w:rPr>
          <w:rFonts w:eastAsiaTheme="minorHAnsi"/>
          <w:sz w:val="20"/>
          <w:szCs w:val="20"/>
        </w:rPr>
      </w:pPr>
      <w:r w:rsidRPr="00423581">
        <w:rPr>
          <w:rFonts w:eastAsiaTheme="minorHAnsi"/>
          <w:sz w:val="20"/>
          <w:szCs w:val="20"/>
        </w:rPr>
        <w:t>‡Statistically significant association with the odds of childhood cancer (</w:t>
      </w:r>
      <w:r w:rsidRPr="00423581">
        <w:rPr>
          <w:i/>
          <w:sz w:val="20"/>
          <w:szCs w:val="20"/>
        </w:rPr>
        <w:t>p</w:t>
      </w:r>
      <w:r w:rsidRPr="00423581">
        <w:rPr>
          <w:rFonts w:eastAsiaTheme="minorHAnsi"/>
          <w:sz w:val="20"/>
          <w:szCs w:val="20"/>
        </w:rPr>
        <w:t xml:space="preserve"> &lt;0.05)</w:t>
      </w:r>
    </w:p>
    <w:p w14:paraId="0F951E62" w14:textId="4C4486CF" w:rsidR="007C17F1" w:rsidRDefault="007C17F1" w:rsidP="0010161F">
      <w:pPr>
        <w:pStyle w:val="Heading3"/>
      </w:pPr>
      <w:r>
        <w:t>Uncertainty Analyses</w:t>
      </w:r>
    </w:p>
    <w:p w14:paraId="3FD2D626" w14:textId="77777777" w:rsidR="007C17F1" w:rsidRDefault="007C17F1" w:rsidP="00423581">
      <w:r>
        <w:t xml:space="preserve">As described in the Exposure Assessment section of Methods, two </w:t>
      </w:r>
      <w:r w:rsidRPr="004A4130">
        <w:t xml:space="preserve">inputs </w:t>
      </w:r>
      <w:r>
        <w:t>of the groundwater and drinking water distribution system models were found to</w:t>
      </w:r>
      <w:r w:rsidRPr="004A4130">
        <w:t xml:space="preserve"> </w:t>
      </w:r>
      <w:r>
        <w:t>have some degree of uncertainty capable of causing</w:t>
      </w:r>
      <w:r w:rsidRPr="004A4130">
        <w:t xml:space="preserve"> significant impact</w:t>
      </w:r>
      <w:r>
        <w:t>s</w:t>
      </w:r>
      <w:r w:rsidRPr="004A4130">
        <w:t xml:space="preserve"> on the result</w:t>
      </w:r>
      <w:r>
        <w:t>ing NDMA concentration estimates.</w:t>
      </w:r>
      <w:r w:rsidRPr="004A4130">
        <w:t xml:space="preserve"> </w:t>
      </w:r>
      <w:r>
        <w:t xml:space="preserve">These two model parameters were the arrival time of NDMA in the DAPL of the MMB aquifer and some supply well pumping rates (particularly during early years of the exposure assessment period when pumping data were limited). To </w:t>
      </w:r>
      <w:r>
        <w:lastRenderedPageBreak/>
        <w:t>evaluate the sensitivity of the study’s main exposure-outcome results to variations in these model parameters, a series of eight alternative NDMA concentration datasets were produced after varying the values of these two key parameters individually and in combination.</w:t>
      </w:r>
    </w:p>
    <w:p w14:paraId="66BB53B7" w14:textId="1A51743A" w:rsidR="007C17F1" w:rsidRDefault="0026662D" w:rsidP="00423581">
      <w:r>
        <w:fldChar w:fldCharType="begin"/>
      </w:r>
      <w:r>
        <w:instrText xml:space="preserve"> REF  Figure17 \h </w:instrText>
      </w:r>
      <w:r w:rsidR="00423581">
        <w:instrText xml:space="preserve"> \* MERGEFORMAT </w:instrText>
      </w:r>
      <w:r>
        <w:fldChar w:fldCharType="separate"/>
      </w:r>
      <w:r w:rsidR="00977423">
        <w:t xml:space="preserve">Figure </w:t>
      </w:r>
      <w:r w:rsidR="00977423">
        <w:rPr>
          <w:noProof/>
        </w:rPr>
        <w:t>17</w:t>
      </w:r>
      <w:r>
        <w:fldChar w:fldCharType="end"/>
      </w:r>
      <w:r w:rsidR="00EB314C">
        <w:t xml:space="preserve"> </w:t>
      </w:r>
      <w:r w:rsidR="007C17F1" w:rsidRPr="00F80B1F">
        <w:t>present</w:t>
      </w:r>
      <w:r w:rsidR="007C17F1">
        <w:t>s</w:t>
      </w:r>
      <w:r w:rsidR="007C17F1" w:rsidRPr="00F80B1F">
        <w:t xml:space="preserve"> </w:t>
      </w:r>
      <w:r w:rsidR="007C17F1">
        <w:t xml:space="preserve">the </w:t>
      </w:r>
      <w:r w:rsidR="007C17F1" w:rsidRPr="00F80B1F">
        <w:t xml:space="preserve">results </w:t>
      </w:r>
      <w:r w:rsidR="007C17F1">
        <w:t xml:space="preserve">of the association between average </w:t>
      </w:r>
      <w:r w:rsidR="007C17F1" w:rsidRPr="00F80B1F">
        <w:t>NDMA con</w:t>
      </w:r>
      <w:r w:rsidR="007C17F1">
        <w:t>centra</w:t>
      </w:r>
      <w:r w:rsidR="007C17F1" w:rsidRPr="00F80B1F">
        <w:t>tion</w:t>
      </w:r>
      <w:r w:rsidR="007C17F1">
        <w:t>s</w:t>
      </w:r>
      <w:r w:rsidR="007C17F1" w:rsidRPr="00F80B1F">
        <w:t xml:space="preserve"> in</w:t>
      </w:r>
      <w:r w:rsidR="007C17F1">
        <w:t xml:space="preserve"> maternal</w:t>
      </w:r>
      <w:r w:rsidR="007C17F1" w:rsidRPr="00F80B1F">
        <w:t xml:space="preserve"> drinking water</w:t>
      </w:r>
      <w:r w:rsidR="007C17F1">
        <w:t xml:space="preserve"> (zero</w:t>
      </w:r>
      <w:r w:rsidR="007C17F1" w:rsidRPr="00F80B1F">
        <w:t>, low, or high</w:t>
      </w:r>
      <w:r w:rsidR="007C17F1">
        <w:t>)</w:t>
      </w:r>
      <w:r w:rsidR="007C17F1" w:rsidRPr="00F80B1F">
        <w:t xml:space="preserve"> </w:t>
      </w:r>
      <w:r w:rsidR="007C17F1">
        <w:t>and</w:t>
      </w:r>
      <w:r w:rsidR="007C17F1" w:rsidRPr="00F80B1F">
        <w:t xml:space="preserve"> development of</w:t>
      </w:r>
      <w:r w:rsidR="007C17F1">
        <w:t xml:space="preserve"> any</w:t>
      </w:r>
      <w:r w:rsidR="007C17F1" w:rsidRPr="00F80B1F">
        <w:t xml:space="preserve"> childhood cancer</w:t>
      </w:r>
      <w:r w:rsidR="007C17F1">
        <w:t xml:space="preserve"> using each of the eight alternative exposure datasets</w:t>
      </w:r>
      <w:r w:rsidR="00BE78BA">
        <w:t xml:space="preserve"> and for the base model exposure dataset</w:t>
      </w:r>
      <w:r w:rsidR="007C17F1">
        <w:t>. In each model, OR</w:t>
      </w:r>
      <w:r w:rsidR="00BE78BA">
        <w:t xml:space="preserve">s </w:t>
      </w:r>
      <w:r w:rsidR="00826DF2">
        <w:t>a</w:t>
      </w:r>
      <w:r w:rsidR="00BE78BA">
        <w:t>re elevated</w:t>
      </w:r>
      <w:r w:rsidR="007C17F1">
        <w:t xml:space="preserve"> for the comparison between high </w:t>
      </w:r>
      <w:r w:rsidR="00BE78BA">
        <w:t xml:space="preserve">versus zero </w:t>
      </w:r>
      <w:r w:rsidR="007C17F1">
        <w:t xml:space="preserve">estimated NDMA concentrations </w:t>
      </w:r>
      <w:r w:rsidR="00BE78BA">
        <w:t>in drinking water.</w:t>
      </w:r>
      <w:r w:rsidR="007C17F1">
        <w:t xml:space="preserve"> </w:t>
      </w:r>
      <w:r w:rsidR="00BE78BA">
        <w:t xml:space="preserve">All ORs for this comparison </w:t>
      </w:r>
      <w:r w:rsidR="00826DF2">
        <w:t>a</w:t>
      </w:r>
      <w:r w:rsidR="00BE78BA">
        <w:t>re equal to or higher than the base model results of 3.0 (OR range: 3.0 to 4.9)</w:t>
      </w:r>
      <w:r w:rsidR="00826DF2">
        <w:t xml:space="preserve"> and p-values are in the marginally significant or statistically significant range for all eight models. Changing the NDMA arrival time to 5 years later (+ 5 years) results in the largest ORs for the high concentration category whereas changing the NDMA arrival time to 5 years earlier (- 5 years) and/or changing pumping rates in either direction produces more modest differences compared to the base model. Only one of the alternative models (</w:t>
      </w:r>
      <w:r w:rsidR="000C0B4F">
        <w:t>reducing pumping rates by 20%)</w:t>
      </w:r>
      <w:r w:rsidR="00826DF2">
        <w:t xml:space="preserve"> produced ORs for the low NDMA concentration category that were above 1.0</w:t>
      </w:r>
      <w:r w:rsidR="000C0B4F">
        <w:t>.</w:t>
      </w:r>
    </w:p>
    <w:p w14:paraId="0130E4BA" w14:textId="77777777" w:rsidR="0016112B" w:rsidRDefault="0016112B" w:rsidP="0040594E">
      <w:pPr>
        <w:spacing w:after="0" w:line="240" w:lineRule="auto"/>
      </w:pPr>
      <w:bookmarkStart w:id="206" w:name="_Ref16168054"/>
      <w:bookmarkStart w:id="207" w:name="_Ref16168046"/>
      <w:r>
        <w:br w:type="page"/>
      </w:r>
    </w:p>
    <w:p w14:paraId="223C5CA8" w14:textId="69A4DB28" w:rsidR="003C6C80" w:rsidRDefault="00D20DB8" w:rsidP="0040594E">
      <w:pPr>
        <w:pStyle w:val="Caption"/>
        <w:keepNext/>
      </w:pPr>
      <w:bookmarkStart w:id="208" w:name="_Ref30086864"/>
      <w:bookmarkStart w:id="209" w:name="Figure17"/>
      <w:bookmarkStart w:id="210" w:name="_Toc45717792"/>
      <w:r>
        <w:rPr>
          <w:noProof/>
        </w:rPr>
        <w:lastRenderedPageBreak/>
        <w:drawing>
          <wp:anchor distT="0" distB="0" distL="114300" distR="114300" simplePos="0" relativeHeight="251676672" behindDoc="0" locked="0" layoutInCell="1" allowOverlap="1" wp14:anchorId="0C640123" wp14:editId="6843922D">
            <wp:simplePos x="0" y="0"/>
            <wp:positionH relativeFrom="margin">
              <wp:align>right</wp:align>
            </wp:positionH>
            <wp:positionV relativeFrom="paragraph">
              <wp:posOffset>871868</wp:posOffset>
            </wp:positionV>
            <wp:extent cx="5943600" cy="3265805"/>
            <wp:effectExtent l="0" t="0" r="0" b="10795"/>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3C6C80">
        <w:t xml:space="preserve">Figure </w:t>
      </w:r>
      <w:fldSimple w:instr=" SEQ Figure \* ARABIC ">
        <w:r w:rsidR="00977423">
          <w:rPr>
            <w:noProof/>
          </w:rPr>
          <w:t>17</w:t>
        </w:r>
      </w:fldSimple>
      <w:bookmarkEnd w:id="206"/>
      <w:bookmarkEnd w:id="208"/>
      <w:r w:rsidR="003C6C80">
        <w:t xml:space="preserve">. </w:t>
      </w:r>
      <w:bookmarkEnd w:id="209"/>
      <w:r w:rsidR="003C6C80">
        <w:t>Range of uncertainty in o</w:t>
      </w:r>
      <w:r w:rsidR="003C6C80" w:rsidRPr="0008177C">
        <w:t>dds ratios for the association between childhood cancer and average estimated NDMA concentrations</w:t>
      </w:r>
      <w:r w:rsidR="003C6C80">
        <w:t xml:space="preserve"> (zero, low, high)</w:t>
      </w:r>
      <w:r w:rsidR="003C6C80" w:rsidRPr="0008177C">
        <w:t xml:space="preserve"> in </w:t>
      </w:r>
      <w:r w:rsidR="003C6C80">
        <w:t xml:space="preserve">maternal </w:t>
      </w:r>
      <w:r w:rsidR="003C6C80" w:rsidRPr="0008177C">
        <w:t xml:space="preserve">drinking water </w:t>
      </w:r>
      <w:r w:rsidR="003C6C80">
        <w:t xml:space="preserve">(during </w:t>
      </w:r>
      <w:r w:rsidR="003C6C80" w:rsidRPr="0008177C">
        <w:t>the year before birth</w:t>
      </w:r>
      <w:r w:rsidR="003C6C80">
        <w:t>) based on eight alternative exposure simulations.</w:t>
      </w:r>
      <w:bookmarkEnd w:id="207"/>
      <w:bookmarkEnd w:id="210"/>
    </w:p>
    <w:p w14:paraId="28BDC5C9" w14:textId="65F130C6" w:rsidR="007C17F1" w:rsidRPr="00D20DB8" w:rsidRDefault="007C17F1" w:rsidP="0040594E">
      <w:pPr>
        <w:pStyle w:val="NoSpacing"/>
        <w:rPr>
          <w:rFonts w:eastAsiaTheme="minorHAnsi"/>
          <w:sz w:val="22"/>
          <w:szCs w:val="22"/>
        </w:rPr>
      </w:pPr>
      <w:r w:rsidRPr="00D20DB8">
        <w:rPr>
          <w:rFonts w:eastAsiaTheme="minorHAnsi"/>
          <w:sz w:val="22"/>
          <w:szCs w:val="22"/>
          <w:vertAlign w:val="superscript"/>
        </w:rPr>
        <w:t>†</w:t>
      </w:r>
      <w:r w:rsidRPr="00D20DB8">
        <w:rPr>
          <w:rFonts w:eastAsiaTheme="minorHAnsi"/>
          <w:sz w:val="22"/>
          <w:szCs w:val="22"/>
        </w:rPr>
        <w:t>Marginally significant association with the odds of childhood cancer (</w:t>
      </w:r>
      <w:r w:rsidRPr="00D20DB8">
        <w:rPr>
          <w:i/>
          <w:sz w:val="22"/>
          <w:szCs w:val="22"/>
        </w:rPr>
        <w:t>p</w:t>
      </w:r>
      <w:r w:rsidRPr="00D20DB8">
        <w:rPr>
          <w:rFonts w:eastAsiaTheme="minorHAnsi"/>
          <w:sz w:val="22"/>
          <w:szCs w:val="22"/>
        </w:rPr>
        <w:t xml:space="preserve"> &lt;0.10)</w:t>
      </w:r>
      <w:r w:rsidR="00BE78BA" w:rsidRPr="00D20DB8">
        <w:rPr>
          <w:rFonts w:eastAsiaTheme="minorHAnsi"/>
          <w:sz w:val="22"/>
          <w:szCs w:val="22"/>
        </w:rPr>
        <w:t xml:space="preserve"> for the high concentration category compared to no estimated NDMA in drinking water.</w:t>
      </w:r>
    </w:p>
    <w:p w14:paraId="6ABA693C" w14:textId="32938DB3" w:rsidR="007C17F1" w:rsidRDefault="007C17F1" w:rsidP="00E6099B">
      <w:pPr>
        <w:pStyle w:val="NoSpacing"/>
        <w:spacing w:after="360"/>
        <w:rPr>
          <w:rFonts w:eastAsiaTheme="minorHAnsi"/>
          <w:sz w:val="22"/>
          <w:szCs w:val="22"/>
        </w:rPr>
      </w:pPr>
      <w:r w:rsidRPr="00D20DB8">
        <w:rPr>
          <w:rFonts w:eastAsiaTheme="minorHAnsi"/>
          <w:sz w:val="22"/>
          <w:szCs w:val="22"/>
          <w:vertAlign w:val="superscript"/>
        </w:rPr>
        <w:t>‡</w:t>
      </w:r>
      <w:r w:rsidRPr="00D20DB8">
        <w:rPr>
          <w:rFonts w:eastAsiaTheme="minorHAnsi"/>
          <w:sz w:val="22"/>
          <w:szCs w:val="22"/>
        </w:rPr>
        <w:t>Statistically significant association with the odds of childhood cancer (</w:t>
      </w:r>
      <w:r w:rsidRPr="00D20DB8">
        <w:rPr>
          <w:i/>
          <w:sz w:val="22"/>
          <w:szCs w:val="22"/>
        </w:rPr>
        <w:t>p</w:t>
      </w:r>
      <w:r w:rsidRPr="00D20DB8">
        <w:rPr>
          <w:rFonts w:eastAsiaTheme="minorHAnsi"/>
          <w:sz w:val="22"/>
          <w:szCs w:val="22"/>
        </w:rPr>
        <w:t xml:space="preserve"> &lt;0.05)</w:t>
      </w:r>
      <w:r w:rsidR="00BE78BA" w:rsidRPr="00D20DB8">
        <w:rPr>
          <w:rFonts w:eastAsiaTheme="minorHAnsi"/>
          <w:sz w:val="22"/>
          <w:szCs w:val="22"/>
        </w:rPr>
        <w:t xml:space="preserve"> for the high concentration category to no estimated NDMA in drinking water.</w:t>
      </w:r>
    </w:p>
    <w:p w14:paraId="6F15844D" w14:textId="7A3153AE" w:rsidR="00FB6843" w:rsidRDefault="00D62F67" w:rsidP="00423581">
      <w:r>
        <w:fldChar w:fldCharType="begin"/>
      </w:r>
      <w:r>
        <w:instrText xml:space="preserve"> REF  Figure17 \h </w:instrText>
      </w:r>
      <w:r w:rsidR="0040594E">
        <w:instrText xml:space="preserve"> \* MERGEFORMAT </w:instrText>
      </w:r>
      <w:r>
        <w:fldChar w:fldCharType="separate"/>
      </w:r>
      <w:r w:rsidR="00977423">
        <w:t>Figure 17</w:t>
      </w:r>
      <w:r>
        <w:fldChar w:fldCharType="end"/>
      </w:r>
      <w:r w:rsidR="003C6C80">
        <w:t xml:space="preserve"> </w:t>
      </w:r>
      <w:r w:rsidR="000C0B4F" w:rsidRPr="00F80B1F">
        <w:t>present</w:t>
      </w:r>
      <w:r w:rsidR="000C0B4F">
        <w:t>s</w:t>
      </w:r>
      <w:r w:rsidR="000C0B4F" w:rsidRPr="00F80B1F">
        <w:t xml:space="preserve"> results </w:t>
      </w:r>
      <w:r w:rsidR="002E5AB5">
        <w:t xml:space="preserve">for each of the eight alternative exposure datasets when used to evaluate the childhood exposure period and </w:t>
      </w:r>
      <w:r w:rsidR="000C0B4F">
        <w:t xml:space="preserve">the association between average </w:t>
      </w:r>
      <w:r w:rsidR="000C0B4F" w:rsidRPr="00F80B1F">
        <w:t>NDMA con</w:t>
      </w:r>
      <w:r w:rsidR="000C0B4F">
        <w:t>centra</w:t>
      </w:r>
      <w:r w:rsidR="000C0B4F" w:rsidRPr="00F80B1F">
        <w:t>tion</w:t>
      </w:r>
      <w:r w:rsidR="000C0B4F">
        <w:t>s</w:t>
      </w:r>
      <w:r w:rsidR="000C0B4F" w:rsidRPr="00F80B1F">
        <w:t xml:space="preserve"> in</w:t>
      </w:r>
      <w:r w:rsidR="000C0B4F">
        <w:t xml:space="preserve"> </w:t>
      </w:r>
      <w:r w:rsidR="002E5AB5">
        <w:t>d</w:t>
      </w:r>
      <w:r w:rsidR="000C0B4F" w:rsidRPr="00F80B1F">
        <w:t>rinking water</w:t>
      </w:r>
      <w:r w:rsidR="000C0B4F">
        <w:t xml:space="preserve"> (zero</w:t>
      </w:r>
      <w:r w:rsidR="000C0B4F" w:rsidRPr="00F80B1F">
        <w:t>, low, or high</w:t>
      </w:r>
      <w:r w:rsidR="000C0B4F">
        <w:t>)</w:t>
      </w:r>
      <w:r w:rsidR="000C0B4F" w:rsidRPr="00F80B1F">
        <w:t xml:space="preserve"> </w:t>
      </w:r>
      <w:r w:rsidR="000C0B4F">
        <w:t>and</w:t>
      </w:r>
      <w:r w:rsidR="000C0B4F" w:rsidRPr="00F80B1F">
        <w:t xml:space="preserve"> development of</w:t>
      </w:r>
      <w:r w:rsidR="000C0B4F">
        <w:t xml:space="preserve"> any</w:t>
      </w:r>
      <w:r w:rsidR="000C0B4F" w:rsidRPr="00F80B1F">
        <w:t xml:space="preserve"> childhood cancer</w:t>
      </w:r>
      <w:r w:rsidR="000C0B4F">
        <w:t>.</w:t>
      </w:r>
      <w:r w:rsidR="002E5AB5">
        <w:t xml:space="preserve"> In general, there </w:t>
      </w:r>
      <w:r w:rsidR="00F07A4D">
        <w:t>i</w:t>
      </w:r>
      <w:r w:rsidR="002E5AB5">
        <w:t xml:space="preserve">s very strong model agreement across all results </w:t>
      </w:r>
      <w:r w:rsidR="00F07A4D">
        <w:t>and very little difference between the base model and the alternative models. No positive association with childhood cancer is observed for estimated NDMA concentrations during the childhood exposure period.</w:t>
      </w:r>
      <w:r w:rsidR="002E5AB5">
        <w:t xml:space="preserve"> </w:t>
      </w:r>
      <w:r w:rsidR="00FB6843">
        <w:br w:type="page"/>
      </w:r>
    </w:p>
    <w:p w14:paraId="483D884F" w14:textId="681DF70D" w:rsidR="003C6C80" w:rsidRDefault="00275D0D" w:rsidP="0040594E">
      <w:pPr>
        <w:pStyle w:val="Caption"/>
        <w:keepNext/>
      </w:pPr>
      <w:bookmarkStart w:id="211" w:name="_Ref16168079"/>
      <w:bookmarkStart w:id="212" w:name="Figure18"/>
      <w:bookmarkStart w:id="213" w:name="_Toc45717793"/>
      <w:r>
        <w:rPr>
          <w:noProof/>
        </w:rPr>
        <w:lastRenderedPageBreak/>
        <w:drawing>
          <wp:anchor distT="0" distB="0" distL="114300" distR="114300" simplePos="0" relativeHeight="251677696" behindDoc="0" locked="0" layoutInCell="1" allowOverlap="1" wp14:anchorId="6BE78AF8" wp14:editId="40F346D5">
            <wp:simplePos x="0" y="0"/>
            <wp:positionH relativeFrom="margin">
              <wp:align>right</wp:align>
            </wp:positionH>
            <wp:positionV relativeFrom="paragraph">
              <wp:posOffset>705699</wp:posOffset>
            </wp:positionV>
            <wp:extent cx="5943600" cy="3265805"/>
            <wp:effectExtent l="0" t="0" r="0" b="10795"/>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3C6C80">
        <w:t xml:space="preserve">Figure </w:t>
      </w:r>
      <w:fldSimple w:instr=" SEQ Figure \* ARABIC ">
        <w:r w:rsidR="00977423">
          <w:rPr>
            <w:noProof/>
          </w:rPr>
          <w:t>18</w:t>
        </w:r>
      </w:fldSimple>
      <w:bookmarkEnd w:id="211"/>
      <w:bookmarkEnd w:id="212"/>
      <w:r w:rsidR="003C6C80">
        <w:t>. Range of uncertainty in o</w:t>
      </w:r>
      <w:r w:rsidR="003C6C80" w:rsidRPr="0008177C">
        <w:t>dds ratios for the association between childhood cancer and average estimated NDMA concentrations</w:t>
      </w:r>
      <w:r w:rsidR="003C6C80">
        <w:t xml:space="preserve"> (zero, low, high)</w:t>
      </w:r>
      <w:r w:rsidR="003C6C80" w:rsidRPr="0008177C">
        <w:t xml:space="preserve"> in </w:t>
      </w:r>
      <w:r w:rsidR="003C6C80">
        <w:t xml:space="preserve">childhood </w:t>
      </w:r>
      <w:r w:rsidR="003C6C80" w:rsidRPr="0008177C">
        <w:t xml:space="preserve">drinking </w:t>
      </w:r>
      <w:proofErr w:type="gramStart"/>
      <w:r w:rsidR="003C6C80" w:rsidRPr="0008177C">
        <w:t xml:space="preserve">water </w:t>
      </w:r>
      <w:r w:rsidR="003C6C80">
        <w:t xml:space="preserve"> based</w:t>
      </w:r>
      <w:proofErr w:type="gramEnd"/>
      <w:r w:rsidR="003C6C80">
        <w:t xml:space="preserve"> on eight alternative exposure simulations.</w:t>
      </w:r>
      <w:bookmarkEnd w:id="213"/>
    </w:p>
    <w:p w14:paraId="27547D73" w14:textId="549E4D14" w:rsidR="00EE0D05" w:rsidRDefault="00EE0D05" w:rsidP="0040594E">
      <w:pPr>
        <w:spacing w:line="240" w:lineRule="auto"/>
        <w:rPr>
          <w:rFonts w:asciiTheme="majorHAnsi" w:hAnsiTheme="majorHAnsi"/>
          <w:b/>
          <w:bCs/>
          <w:kern w:val="32"/>
          <w:sz w:val="36"/>
          <w:szCs w:val="32"/>
          <w:lang w:val="x-none" w:eastAsia="x-none"/>
        </w:rPr>
      </w:pPr>
    </w:p>
    <w:p w14:paraId="0B755F19" w14:textId="30CDE680" w:rsidR="00275D0D" w:rsidRDefault="00275D0D" w:rsidP="0040594E">
      <w:pPr>
        <w:spacing w:after="0" w:line="240" w:lineRule="auto"/>
        <w:sectPr w:rsidR="00275D0D" w:rsidSect="009B5DA2">
          <w:footerReference w:type="default" r:id="rId41"/>
          <w:pgSz w:w="12240" w:h="15840"/>
          <w:pgMar w:top="1440" w:right="1440" w:bottom="1440" w:left="1440" w:header="720" w:footer="720" w:gutter="0"/>
          <w:cols w:space="720"/>
          <w:docGrid w:linePitch="360"/>
        </w:sectPr>
      </w:pPr>
    </w:p>
    <w:p w14:paraId="56375E97" w14:textId="690ECDE2" w:rsidR="00786F64" w:rsidRPr="004973CB" w:rsidRDefault="00786F64" w:rsidP="003477EB">
      <w:pPr>
        <w:pStyle w:val="Heading1"/>
      </w:pPr>
      <w:bookmarkStart w:id="214" w:name="_Toc67488287"/>
      <w:r w:rsidRPr="004973CB">
        <w:lastRenderedPageBreak/>
        <w:t>DISCUSSION</w:t>
      </w:r>
      <w:bookmarkEnd w:id="214"/>
    </w:p>
    <w:p w14:paraId="2534A890" w14:textId="098751A9" w:rsidR="00786F64" w:rsidRPr="00F80B1F" w:rsidRDefault="00786F64" w:rsidP="009B5DA2">
      <w:pPr>
        <w:pStyle w:val="Heading2"/>
      </w:pPr>
      <w:bookmarkStart w:id="215" w:name="_Toc67488288"/>
      <w:r w:rsidRPr="00F80B1F">
        <w:t>INTRODUCTION</w:t>
      </w:r>
      <w:bookmarkEnd w:id="215"/>
    </w:p>
    <w:p w14:paraId="69A906BC" w14:textId="7C9C2293" w:rsidR="00C85C01" w:rsidRDefault="004825AA" w:rsidP="00423581">
      <w:r>
        <w:t>In this case-control study</w:t>
      </w:r>
      <w:r w:rsidR="0023230F">
        <w:t xml:space="preserve">, </w:t>
      </w:r>
      <w:r>
        <w:t xml:space="preserve">potential environmental exposures </w:t>
      </w:r>
      <w:r w:rsidR="0023230F">
        <w:t xml:space="preserve">were evaluated for </w:t>
      </w:r>
      <w:r>
        <w:t>their association with childhood cancer</w:t>
      </w:r>
      <w:r w:rsidR="00B968BE">
        <w:t xml:space="preserve"> diagnosed</w:t>
      </w:r>
      <w:r>
        <w:t xml:space="preserve"> i</w:t>
      </w:r>
      <w:r w:rsidR="0023230F">
        <w:t>n Wilmington, MA from 1990-2000</w:t>
      </w:r>
      <w:r w:rsidR="00716072">
        <w:t xml:space="preserve">. </w:t>
      </w:r>
      <w:r w:rsidR="00B968BE">
        <w:t>The</w:t>
      </w:r>
      <w:r w:rsidR="0023230F">
        <w:t xml:space="preserve"> study faced several </w:t>
      </w:r>
      <w:r w:rsidR="00470369">
        <w:t>challenge</w:t>
      </w:r>
      <w:r w:rsidR="0023230F">
        <w:t xml:space="preserve">s including a small sample size, a </w:t>
      </w:r>
      <w:proofErr w:type="gramStart"/>
      <w:r w:rsidR="0023230F">
        <w:t>retrospective  exposure</w:t>
      </w:r>
      <w:proofErr w:type="gramEnd"/>
      <w:r w:rsidR="0023230F">
        <w:t xml:space="preserve"> assessment, and retrospective </w:t>
      </w:r>
      <w:r w:rsidR="00F91B13">
        <w:t>ascertainment</w:t>
      </w:r>
      <w:r w:rsidR="0023230F">
        <w:t xml:space="preserve"> of additional risk factors</w:t>
      </w:r>
      <w:r w:rsidR="00716072">
        <w:t xml:space="preserve">. </w:t>
      </w:r>
      <w:r w:rsidR="00470369">
        <w:t>Yet</w:t>
      </w:r>
      <w:r w:rsidR="00593142">
        <w:t>,</w:t>
      </w:r>
      <w:r w:rsidR="0023230F">
        <w:t xml:space="preserve"> strong positive ass</w:t>
      </w:r>
      <w:r w:rsidR="00470369">
        <w:t xml:space="preserve">ociations were observed between </w:t>
      </w:r>
      <w:r w:rsidR="0023230F">
        <w:t>contaminants in maternal residential drinking water and childhood cancer</w:t>
      </w:r>
      <w:r w:rsidR="00716072">
        <w:t xml:space="preserve">. </w:t>
      </w:r>
      <w:r w:rsidR="00470369">
        <w:t>The</w:t>
      </w:r>
      <w:r w:rsidR="00255886">
        <w:t xml:space="preserve"> most compelling</w:t>
      </w:r>
      <w:r w:rsidR="00470369">
        <w:t xml:space="preserve"> results </w:t>
      </w:r>
      <w:r w:rsidR="00B968BE">
        <w:t>includ</w:t>
      </w:r>
      <w:r w:rsidR="00470369">
        <w:t>e</w:t>
      </w:r>
      <w:r w:rsidR="00B968BE">
        <w:t xml:space="preserve"> </w:t>
      </w:r>
      <w:r w:rsidR="00255886">
        <w:t xml:space="preserve">statistically </w:t>
      </w:r>
      <w:r w:rsidR="00B968BE">
        <w:t xml:space="preserve">significantly higher odds of a leukemia or lymphoma diagnosis among children whose mothers lived in homes with the highest estimated </w:t>
      </w:r>
      <w:r w:rsidR="001D5169" w:rsidRPr="00A26E6D">
        <w:rPr>
          <w:i/>
        </w:rPr>
        <w:t>n</w:t>
      </w:r>
      <w:r w:rsidR="001D5169" w:rsidRPr="006073BD">
        <w:t>-</w:t>
      </w:r>
      <w:proofErr w:type="spellStart"/>
      <w:r w:rsidR="001D5169" w:rsidRPr="006073BD">
        <w:rPr>
          <w:lang w:val="en"/>
        </w:rPr>
        <w:t>nitrosodimethylamine</w:t>
      </w:r>
      <w:proofErr w:type="spellEnd"/>
      <w:r w:rsidR="001D5169" w:rsidRPr="006073BD">
        <w:rPr>
          <w:lang w:val="en"/>
        </w:rPr>
        <w:t xml:space="preserve"> </w:t>
      </w:r>
      <w:r w:rsidR="001D5169">
        <w:rPr>
          <w:lang w:val="en"/>
        </w:rPr>
        <w:t>(</w:t>
      </w:r>
      <w:r w:rsidR="00B968BE">
        <w:t>NDMA</w:t>
      </w:r>
      <w:r w:rsidR="001D5169">
        <w:t>)</w:t>
      </w:r>
      <w:r w:rsidR="00B968BE">
        <w:t xml:space="preserve"> concentrations in drinking water compared to children whose mothers were estimated to have had no NDMA exposure during the year before their child’s birth (OR = 5.0; 95% CI: 1.0-24)</w:t>
      </w:r>
      <w:r w:rsidR="00716072">
        <w:t xml:space="preserve">. </w:t>
      </w:r>
      <w:r w:rsidR="00516C49">
        <w:t>The</w:t>
      </w:r>
      <w:r w:rsidR="00A547BD">
        <w:t xml:space="preserve"> o</w:t>
      </w:r>
      <w:r>
        <w:t>dds of any cancer diagnosis were also elevated</w:t>
      </w:r>
      <w:r w:rsidR="00516C49">
        <w:t xml:space="preserve"> among this group</w:t>
      </w:r>
      <w:r>
        <w:t xml:space="preserve">, but </w:t>
      </w:r>
      <w:r w:rsidR="00A547BD">
        <w:t xml:space="preserve">with only marginal statistical significance </w:t>
      </w:r>
      <w:r>
        <w:t>(OR =</w:t>
      </w:r>
      <w:r w:rsidR="00A547BD">
        <w:t xml:space="preserve"> 3.0; 95% CI: 0.8-11)</w:t>
      </w:r>
      <w:r w:rsidR="00255886">
        <w:t xml:space="preserve">; because leukemia and lymphoma diagnoses made up 60% of the 18 cases in this study, the results of the </w:t>
      </w:r>
      <w:r w:rsidR="007F74B7">
        <w:t>All Cancers</w:t>
      </w:r>
      <w:r w:rsidR="00255886">
        <w:t xml:space="preserve"> analysis are largely driven by the strong association observed with leukemia/lymphoma</w:t>
      </w:r>
      <w:r w:rsidR="00716072">
        <w:t xml:space="preserve">. </w:t>
      </w:r>
      <w:r w:rsidR="00516C49">
        <w:t>Both associations displayed a dose-response trend</w:t>
      </w:r>
      <w:r w:rsidR="000538CE">
        <w:t xml:space="preserve">, and the trend for the </w:t>
      </w:r>
      <w:r w:rsidR="007F74B7">
        <w:t>Leukemia/Lymphoma</w:t>
      </w:r>
      <w:r w:rsidR="000538CE">
        <w:t xml:space="preserve"> subgroup had</w:t>
      </w:r>
      <w:r w:rsidR="00516C49">
        <w:t xml:space="preserve"> a </w:t>
      </w:r>
      <w:r w:rsidR="000538CE">
        <w:t xml:space="preserve">marginally significant </w:t>
      </w:r>
      <w:r w:rsidR="00C67EB4" w:rsidRPr="00372442">
        <w:rPr>
          <w:i/>
        </w:rPr>
        <w:t>p</w:t>
      </w:r>
      <w:r w:rsidR="00C67EB4">
        <w:t>-value</w:t>
      </w:r>
      <w:r w:rsidR="000538CE">
        <w:t xml:space="preserve"> of 0.06</w:t>
      </w:r>
      <w:r w:rsidR="00716072">
        <w:t xml:space="preserve">. </w:t>
      </w:r>
      <w:r w:rsidR="00A547BD">
        <w:t xml:space="preserve">Estimated concentrations of </w:t>
      </w:r>
      <w:r w:rsidR="007B5D01">
        <w:t>trichloroethylene (</w:t>
      </w:r>
      <w:r w:rsidR="00A547BD">
        <w:t>TCE</w:t>
      </w:r>
      <w:r w:rsidR="007B5D01">
        <w:t>)</w:t>
      </w:r>
      <w:r w:rsidR="00A547BD">
        <w:t xml:space="preserve"> in maternal drinking water were also </w:t>
      </w:r>
      <w:r w:rsidR="009E3E03">
        <w:t xml:space="preserve">positively </w:t>
      </w:r>
      <w:r w:rsidR="00A547BD">
        <w:t>associated with odds of any cancer diagnosis, but results were not statistically significant, a dose-re</w:t>
      </w:r>
      <w:r w:rsidR="00F91B13">
        <w:t>s</w:t>
      </w:r>
      <w:r w:rsidR="00A547BD">
        <w:t xml:space="preserve">ponse effect was not observed, and the small number of participants with available estimated TCE concentrations </w:t>
      </w:r>
      <w:r w:rsidR="00D430EE">
        <w:t xml:space="preserve">prevented deeper </w:t>
      </w:r>
      <w:r w:rsidR="00A547BD">
        <w:t xml:space="preserve">analysis of the </w:t>
      </w:r>
      <w:r w:rsidR="007F74B7">
        <w:t>Leukemia/Lymphoma</w:t>
      </w:r>
      <w:r w:rsidR="00A547BD">
        <w:t xml:space="preserve"> subgroup</w:t>
      </w:r>
      <w:r w:rsidR="00716072">
        <w:t xml:space="preserve">. </w:t>
      </w:r>
    </w:p>
    <w:p w14:paraId="703370C1" w14:textId="4BD25C46" w:rsidR="00111E27" w:rsidRDefault="00A547BD" w:rsidP="00423581">
      <w:r>
        <w:t xml:space="preserve">When </w:t>
      </w:r>
      <w:r w:rsidR="00D616DB">
        <w:t>those reporting that they primarily drank bottled water were assigned zero</w:t>
      </w:r>
      <w:r w:rsidR="00163D7E">
        <w:t xml:space="preserve"> exposure,</w:t>
      </w:r>
      <w:r w:rsidR="00D616DB">
        <w:t xml:space="preserve"> </w:t>
      </w:r>
      <w:r w:rsidR="00163D7E">
        <w:t xml:space="preserve">associations between NDMA and childhood cancer were no longer observed. However, when </w:t>
      </w:r>
      <w:r w:rsidR="00516C49">
        <w:t xml:space="preserve">bottled water use was </w:t>
      </w:r>
      <w:r>
        <w:t>accounted for</w:t>
      </w:r>
      <w:r w:rsidR="009E3E03">
        <w:t xml:space="preserve"> in exposure assignments</w:t>
      </w:r>
      <w:r w:rsidR="00163D7E">
        <w:t xml:space="preserve"> by decreasing estimated concentrations to 49% of modeled values</w:t>
      </w:r>
      <w:r w:rsidR="00D430EE">
        <w:t xml:space="preserve">, associations </w:t>
      </w:r>
      <w:r w:rsidR="00163D7E">
        <w:t xml:space="preserve">between </w:t>
      </w:r>
      <w:r w:rsidR="00D430EE">
        <w:t xml:space="preserve">NDMA </w:t>
      </w:r>
      <w:r w:rsidR="00163D7E">
        <w:t>and childhood cancer were</w:t>
      </w:r>
      <w:r w:rsidR="00D430EE">
        <w:t xml:space="preserve"> strengthened</w:t>
      </w:r>
      <w:r w:rsidR="001B4DAF">
        <w:t xml:space="preserve"> </w:t>
      </w:r>
      <w:r w:rsidR="00AE23A5">
        <w:t>(though no longer in a dose-responsive fashion)</w:t>
      </w:r>
      <w:r w:rsidR="00716072">
        <w:t xml:space="preserve">. </w:t>
      </w:r>
      <w:r w:rsidR="00AE23A5">
        <w:t>For TCE, accounting for bottled water usage had less of an apparent effect</w:t>
      </w:r>
      <w:r w:rsidR="00716072">
        <w:t xml:space="preserve">. </w:t>
      </w:r>
      <w:r w:rsidR="00533F9A" w:rsidRPr="00F80B1F">
        <w:t xml:space="preserve">Increased </w:t>
      </w:r>
      <w:r w:rsidR="00533F9A">
        <w:t>odds</w:t>
      </w:r>
      <w:r w:rsidR="00533F9A" w:rsidRPr="00F80B1F">
        <w:t xml:space="preserve"> of cancer </w:t>
      </w:r>
      <w:r w:rsidR="00533F9A">
        <w:t>were</w:t>
      </w:r>
      <w:r w:rsidR="00533F9A" w:rsidRPr="00F80B1F">
        <w:t xml:space="preserve"> not </w:t>
      </w:r>
      <w:r w:rsidR="00533F9A" w:rsidRPr="001C3C28">
        <w:t>observed</w:t>
      </w:r>
      <w:r w:rsidR="00533F9A">
        <w:t xml:space="preserve"> in those with higher estimated concentrations of NDMA or TCE during the childhood </w:t>
      </w:r>
      <w:r w:rsidR="009E3E03">
        <w:t xml:space="preserve">exposure </w:t>
      </w:r>
      <w:r w:rsidR="00533F9A">
        <w:t>period.</w:t>
      </w:r>
      <w:r w:rsidR="00111E27">
        <w:br w:type="page"/>
      </w:r>
    </w:p>
    <w:p w14:paraId="00799128" w14:textId="0CE76009" w:rsidR="00786F64" w:rsidRPr="00F80B1F" w:rsidRDefault="00C85C01" w:rsidP="00423581">
      <w:r w:rsidRPr="00490A6C">
        <w:rPr>
          <w:noProof/>
        </w:rPr>
        <w:lastRenderedPageBreak/>
        <mc:AlternateContent>
          <mc:Choice Requires="wps">
            <w:drawing>
              <wp:anchor distT="0" distB="0" distL="114300" distR="114300" simplePos="0" relativeHeight="251644928" behindDoc="0" locked="0" layoutInCell="1" allowOverlap="1" wp14:anchorId="76609956" wp14:editId="22EE2F63">
                <wp:simplePos x="0" y="0"/>
                <wp:positionH relativeFrom="margin">
                  <wp:posOffset>3098800</wp:posOffset>
                </wp:positionH>
                <wp:positionV relativeFrom="paragraph">
                  <wp:posOffset>6350</wp:posOffset>
                </wp:positionV>
                <wp:extent cx="2846705" cy="2476500"/>
                <wp:effectExtent l="0" t="0" r="1079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476500"/>
                        </a:xfrm>
                        <a:prstGeom prst="rect">
                          <a:avLst/>
                        </a:prstGeom>
                        <a:solidFill>
                          <a:schemeClr val="accent1">
                            <a:lumMod val="20000"/>
                            <a:lumOff val="80000"/>
                          </a:schemeClr>
                        </a:solidFill>
                        <a:ln w="9525">
                          <a:solidFill>
                            <a:srgbClr val="000000"/>
                          </a:solidFill>
                          <a:miter lim="800000"/>
                          <a:headEnd/>
                          <a:tailEnd/>
                        </a:ln>
                      </wps:spPr>
                      <wps:txbx>
                        <w:txbxContent>
                          <w:p w14:paraId="18DCDDA0" w14:textId="395D70F2" w:rsidR="00C2588D" w:rsidRPr="00423581" w:rsidRDefault="00C2588D" w:rsidP="00E6099B">
                            <w:pPr>
                              <w:pStyle w:val="Subtitle"/>
                              <w:spacing w:after="240" w:line="240" w:lineRule="auto"/>
                              <w:rPr>
                                <w:b/>
                                <w:i w:val="0"/>
                              </w:rPr>
                            </w:pPr>
                            <w:r w:rsidRPr="00423581">
                              <w:rPr>
                                <w:b/>
                                <w:i w:val="0"/>
                              </w:rPr>
                              <w:t>Multiple Comparisons</w:t>
                            </w:r>
                          </w:p>
                          <w:p w14:paraId="1B05FA28" w14:textId="2F8A568D" w:rsidR="00C2588D" w:rsidRPr="00423581" w:rsidRDefault="00C2588D" w:rsidP="00E6099B">
                            <w:pPr>
                              <w:spacing w:line="240" w:lineRule="auto"/>
                              <w:rPr>
                                <w:rFonts w:asciiTheme="majorHAnsi" w:hAnsiTheme="majorHAnsi"/>
                                <w:szCs w:val="32"/>
                              </w:rPr>
                            </w:pPr>
                            <w:r w:rsidRPr="00423581">
                              <w:rPr>
                                <w:rFonts w:asciiTheme="majorHAnsi" w:hAnsiTheme="majorHAnsi"/>
                                <w:szCs w:val="32"/>
                              </w:rPr>
                              <w:t xml:space="preserve">The issue of multiple comparisons arises when a large number of statistical tests </w:t>
                            </w:r>
                            <w:r>
                              <w:rPr>
                                <w:rFonts w:asciiTheme="majorHAnsi" w:hAnsiTheme="majorHAnsi"/>
                                <w:szCs w:val="32"/>
                              </w:rPr>
                              <w:t>are</w:t>
                            </w:r>
                            <w:r w:rsidRPr="00423581">
                              <w:rPr>
                                <w:rFonts w:asciiTheme="majorHAnsi" w:hAnsiTheme="majorHAnsi"/>
                                <w:szCs w:val="32"/>
                              </w:rPr>
                              <w:t xml:space="preserve"> conducted—for instance, when evaluating the associations of many potential risk factors and a disease outcome of interest. Each additional test or comparison increases the likelihood that a “significant“ association will occur simply due to chance. To compensate for this issue, a more stringent threshold for statistical significance can be applied.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09956" id="_x0000_s1042" type="#_x0000_t202" style="position:absolute;margin-left:244pt;margin-top:.5pt;width:224.15pt;height:1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" fillcolor="#dbe5f1 [660]">
                <v:textbox>
                  <w:txbxContent>
                    <w:p w14:paraId="18DCDDA0" w14:textId="395D70F2" w:rsidR="00C2588D" w:rsidRPr="00423581" w:rsidRDefault="00C2588D" w:rsidP="00E6099B">
                      <w:pPr>
                        <w:pStyle w:val="Subtitle"/>
                        <w:spacing w:after="240" w:line="240" w:lineRule="auto"/>
                        <w:rPr>
                          <w:b/>
                          <w:i w:val="0"/>
                        </w:rPr>
                      </w:pPr>
                      <w:r w:rsidRPr="00423581">
                        <w:rPr>
                          <w:b/>
                          <w:i w:val="0"/>
                        </w:rPr>
                        <w:t>Multiple Comparisons</w:t>
                      </w:r>
                    </w:p>
                    <w:p w14:paraId="1B05FA28" w14:textId="2F8A568D" w:rsidR="00C2588D" w:rsidRPr="00423581" w:rsidRDefault="00C2588D" w:rsidP="00E6099B">
                      <w:pPr>
                        <w:spacing w:line="240" w:lineRule="auto"/>
                        <w:rPr>
                          <w:rFonts w:asciiTheme="majorHAnsi" w:hAnsiTheme="majorHAnsi"/>
                          <w:szCs w:val="32"/>
                        </w:rPr>
                      </w:pPr>
                      <w:r w:rsidRPr="00423581">
                        <w:rPr>
                          <w:rFonts w:asciiTheme="majorHAnsi" w:hAnsiTheme="majorHAnsi"/>
                          <w:szCs w:val="32"/>
                        </w:rPr>
                        <w:t xml:space="preserve">The issue of multiple comparisons arises when a large number of statistical tests </w:t>
                      </w:r>
                      <w:r>
                        <w:rPr>
                          <w:rFonts w:asciiTheme="majorHAnsi" w:hAnsiTheme="majorHAnsi"/>
                          <w:szCs w:val="32"/>
                        </w:rPr>
                        <w:t>are</w:t>
                      </w:r>
                      <w:r w:rsidRPr="00423581">
                        <w:rPr>
                          <w:rFonts w:asciiTheme="majorHAnsi" w:hAnsiTheme="majorHAnsi"/>
                          <w:szCs w:val="32"/>
                        </w:rPr>
                        <w:t xml:space="preserve"> conducted—for instance, when evaluating the associations of many potential risk factors and a disease outcome of interest. Each additional test or comparison increases the likelihood that a “significant“ association will occur simply due to chance. To compensate for this issue, a more stringent threshold for statistical significance can be applied.</w:t>
                      </w:r>
                    </w:p>
                  </w:txbxContent>
                </v:textbox>
                <w10:wrap type="square" anchorx="margin"/>
              </v:shape>
            </w:pict>
          </mc:Fallback>
        </mc:AlternateContent>
      </w:r>
      <w:r w:rsidR="006F620D">
        <w:t>After evaluating a host of additional demographic and risk factor information collected through interview, increased odds of childhood cancer were also observed among children</w:t>
      </w:r>
      <w:r w:rsidR="00786F64" w:rsidRPr="00F80B1F">
        <w:t xml:space="preserve"> </w:t>
      </w:r>
      <w:r w:rsidR="006F620D">
        <w:t xml:space="preserve">administered </w:t>
      </w:r>
      <w:r w:rsidR="00786F64" w:rsidRPr="00F80B1F">
        <w:t>oxygen immediately after birth</w:t>
      </w:r>
      <w:r w:rsidR="00786F64">
        <w:t>,</w:t>
      </w:r>
      <w:r w:rsidR="00786F64" w:rsidRPr="00F80B1F">
        <w:t xml:space="preserve"> </w:t>
      </w:r>
      <w:r w:rsidR="006F620D">
        <w:t xml:space="preserve">those with </w:t>
      </w:r>
      <w:r w:rsidR="00786F64" w:rsidRPr="00F80B1F">
        <w:t>low birth weight</w:t>
      </w:r>
      <w:r w:rsidR="00786F64">
        <w:t xml:space="preserve">, and </w:t>
      </w:r>
      <w:r w:rsidR="006F620D">
        <w:t xml:space="preserve">those who experienced either of those </w:t>
      </w:r>
      <w:r w:rsidR="00786F64">
        <w:t>adverse birth event</w:t>
      </w:r>
      <w:r w:rsidR="006F620D">
        <w:t xml:space="preserve">s or </w:t>
      </w:r>
      <w:r w:rsidR="00786F64">
        <w:t>place</w:t>
      </w:r>
      <w:r w:rsidR="006F620D">
        <w:t>ment</w:t>
      </w:r>
      <w:r w:rsidR="00786F64">
        <w:t xml:space="preserve"> in an incubator at birth</w:t>
      </w:r>
      <w:r w:rsidR="00716072">
        <w:t xml:space="preserve">. </w:t>
      </w:r>
      <w:r w:rsidR="006F620D">
        <w:t xml:space="preserve">Two additional risk factors (childhood use of antihistamines and </w:t>
      </w:r>
      <w:r w:rsidR="00490A6C">
        <w:t xml:space="preserve">household use of </w:t>
      </w:r>
      <w:r w:rsidR="00490A6C" w:rsidRPr="00F272B8">
        <w:t>plastics</w:t>
      </w:r>
      <w:r w:rsidR="00490A6C">
        <w:t>, synthetics,</w:t>
      </w:r>
      <w:r w:rsidR="00490A6C" w:rsidRPr="00F272B8">
        <w:t xml:space="preserve"> or resins</w:t>
      </w:r>
      <w:r w:rsidR="00490A6C">
        <w:t xml:space="preserve">) were positively associated with childhood cancer, but </w:t>
      </w:r>
      <w:r w:rsidR="00490A6C" w:rsidRPr="00490A6C">
        <w:rPr>
          <w:i/>
        </w:rPr>
        <w:t>p</w:t>
      </w:r>
      <w:r w:rsidR="00490A6C">
        <w:t xml:space="preserve">-values were of marginal significance and adjustments were not made for multiple comparisons. </w:t>
      </w:r>
      <w:r w:rsidR="00786F64" w:rsidRPr="00F80B1F">
        <w:t xml:space="preserve">When these risk factors, in addition to other selected potential confounders, were adjusted for in </w:t>
      </w:r>
      <w:r w:rsidR="000B5850">
        <w:t>multi</w:t>
      </w:r>
      <w:r w:rsidR="00786F64" w:rsidRPr="00F80B1F">
        <w:t>variate model</w:t>
      </w:r>
      <w:r w:rsidR="00786F64">
        <w:t>s</w:t>
      </w:r>
      <w:r w:rsidR="00786F64" w:rsidRPr="00F80B1F">
        <w:t xml:space="preserve"> with NDMA </w:t>
      </w:r>
      <w:r w:rsidR="000B5850">
        <w:t xml:space="preserve">or TCE </w:t>
      </w:r>
      <w:r w:rsidR="00786F64" w:rsidRPr="00F80B1F">
        <w:t xml:space="preserve">exposure, the adjustments for confounding did not </w:t>
      </w:r>
      <w:r w:rsidR="00A041E6" w:rsidRPr="00A041E6">
        <w:t xml:space="preserve">result in any </w:t>
      </w:r>
      <w:r w:rsidR="000B5850">
        <w:t>meaningful</w:t>
      </w:r>
      <w:r w:rsidR="00A041E6" w:rsidRPr="00A041E6">
        <w:t xml:space="preserve"> change in the ORs or in </w:t>
      </w:r>
      <w:r w:rsidR="000B5850">
        <w:t xml:space="preserve">the </w:t>
      </w:r>
      <w:r w:rsidR="00A041E6" w:rsidRPr="00A041E6">
        <w:t>interpretation of the results</w:t>
      </w:r>
      <w:r w:rsidR="000B5850">
        <w:t>.</w:t>
      </w:r>
    </w:p>
    <w:p w14:paraId="52C25484" w14:textId="22EEA66A" w:rsidR="00786F64" w:rsidRDefault="00533F9A" w:rsidP="00423581">
      <w:r>
        <w:t>The objective of this study</w:t>
      </w:r>
      <w:r w:rsidR="00786F64" w:rsidRPr="00F80B1F">
        <w:t xml:space="preserve"> was to obtain an explanation for the pattern of childhood cancer </w:t>
      </w:r>
      <w:r>
        <w:t xml:space="preserve">in Wilmington, MA </w:t>
      </w:r>
      <w:r w:rsidR="00786F64" w:rsidRPr="00F80B1F">
        <w:t>between 19</w:t>
      </w:r>
      <w:r>
        <w:t>90</w:t>
      </w:r>
      <w:r w:rsidR="00786F64" w:rsidRPr="00F80B1F">
        <w:t xml:space="preserve"> and 2000</w:t>
      </w:r>
      <w:r w:rsidR="00716072">
        <w:t xml:space="preserve">. </w:t>
      </w:r>
      <w:r>
        <w:t xml:space="preserve">Specifically, childhood cancer rates were higher than would be expected and </w:t>
      </w:r>
      <w:r w:rsidR="00D30E91">
        <w:t xml:space="preserve">appeared to </w:t>
      </w:r>
      <w:r w:rsidR="00035103">
        <w:t>occur</w:t>
      </w:r>
      <w:r>
        <w:t xml:space="preserve"> </w:t>
      </w:r>
      <w:r w:rsidR="00D30E91">
        <w:t xml:space="preserve">more frequently </w:t>
      </w:r>
      <w:r>
        <w:t xml:space="preserve">in </w:t>
      </w:r>
      <w:r w:rsidR="00035103">
        <w:t>certain areas</w:t>
      </w:r>
      <w:r>
        <w:t xml:space="preserve"> of the town</w:t>
      </w:r>
      <w:r w:rsidR="00716072">
        <w:t xml:space="preserve">. </w:t>
      </w:r>
      <w:r w:rsidR="00035103">
        <w:t>The study was</w:t>
      </w:r>
      <w:r w:rsidR="00786F64" w:rsidRPr="00F80B1F">
        <w:t xml:space="preserve"> maximally designed to consider available risk factor data, given the relatively small number of children with cancer, by using multiple controls, sophisticated exposure modeling, and detailed personal interviews</w:t>
      </w:r>
      <w:r w:rsidR="00716072">
        <w:t xml:space="preserve">. </w:t>
      </w:r>
      <w:r w:rsidR="00D30E91">
        <w:t>The</w:t>
      </w:r>
      <w:r w:rsidR="00786F64" w:rsidRPr="00F80B1F">
        <w:t xml:space="preserve"> study result</w:t>
      </w:r>
      <w:r w:rsidR="00D30E91">
        <w:t xml:space="preserve"> </w:t>
      </w:r>
      <w:r w:rsidR="00786F64" w:rsidRPr="00F80B1F">
        <w:t xml:space="preserve">risk estimates were not precise, </w:t>
      </w:r>
      <w:r w:rsidR="00D30E91">
        <w:t xml:space="preserve">but </w:t>
      </w:r>
      <w:r w:rsidR="00786F64" w:rsidRPr="00F80B1F">
        <w:t xml:space="preserve">the associations </w:t>
      </w:r>
      <w:r w:rsidR="00786F64">
        <w:t>suggest</w:t>
      </w:r>
      <w:r w:rsidR="00D30E91">
        <w:t>ed with</w:t>
      </w:r>
      <w:r w:rsidR="00786F64" w:rsidRPr="00F80B1F">
        <w:t xml:space="preserve"> past NDMA </w:t>
      </w:r>
      <w:r w:rsidR="00D30E91">
        <w:t xml:space="preserve">and/or TCE </w:t>
      </w:r>
      <w:r w:rsidR="00786F64" w:rsidRPr="00F80B1F">
        <w:t>drinking water exposure</w:t>
      </w:r>
      <w:r w:rsidR="00786F64">
        <w:t>s</w:t>
      </w:r>
      <w:r w:rsidR="00786F64" w:rsidRPr="00F80B1F">
        <w:t xml:space="preserve"> offer what we believe is a plausible explanation, supported by valid objective data, for the</w:t>
      </w:r>
      <w:r w:rsidR="00786F64">
        <w:t xml:space="preserve"> pattern of elevated</w:t>
      </w:r>
      <w:r w:rsidR="00786F64" w:rsidRPr="00F80B1F">
        <w:t xml:space="preserve"> cancer </w:t>
      </w:r>
      <w:r w:rsidR="00786F64">
        <w:t>observed in areas of Wilmington, MA</w:t>
      </w:r>
      <w:r w:rsidR="00716072">
        <w:t xml:space="preserve">. </w:t>
      </w:r>
      <w:r w:rsidR="00EF0FE0">
        <w:t>The presence of these contaminants</w:t>
      </w:r>
      <w:r w:rsidR="00786F64" w:rsidRPr="00F80B1F">
        <w:t xml:space="preserve"> cannot definit</w:t>
      </w:r>
      <w:r w:rsidR="00786F64">
        <w:t>iv</w:t>
      </w:r>
      <w:r w:rsidR="00786F64" w:rsidRPr="00F80B1F">
        <w:t>ely explain the pattern of childhood cancer</w:t>
      </w:r>
      <w:r w:rsidR="00EF0FE0">
        <w:t>, but</w:t>
      </w:r>
      <w:r w:rsidR="00786F64" w:rsidRPr="00F80B1F">
        <w:t xml:space="preserve"> it </w:t>
      </w:r>
      <w:r w:rsidR="00786F64">
        <w:t>should</w:t>
      </w:r>
      <w:r w:rsidR="00786F64" w:rsidRPr="00F80B1F">
        <w:t xml:space="preserve"> be recognized that despite the low statistical power of the study, </w:t>
      </w:r>
      <w:r w:rsidR="005A53E4">
        <w:t xml:space="preserve">several </w:t>
      </w:r>
      <w:r w:rsidR="009F726D">
        <w:t>fin</w:t>
      </w:r>
      <w:r w:rsidR="00A041E6">
        <w:t>d</w:t>
      </w:r>
      <w:r w:rsidR="009F726D">
        <w:t xml:space="preserve">ings </w:t>
      </w:r>
      <w:r w:rsidR="005A53E4">
        <w:t xml:space="preserve">reported here do reach the traditional threshold of statistical significance, </w:t>
      </w:r>
      <w:r w:rsidR="009F726D">
        <w:t xml:space="preserve">are </w:t>
      </w:r>
      <w:r w:rsidR="00786F64" w:rsidRPr="00F80B1F">
        <w:t>plausib</w:t>
      </w:r>
      <w:r w:rsidR="00786F64">
        <w:t>ly supported by the literature</w:t>
      </w:r>
      <w:r w:rsidR="003806E7">
        <w:t>,</w:t>
      </w:r>
      <w:r w:rsidR="00786F64">
        <w:t xml:space="preserve"> and could be real</w:t>
      </w:r>
      <w:r w:rsidR="00716072">
        <w:t xml:space="preserve">. </w:t>
      </w:r>
      <w:r w:rsidR="00786F64" w:rsidRPr="00F80B1F">
        <w:t xml:space="preserve">However, </w:t>
      </w:r>
      <w:r w:rsidR="00786F64">
        <w:t xml:space="preserve">as in any study, </w:t>
      </w:r>
      <w:r w:rsidR="00786F64" w:rsidRPr="00F80B1F">
        <w:t>the statistical associations fou</w:t>
      </w:r>
      <w:r w:rsidR="00035103">
        <w:t xml:space="preserve">nd </w:t>
      </w:r>
      <w:r w:rsidR="00035103" w:rsidRPr="003806E7">
        <w:t>could have been affected by</w:t>
      </w:r>
      <w:r w:rsidR="003806E7" w:rsidRPr="003806E7">
        <w:t xml:space="preserve"> bias or confounding or</w:t>
      </w:r>
      <w:r w:rsidR="00786F64" w:rsidRPr="003806E7">
        <w:t xml:space="preserve"> could be due to chance</w:t>
      </w:r>
      <w:r w:rsidR="00716072">
        <w:t xml:space="preserve">. </w:t>
      </w:r>
      <w:r w:rsidR="00786F64" w:rsidRPr="003806E7">
        <w:t xml:space="preserve">Characteristics of </w:t>
      </w:r>
      <w:r w:rsidR="00035103" w:rsidRPr="003806E7">
        <w:t>the</w:t>
      </w:r>
      <w:r w:rsidR="00786F64" w:rsidRPr="003806E7">
        <w:t xml:space="preserve"> study population, consistency of the results with scientific literature, and the potential for misclassifying exposure, as well as the impact of </w:t>
      </w:r>
      <w:r w:rsidR="003806E7" w:rsidRPr="003806E7">
        <w:t>other po</w:t>
      </w:r>
      <w:r w:rsidR="003806E7">
        <w:t>ssible</w:t>
      </w:r>
      <w:r w:rsidR="003806E7" w:rsidRPr="003806E7">
        <w:t xml:space="preserve"> biases </w:t>
      </w:r>
      <w:r w:rsidR="00035103" w:rsidRPr="003806E7">
        <w:t>a</w:t>
      </w:r>
      <w:r w:rsidR="00786F64" w:rsidRPr="003806E7">
        <w:t xml:space="preserve">re </w:t>
      </w:r>
      <w:r w:rsidR="003806E7" w:rsidRPr="003806E7">
        <w:t xml:space="preserve">herein </w:t>
      </w:r>
      <w:r w:rsidR="00035103" w:rsidRPr="003806E7">
        <w:t xml:space="preserve">described and </w:t>
      </w:r>
      <w:r w:rsidR="00786F64" w:rsidRPr="003806E7">
        <w:t xml:space="preserve">considered </w:t>
      </w:r>
      <w:r w:rsidR="00035103" w:rsidRPr="003806E7">
        <w:t>to further elucidate the validity of the observed results</w:t>
      </w:r>
      <w:r w:rsidR="00EF0FE0" w:rsidRPr="003806E7">
        <w:t>.</w:t>
      </w:r>
    </w:p>
    <w:p w14:paraId="3872F3DE" w14:textId="77777777" w:rsidR="0082329B" w:rsidRPr="00F80B1F" w:rsidRDefault="0082329B" w:rsidP="00423581"/>
    <w:p w14:paraId="04313382" w14:textId="0BAC94A1" w:rsidR="00786F64" w:rsidRPr="00F80B1F" w:rsidRDefault="00786F64" w:rsidP="009B5DA2">
      <w:pPr>
        <w:pStyle w:val="Heading2"/>
      </w:pPr>
      <w:bookmarkStart w:id="216" w:name="_Toc67488289"/>
      <w:r w:rsidRPr="00F80B1F">
        <w:lastRenderedPageBreak/>
        <w:t>CANCER TYPES</w:t>
      </w:r>
      <w:bookmarkEnd w:id="216"/>
      <w:r w:rsidRPr="00F80B1F">
        <w:t xml:space="preserve"> </w:t>
      </w:r>
    </w:p>
    <w:p w14:paraId="6E91C236" w14:textId="0B6CD9EA" w:rsidR="00786F64" w:rsidRPr="00F80B1F" w:rsidRDefault="008B50FB" w:rsidP="00423581">
      <w:r>
        <w:t>Nine</w:t>
      </w:r>
      <w:r w:rsidR="00786F64" w:rsidRPr="00F80B1F">
        <w:t xml:space="preserve"> different cancer types </w:t>
      </w:r>
      <w:r w:rsidR="001111E3">
        <w:t>are represented</w:t>
      </w:r>
      <w:r w:rsidR="00786F64" w:rsidRPr="00F80B1F">
        <w:t xml:space="preserve"> among </w:t>
      </w:r>
      <w:r w:rsidR="001111E3">
        <w:t xml:space="preserve">eligible </w:t>
      </w:r>
      <w:r w:rsidR="00786F64" w:rsidRPr="00F80B1F">
        <w:t>Wilmington child</w:t>
      </w:r>
      <w:r w:rsidR="001111E3">
        <w:t>hood cancer cases</w:t>
      </w:r>
      <w:r w:rsidR="00786F64" w:rsidRPr="00F80B1F">
        <w:t xml:space="preserve"> between 19</w:t>
      </w:r>
      <w:r>
        <w:t>90</w:t>
      </w:r>
      <w:r w:rsidR="00786F64" w:rsidRPr="00F80B1F">
        <w:t xml:space="preserve"> and 2000</w:t>
      </w:r>
      <w:r>
        <w:t xml:space="preserve">: </w:t>
      </w:r>
      <w:r w:rsidR="00786F64" w:rsidRPr="00F80B1F">
        <w:t xml:space="preserve">leukemias (acute lymphocytic and acute myeloid) (n=8), </w:t>
      </w:r>
      <w:r w:rsidRPr="00F80B1F">
        <w:t>lymphomas (Hodgkin and non-Hodgkin) (n=3)</w:t>
      </w:r>
      <w:r>
        <w:t xml:space="preserve">, </w:t>
      </w:r>
      <w:r w:rsidR="00943EB3" w:rsidRPr="00F80B1F">
        <w:t>bone cancer</w:t>
      </w:r>
      <w:r w:rsidR="00943EB3">
        <w:t xml:space="preserve"> (EFOT, including </w:t>
      </w:r>
      <w:proofErr w:type="spellStart"/>
      <w:r w:rsidR="00943EB3">
        <w:t>pPNET</w:t>
      </w:r>
      <w:proofErr w:type="spellEnd"/>
      <w:r w:rsidR="00943EB3">
        <w:t>)</w:t>
      </w:r>
      <w:r w:rsidR="00943EB3" w:rsidRPr="00F80B1F">
        <w:t xml:space="preserve"> (n=</w:t>
      </w:r>
      <w:r w:rsidR="00943EB3">
        <w:t>3</w:t>
      </w:r>
      <w:r w:rsidR="00943EB3" w:rsidRPr="00F80B1F">
        <w:t xml:space="preserve">), </w:t>
      </w:r>
      <w:r w:rsidR="00943EB3">
        <w:t xml:space="preserve">germ cell (intracranial/intraspinal) (n=2), </w:t>
      </w:r>
      <w:r w:rsidR="00786F64" w:rsidRPr="00F80B1F">
        <w:t>CNS (n=</w:t>
      </w:r>
      <w:r w:rsidR="00943EB3">
        <w:t>1</w:t>
      </w:r>
      <w:r w:rsidR="00786F64" w:rsidRPr="00F80B1F">
        <w:t xml:space="preserve">), </w:t>
      </w:r>
      <w:r w:rsidR="00943EB3">
        <w:t>hepatic</w:t>
      </w:r>
      <w:r w:rsidR="00786F64" w:rsidRPr="00F80B1F">
        <w:t xml:space="preserve"> (n=1), </w:t>
      </w:r>
      <w:r w:rsidR="00943EB3">
        <w:t>other malignant epithelial (sweat gland adenocarcinoma)</w:t>
      </w:r>
      <w:r w:rsidR="001111E3">
        <w:t xml:space="preserve"> (n=1),</w:t>
      </w:r>
      <w:r w:rsidR="00943EB3">
        <w:t xml:space="preserve"> renal</w:t>
      </w:r>
      <w:r w:rsidR="00786F64" w:rsidRPr="00F80B1F">
        <w:t xml:space="preserve"> (n=1), and </w:t>
      </w:r>
      <w:r w:rsidR="00943EB3">
        <w:t>soft tissue sarcoma</w:t>
      </w:r>
      <w:r w:rsidR="00786F64" w:rsidRPr="00F80B1F">
        <w:t xml:space="preserve"> </w:t>
      </w:r>
      <w:r w:rsidR="00943EB3">
        <w:t xml:space="preserve">(rhabdomyosarcoma) </w:t>
      </w:r>
      <w:r w:rsidR="00786F64" w:rsidRPr="00F80B1F">
        <w:t>(n=1)</w:t>
      </w:r>
      <w:r w:rsidR="00716072">
        <w:t xml:space="preserve">. </w:t>
      </w:r>
      <w:r w:rsidR="006E4C12">
        <w:t>S</w:t>
      </w:r>
      <w:r w:rsidR="001111E3">
        <w:t>weat gland adenocarcinom</w:t>
      </w:r>
      <w:r w:rsidR="00786F64" w:rsidRPr="00F80B1F">
        <w:t>a</w:t>
      </w:r>
      <w:r w:rsidR="006E4C12">
        <w:t xml:space="preserve"> is the rarest of these tumors, but </w:t>
      </w:r>
      <w:r w:rsidR="003B6E9F">
        <w:t xml:space="preserve">the </w:t>
      </w:r>
      <w:r w:rsidR="00E42962">
        <w:t xml:space="preserve">intracranial and intraspinal </w:t>
      </w:r>
      <w:r w:rsidR="003B6E9F">
        <w:t xml:space="preserve">germ cell, </w:t>
      </w:r>
      <w:r w:rsidR="006E4C12">
        <w:t>EFOT</w:t>
      </w:r>
      <w:r w:rsidR="003B6E9F">
        <w:t>, and hepatic</w:t>
      </w:r>
      <w:r w:rsidR="006E4C12">
        <w:t xml:space="preserve"> </w:t>
      </w:r>
      <w:r w:rsidR="003B6E9F">
        <w:t>cases are all considered uncommon.</w:t>
      </w:r>
      <w:r w:rsidR="00786F64" w:rsidRPr="00F80B1F">
        <w:t xml:space="preserve"> </w:t>
      </w:r>
      <w:r w:rsidR="003B6E9F">
        <w:t xml:space="preserve">The remaining types of tumors observed are among the most common childhood cancer types </w:t>
      </w:r>
      <w:r w:rsidR="00786F64" w:rsidRPr="00F80B1F">
        <w:t>(</w:t>
      </w:r>
      <w:r w:rsidR="00492404">
        <w:t>Roman 2018</w:t>
      </w:r>
      <w:r w:rsidR="00786F64" w:rsidRPr="00F80B1F">
        <w:t>)</w:t>
      </w:r>
      <w:r w:rsidR="00716072">
        <w:t>.</w:t>
      </w:r>
      <w:r w:rsidR="003B6E9F" w:rsidRPr="003B6E9F">
        <w:t xml:space="preserve"> </w:t>
      </w:r>
      <w:r w:rsidR="001B4DAF">
        <w:t xml:space="preserve">With leukemia and lymphoma diagnoses making up 60% of the 18 cases in this study, the results of the </w:t>
      </w:r>
      <w:r w:rsidR="007F74B7">
        <w:t>All Cancers</w:t>
      </w:r>
      <w:r w:rsidR="001B4DAF">
        <w:t xml:space="preserve"> analysis appear to be largely driven by the strong association</w:t>
      </w:r>
      <w:r w:rsidR="000C3E61">
        <w:t>s</w:t>
      </w:r>
      <w:r w:rsidR="001B4DAF">
        <w:t xml:space="preserve"> observed with leukemia/lymphoma. However</w:t>
      </w:r>
      <w:r w:rsidR="00795F44">
        <w:t xml:space="preserve">, </w:t>
      </w:r>
      <w:r w:rsidR="00786F64" w:rsidRPr="00F80B1F">
        <w:t xml:space="preserve">the </w:t>
      </w:r>
      <w:r w:rsidR="001B4DAF">
        <w:t>presence</w:t>
      </w:r>
      <w:r w:rsidR="00786F64" w:rsidRPr="00F80B1F">
        <w:t xml:space="preserve"> of </w:t>
      </w:r>
      <w:r w:rsidR="001B4DAF">
        <w:t xml:space="preserve">only one or two cases of any </w:t>
      </w:r>
      <w:r w:rsidR="00795F44">
        <w:t xml:space="preserve">specific </w:t>
      </w:r>
      <w:r w:rsidR="000C3E61">
        <w:t xml:space="preserve">cancer </w:t>
      </w:r>
      <w:r w:rsidR="00786F64" w:rsidRPr="00F80B1F">
        <w:t>type</w:t>
      </w:r>
      <w:r w:rsidR="00795F44">
        <w:t xml:space="preserve"> preclude</w:t>
      </w:r>
      <w:r w:rsidR="001B4DAF">
        <w:t>s</w:t>
      </w:r>
      <w:r w:rsidR="00795F44">
        <w:t xml:space="preserve"> a </w:t>
      </w:r>
      <w:r w:rsidR="001B4DAF">
        <w:t xml:space="preserve">conclusive </w:t>
      </w:r>
      <w:r w:rsidR="00795F44">
        <w:t>evaluation</w:t>
      </w:r>
      <w:r w:rsidR="00786F64" w:rsidRPr="00F80B1F">
        <w:t xml:space="preserve"> </w:t>
      </w:r>
      <w:r w:rsidR="00795F44">
        <w:t xml:space="preserve">of </w:t>
      </w:r>
      <w:r w:rsidR="000C3E61">
        <w:t xml:space="preserve">the non-leukemia or </w:t>
      </w:r>
      <w:r w:rsidR="00C9271A">
        <w:t>non-</w:t>
      </w:r>
      <w:r w:rsidR="000C3E61">
        <w:t>lymphoma</w:t>
      </w:r>
      <w:r w:rsidR="00786F64" w:rsidRPr="00F80B1F">
        <w:t xml:space="preserve"> </w:t>
      </w:r>
      <w:r w:rsidR="003B6E9F">
        <w:t xml:space="preserve">cancer </w:t>
      </w:r>
      <w:r w:rsidR="00786F64" w:rsidRPr="00F80B1F">
        <w:t>type</w:t>
      </w:r>
      <w:r w:rsidR="00CE48D1">
        <w:t>s</w:t>
      </w:r>
      <w:r w:rsidR="00795F44">
        <w:t xml:space="preserve"> </w:t>
      </w:r>
      <w:r w:rsidR="003B6E9F">
        <w:t>and the</w:t>
      </w:r>
      <w:r w:rsidR="00786F64" w:rsidRPr="00F80B1F">
        <w:t xml:space="preserve"> risk factors investigated</w:t>
      </w:r>
      <w:r w:rsidR="003B6E9F">
        <w:t>, including</w:t>
      </w:r>
      <w:r w:rsidR="00786F64" w:rsidRPr="00F80B1F">
        <w:t xml:space="preserve"> exposure to drinking water contaminants</w:t>
      </w:r>
      <w:r w:rsidR="00716072">
        <w:t xml:space="preserve">. </w:t>
      </w:r>
      <w:r w:rsidR="00786F64" w:rsidRPr="00F80B1F">
        <w:t>Leukemia</w:t>
      </w:r>
      <w:r w:rsidR="00795F44">
        <w:t>s</w:t>
      </w:r>
      <w:r w:rsidR="00786F64" w:rsidRPr="00F80B1F">
        <w:t xml:space="preserve"> and lymphoma</w:t>
      </w:r>
      <w:r w:rsidR="00795F44">
        <w:t>s</w:t>
      </w:r>
      <w:r w:rsidR="00786F64" w:rsidRPr="00F80B1F">
        <w:t xml:space="preserve"> are different types of cancer (leukemia is a cancer of the blood and lymphoma </w:t>
      </w:r>
      <w:r w:rsidR="00795F44">
        <w:t xml:space="preserve">is </w:t>
      </w:r>
      <w:r w:rsidR="00786F64" w:rsidRPr="00F80B1F">
        <w:t xml:space="preserve">a cancer of the lymphatic system), </w:t>
      </w:r>
      <w:r w:rsidR="00795F44">
        <w:t>but</w:t>
      </w:r>
      <w:r w:rsidR="00786F64" w:rsidRPr="00F80B1F">
        <w:t xml:space="preserve"> they both result in the malignant transformation of cells destined to be lymphocytes</w:t>
      </w:r>
      <w:r w:rsidR="00716072">
        <w:t xml:space="preserve">. </w:t>
      </w:r>
      <w:r w:rsidR="00786F64" w:rsidRPr="00F80B1F">
        <w:t xml:space="preserve">The principal reason for combining them </w:t>
      </w:r>
      <w:r w:rsidR="00795F44">
        <w:t xml:space="preserve">in this analysis </w:t>
      </w:r>
      <w:r w:rsidR="00786F64" w:rsidRPr="00F80B1F">
        <w:t>was due to similar environmental risk factors, such as exposure to pesticides</w:t>
      </w:r>
      <w:r w:rsidR="00795F44">
        <w:t>,</w:t>
      </w:r>
      <w:r w:rsidR="00786F64" w:rsidRPr="00F80B1F">
        <w:t xml:space="preserve"> in the published literature </w:t>
      </w:r>
      <w:r w:rsidR="00786F64" w:rsidRPr="00025CB7">
        <w:t>(</w:t>
      </w:r>
      <w:r w:rsidR="004C75A9" w:rsidRPr="004C75A9">
        <w:t xml:space="preserve">Chen et al. 2015; </w:t>
      </w:r>
      <w:r w:rsidR="007E153E" w:rsidRPr="007E34A9">
        <w:rPr>
          <w:rFonts w:ascii="Times New Roman" w:hAnsi="Times New Roman"/>
        </w:rPr>
        <w:t>Infante</w:t>
      </w:r>
      <w:r w:rsidR="007E153E">
        <w:rPr>
          <w:rFonts w:ascii="Times New Roman" w:hAnsi="Times New Roman"/>
        </w:rPr>
        <w:t>-</w:t>
      </w:r>
      <w:proofErr w:type="spellStart"/>
      <w:r w:rsidR="007E153E">
        <w:rPr>
          <w:rFonts w:ascii="Times New Roman" w:hAnsi="Times New Roman"/>
        </w:rPr>
        <w:t>Rivard</w:t>
      </w:r>
      <w:proofErr w:type="spellEnd"/>
      <w:r w:rsidR="007E153E">
        <w:rPr>
          <w:rFonts w:ascii="Times New Roman" w:hAnsi="Times New Roman"/>
        </w:rPr>
        <w:t xml:space="preserve"> and </w:t>
      </w:r>
      <w:proofErr w:type="spellStart"/>
      <w:r w:rsidR="007E153E">
        <w:rPr>
          <w:rFonts w:ascii="Times New Roman" w:hAnsi="Times New Roman"/>
        </w:rPr>
        <w:t>Weichenthal</w:t>
      </w:r>
      <w:proofErr w:type="spellEnd"/>
      <w:r w:rsidR="007E153E" w:rsidRPr="007E34A9">
        <w:rPr>
          <w:rFonts w:ascii="Times New Roman" w:hAnsi="Times New Roman"/>
        </w:rPr>
        <w:t xml:space="preserve"> 2007</w:t>
      </w:r>
      <w:r w:rsidR="007E153E">
        <w:rPr>
          <w:rFonts w:ascii="Times New Roman" w:hAnsi="Times New Roman"/>
        </w:rPr>
        <w:t xml:space="preserve">; </w:t>
      </w:r>
      <w:proofErr w:type="spellStart"/>
      <w:r w:rsidR="004C75A9" w:rsidRPr="004C75A9">
        <w:t>Zahm</w:t>
      </w:r>
      <w:proofErr w:type="spellEnd"/>
      <w:r w:rsidR="004C75A9" w:rsidRPr="004C75A9">
        <w:t xml:space="preserve"> and Ward 1998</w:t>
      </w:r>
      <w:r w:rsidR="00786F64" w:rsidRPr="00025CB7">
        <w:t>).</w:t>
      </w:r>
    </w:p>
    <w:p w14:paraId="68D49676" w14:textId="77777777" w:rsidR="00786F64" w:rsidRDefault="00795F44" w:rsidP="00423581">
      <w:r>
        <w:t>Sometimes the types and sub</w:t>
      </w:r>
      <w:r w:rsidR="00786F64" w:rsidRPr="00F80B1F">
        <w:t xml:space="preserve">types of cancer or </w:t>
      </w:r>
      <w:r>
        <w:t xml:space="preserve">the </w:t>
      </w:r>
      <w:r w:rsidR="00786F64" w:rsidRPr="00F80B1F">
        <w:t xml:space="preserve">ages of diagnosis can appear inconsistent with the scientific literature, thereby suggesting </w:t>
      </w:r>
      <w:r>
        <w:t>the possibility of</w:t>
      </w:r>
      <w:r w:rsidRPr="00F80B1F">
        <w:t xml:space="preserve"> </w:t>
      </w:r>
      <w:r w:rsidR="00786F64" w:rsidRPr="00F80B1F">
        <w:t>some unusual causal factor(s)</w:t>
      </w:r>
      <w:r w:rsidR="00643248">
        <w:t xml:space="preserve"> at play</w:t>
      </w:r>
      <w:r w:rsidR="00716072">
        <w:t xml:space="preserve">. </w:t>
      </w:r>
      <w:r w:rsidR="00786F64" w:rsidRPr="00F80B1F">
        <w:t xml:space="preserve">In the Wilmington population, </w:t>
      </w:r>
      <w:r w:rsidR="00643248">
        <w:t xml:space="preserve">as noted, </w:t>
      </w:r>
      <w:r w:rsidR="00786F64" w:rsidRPr="00F80B1F">
        <w:t xml:space="preserve">there were </w:t>
      </w:r>
      <w:r w:rsidR="00643248">
        <w:t xml:space="preserve">several </w:t>
      </w:r>
      <w:r w:rsidR="00786F64" w:rsidRPr="00F80B1F">
        <w:t>examples of somewhat different than expected type</w:t>
      </w:r>
      <w:r w:rsidR="00643248">
        <w:t>s</w:t>
      </w:r>
      <w:r w:rsidR="00786F64" w:rsidRPr="00F80B1F">
        <w:t xml:space="preserve"> of childhood cancer</w:t>
      </w:r>
      <w:r w:rsidR="007B2A97">
        <w:t xml:space="preserve"> (sweat gland adenocarcinom</w:t>
      </w:r>
      <w:r w:rsidR="007B2A97" w:rsidRPr="00F80B1F">
        <w:t>a</w:t>
      </w:r>
      <w:r w:rsidR="007B2A97">
        <w:t>, intracranial/intraspinal germ cell tumors, EFOT, and hepatic cancer)</w:t>
      </w:r>
      <w:r w:rsidR="00716072">
        <w:t xml:space="preserve">. </w:t>
      </w:r>
      <w:r w:rsidR="00643248">
        <w:t xml:space="preserve">With the small numbers of cases of each, </w:t>
      </w:r>
      <w:r w:rsidR="00F8537F">
        <w:t xml:space="preserve">however, </w:t>
      </w:r>
      <w:r w:rsidR="00643248">
        <w:t>it is impossible to evaluate whether any individual diagnosis was due to chance or some other factor(s)</w:t>
      </w:r>
      <w:r w:rsidR="00716072">
        <w:t xml:space="preserve">. </w:t>
      </w:r>
      <w:r w:rsidR="00643248">
        <w:t xml:space="preserve">Uncommon cancer types do </w:t>
      </w:r>
      <w:r w:rsidR="00F8537F">
        <w:t>arise</w:t>
      </w:r>
      <w:r w:rsidR="00643248">
        <w:t xml:space="preserve"> </w:t>
      </w:r>
      <w:r w:rsidR="00F8537F">
        <w:t xml:space="preserve">occasionally </w:t>
      </w:r>
      <w:r w:rsidR="00643248">
        <w:t xml:space="preserve">and </w:t>
      </w:r>
      <w:r w:rsidR="00F8537F">
        <w:t>the occurrence of individual cases should be interpreted with caution</w:t>
      </w:r>
      <w:r w:rsidR="00716072">
        <w:t xml:space="preserve">. </w:t>
      </w:r>
      <w:r w:rsidR="00F8537F">
        <w:t>T</w:t>
      </w:r>
      <w:r w:rsidR="00643248">
        <w:t xml:space="preserve">here are no established </w:t>
      </w:r>
      <w:r w:rsidR="00786F64" w:rsidRPr="00F80B1F">
        <w:t xml:space="preserve">environmental </w:t>
      </w:r>
      <w:r w:rsidR="00F8537F">
        <w:t xml:space="preserve">risk factors for most of these cancers </w:t>
      </w:r>
      <w:r w:rsidR="00786F64" w:rsidRPr="00F80B1F">
        <w:t>in the literature</w:t>
      </w:r>
      <w:r w:rsidR="00E42962">
        <w:t xml:space="preserve">, though </w:t>
      </w:r>
      <w:r w:rsidR="00CF0262">
        <w:t xml:space="preserve">research </w:t>
      </w:r>
      <w:r w:rsidR="00227AA1">
        <w:t xml:space="preserve">is </w:t>
      </w:r>
      <w:r w:rsidR="00B86692">
        <w:t xml:space="preserve">frequently </w:t>
      </w:r>
      <w:r w:rsidR="00227AA1">
        <w:t xml:space="preserve">lacking </w:t>
      </w:r>
      <w:r w:rsidR="00B86692">
        <w:t>or inconsistent</w:t>
      </w:r>
      <w:r w:rsidR="00716072">
        <w:t xml:space="preserve">. </w:t>
      </w:r>
      <w:r w:rsidR="00E33A84">
        <w:t>There is some evidence that</w:t>
      </w:r>
      <w:r w:rsidR="00F8537F">
        <w:t xml:space="preserve"> hepatoblastoma</w:t>
      </w:r>
      <w:r w:rsidR="000F2BE4">
        <w:t xml:space="preserve"> </w:t>
      </w:r>
      <w:r w:rsidR="00E33A84">
        <w:t>m</w:t>
      </w:r>
      <w:r w:rsidR="000F2BE4">
        <w:t>ay be associated with parental</w:t>
      </w:r>
      <w:r w:rsidR="00643248">
        <w:rPr>
          <w:lang w:val="en"/>
        </w:rPr>
        <w:t xml:space="preserve"> </w:t>
      </w:r>
      <w:r w:rsidR="000F2BE4">
        <w:rPr>
          <w:lang w:val="en"/>
        </w:rPr>
        <w:t xml:space="preserve">exposure to </w:t>
      </w:r>
      <w:r w:rsidR="00643248">
        <w:rPr>
          <w:lang w:val="en"/>
        </w:rPr>
        <w:t>tobacco smok</w:t>
      </w:r>
      <w:r w:rsidR="000F2BE4">
        <w:rPr>
          <w:lang w:val="en"/>
        </w:rPr>
        <w:t>e,</w:t>
      </w:r>
      <w:r w:rsidR="00643248">
        <w:rPr>
          <w:lang w:val="en"/>
        </w:rPr>
        <w:t xml:space="preserve"> oil products, paints, or </w:t>
      </w:r>
      <w:r w:rsidR="00643248" w:rsidRPr="00F80B1F">
        <w:rPr>
          <w:lang w:val="en"/>
        </w:rPr>
        <w:t>metals</w:t>
      </w:r>
      <w:r w:rsidR="000F2BE4">
        <w:rPr>
          <w:lang w:val="en"/>
        </w:rPr>
        <w:t xml:space="preserve"> </w:t>
      </w:r>
      <w:r w:rsidR="00643248" w:rsidRPr="00F80B1F">
        <w:rPr>
          <w:lang w:val="en"/>
        </w:rPr>
        <w:t>(</w:t>
      </w:r>
      <w:r w:rsidR="000F2BE4">
        <w:rPr>
          <w:lang w:val="en"/>
        </w:rPr>
        <w:t xml:space="preserve">IARC 2012; </w:t>
      </w:r>
      <w:r w:rsidR="00643248">
        <w:rPr>
          <w:lang w:val="en"/>
        </w:rPr>
        <w:t>Buckley et al</w:t>
      </w:r>
      <w:r w:rsidR="00716072">
        <w:rPr>
          <w:lang w:val="en"/>
        </w:rPr>
        <w:t xml:space="preserve">. </w:t>
      </w:r>
      <w:r w:rsidR="00643248">
        <w:rPr>
          <w:lang w:val="en"/>
        </w:rPr>
        <w:t xml:space="preserve">1989; </w:t>
      </w:r>
      <w:proofErr w:type="spellStart"/>
      <w:r w:rsidR="00643248">
        <w:rPr>
          <w:lang w:val="en"/>
        </w:rPr>
        <w:t>Janitz</w:t>
      </w:r>
      <w:proofErr w:type="spellEnd"/>
      <w:r w:rsidR="00643248">
        <w:rPr>
          <w:lang w:val="en"/>
        </w:rPr>
        <w:t xml:space="preserve"> et al</w:t>
      </w:r>
      <w:r w:rsidR="00716072">
        <w:rPr>
          <w:lang w:val="en"/>
        </w:rPr>
        <w:t xml:space="preserve">. </w:t>
      </w:r>
      <w:r w:rsidR="00643248">
        <w:rPr>
          <w:lang w:val="en"/>
        </w:rPr>
        <w:t>2017</w:t>
      </w:r>
      <w:r w:rsidR="00643248" w:rsidRPr="00F80B1F">
        <w:rPr>
          <w:lang w:val="en"/>
        </w:rPr>
        <w:t>)</w:t>
      </w:r>
      <w:r w:rsidR="000F2BE4">
        <w:rPr>
          <w:lang w:val="en"/>
        </w:rPr>
        <w:t xml:space="preserve">, </w:t>
      </w:r>
      <w:r w:rsidR="00E33A84">
        <w:rPr>
          <w:lang w:val="en"/>
        </w:rPr>
        <w:t>but more research is needed</w:t>
      </w:r>
      <w:r w:rsidR="00716072">
        <w:rPr>
          <w:lang w:val="en"/>
        </w:rPr>
        <w:t xml:space="preserve">. </w:t>
      </w:r>
      <w:r w:rsidR="00E33A84">
        <w:t>Sweat gland adenocarcinoma case reports suggest t</w:t>
      </w:r>
      <w:r w:rsidR="00F8537F">
        <w:t>hat previous radiotherapy</w:t>
      </w:r>
      <w:r w:rsidR="00E33A84">
        <w:t xml:space="preserve"> and</w:t>
      </w:r>
      <w:r w:rsidR="00F8537F">
        <w:t xml:space="preserve"> exposure to ultra violet radiation (e.g., sun exposure) may increase risk (Gordon et al</w:t>
      </w:r>
      <w:r w:rsidR="00716072">
        <w:t xml:space="preserve">. </w:t>
      </w:r>
      <w:r w:rsidR="00F8537F">
        <w:t>2017)</w:t>
      </w:r>
      <w:r w:rsidR="00E33A84">
        <w:t>, but no research has been done to confirm the associations.</w:t>
      </w:r>
    </w:p>
    <w:p w14:paraId="3E9D2F05" w14:textId="77777777" w:rsidR="00786F64" w:rsidRPr="00F80B1F" w:rsidRDefault="007B2A97" w:rsidP="00423581">
      <w:r>
        <w:lastRenderedPageBreak/>
        <w:t>Other than th</w:t>
      </w:r>
      <w:r w:rsidR="00B86692">
        <w:t>ose</w:t>
      </w:r>
      <w:r>
        <w:t xml:space="preserve"> noted, </w:t>
      </w:r>
      <w:r w:rsidR="00786F64" w:rsidRPr="00F80B1F">
        <w:t xml:space="preserve">the </w:t>
      </w:r>
      <w:r w:rsidR="00B86692">
        <w:t xml:space="preserve">types and </w:t>
      </w:r>
      <w:r w:rsidR="00786F64" w:rsidRPr="00F80B1F">
        <w:t xml:space="preserve">subtypes </w:t>
      </w:r>
      <w:r w:rsidR="00B86692">
        <w:t xml:space="preserve">of cancer diagnosed </w:t>
      </w:r>
      <w:r>
        <w:t xml:space="preserve">in Wilmington children during this period </w:t>
      </w:r>
      <w:r w:rsidR="00B86692">
        <w:t xml:space="preserve">were among those </w:t>
      </w:r>
      <w:r w:rsidR="007D387D">
        <w:t xml:space="preserve">that </w:t>
      </w:r>
      <w:r w:rsidR="00B86692">
        <w:t>occur mo</w:t>
      </w:r>
      <w:r w:rsidR="007D387D">
        <w:t>st</w:t>
      </w:r>
      <w:r w:rsidR="00B86692">
        <w:t xml:space="preserve"> commonly</w:t>
      </w:r>
      <w:r w:rsidR="007D387D">
        <w:t>, and t</w:t>
      </w:r>
      <w:r w:rsidR="00B86692" w:rsidRPr="00F80B1F">
        <w:t xml:space="preserve">he ages at diagnosis </w:t>
      </w:r>
      <w:r w:rsidR="00B86692">
        <w:t>for all cancer</w:t>
      </w:r>
      <w:r w:rsidR="007D387D">
        <w:t>s seen, including the less common types,</w:t>
      </w:r>
      <w:r w:rsidR="00B86692">
        <w:t xml:space="preserve"> </w:t>
      </w:r>
      <w:r w:rsidR="00786F64" w:rsidRPr="00F80B1F">
        <w:t>appear consistent with what is reported in the scientific literature</w:t>
      </w:r>
      <w:r w:rsidR="00716072">
        <w:t xml:space="preserve">. </w:t>
      </w:r>
      <w:r w:rsidR="00786F64" w:rsidRPr="00F80B1F">
        <w:t xml:space="preserve">For example, among children with leukemia, generally </w:t>
      </w:r>
      <w:r w:rsidR="00532BA7" w:rsidRPr="00F80B1F">
        <w:t>7</w:t>
      </w:r>
      <w:r w:rsidR="00532BA7">
        <w:t>6</w:t>
      </w:r>
      <w:r w:rsidR="00786F64" w:rsidRPr="00F80B1F">
        <w:t>% are acute lymphocytic leukemias (ALL), which is the same proportion found in the Wilmington study population</w:t>
      </w:r>
      <w:r w:rsidR="00532BA7">
        <w:t xml:space="preserve"> (MCR 2014)</w:t>
      </w:r>
      <w:r w:rsidR="00716072">
        <w:t xml:space="preserve">. </w:t>
      </w:r>
      <w:r w:rsidR="00786F64" w:rsidRPr="00F80B1F">
        <w:t>Peak occurrence of ALL occurs between the ages of two and four, with the majority of cases in children less than</w:t>
      </w:r>
      <w:r w:rsidR="00977D18">
        <w:t xml:space="preserve"> </w:t>
      </w:r>
      <w:r w:rsidR="00786F64" w:rsidRPr="00F80B1F">
        <w:t>10 years old</w:t>
      </w:r>
      <w:r w:rsidR="00716072">
        <w:t xml:space="preserve">. </w:t>
      </w:r>
      <w:r w:rsidR="00786F64" w:rsidRPr="00F80B1F">
        <w:t>Four of the six Wilmington children were diagnosed within the two-four year age group (the others at ages seven and eight)</w:t>
      </w:r>
      <w:r w:rsidR="00716072">
        <w:t xml:space="preserve">. </w:t>
      </w:r>
      <w:r w:rsidR="00786F64" w:rsidRPr="00F80B1F">
        <w:t xml:space="preserve">Most </w:t>
      </w:r>
      <w:r w:rsidR="00977D18">
        <w:t>l</w:t>
      </w:r>
      <w:r w:rsidR="00786F64" w:rsidRPr="00F80B1F">
        <w:t>ymphomas are diagnosed in teenagers, as were the Wilmington children</w:t>
      </w:r>
      <w:r w:rsidR="00967CF0">
        <w:t xml:space="preserve"> (ACS 2014)</w:t>
      </w:r>
      <w:r w:rsidR="00716072">
        <w:t xml:space="preserve">. </w:t>
      </w:r>
      <w:r w:rsidR="00786F64" w:rsidRPr="00F80B1F">
        <w:t xml:space="preserve">The most common type of kidney cancer is </w:t>
      </w:r>
      <w:proofErr w:type="spellStart"/>
      <w:r w:rsidR="00786F64" w:rsidRPr="00F80B1F">
        <w:t>Wilm’s</w:t>
      </w:r>
      <w:proofErr w:type="spellEnd"/>
      <w:r w:rsidR="00786F64" w:rsidRPr="00F80B1F">
        <w:t xml:space="preserve"> tumor occurring usually in children under five years of age</w:t>
      </w:r>
      <w:r w:rsidR="00967CF0">
        <w:t xml:space="preserve"> (</w:t>
      </w:r>
      <w:proofErr w:type="spellStart"/>
      <w:r w:rsidR="00967CF0">
        <w:t>Ries</w:t>
      </w:r>
      <w:proofErr w:type="spellEnd"/>
      <w:r w:rsidR="00967CF0">
        <w:t xml:space="preserve"> et al. 1999)</w:t>
      </w:r>
      <w:r w:rsidR="00716072">
        <w:t xml:space="preserve">. </w:t>
      </w:r>
      <w:r w:rsidR="00786F64" w:rsidRPr="00F80B1F">
        <w:t>This is consistent with the age at diagnosis of the child diagnosed with Wilms tumor</w:t>
      </w:r>
      <w:r w:rsidR="00716072">
        <w:t xml:space="preserve">. </w:t>
      </w:r>
      <w:r w:rsidR="00786F64" w:rsidRPr="00F80B1F">
        <w:t xml:space="preserve">Similarly, the type of liver cancer (hepatoblastoma) and age at diagnosis (in children less than five) </w:t>
      </w:r>
      <w:r>
        <w:t>of the child in Wilmington is typical for this type of cancer</w:t>
      </w:r>
      <w:r w:rsidR="005F29F1">
        <w:t xml:space="preserve"> </w:t>
      </w:r>
      <w:r w:rsidR="00786F64" w:rsidRPr="00025CB7">
        <w:t>(</w:t>
      </w:r>
      <w:r w:rsidR="00E76F58">
        <w:t>MCR 2014; Roman et al. 2018</w:t>
      </w:r>
      <w:r w:rsidR="00786F64" w:rsidRPr="00025CB7">
        <w:t>).</w:t>
      </w:r>
    </w:p>
    <w:p w14:paraId="2F2199DA" w14:textId="633FB9BF" w:rsidR="00786F64" w:rsidRPr="00F80B1F" w:rsidRDefault="00786F64" w:rsidP="0063071E">
      <w:pPr>
        <w:pStyle w:val="StyleHeading2Italic"/>
      </w:pPr>
      <w:bookmarkStart w:id="217" w:name="_Toc67488290"/>
      <w:r w:rsidRPr="001D5169">
        <w:t>N</w:t>
      </w:r>
      <w:r w:rsidRPr="00F80B1F">
        <w:t>-NITROSODIMETHYLAMINE (NDMA) AND CHILDHOOD CANCER</w:t>
      </w:r>
      <w:bookmarkEnd w:id="217"/>
    </w:p>
    <w:p w14:paraId="3717FB2A" w14:textId="24E5BF39" w:rsidR="00786F64" w:rsidRPr="00F80B1F" w:rsidRDefault="00786F64" w:rsidP="00423581">
      <w:r w:rsidRPr="00F80B1F">
        <w:t>There is ample evidence in published literature on the plausibility of NDMA causing cancer</w:t>
      </w:r>
      <w:r w:rsidR="00716072">
        <w:t xml:space="preserve">. </w:t>
      </w:r>
      <w:r w:rsidRPr="00F80B1F">
        <w:t>Although considered a probable human carcinogen by both the US EPA and IARC (</w:t>
      </w:r>
      <w:r w:rsidR="00E76F58" w:rsidRPr="00E76F58">
        <w:t>IARC 1978</w:t>
      </w:r>
      <w:r w:rsidR="00B414AB">
        <w:t>, 1987</w:t>
      </w:r>
      <w:r w:rsidR="00E76F58" w:rsidRPr="00E76F58">
        <w:t>; US EPA 201</w:t>
      </w:r>
      <w:r w:rsidR="003C00B9">
        <w:t>7</w:t>
      </w:r>
      <w:r w:rsidRPr="00F80B1F">
        <w:t>), most toxicity information for NDMA has come from laboratory testing and animal studies</w:t>
      </w:r>
      <w:r w:rsidR="00716072">
        <w:t xml:space="preserve">. </w:t>
      </w:r>
      <w:r w:rsidR="0026268B">
        <w:t xml:space="preserve">Available </w:t>
      </w:r>
      <w:r w:rsidRPr="00F80B1F">
        <w:t>human studies have been more limited and focus</w:t>
      </w:r>
      <w:r w:rsidR="0026268B">
        <w:t xml:space="preserve"> mostly</w:t>
      </w:r>
      <w:r w:rsidRPr="00F80B1F">
        <w:t xml:space="preserve"> on adults</w:t>
      </w:r>
      <w:r w:rsidR="00716072">
        <w:t xml:space="preserve">. </w:t>
      </w:r>
      <w:r w:rsidRPr="00F80B1F">
        <w:t>No studies have been found that examine cancer risk from NDMA through drinking water.</w:t>
      </w:r>
    </w:p>
    <w:p w14:paraId="2E0B523A" w14:textId="77777777" w:rsidR="00786F64" w:rsidRPr="00F80B1F" w:rsidRDefault="00786F64" w:rsidP="00423581">
      <w:r w:rsidRPr="00F80B1F">
        <w:t>NDMA is known to be genotoxic and mutagenic (</w:t>
      </w:r>
      <w:r w:rsidR="00977D18">
        <w:t>WHO 2008</w:t>
      </w:r>
      <w:r w:rsidRPr="00F80B1F">
        <w:t>), meaning that it can create changes to DNA that can lead to cancer in different ways</w:t>
      </w:r>
      <w:r w:rsidR="00716072">
        <w:t xml:space="preserve">. </w:t>
      </w:r>
      <w:r w:rsidRPr="00F80B1F">
        <w:t xml:space="preserve">In rats, mice, and hamsters, NDMA </w:t>
      </w:r>
      <w:r w:rsidR="0026268B">
        <w:t>has been shown to be</w:t>
      </w:r>
      <w:r w:rsidRPr="00F80B1F">
        <w:t xml:space="preserve"> a transplacental carcinogen (</w:t>
      </w:r>
      <w:r w:rsidR="000B178D">
        <w:t>CalEPA</w:t>
      </w:r>
      <w:r w:rsidR="00977D18">
        <w:t xml:space="preserve"> 2006)</w:t>
      </w:r>
      <w:r w:rsidRPr="00F80B1F">
        <w:t>, meaning that the placenta acts as a transmission route by which pregnant animals transmit the toxin to their offspring who then develop cancer</w:t>
      </w:r>
      <w:r w:rsidR="00716072">
        <w:t xml:space="preserve">. </w:t>
      </w:r>
      <w:r w:rsidRPr="00F80B1F">
        <w:t>In a laboratory study of human placentas and NDMA, it was demonstrated that transplacental transmission of NDMA can occur in humans (</w:t>
      </w:r>
      <w:proofErr w:type="spellStart"/>
      <w:r w:rsidRPr="00F80B1F">
        <w:t>Annola</w:t>
      </w:r>
      <w:proofErr w:type="spellEnd"/>
      <w:r w:rsidRPr="00F80B1F">
        <w:t xml:space="preserve"> et al</w:t>
      </w:r>
      <w:r w:rsidR="00716072">
        <w:t xml:space="preserve">. </w:t>
      </w:r>
      <w:r w:rsidR="004210B6">
        <w:t>2009</w:t>
      </w:r>
      <w:r w:rsidRPr="00F80B1F">
        <w:t>)</w:t>
      </w:r>
      <w:r w:rsidR="00716072">
        <w:t xml:space="preserve">. </w:t>
      </w:r>
    </w:p>
    <w:p w14:paraId="6198E4C2" w14:textId="2D0270CE" w:rsidR="00B02512" w:rsidRDefault="00786F64" w:rsidP="00423581">
      <w:r w:rsidRPr="00F80B1F">
        <w:t>NDMA is part of a group of compounds known as nitrosamines, which are collectively thought to be carcinogenic</w:t>
      </w:r>
      <w:r w:rsidR="00716072">
        <w:t xml:space="preserve">. </w:t>
      </w:r>
      <w:r w:rsidR="00A0007B">
        <w:t>S</w:t>
      </w:r>
      <w:r w:rsidRPr="00F80B1F">
        <w:t>tudies of other nitrosamines can help provide clues to the toxicity of NDMA</w:t>
      </w:r>
      <w:r w:rsidR="00716072">
        <w:t xml:space="preserve">. </w:t>
      </w:r>
      <w:r w:rsidR="00A0007B">
        <w:t>M</w:t>
      </w:r>
      <w:r w:rsidRPr="00F80B1F">
        <w:t xml:space="preserve">ost existing research in humans has focused on exposure to NDMA from dietary sources such as cured meats or beer, </w:t>
      </w:r>
      <w:r w:rsidR="0088619B">
        <w:t xml:space="preserve">or </w:t>
      </w:r>
      <w:r w:rsidR="00A0007B">
        <w:t xml:space="preserve">on exposure to </w:t>
      </w:r>
      <w:r w:rsidRPr="00F80B1F">
        <w:t xml:space="preserve">nitrite, nitrate, and </w:t>
      </w:r>
      <w:r w:rsidR="003E6F50">
        <w:rPr>
          <w:i/>
        </w:rPr>
        <w:t>n</w:t>
      </w:r>
      <w:r w:rsidRPr="00F80B1F">
        <w:t>-nitroso compounds in general</w:t>
      </w:r>
      <w:r w:rsidR="00716072">
        <w:t xml:space="preserve">. </w:t>
      </w:r>
      <w:r w:rsidRPr="00F80B1F">
        <w:t>Case-control studies have suggested an association between ingestion of NDMA from food sources and the risk of gastric and lung cancers in adults (</w:t>
      </w:r>
      <w:r w:rsidR="00CE48D1" w:rsidRPr="00F80B1F">
        <w:t>De Stefani et al</w:t>
      </w:r>
      <w:r w:rsidR="00CE48D1">
        <w:t xml:space="preserve">. </w:t>
      </w:r>
      <w:r w:rsidR="00CE48D1" w:rsidRPr="00F80B1F">
        <w:t>1996</w:t>
      </w:r>
      <w:r w:rsidR="00CE48D1">
        <w:t xml:space="preserve">; </w:t>
      </w:r>
      <w:r w:rsidR="00CE48D1" w:rsidRPr="00F80B1F">
        <w:t xml:space="preserve">González et al. 1994; </w:t>
      </w:r>
      <w:r w:rsidR="00801981" w:rsidRPr="00F80B1F">
        <w:t>Goodman et al</w:t>
      </w:r>
      <w:r w:rsidR="00801981">
        <w:t xml:space="preserve">. </w:t>
      </w:r>
      <w:r w:rsidR="00801981" w:rsidRPr="00F80B1F">
        <w:t>1992</w:t>
      </w:r>
      <w:r w:rsidR="00801981">
        <w:t xml:space="preserve">; </w:t>
      </w:r>
      <w:r w:rsidRPr="00F80B1F">
        <w:t xml:space="preserve">La </w:t>
      </w:r>
      <w:proofErr w:type="spellStart"/>
      <w:r w:rsidRPr="00F80B1F">
        <w:t>Vecchia</w:t>
      </w:r>
      <w:proofErr w:type="spellEnd"/>
      <w:r w:rsidRPr="00F80B1F">
        <w:t xml:space="preserve"> </w:t>
      </w:r>
      <w:r w:rsidRPr="00F80B1F">
        <w:lastRenderedPageBreak/>
        <w:t xml:space="preserve">et al. 1995; </w:t>
      </w:r>
      <w:proofErr w:type="spellStart"/>
      <w:r w:rsidRPr="00F80B1F">
        <w:t>Pobel</w:t>
      </w:r>
      <w:proofErr w:type="spellEnd"/>
      <w:r w:rsidRPr="00F80B1F">
        <w:t xml:space="preserve"> et al. 1995; </w:t>
      </w:r>
      <w:proofErr w:type="spellStart"/>
      <w:r w:rsidR="00CE48D1" w:rsidRPr="00F80B1F">
        <w:t>Risch</w:t>
      </w:r>
      <w:proofErr w:type="spellEnd"/>
      <w:r w:rsidR="00CE48D1" w:rsidRPr="00F80B1F">
        <w:t xml:space="preserve"> et al. 1985; </w:t>
      </w:r>
      <w:r w:rsidRPr="00F80B1F">
        <w:t>Rogers et al. 1995)</w:t>
      </w:r>
      <w:r w:rsidR="00716072">
        <w:t xml:space="preserve">. </w:t>
      </w:r>
      <w:r w:rsidRPr="00F80B1F">
        <w:t xml:space="preserve">Case-control studies have also </w:t>
      </w:r>
      <w:r w:rsidR="003B5C49">
        <w:t>found an increase in</w:t>
      </w:r>
      <w:r w:rsidR="003B5C49" w:rsidRPr="00F80B1F">
        <w:t xml:space="preserve"> </w:t>
      </w:r>
      <w:r w:rsidRPr="00F80B1F">
        <w:t xml:space="preserve">the risk of childhood brain tumors </w:t>
      </w:r>
      <w:r w:rsidR="003B5C49">
        <w:t>with</w:t>
      </w:r>
      <w:r w:rsidR="003B5C49" w:rsidRPr="00F80B1F">
        <w:t xml:space="preserve"> </w:t>
      </w:r>
      <w:r w:rsidR="00801981">
        <w:t xml:space="preserve">maternal dietary </w:t>
      </w:r>
      <w:r w:rsidRPr="00F80B1F">
        <w:t xml:space="preserve">exposure to </w:t>
      </w:r>
      <w:r w:rsidR="001D5169">
        <w:rPr>
          <w:i/>
        </w:rPr>
        <w:t>n</w:t>
      </w:r>
      <w:r w:rsidRPr="00F80B1F">
        <w:t xml:space="preserve">-nitroso compounds, but results </w:t>
      </w:r>
      <w:r w:rsidR="00801981">
        <w:t>suggest that risk is modified by other nutrients and genetic factors</w:t>
      </w:r>
      <w:r w:rsidR="002C6F48" w:rsidRPr="00A0007B">
        <w:t xml:space="preserve"> (</w:t>
      </w:r>
      <w:proofErr w:type="spellStart"/>
      <w:r w:rsidR="00410EAE">
        <w:t>Huncharek</w:t>
      </w:r>
      <w:proofErr w:type="spellEnd"/>
      <w:r w:rsidR="00410EAE">
        <w:t xml:space="preserve"> and </w:t>
      </w:r>
      <w:proofErr w:type="spellStart"/>
      <w:r w:rsidR="00410EAE">
        <w:t>Kupelnick</w:t>
      </w:r>
      <w:proofErr w:type="spellEnd"/>
      <w:r w:rsidR="00410EAE">
        <w:t xml:space="preserve"> 2004; </w:t>
      </w:r>
      <w:r w:rsidR="002C6F48" w:rsidRPr="00A0007B">
        <w:t>Johnson et al</w:t>
      </w:r>
      <w:r w:rsidR="00716072">
        <w:t xml:space="preserve">. </w:t>
      </w:r>
      <w:r w:rsidR="002C6F48" w:rsidRPr="00A0007B">
        <w:t>2014)</w:t>
      </w:r>
      <w:r w:rsidR="00A0007B">
        <w:t>.</w:t>
      </w:r>
    </w:p>
    <w:p w14:paraId="5096B23C" w14:textId="74016068" w:rsidR="00A0007B" w:rsidRDefault="00A0007B" w:rsidP="00B02512">
      <w:pPr>
        <w:pStyle w:val="Heading2"/>
      </w:pPr>
      <w:bookmarkStart w:id="218" w:name="_Toc67488291"/>
      <w:r>
        <w:t>TRICHLOROETHYLENE (TCE) AND CHILDHOOD CANCER</w:t>
      </w:r>
      <w:bookmarkEnd w:id="218"/>
    </w:p>
    <w:p w14:paraId="65CC5C36" w14:textId="549ADF0B" w:rsidR="00BA326E" w:rsidRDefault="00601B89" w:rsidP="00423581">
      <w:r w:rsidRPr="00601B89">
        <w:t>TCE is characterized as carcinogenic in humans by EPA (2011), reasonably anticipated to be a carcinogen by NTP (2011), and carcinogenic to humans by IARC (</w:t>
      </w:r>
      <w:r w:rsidR="000C1A5A" w:rsidRPr="00601B89">
        <w:t>Guha et al. 2012</w:t>
      </w:r>
      <w:r w:rsidR="000C1A5A">
        <w:t xml:space="preserve">; </w:t>
      </w:r>
      <w:r w:rsidR="006207EE">
        <w:t>IARC 2014</w:t>
      </w:r>
      <w:r w:rsidRPr="00601B89">
        <w:t xml:space="preserve">). </w:t>
      </w:r>
      <w:r w:rsidR="008F291F" w:rsidRPr="008F291F">
        <w:t xml:space="preserve">Epidemiological studies provide strong evidence that trichloroethylene can cause kidney cancer in humans and some evidence that it causes non-Hodgkin lymphoma and liver cancer. While most studies evaluate adult worker populations, children are expected to have similar health effects as adults (ATSDR 2019). </w:t>
      </w:r>
      <w:r w:rsidR="000B5850">
        <w:t>Epidemiological data on associations between TCE exposure and childhood cancer</w:t>
      </w:r>
      <w:r w:rsidR="00BA326E">
        <w:t xml:space="preserve"> is limited, but some community-based studies have produced results suggestive of an effect. Limitations of these studies prevent definitive conclusions to be drawn, but increased incidence of childhood leukemia was reported after ingestion of TCE-contaminated well water in Woburn, MA (Costas et al. 2002) and </w:t>
      </w:r>
      <w:r w:rsidR="00BA326E" w:rsidRPr="00BE34F5">
        <w:t xml:space="preserve">childhood leukemia, </w:t>
      </w:r>
      <w:r w:rsidR="00BA326E">
        <w:t>ALL</w:t>
      </w:r>
      <w:r w:rsidR="00BA326E" w:rsidRPr="00BE34F5">
        <w:t xml:space="preserve">, and non-Hodgkin lymphoma </w:t>
      </w:r>
      <w:r w:rsidR="00BA326E">
        <w:t>were elevated after exposure to TCE and other compounds in New Jersey (</w:t>
      </w:r>
      <w:proofErr w:type="spellStart"/>
      <w:r w:rsidR="00BA326E">
        <w:t>Fagliano</w:t>
      </w:r>
      <w:proofErr w:type="spellEnd"/>
      <w:r w:rsidR="00BA326E">
        <w:t xml:space="preserve"> et al. 2003).</w:t>
      </w:r>
    </w:p>
    <w:p w14:paraId="0A512F47" w14:textId="3512CA8E" w:rsidR="000B5850" w:rsidRDefault="00D420CF" w:rsidP="00423581">
      <w:r>
        <w:t>Evidence of a causal association between TCE exposure and kidney cancer in adults, on the other hand, is strong and</w:t>
      </w:r>
      <w:r w:rsidR="000B5850">
        <w:t xml:space="preserve"> convincing </w:t>
      </w:r>
      <w:r>
        <w:t>b</w:t>
      </w:r>
      <w:r w:rsidR="000B5850">
        <w:t xml:space="preserve">ased on occupational cohort and case-control studies. </w:t>
      </w:r>
      <w:r w:rsidR="000B5850" w:rsidRPr="008C5476">
        <w:t xml:space="preserve">There is </w:t>
      </w:r>
      <w:r w:rsidR="000B5850">
        <w:t xml:space="preserve">also </w:t>
      </w:r>
      <w:r w:rsidR="000B5850" w:rsidRPr="008C5476">
        <w:t>some evidence</w:t>
      </w:r>
      <w:r>
        <w:t>, though limited to a few occupational cohort studies,</w:t>
      </w:r>
      <w:r w:rsidR="000B5850" w:rsidRPr="008C5476">
        <w:t xml:space="preserve"> for increased risks </w:t>
      </w:r>
      <w:r>
        <w:t>of</w:t>
      </w:r>
      <w:r w:rsidR="000B5850" w:rsidRPr="008C5476">
        <w:t xml:space="preserve"> non-Hodgkin lymphoma and liver cancer</w:t>
      </w:r>
      <w:r>
        <w:t xml:space="preserve"> (ATSDR 2019).</w:t>
      </w:r>
    </w:p>
    <w:p w14:paraId="40409305" w14:textId="6235A67F" w:rsidR="00786F64" w:rsidRPr="00F80B1F" w:rsidRDefault="00786F64" w:rsidP="009B5DA2">
      <w:pPr>
        <w:pStyle w:val="Heading2"/>
      </w:pPr>
      <w:bookmarkStart w:id="219" w:name="_Toc67488292"/>
      <w:r w:rsidRPr="00F80B1F">
        <w:t>CARCI</w:t>
      </w:r>
      <w:r w:rsidR="00333C95">
        <w:t>N</w:t>
      </w:r>
      <w:r w:rsidRPr="00F80B1F">
        <w:t>OGENIC EXPOSURES IN-UTERO</w:t>
      </w:r>
      <w:bookmarkEnd w:id="219"/>
    </w:p>
    <w:p w14:paraId="0854FDE3" w14:textId="0BFF6826" w:rsidR="00786F64" w:rsidRPr="00F80B1F" w:rsidRDefault="006D2E63" w:rsidP="00423581">
      <w:r>
        <w:t>Given that there may be</w:t>
      </w:r>
      <w:r w:rsidRPr="00F80B1F">
        <w:t xml:space="preserve"> different risk</w:t>
      </w:r>
      <w:r>
        <w:t>s</w:t>
      </w:r>
      <w:r w:rsidRPr="00F80B1F">
        <w:t xml:space="preserve"> of cancer </w:t>
      </w:r>
      <w:r>
        <w:t>from exposure at different stages</w:t>
      </w:r>
      <w:r w:rsidRPr="00F80B1F">
        <w:t xml:space="preserve"> </w:t>
      </w:r>
      <w:r>
        <w:t>of human development, w</w:t>
      </w:r>
      <w:r w:rsidR="00786F64" w:rsidRPr="00F80B1F">
        <w:t xml:space="preserve">e examined the risk of childhood cancer by looking at </w:t>
      </w:r>
      <w:r>
        <w:t xml:space="preserve">two </w:t>
      </w:r>
      <w:r w:rsidR="00786F64" w:rsidRPr="00F80B1F">
        <w:t xml:space="preserve">different </w:t>
      </w:r>
      <w:r>
        <w:t xml:space="preserve">exposure windows: </w:t>
      </w:r>
      <w:r w:rsidR="00977D18">
        <w:t xml:space="preserve"> </w:t>
      </w:r>
      <w:r w:rsidR="00786F64" w:rsidRPr="00F80B1F">
        <w:t xml:space="preserve">from embryo to </w:t>
      </w:r>
      <w:r>
        <w:t>birth and from birth through</w:t>
      </w:r>
      <w:r w:rsidR="00786F64" w:rsidRPr="00F80B1F">
        <w:t xml:space="preserve"> adolescence</w:t>
      </w:r>
      <w:r w:rsidR="00716072">
        <w:t xml:space="preserve">. </w:t>
      </w:r>
      <w:r>
        <w:t xml:space="preserve">Just as a </w:t>
      </w:r>
      <w:r w:rsidR="00786F64" w:rsidRPr="00F80B1F">
        <w:t xml:space="preserve">child’s smaller mass means that they experience a much greater dose of </w:t>
      </w:r>
      <w:r w:rsidR="00BC7757">
        <w:t>exposure relative to their size than an adult</w:t>
      </w:r>
      <w:r w:rsidR="004B0171">
        <w:t xml:space="preserve"> experiences</w:t>
      </w:r>
      <w:r w:rsidR="00786F64" w:rsidRPr="00F80B1F">
        <w:t xml:space="preserve"> (</w:t>
      </w:r>
      <w:r w:rsidR="00BC7757">
        <w:t>WHO 2008</w:t>
      </w:r>
      <w:r w:rsidR="00786F64" w:rsidRPr="00BC7757">
        <w:t>)</w:t>
      </w:r>
      <w:r>
        <w:t xml:space="preserve">, so </w:t>
      </w:r>
      <w:r w:rsidR="004B0171">
        <w:t>to</w:t>
      </w:r>
      <w:r>
        <w:t>o does a fetus experience a greater relative do</w:t>
      </w:r>
      <w:r w:rsidR="00427554">
        <w:t>s</w:t>
      </w:r>
      <w:r>
        <w:t>e than a child</w:t>
      </w:r>
      <w:r w:rsidR="00716072">
        <w:t xml:space="preserve">. </w:t>
      </w:r>
      <w:r>
        <w:t>T</w:t>
      </w:r>
      <w:r w:rsidRPr="00F80B1F">
        <w:t>he</w:t>
      </w:r>
      <w:r>
        <w:t xml:space="preserve"> fetus may </w:t>
      </w:r>
      <w:r w:rsidR="004B0171">
        <w:t xml:space="preserve">also </w:t>
      </w:r>
      <w:r>
        <w:t>be more susceptible to effects from environmental exposures</w:t>
      </w:r>
      <w:r w:rsidR="004B0171">
        <w:t xml:space="preserve"> due to the rapid growth and development of different organ systems during the </w:t>
      </w:r>
      <w:r w:rsidR="004B0171" w:rsidRPr="00F80B1F">
        <w:rPr>
          <w:i/>
        </w:rPr>
        <w:t>in utero</w:t>
      </w:r>
      <w:r w:rsidR="004B0171">
        <w:rPr>
          <w:i/>
        </w:rPr>
        <w:t xml:space="preserve"> </w:t>
      </w:r>
      <w:r w:rsidR="004B0171">
        <w:t>period</w:t>
      </w:r>
      <w:r w:rsidR="00716072">
        <w:t xml:space="preserve">. </w:t>
      </w:r>
      <w:r w:rsidR="00786F64" w:rsidRPr="00F80B1F">
        <w:t>In a previous study in Woburn</w:t>
      </w:r>
      <w:r w:rsidR="00BC7757">
        <w:t>,</w:t>
      </w:r>
      <w:r w:rsidR="00786F64" w:rsidRPr="00F80B1F">
        <w:t xml:space="preserve"> Massachusetts</w:t>
      </w:r>
      <w:r w:rsidR="00BC7757">
        <w:t>,</w:t>
      </w:r>
      <w:r w:rsidR="00786F64" w:rsidRPr="00F80B1F">
        <w:t xml:space="preserve"> </w:t>
      </w:r>
      <w:r w:rsidR="008C7921">
        <w:t>M</w:t>
      </w:r>
      <w:r w:rsidR="004B0171">
        <w:t xml:space="preserve">DPH </w:t>
      </w:r>
      <w:r w:rsidR="00786F64" w:rsidRPr="00F80B1F">
        <w:t xml:space="preserve">investigators </w:t>
      </w:r>
      <w:r w:rsidR="004B0171">
        <w:t>observed</w:t>
      </w:r>
      <w:r w:rsidR="00786F64" w:rsidRPr="00F80B1F">
        <w:t xml:space="preserve"> a similar finding of an increased risk of leukemia from </w:t>
      </w:r>
      <w:r w:rsidR="004B0171" w:rsidRPr="00F80B1F">
        <w:rPr>
          <w:i/>
        </w:rPr>
        <w:t>in utero</w:t>
      </w:r>
      <w:r w:rsidR="004B0171" w:rsidRPr="00F80B1F">
        <w:t xml:space="preserve"> </w:t>
      </w:r>
      <w:r w:rsidR="004B0171">
        <w:t>exposure via pregnant mothers who drank water c</w:t>
      </w:r>
      <w:r w:rsidR="00786F64" w:rsidRPr="00F80B1F">
        <w:t>ontaminated with a mixture of chemical</w:t>
      </w:r>
      <w:r w:rsidR="007B5D01">
        <w:t xml:space="preserve">s, including </w:t>
      </w:r>
      <w:r w:rsidR="00786F64" w:rsidRPr="00F80B1F">
        <w:t>TCE</w:t>
      </w:r>
      <w:r w:rsidR="00786F64" w:rsidRPr="004B0171">
        <w:t xml:space="preserve"> (Costas</w:t>
      </w:r>
      <w:r w:rsidR="004B0171" w:rsidRPr="004B0171">
        <w:t xml:space="preserve"> et al</w:t>
      </w:r>
      <w:r w:rsidR="004B0171">
        <w:t>.</w:t>
      </w:r>
      <w:r w:rsidR="00BC7757">
        <w:t xml:space="preserve"> 2002</w:t>
      </w:r>
      <w:r w:rsidR="00786F64" w:rsidRPr="00F80B1F">
        <w:t>)</w:t>
      </w:r>
      <w:r w:rsidR="00716072">
        <w:t xml:space="preserve">. </w:t>
      </w:r>
      <w:r w:rsidR="00786F64" w:rsidRPr="00F80B1F">
        <w:t>NDMA was not a suspected contaminant</w:t>
      </w:r>
      <w:r w:rsidR="00992046">
        <w:t xml:space="preserve"> in that study</w:t>
      </w:r>
      <w:r w:rsidR="00716072">
        <w:t xml:space="preserve">. </w:t>
      </w:r>
      <w:r w:rsidR="00992046">
        <w:t>M</w:t>
      </w:r>
      <w:r w:rsidR="00786F64" w:rsidRPr="00F80B1F">
        <w:t>ore recent</w:t>
      </w:r>
      <w:r w:rsidR="00992046">
        <w:t>ly</w:t>
      </w:r>
      <w:r w:rsidR="00786F64" w:rsidRPr="00F80B1F">
        <w:t xml:space="preserve">, the </w:t>
      </w:r>
      <w:r w:rsidR="00EF0735">
        <w:t>US</w:t>
      </w:r>
      <w:r w:rsidR="00786F64" w:rsidRPr="00F80B1F">
        <w:t xml:space="preserve"> Agency for </w:t>
      </w:r>
      <w:r w:rsidR="00786F64" w:rsidRPr="00F80B1F">
        <w:lastRenderedPageBreak/>
        <w:t>Toxic Substances</w:t>
      </w:r>
      <w:r w:rsidR="00992046">
        <w:t xml:space="preserve"> and Disease Registry</w:t>
      </w:r>
      <w:r w:rsidR="00786F64" w:rsidRPr="00F80B1F">
        <w:t xml:space="preserve"> (ATSDR) published results in 2013 of a drinking water study conducted at Camp Lejeune in North Carolina (</w:t>
      </w:r>
      <w:proofErr w:type="spellStart"/>
      <w:r w:rsidR="00786F64" w:rsidRPr="00BC7757">
        <w:t>Ruckart</w:t>
      </w:r>
      <w:proofErr w:type="spellEnd"/>
      <w:r w:rsidR="00BC7757">
        <w:t xml:space="preserve"> 2013</w:t>
      </w:r>
      <w:r w:rsidR="00786F64" w:rsidRPr="00F80B1F">
        <w:t>)</w:t>
      </w:r>
      <w:r w:rsidR="00716072">
        <w:t xml:space="preserve">. </w:t>
      </w:r>
      <w:r w:rsidR="00786F64" w:rsidRPr="00F80B1F">
        <w:t>Drinking water contaminants include</w:t>
      </w:r>
      <w:r w:rsidR="00B84B6D">
        <w:t>d</w:t>
      </w:r>
      <w:r w:rsidR="00786F64" w:rsidRPr="00F80B1F">
        <w:t xml:space="preserve"> TCE, </w:t>
      </w:r>
      <w:r w:rsidR="00B84B6D">
        <w:t xml:space="preserve">tetrachloroethylene (PCE), </w:t>
      </w:r>
      <w:r w:rsidR="00786F64" w:rsidRPr="00F80B1F">
        <w:t>benzene, vinyl chloride</w:t>
      </w:r>
      <w:r w:rsidR="00B84B6D">
        <w:t>, and trans-1,2-dichloroethylene (DCE)</w:t>
      </w:r>
      <w:r w:rsidR="00716072">
        <w:t xml:space="preserve">. </w:t>
      </w:r>
      <w:r w:rsidR="00786F64" w:rsidRPr="00F80B1F">
        <w:t xml:space="preserve">Associations were found between </w:t>
      </w:r>
      <w:r w:rsidR="00786F64" w:rsidRPr="00F80B1F">
        <w:rPr>
          <w:i/>
        </w:rPr>
        <w:t>in utero</w:t>
      </w:r>
      <w:r w:rsidR="00786F64" w:rsidRPr="00F80B1F">
        <w:t xml:space="preserve"> drinking water exposures and </w:t>
      </w:r>
      <w:r w:rsidR="002A5275">
        <w:t>neural tube</w:t>
      </w:r>
      <w:r w:rsidR="00786F64" w:rsidRPr="00F80B1F">
        <w:t xml:space="preserve"> defects</w:t>
      </w:r>
      <w:r w:rsidR="00716072">
        <w:t xml:space="preserve">. </w:t>
      </w:r>
      <w:r w:rsidR="002A5275">
        <w:t xml:space="preserve">Positive odds ratios ranging from 1.5-1.6 were observed for associations between </w:t>
      </w:r>
      <w:r w:rsidR="002A5275" w:rsidRPr="00F80B1F">
        <w:t>childhood cancer</w:t>
      </w:r>
      <w:r w:rsidR="002A5275">
        <w:t xml:space="preserve"> and three contaminants (PCE, DCE, and vinyl chloride)</w:t>
      </w:r>
      <w:r w:rsidR="00716072">
        <w:t xml:space="preserve">. </w:t>
      </w:r>
      <w:r w:rsidR="002A5275">
        <w:t xml:space="preserve">However, the associations were not supported by a dose-response relationship and had wide confidence intervals with </w:t>
      </w:r>
      <w:r w:rsidR="00C67EB4" w:rsidRPr="00372442">
        <w:rPr>
          <w:i/>
        </w:rPr>
        <w:t>p</w:t>
      </w:r>
      <w:r w:rsidR="00C67EB4">
        <w:t>-value</w:t>
      </w:r>
      <w:r w:rsidR="002A5275">
        <w:t>s of 0.4.</w:t>
      </w:r>
      <w:r w:rsidR="00D420CF">
        <w:t xml:space="preserve"> Finally, in a </w:t>
      </w:r>
      <w:r w:rsidR="008556D0">
        <w:t>meta-analysis of</w:t>
      </w:r>
      <w:r w:rsidR="00D420CF">
        <w:t xml:space="preserve"> fetal exposure to NDMA from maternal ingestion of</w:t>
      </w:r>
      <w:r w:rsidR="008556D0">
        <w:t xml:space="preserve"> cured meats</w:t>
      </w:r>
      <w:r w:rsidR="00D420CF">
        <w:t>, a</w:t>
      </w:r>
      <w:r w:rsidR="008556D0">
        <w:t xml:space="preserve"> statistically significant </w:t>
      </w:r>
      <w:r w:rsidR="00D420CF">
        <w:t>increased risk of childhood brain cancer was observed (</w:t>
      </w:r>
      <w:proofErr w:type="spellStart"/>
      <w:r w:rsidR="00D420CF">
        <w:t>Huncharek</w:t>
      </w:r>
      <w:proofErr w:type="spellEnd"/>
      <w:r w:rsidR="00D420CF">
        <w:t xml:space="preserve"> and </w:t>
      </w:r>
      <w:proofErr w:type="spellStart"/>
      <w:r w:rsidR="00D420CF">
        <w:t>Kupelnick</w:t>
      </w:r>
      <w:proofErr w:type="spellEnd"/>
      <w:r w:rsidR="00D420CF">
        <w:t xml:space="preserve"> 2004)</w:t>
      </w:r>
      <w:r w:rsidR="008556D0">
        <w:t xml:space="preserve">; despite limitations, the study results support a causal association between exposure to </w:t>
      </w:r>
      <w:r w:rsidR="008556D0" w:rsidRPr="008556D0">
        <w:rPr>
          <w:i/>
        </w:rPr>
        <w:t>n</w:t>
      </w:r>
      <w:r w:rsidR="008556D0">
        <w:t>-nitroso compounds through ingestion during pregnancy and subsequent childhood brain tumor in the offspring.</w:t>
      </w:r>
    </w:p>
    <w:p w14:paraId="3F9CA37D" w14:textId="58FB74E3" w:rsidR="00786F64" w:rsidRPr="00F80B1F" w:rsidRDefault="00786F64" w:rsidP="009B5DA2">
      <w:pPr>
        <w:pStyle w:val="Heading2"/>
      </w:pPr>
      <w:bookmarkStart w:id="220" w:name="_Toc67488293"/>
      <w:r w:rsidRPr="00F80B1F">
        <w:t>EXPOSURE ASSESSMENT</w:t>
      </w:r>
      <w:bookmarkEnd w:id="220"/>
    </w:p>
    <w:p w14:paraId="7738CAD3" w14:textId="401DA5DE" w:rsidR="00786F64" w:rsidRPr="00F80B1F" w:rsidRDefault="00786F64" w:rsidP="00423581">
      <w:r w:rsidRPr="00F80B1F">
        <w:t>The Woburn</w:t>
      </w:r>
      <w:r w:rsidR="00E77F88">
        <w:t>, MA</w:t>
      </w:r>
      <w:r w:rsidRPr="00F80B1F">
        <w:t xml:space="preserve"> and Camp Lejeune</w:t>
      </w:r>
      <w:r w:rsidR="00E77F88">
        <w:t>, NC</w:t>
      </w:r>
      <w:r w:rsidRPr="00F80B1F">
        <w:t xml:space="preserve"> studies mentioned above used sophisticated drinking water modeling to estimate </w:t>
      </w:r>
      <w:r w:rsidR="00DA7D30">
        <w:t xml:space="preserve">historical </w:t>
      </w:r>
      <w:r w:rsidRPr="00F80B1F">
        <w:t>exposure to drinking water contaminants</w:t>
      </w:r>
      <w:r w:rsidR="00716072">
        <w:t xml:space="preserve">. </w:t>
      </w:r>
      <w:r w:rsidR="00883A68">
        <w:t>Similarly, t</w:t>
      </w:r>
      <w:r w:rsidRPr="00F80B1F">
        <w:t xml:space="preserve">he NDMA values presented in this study are the result of </w:t>
      </w:r>
      <w:r w:rsidR="00DA7D30" w:rsidRPr="00F80B1F">
        <w:t>t</w:t>
      </w:r>
      <w:r w:rsidR="00DA7D30">
        <w:t>hree</w:t>
      </w:r>
      <w:r w:rsidR="00DA7D30" w:rsidRPr="00F80B1F">
        <w:t xml:space="preserve"> </w:t>
      </w:r>
      <w:r w:rsidRPr="00F80B1F">
        <w:t>water models</w:t>
      </w:r>
      <w:r w:rsidR="00427554">
        <w:t>:</w:t>
      </w:r>
      <w:r w:rsidRPr="00F80B1F">
        <w:t xml:space="preserve"> one </w:t>
      </w:r>
      <w:r w:rsidR="00DA7D30">
        <w:t>simulated groundwater flow within</w:t>
      </w:r>
      <w:r w:rsidR="00DA7D30" w:rsidRPr="00F80B1F">
        <w:t xml:space="preserve"> </w:t>
      </w:r>
      <w:r w:rsidRPr="00F80B1F">
        <w:t>the Maple Meadow Brook (MMB) aquifer</w:t>
      </w:r>
      <w:r w:rsidR="00DA7D30">
        <w:t>; one simulated the fate and transport of</w:t>
      </w:r>
      <w:r w:rsidRPr="00F80B1F">
        <w:t xml:space="preserve"> </w:t>
      </w:r>
      <w:proofErr w:type="gramStart"/>
      <w:r w:rsidRPr="00F80B1F">
        <w:t>NDMA  through</w:t>
      </w:r>
      <w:proofErr w:type="gramEnd"/>
      <w:r w:rsidRPr="00F80B1F">
        <w:t xml:space="preserve"> the aquifer to municipal wells</w:t>
      </w:r>
      <w:r w:rsidR="00DA7D30">
        <w:t>;</w:t>
      </w:r>
      <w:r w:rsidRPr="00F80B1F">
        <w:t xml:space="preserve"> and </w:t>
      </w:r>
      <w:r w:rsidR="00DA7D30">
        <w:t xml:space="preserve">one model simulated </w:t>
      </w:r>
      <w:r w:rsidRPr="00F80B1F">
        <w:t xml:space="preserve">the distribution of </w:t>
      </w:r>
      <w:r w:rsidR="00DA7D30">
        <w:t xml:space="preserve">treated water contaminated with </w:t>
      </w:r>
      <w:r w:rsidRPr="00F80B1F">
        <w:t xml:space="preserve">NDMA </w:t>
      </w:r>
      <w:r w:rsidR="00992046">
        <w:t>through</w:t>
      </w:r>
      <w:r w:rsidR="00DA7D30">
        <w:t xml:space="preserve"> the water distribution system to residences </w:t>
      </w:r>
      <w:r w:rsidRPr="00F80B1F">
        <w:t>throughout the town of Wilmington</w:t>
      </w:r>
      <w:r w:rsidR="00716072">
        <w:t xml:space="preserve">. </w:t>
      </w:r>
      <w:r w:rsidR="00883A68">
        <w:t xml:space="preserve">TCE exposure was estimated using only the latter of these models because contamination sources within the aquifer were unknown, but measured concentrations in treated water were available. </w:t>
      </w:r>
      <w:r w:rsidRPr="00F80B1F">
        <w:t xml:space="preserve">These models were based on the hydrogeology </w:t>
      </w:r>
      <w:r w:rsidR="00DA7D30">
        <w:t>characterizing</w:t>
      </w:r>
      <w:r w:rsidRPr="00F80B1F">
        <w:t xml:space="preserve"> the Olin Chemical hazardous waste site and </w:t>
      </w:r>
      <w:r w:rsidR="00DA7D30">
        <w:t xml:space="preserve">underlying </w:t>
      </w:r>
      <w:r w:rsidR="00427554">
        <w:t>MMB aquifer;</w:t>
      </w:r>
      <w:r w:rsidRPr="00F80B1F">
        <w:t xml:space="preserve"> available data on </w:t>
      </w:r>
      <w:r w:rsidR="00DA7D30">
        <w:t>contaminant</w:t>
      </w:r>
      <w:r w:rsidR="00DA7D30" w:rsidRPr="00F80B1F">
        <w:t xml:space="preserve"> </w:t>
      </w:r>
      <w:r w:rsidRPr="00F80B1F">
        <w:t>source</w:t>
      </w:r>
      <w:r w:rsidR="00DA7D30">
        <w:t>s</w:t>
      </w:r>
      <w:r w:rsidRPr="00F80B1F">
        <w:t>, fate</w:t>
      </w:r>
      <w:r w:rsidR="00992046">
        <w:t>,</w:t>
      </w:r>
      <w:r w:rsidRPr="00F80B1F">
        <w:t xml:space="preserve"> and transport in the aquifer</w:t>
      </w:r>
      <w:r w:rsidR="00427554">
        <w:t>; the chemistry of NDMA;</w:t>
      </w:r>
      <w:r w:rsidRPr="00F80B1F">
        <w:t xml:space="preserve"> US</w:t>
      </w:r>
      <w:r w:rsidR="00C754D6">
        <w:t xml:space="preserve"> </w:t>
      </w:r>
      <w:r w:rsidRPr="00F80B1F">
        <w:t>EPA environmental data</w:t>
      </w:r>
      <w:r w:rsidR="00427554">
        <w:t>;</w:t>
      </w:r>
      <w:r w:rsidRPr="00F80B1F">
        <w:t xml:space="preserve"> historical water testing data</w:t>
      </w:r>
      <w:r w:rsidR="00427554">
        <w:t>;</w:t>
      </w:r>
      <w:r w:rsidRPr="00F80B1F">
        <w:t xml:space="preserve"> historical pumping rates of 10 municipal wells located throughout Wilmington</w:t>
      </w:r>
      <w:r w:rsidR="00427554">
        <w:t>;</w:t>
      </w:r>
      <w:r w:rsidRPr="00F80B1F">
        <w:t xml:space="preserve"> and the structure of the municipal water</w:t>
      </w:r>
      <w:r w:rsidR="00DA7D30">
        <w:t xml:space="preserve"> distribution</w:t>
      </w:r>
      <w:r w:rsidRPr="00F80B1F">
        <w:t xml:space="preserve"> system</w:t>
      </w:r>
      <w:r w:rsidR="00DA7D30">
        <w:t xml:space="preserve"> network</w:t>
      </w:r>
      <w:r w:rsidRPr="00F80B1F">
        <w:t>.</w:t>
      </w:r>
      <w:r w:rsidR="0037546A">
        <w:t xml:space="preserve"> Those conducting water modeling </w:t>
      </w:r>
      <w:r w:rsidR="0037546A" w:rsidRPr="0037546A">
        <w:t xml:space="preserve">were blinded </w:t>
      </w:r>
      <w:r w:rsidR="0037546A">
        <w:t xml:space="preserve">as to the addresses of </w:t>
      </w:r>
      <w:r w:rsidR="0037546A" w:rsidRPr="0037546A">
        <w:t>case</w:t>
      </w:r>
      <w:r w:rsidR="0037546A">
        <w:t>s</w:t>
      </w:r>
      <w:r w:rsidR="0037546A" w:rsidRPr="0037546A">
        <w:t xml:space="preserve"> and control</w:t>
      </w:r>
      <w:r w:rsidR="0037546A">
        <w:t>s.</w:t>
      </w:r>
    </w:p>
    <w:p w14:paraId="58C9E761" w14:textId="5B27EF54" w:rsidR="00786F64" w:rsidRPr="00F80B1F" w:rsidRDefault="00786F64" w:rsidP="00423581">
      <w:r w:rsidRPr="00F80B1F">
        <w:t>The accuracy of numerical modeling applications relies heavily on the quality of data used for key parameters as well as the validity of inherent modeling assumptions</w:t>
      </w:r>
      <w:r w:rsidR="00716072">
        <w:t xml:space="preserve">. </w:t>
      </w:r>
      <w:r w:rsidR="004516AB">
        <w:t xml:space="preserve">Based on the availability of data from extensive environmental investigations of the Olin </w:t>
      </w:r>
      <w:r w:rsidR="00D34A82">
        <w:t xml:space="preserve">Chemical </w:t>
      </w:r>
      <w:r w:rsidR="004516AB">
        <w:t xml:space="preserve">site and underlying aquifer, there is a </w:t>
      </w:r>
      <w:r w:rsidRPr="00F80B1F">
        <w:t xml:space="preserve">high degree of confidence in the reliability of the representation of the groundwater system </w:t>
      </w:r>
      <w:r w:rsidR="004516AB">
        <w:t>(see Appendix C for details)</w:t>
      </w:r>
      <w:r w:rsidR="00716072">
        <w:t xml:space="preserve">. </w:t>
      </w:r>
      <w:r w:rsidRPr="00F80B1F">
        <w:t xml:space="preserve">However, some uncertainty exists with regards to certain parameters of the </w:t>
      </w:r>
      <w:r w:rsidR="00FB2F3B">
        <w:t xml:space="preserve">water </w:t>
      </w:r>
      <w:r w:rsidRPr="00F80B1F">
        <w:t xml:space="preserve">transport and </w:t>
      </w:r>
      <w:r w:rsidR="00FB2F3B">
        <w:t xml:space="preserve">water </w:t>
      </w:r>
      <w:r w:rsidRPr="00F80B1F">
        <w:t>distribution system models</w:t>
      </w:r>
      <w:r w:rsidR="00716072">
        <w:t xml:space="preserve">. </w:t>
      </w:r>
      <w:r w:rsidRPr="00F80B1F">
        <w:t xml:space="preserve">For example, while every effort was </w:t>
      </w:r>
      <w:r w:rsidRPr="00F80B1F">
        <w:lastRenderedPageBreak/>
        <w:t>made to re-create the monthly pumping rates at each well during the years of the study period, there were periods of time for which rates of flow at individual municipal wells were not measured or recorded by the town</w:t>
      </w:r>
      <w:r w:rsidR="00716072">
        <w:t xml:space="preserve">. </w:t>
      </w:r>
      <w:r w:rsidRPr="00F80B1F">
        <w:t>In particular, pumping rates prior to 1989 were estimated based on individual well capacities, even</w:t>
      </w:r>
      <w:r w:rsidR="00BC7757">
        <w:t xml:space="preserve"> </w:t>
      </w:r>
      <w:r w:rsidRPr="00F80B1F">
        <w:t xml:space="preserve">though the wells may not have been used in proportion to </w:t>
      </w:r>
      <w:r w:rsidR="00427554">
        <w:t>their</w:t>
      </w:r>
      <w:r w:rsidRPr="00F80B1F">
        <w:t xml:space="preserve"> hydraulic capacity</w:t>
      </w:r>
      <w:r w:rsidR="00716072">
        <w:t xml:space="preserve">. </w:t>
      </w:r>
      <w:r w:rsidRPr="00F80B1F">
        <w:t>In addition, during periods of the study years for which measurements were available, the quality of those records was sometimes inconsistent due to some mechanical failures in the pumping rate meters</w:t>
      </w:r>
      <w:r w:rsidR="00BC7757">
        <w:t>.</w:t>
      </w:r>
      <w:r w:rsidR="00685A63">
        <w:t xml:space="preserve"> </w:t>
      </w:r>
    </w:p>
    <w:p w14:paraId="6EDFEDAF" w14:textId="0ADC9DC0" w:rsidR="00CD6909" w:rsidRPr="00F80B1F" w:rsidRDefault="006944F5" w:rsidP="00423581">
      <w:r>
        <w:t>As reported in Appendix C, a qualitative and quantitative uncertainty analysis was performed which identified two important model parameters whose uncertainty was found to impact estimated concentrations of NDMA in the town’s drinking water</w:t>
      </w:r>
      <w:r w:rsidR="00CD6909">
        <w:t xml:space="preserve"> to an appreciable degree. In addition to the pumping rates prior to 1989, the other important </w:t>
      </w:r>
      <w:r w:rsidR="00CD6909" w:rsidRPr="00F80B1F">
        <w:t>area of uncertainty re</w:t>
      </w:r>
      <w:r w:rsidR="00CD6909">
        <w:t>lates to</w:t>
      </w:r>
      <w:r w:rsidR="00CD6909" w:rsidRPr="00F80B1F">
        <w:t xml:space="preserve"> the </w:t>
      </w:r>
      <w:r w:rsidR="00CD6909">
        <w:t xml:space="preserve">timing of NDMA arrival to </w:t>
      </w:r>
      <w:r w:rsidR="00CD6909" w:rsidRPr="00F80B1F">
        <w:t>source areas</w:t>
      </w:r>
      <w:r w:rsidR="00CD6909">
        <w:t xml:space="preserve"> within the MMB aquifer. </w:t>
      </w:r>
      <w:r w:rsidR="00CD6909" w:rsidRPr="00D34A82">
        <w:t xml:space="preserve">The hypothesized 1972 arrival time of the DAPL source within the Western Bedrock Valley represents </w:t>
      </w:r>
      <w:r w:rsidR="00CD6909">
        <w:t>a</w:t>
      </w:r>
      <w:r w:rsidR="00CD6909" w:rsidRPr="00D34A82">
        <w:t xml:space="preserve"> best judgment and is supported by transport calculations from the Olin </w:t>
      </w:r>
      <w:r w:rsidR="00CD6909">
        <w:t xml:space="preserve">Chemical </w:t>
      </w:r>
      <w:r w:rsidR="00CD6909" w:rsidRPr="00D34A82">
        <w:t xml:space="preserve">site to the area of DAPL accumulation. However, the absence of NDMA measurements in the </w:t>
      </w:r>
      <w:r w:rsidR="00CD6909">
        <w:t xml:space="preserve">MMB </w:t>
      </w:r>
      <w:r w:rsidR="00CD6909" w:rsidRPr="00D34A82">
        <w:t>aquifer near the present</w:t>
      </w:r>
      <w:r w:rsidR="00CD6909" w:rsidRPr="00D34A82">
        <w:rPr>
          <w:rFonts w:ascii="Times New Roman" w:hAnsi="Times New Roman"/>
        </w:rPr>
        <w:t>‐</w:t>
      </w:r>
      <w:r w:rsidR="00CD6909" w:rsidRPr="00D34A82">
        <w:t>day DAPL source in the Western Bedrock Valley make the arrival times of both the DAPL source and subsequent NDMA capture by the water supply wells uncertain.</w:t>
      </w:r>
    </w:p>
    <w:p w14:paraId="1C5BE9CD" w14:textId="2830F08A" w:rsidR="00CD6909" w:rsidRDefault="00CD6909" w:rsidP="00423581">
      <w:r>
        <w:t>The</w:t>
      </w:r>
      <w:r w:rsidRPr="00D34A82">
        <w:t xml:space="preserve"> quantitative analysis generate</w:t>
      </w:r>
      <w:r>
        <w:t>d</w:t>
      </w:r>
      <w:r w:rsidRPr="00D34A82">
        <w:t xml:space="preserve"> uncertainty ranges for the simulated monthly NDMA concentrations at each location i</w:t>
      </w:r>
      <w:r>
        <w:t>n the water distribution system after varying each parameter individually and in combination (moving the NDMA arrival time by 5 years in both directions and changing pumping rates by 20% in both directions). Results showed that varying the two uncertainty inputs c</w:t>
      </w:r>
      <w:r w:rsidRPr="00D34A82">
        <w:t>ould result in lar</w:t>
      </w:r>
      <w:r w:rsidR="008C6C27">
        <w:t xml:space="preserve">ge changes in the </w:t>
      </w:r>
      <w:r w:rsidRPr="00D34A82">
        <w:t xml:space="preserve">magnitude </w:t>
      </w:r>
      <w:r w:rsidR="008C6C27">
        <w:t xml:space="preserve">and spatial penetration </w:t>
      </w:r>
      <w:r w:rsidRPr="00D34A82">
        <w:t xml:space="preserve">of NDMA in the </w:t>
      </w:r>
      <w:r w:rsidR="008C6C27">
        <w:t xml:space="preserve">Wilmington drinking water </w:t>
      </w:r>
      <w:r w:rsidRPr="00D34A82">
        <w:t xml:space="preserve">distribution system </w:t>
      </w:r>
      <w:r w:rsidR="008C6C27">
        <w:t xml:space="preserve">primarily from 1974 to 1979, </w:t>
      </w:r>
      <w:r w:rsidRPr="00D34A82">
        <w:t>to a lesser extent from 1981 to 1989</w:t>
      </w:r>
      <w:r w:rsidR="008C6C27">
        <w:t>, and not at all after 1</w:t>
      </w:r>
      <w:r>
        <w:t>989. From 1990 through 2003, the simulated concentrations show no change from baseline.</w:t>
      </w:r>
    </w:p>
    <w:p w14:paraId="377E078F" w14:textId="51AE4A8E" w:rsidR="00B02512" w:rsidRDefault="008C6C27" w:rsidP="00423581">
      <w:r>
        <w:t>As presented in Results, the uncertainty analyses were carried through to the final exposure-outcome models by evaluating NDMA concentrations</w:t>
      </w:r>
      <w:r w:rsidR="00681890">
        <w:t xml:space="preserve"> (as zero, low, or high)</w:t>
      </w:r>
      <w:r>
        <w:t xml:space="preserve"> and the odds of childhood cancer </w:t>
      </w:r>
      <w:r w:rsidR="00681890">
        <w:t>using</w:t>
      </w:r>
      <w:r>
        <w:t xml:space="preserve"> each of the eight alter</w:t>
      </w:r>
      <w:r w:rsidR="00681890">
        <w:t>native exposure datasets created after varying the two parameters within their estimated ranges of uncertainty</w:t>
      </w:r>
      <w:r>
        <w:t xml:space="preserve">. </w:t>
      </w:r>
      <w:r w:rsidR="00681890">
        <w:t xml:space="preserve">Overall, results were very similar to those presented using the baseline exposure dataset with ORs for the high maternal exposure category ranging from 3.0 to 4.9 (all </w:t>
      </w:r>
      <w:r w:rsidR="00681890" w:rsidRPr="00681890">
        <w:rPr>
          <w:i/>
        </w:rPr>
        <w:t>p</w:t>
      </w:r>
      <w:r w:rsidR="00681890">
        <w:t xml:space="preserve">-values &lt;0.10 and some models having </w:t>
      </w:r>
      <w:r w:rsidR="00681890" w:rsidRPr="00681890">
        <w:rPr>
          <w:i/>
        </w:rPr>
        <w:t>p</w:t>
      </w:r>
      <w:r w:rsidR="00681890">
        <w:t>-values &lt;0.05)</w:t>
      </w:r>
      <w:r w:rsidR="00232A0E">
        <w:t xml:space="preserve"> and ORs for the low maternal exposure category ranging from 0.4 to 1.3. Childhood exposure models were even more consistent across the eight analyses and continued to show no positive association between NDMA concentrations and childhood cancer. So, although existing uncertainty in key </w:t>
      </w:r>
      <w:r w:rsidR="00232A0E">
        <w:lastRenderedPageBreak/>
        <w:t>groundwater and distribution system model parameters was found to impact estimated NDMA concentrations, these changes were not enough to have any meaningful impact on the associations measured using the baseline exposure model.</w:t>
      </w:r>
    </w:p>
    <w:p w14:paraId="2A25653D" w14:textId="77777777" w:rsidR="00786F64" w:rsidRPr="00333C95" w:rsidRDefault="00333C95" w:rsidP="0010161F">
      <w:pPr>
        <w:pStyle w:val="Heading3"/>
      </w:pPr>
      <w:r>
        <w:t>Unmeasured S</w:t>
      </w:r>
      <w:r w:rsidRPr="00333C95">
        <w:t xml:space="preserve">ources of </w:t>
      </w:r>
      <w:r>
        <w:t>NDMA</w:t>
      </w:r>
      <w:r w:rsidRPr="00333C95">
        <w:t xml:space="preserve"> </w:t>
      </w:r>
      <w:r>
        <w:t>E</w:t>
      </w:r>
      <w:r w:rsidRPr="00333C95">
        <w:t>xposure</w:t>
      </w:r>
    </w:p>
    <w:p w14:paraId="77A98EED" w14:textId="6DB14823" w:rsidR="00600127" w:rsidRDefault="00786F64" w:rsidP="00423581">
      <w:r w:rsidRPr="00F80B1F">
        <w:t>To further complicate the issue of NDMA exposure is the fact that NDMA is present in everyday products</w:t>
      </w:r>
      <w:r w:rsidR="00716072">
        <w:t xml:space="preserve">. </w:t>
      </w:r>
      <w:r w:rsidRPr="00F80B1F">
        <w:t>The primary sources of human NDMA exposure are tobacco smoke, chewing tobacco, toiletry and cosmetic products like shampoo and cleansers, interior air of cars, and various other household goods, such as detergents and pesticides</w:t>
      </w:r>
      <w:r w:rsidR="00716072">
        <w:t xml:space="preserve">. </w:t>
      </w:r>
      <w:r w:rsidR="00BC7757">
        <w:t>T</w:t>
      </w:r>
      <w:r w:rsidRPr="00F80B1F">
        <w:t xml:space="preserve">he major </w:t>
      </w:r>
      <w:r w:rsidR="00600127">
        <w:t>pathway of exposure to</w:t>
      </w:r>
      <w:r w:rsidRPr="00F80B1F">
        <w:t xml:space="preserve"> NDMA is ingestion of certain foods like cured meats (particularly bacon), beer, fish, cheese</w:t>
      </w:r>
      <w:r w:rsidR="0088619B">
        <w:t>,</w:t>
      </w:r>
      <w:r w:rsidRPr="00F80B1F">
        <w:t xml:space="preserve"> and other food items (</w:t>
      </w:r>
      <w:r w:rsidR="00BC7757">
        <w:t>ATSDR 1999</w:t>
      </w:r>
      <w:r w:rsidRPr="00F80B1F">
        <w:t>)</w:t>
      </w:r>
      <w:r w:rsidR="00716072">
        <w:t xml:space="preserve">. </w:t>
      </w:r>
      <w:r w:rsidRPr="00F80B1F">
        <w:t xml:space="preserve">In the Wilmington study, no dietary history was obtained </w:t>
      </w:r>
      <w:r w:rsidR="0088619B">
        <w:t xml:space="preserve">due to the fact that </w:t>
      </w:r>
      <w:r w:rsidRPr="00F80B1F">
        <w:t>NDMA exposure was not identified as a hypothesized exposure in Wilmington until after the interviews had been conducted</w:t>
      </w:r>
      <w:r w:rsidR="00716072">
        <w:t xml:space="preserve">. </w:t>
      </w:r>
      <w:r w:rsidRPr="00F80B1F">
        <w:t>Therefore, we do not know the extent or pattern of exposure to NDMA through diet among the study participants</w:t>
      </w:r>
      <w:r w:rsidR="00716072">
        <w:t xml:space="preserve">. </w:t>
      </w:r>
      <w:r w:rsidRPr="00F80B1F">
        <w:t>While it is possible that consumption of these foods differed between cases and controls or between those with higher and lower NDMA exposures from drinking water, it is most likely that the pattern of consumption was non-differential</w:t>
      </w:r>
      <w:r w:rsidR="00716072">
        <w:t xml:space="preserve">. </w:t>
      </w:r>
      <w:r w:rsidRPr="00F80B1F">
        <w:t>Therefore, not controlling for NDMA exposure through the diet most likely makes it more difficult to detect an association with NDMA in drinking water in this study (i.e</w:t>
      </w:r>
      <w:r w:rsidR="00716072">
        <w:t xml:space="preserve">. </w:t>
      </w:r>
      <w:r w:rsidRPr="00F80B1F">
        <w:t>it would bias our results towards the null)</w:t>
      </w:r>
      <w:r w:rsidR="00B144FA">
        <w:t>.</w:t>
      </w:r>
    </w:p>
    <w:p w14:paraId="3EDD1C06" w14:textId="77777777" w:rsidR="00786F64" w:rsidRPr="00333C95" w:rsidRDefault="00333C95" w:rsidP="0010161F">
      <w:pPr>
        <w:pStyle w:val="Heading3"/>
      </w:pPr>
      <w:r>
        <w:t>Exposure Metric</w:t>
      </w:r>
    </w:p>
    <w:p w14:paraId="4388EAD2" w14:textId="69F0AC97" w:rsidR="00D25A88" w:rsidRDefault="00600127" w:rsidP="00423581">
      <w:r w:rsidRPr="00600127">
        <w:t>In this study</w:t>
      </w:r>
      <w:r w:rsidR="00E054DB">
        <w:t>,</w:t>
      </w:r>
      <w:r w:rsidRPr="00600127">
        <w:t xml:space="preserve"> </w:t>
      </w:r>
      <w:r w:rsidR="00E054DB">
        <w:t xml:space="preserve">modeled concentrations of NDMA </w:t>
      </w:r>
      <w:r w:rsidR="00883A68">
        <w:t xml:space="preserve">and TCE </w:t>
      </w:r>
      <w:r w:rsidR="00E054DB">
        <w:t>in drinking water mains at each residential address were used as a surrogate for potential exposure</w:t>
      </w:r>
      <w:r w:rsidR="00716072">
        <w:t xml:space="preserve">. </w:t>
      </w:r>
      <w:r w:rsidR="00D25A88">
        <w:t>Specifically, the</w:t>
      </w:r>
      <w:r w:rsidR="00D25A88" w:rsidRPr="00F80B1F">
        <w:t xml:space="preserve"> primary exposure metric consisted of </w:t>
      </w:r>
      <w:r w:rsidR="00D25A88">
        <w:t>the average</w:t>
      </w:r>
      <w:r w:rsidR="00D25A88" w:rsidRPr="00F80B1F">
        <w:t xml:space="preserve"> </w:t>
      </w:r>
      <w:r w:rsidR="00D25A88">
        <w:t xml:space="preserve">of all non-zero </w:t>
      </w:r>
      <w:r w:rsidR="00883A68">
        <w:t xml:space="preserve">monthly contaminant </w:t>
      </w:r>
      <w:r w:rsidR="00D25A88" w:rsidRPr="00F80B1F">
        <w:t>concentration</w:t>
      </w:r>
      <w:r w:rsidR="00D25A88">
        <w:t>s</w:t>
      </w:r>
      <w:r w:rsidR="00D25A88" w:rsidRPr="00F80B1F">
        <w:t xml:space="preserve"> modeled for each participant address</w:t>
      </w:r>
      <w:r w:rsidR="007E148D">
        <w:t xml:space="preserve"> for the duration of residency. </w:t>
      </w:r>
      <w:r w:rsidR="00F42C0B">
        <w:t>Due to limitations in the questionnaire design, d</w:t>
      </w:r>
      <w:r w:rsidR="00E054DB">
        <w:t>etailed exposure calculat</w:t>
      </w:r>
      <w:r w:rsidR="00F42C0B">
        <w:t xml:space="preserve">ions </w:t>
      </w:r>
      <w:r w:rsidR="009C55AB">
        <w:t>incorporat</w:t>
      </w:r>
      <w:r w:rsidR="00F42C0B">
        <w:t>ing</w:t>
      </w:r>
      <w:r w:rsidR="009C55AB">
        <w:t xml:space="preserve"> </w:t>
      </w:r>
      <w:r w:rsidR="00786F64" w:rsidRPr="00F80B1F">
        <w:t xml:space="preserve">a person’s </w:t>
      </w:r>
      <w:r w:rsidR="00F42C0B">
        <w:t xml:space="preserve">daily </w:t>
      </w:r>
      <w:r w:rsidR="009C55AB">
        <w:t>water intake were not conducted</w:t>
      </w:r>
      <w:r w:rsidR="007E148D">
        <w:t>.</w:t>
      </w:r>
      <w:r w:rsidR="00D25A88">
        <w:t xml:space="preserve"> </w:t>
      </w:r>
      <w:r w:rsidR="007E148D">
        <w:t>A benefit of this simplified approach is that it simultaneously accounts for exposure via both ingestion and inhalation routes (e.g. during showering), but</w:t>
      </w:r>
      <w:r w:rsidR="00D25A88">
        <w:t xml:space="preserve"> a</w:t>
      </w:r>
      <w:r w:rsidR="00F42C0B">
        <w:t xml:space="preserve"> limitation is that it assumes similar water consumption </w:t>
      </w:r>
      <w:r w:rsidR="007E148D">
        <w:t xml:space="preserve">and showering </w:t>
      </w:r>
      <w:r w:rsidR="00F42C0B">
        <w:t>habits by each particip</w:t>
      </w:r>
      <w:r w:rsidR="007E148D">
        <w:t xml:space="preserve">ant. </w:t>
      </w:r>
      <w:r w:rsidR="00D25A88">
        <w:t xml:space="preserve">This assumption would tend to bias results towards the null unless water </w:t>
      </w:r>
      <w:r w:rsidR="007E148D">
        <w:t>usage</w:t>
      </w:r>
      <w:r w:rsidR="00D25A88">
        <w:t xml:space="preserve"> habits were coincidentally different in a systematic way between cases and controls, which seems unlikely. However, while detailed consumption habits were unavailable, participants were asked whether their primary drinking water source for a particular residence was tap water</w:t>
      </w:r>
      <w:r w:rsidR="00D84B39">
        <w:t>, filtered tap water,</w:t>
      </w:r>
      <w:r w:rsidR="00D25A88">
        <w:t xml:space="preserve"> or bottled water.</w:t>
      </w:r>
      <w:r w:rsidR="00F42C0B">
        <w:t xml:space="preserve"> </w:t>
      </w:r>
      <w:r w:rsidR="00D25A88">
        <w:t>Interestingly, the percentag</w:t>
      </w:r>
      <w:r w:rsidR="005A4DEC">
        <w:t>e who reported bottled water as their primary drinking water source was nearly twice as high for case mothers compared to control mothers (39% vs. 20%).</w:t>
      </w:r>
      <w:r w:rsidR="002420EA">
        <w:t xml:space="preserve"> This issue is explored further in the following section on information bias.</w:t>
      </w:r>
    </w:p>
    <w:p w14:paraId="76A54F8E" w14:textId="1D76150C" w:rsidR="00786F64" w:rsidRPr="00F80B1F" w:rsidRDefault="00786F64" w:rsidP="00423581">
      <w:r w:rsidRPr="00F80B1F">
        <w:lastRenderedPageBreak/>
        <w:t xml:space="preserve">Estimated </w:t>
      </w:r>
      <w:r w:rsidR="002420EA">
        <w:t>contaminant concentrations</w:t>
      </w:r>
      <w:r w:rsidRPr="00F80B1F">
        <w:t xml:space="preserve"> w</w:t>
      </w:r>
      <w:r w:rsidR="002420EA">
        <w:t>ere</w:t>
      </w:r>
      <w:r w:rsidRPr="00F80B1F">
        <w:t xml:space="preserve"> </w:t>
      </w:r>
      <w:r w:rsidR="002420EA">
        <w:t>averaged</w:t>
      </w:r>
      <w:r w:rsidRPr="00F80B1F">
        <w:t xml:space="preserve"> across two different time periods representing two potential etiologies of disease, the </w:t>
      </w:r>
      <w:r w:rsidRPr="00F80B1F">
        <w:rPr>
          <w:i/>
        </w:rPr>
        <w:t>in-utero</w:t>
      </w:r>
      <w:r w:rsidRPr="00F80B1F">
        <w:t xml:space="preserve"> time period and the childhood time period</w:t>
      </w:r>
      <w:r w:rsidR="00716072">
        <w:t xml:space="preserve">. </w:t>
      </w:r>
      <w:r w:rsidRPr="00F80B1F">
        <w:t xml:space="preserve">This </w:t>
      </w:r>
      <w:r w:rsidR="00D25A88">
        <w:t>average</w:t>
      </w:r>
      <w:r w:rsidRPr="00F80B1F">
        <w:t xml:space="preserve"> measure </w:t>
      </w:r>
      <w:r w:rsidR="002420EA">
        <w:t>is primarily an evaluation of</w:t>
      </w:r>
      <w:r w:rsidRPr="00F80B1F">
        <w:t xml:space="preserve"> </w:t>
      </w:r>
      <w:r w:rsidR="002420EA">
        <w:t xml:space="preserve">concentration </w:t>
      </w:r>
      <w:r w:rsidRPr="00F80B1F">
        <w:t xml:space="preserve">magnitude and </w:t>
      </w:r>
      <w:r w:rsidR="002420EA">
        <w:t xml:space="preserve">does not measure the potential effect of exposure </w:t>
      </w:r>
      <w:r w:rsidRPr="00F80B1F">
        <w:t>duration</w:t>
      </w:r>
      <w:r w:rsidR="002420EA">
        <w:t>.</w:t>
      </w:r>
      <w:r w:rsidR="00D25A88">
        <w:t xml:space="preserve"> For this reason, duration of exposure was also evaluated as an independent predictor of childhood cancer both in univariate logistic regression models and as a covariate in models with the primary exposure metric.</w:t>
      </w:r>
      <w:r w:rsidR="002420EA">
        <w:t xml:space="preserve"> </w:t>
      </w:r>
      <w:r w:rsidR="009C1228">
        <w:t>Duration of exposure was not found to be independently associated with childhood cancer and it was not found to impact associations between the primary exposure metric (average monthly contaminant concentrations) and childhood cancer.</w:t>
      </w:r>
    </w:p>
    <w:p w14:paraId="2F97BC88" w14:textId="5119FABD" w:rsidR="00883A68" w:rsidRDefault="002420EA" w:rsidP="00423581">
      <w:r>
        <w:t xml:space="preserve">Potential </w:t>
      </w:r>
      <w:r w:rsidR="00786F64" w:rsidRPr="00F80B1F">
        <w:t xml:space="preserve">exposure </w:t>
      </w:r>
      <w:r>
        <w:t xml:space="preserve">was also evaluated as an ever/never </w:t>
      </w:r>
      <w:r w:rsidR="00786F64" w:rsidRPr="00F80B1F">
        <w:t xml:space="preserve">type metric, </w:t>
      </w:r>
      <w:r>
        <w:t xml:space="preserve">in addition to a categorical zero/low/high metric, </w:t>
      </w:r>
      <w:r w:rsidR="00786F64" w:rsidRPr="00F80B1F">
        <w:t xml:space="preserve">which may be useful if any </w:t>
      </w:r>
      <w:r w:rsidR="0088137F">
        <w:t xml:space="preserve">amount of </w:t>
      </w:r>
      <w:r w:rsidR="00786F64" w:rsidRPr="00F80B1F">
        <w:t xml:space="preserve">exposure to NDMA </w:t>
      </w:r>
      <w:r>
        <w:t xml:space="preserve">or TCE </w:t>
      </w:r>
      <w:r w:rsidR="00786F64" w:rsidRPr="00F80B1F">
        <w:t>is thought to i</w:t>
      </w:r>
      <w:r w:rsidR="005A4DEC">
        <w:t>ncrease risk of childhood cancer</w:t>
      </w:r>
      <w:r w:rsidR="00716072">
        <w:t xml:space="preserve">. </w:t>
      </w:r>
      <w:r w:rsidR="005A4DEC">
        <w:t xml:space="preserve">A </w:t>
      </w:r>
      <w:r>
        <w:t>dichotomous ever/never</w:t>
      </w:r>
      <w:r w:rsidR="005A4DEC">
        <w:t xml:space="preserve"> metric can also be useful when a relatively high degree of confidence exists around the presence or absence of exposure even if precise exposure estimates have potential error (such as from lack of ingestion information). </w:t>
      </w:r>
      <w:r w:rsidR="00786F64" w:rsidRPr="00F80B1F">
        <w:t xml:space="preserve">In the </w:t>
      </w:r>
      <w:r>
        <w:t>ever/never</w:t>
      </w:r>
      <w:r w:rsidR="00786F64" w:rsidRPr="00F80B1F">
        <w:t xml:space="preserve"> analysis, the odds ratios were elevated for maternal NDMA exposure and the risk of childhood cancer as well as the risk of leukemia/lymphoma, although </w:t>
      </w:r>
      <w:r w:rsidR="00BC7757">
        <w:t>the elevations</w:t>
      </w:r>
      <w:r w:rsidR="00786F64" w:rsidRPr="00F80B1F">
        <w:t xml:space="preserve"> were not statistically significant.</w:t>
      </w:r>
    </w:p>
    <w:p w14:paraId="08BA5D06" w14:textId="6D89F765" w:rsidR="0023601D" w:rsidRPr="00F80B1F" w:rsidRDefault="0023601D" w:rsidP="009B5DA2">
      <w:pPr>
        <w:pStyle w:val="Heading2"/>
      </w:pPr>
      <w:bookmarkStart w:id="221" w:name="_Toc67488294"/>
      <w:r w:rsidRPr="00F80B1F">
        <w:t>RESPONSE RATES/SELECTION BIAS</w:t>
      </w:r>
      <w:bookmarkEnd w:id="221"/>
      <w:r w:rsidRPr="00F80B1F">
        <w:t xml:space="preserve"> </w:t>
      </w:r>
    </w:p>
    <w:p w14:paraId="708F728A" w14:textId="77777777" w:rsidR="0023601D" w:rsidRPr="00F80B1F" w:rsidRDefault="0023601D" w:rsidP="00423581">
      <w:r>
        <w:t xml:space="preserve">Three of the 21 eligible </w:t>
      </w:r>
      <w:r w:rsidRPr="00F80B1F">
        <w:t xml:space="preserve">children diagnosed with cancer </w:t>
      </w:r>
      <w:r>
        <w:t xml:space="preserve">in Wilmington </w:t>
      </w:r>
      <w:r w:rsidRPr="00F80B1F">
        <w:t>did not participate in th</w:t>
      </w:r>
      <w:r>
        <w:t>is</w:t>
      </w:r>
      <w:r w:rsidRPr="00F80B1F">
        <w:t xml:space="preserve"> study</w:t>
      </w:r>
      <w:r>
        <w:t>, representing</w:t>
      </w:r>
      <w:r w:rsidRPr="00F80B1F">
        <w:t xml:space="preserve"> one bone cancer, one </w:t>
      </w:r>
      <w:r>
        <w:t>germ cell</w:t>
      </w:r>
      <w:r w:rsidRPr="00F80B1F">
        <w:t xml:space="preserve"> cancer, and one soft tissue sarcoma</w:t>
      </w:r>
      <w:r w:rsidR="00716072">
        <w:t xml:space="preserve">. </w:t>
      </w:r>
      <w:r w:rsidRPr="00F80B1F">
        <w:t xml:space="preserve">Only limited information is known about the location </w:t>
      </w:r>
      <w:r>
        <w:t xml:space="preserve">and duration </w:t>
      </w:r>
      <w:r w:rsidRPr="00F80B1F">
        <w:t xml:space="preserve">of </w:t>
      </w:r>
      <w:r>
        <w:t xml:space="preserve">their </w:t>
      </w:r>
      <w:r w:rsidRPr="00F80B1F">
        <w:t>residence and no information known on medical histories or other potential risk factors</w:t>
      </w:r>
      <w:r w:rsidR="00716072">
        <w:t xml:space="preserve">. </w:t>
      </w:r>
      <w:r>
        <w:t>The main impact of their lack of inclusion would be a smaller sample size and the related reduction in</w:t>
      </w:r>
      <w:r w:rsidRPr="00F80B1F">
        <w:t xml:space="preserve"> the study’s </w:t>
      </w:r>
      <w:r>
        <w:t xml:space="preserve">statistical power </w:t>
      </w:r>
      <w:r w:rsidRPr="00F80B1F">
        <w:t xml:space="preserve">to </w:t>
      </w:r>
      <w:r>
        <w:t>reject or accept hypotheses related to environmental exposures and childhood cancer.</w:t>
      </w:r>
    </w:p>
    <w:p w14:paraId="4A29FD49" w14:textId="77777777" w:rsidR="0023601D" w:rsidRDefault="0023601D" w:rsidP="00423581">
      <w:r w:rsidRPr="00F80B1F">
        <w:t>The</w:t>
      </w:r>
      <w:r>
        <w:t xml:space="preserve"> participation rate for control</w:t>
      </w:r>
      <w:r w:rsidRPr="00F80B1F">
        <w:t xml:space="preserve">s was </w:t>
      </w:r>
      <w:r>
        <w:t>32</w:t>
      </w:r>
      <w:r w:rsidRPr="00F80B1F">
        <w:t>%</w:t>
      </w:r>
      <w:r w:rsidR="00716072">
        <w:t xml:space="preserve">. </w:t>
      </w:r>
      <w:r>
        <w:t>Nonetheless, a</w:t>
      </w:r>
      <w:r w:rsidRPr="00F80B1F">
        <w:t xml:space="preserve"> large pool of potential controls</w:t>
      </w:r>
      <w:r>
        <w:t xml:space="preserve"> enabled the study goal of a 1:4 case to control ratio to be</w:t>
      </w:r>
      <w:r w:rsidRPr="00F80B1F">
        <w:t xml:space="preserve"> met</w:t>
      </w:r>
      <w:r w:rsidR="00716072">
        <w:t xml:space="preserve">. </w:t>
      </w:r>
      <w:r w:rsidRPr="00F80B1F">
        <w:t>Th</w:t>
      </w:r>
      <w:r>
        <w:t>us</w:t>
      </w:r>
      <w:r w:rsidRPr="00F80B1F">
        <w:t xml:space="preserve">, the </w:t>
      </w:r>
      <w:r>
        <w:t xml:space="preserve">statistical </w:t>
      </w:r>
      <w:r w:rsidRPr="00F80B1F">
        <w:t xml:space="preserve">efficiency of the study to detect effects was not reduced by the </w:t>
      </w:r>
      <w:r>
        <w:t xml:space="preserve">somewhat low control </w:t>
      </w:r>
      <w:r w:rsidRPr="00F80B1F">
        <w:t>participation rate</w:t>
      </w:r>
      <w:r w:rsidR="00716072">
        <w:t xml:space="preserve">. </w:t>
      </w:r>
      <w:r w:rsidRPr="00F80B1F">
        <w:t xml:space="preserve">However, there exists the theoretical possibility </w:t>
      </w:r>
      <w:r>
        <w:t>of</w:t>
      </w:r>
      <w:r w:rsidRPr="00F80B1F">
        <w:t xml:space="preserve"> some difference(s) between those controls who agreed to participate and those </w:t>
      </w:r>
      <w:r>
        <w:t>who</w:t>
      </w:r>
      <w:r w:rsidRPr="00F80B1F">
        <w:t xml:space="preserve"> did not</w:t>
      </w:r>
      <w:r w:rsidR="00716072">
        <w:t xml:space="preserve">. </w:t>
      </w:r>
      <w:r w:rsidRPr="00F80B1F">
        <w:t>For an adverse effect on the study</w:t>
      </w:r>
      <w:r>
        <w:t>’s results</w:t>
      </w:r>
      <w:r w:rsidRPr="00F80B1F">
        <w:t xml:space="preserve"> to occur, the difference(s) would need to be</w:t>
      </w:r>
      <w:r>
        <w:t xml:space="preserve"> related to</w:t>
      </w:r>
      <w:r w:rsidRPr="00F80B1F">
        <w:t xml:space="preserve"> their potential for exposure to drinking water contaminants (e.g., </w:t>
      </w:r>
      <w:r>
        <w:t>if non-participating controls lived</w:t>
      </w:r>
      <w:r w:rsidRPr="00F80B1F">
        <w:t xml:space="preserve"> in a different part of town than participating controls or for different lengths of time) or in their experience with other childhood cancer risk factors</w:t>
      </w:r>
      <w:r w:rsidR="00716072">
        <w:t xml:space="preserve">. </w:t>
      </w:r>
      <w:r>
        <w:lastRenderedPageBreak/>
        <w:t>T</w:t>
      </w:r>
      <w:r w:rsidRPr="00F80B1F">
        <w:t xml:space="preserve">here </w:t>
      </w:r>
      <w:r>
        <w:t xml:space="preserve">was limited </w:t>
      </w:r>
      <w:r w:rsidRPr="00F80B1F">
        <w:t xml:space="preserve">information </w:t>
      </w:r>
      <w:r>
        <w:t xml:space="preserve">with which </w:t>
      </w:r>
      <w:r w:rsidRPr="00F80B1F">
        <w:t xml:space="preserve">to assess the potential for </w:t>
      </w:r>
      <w:r>
        <w:t xml:space="preserve">this </w:t>
      </w:r>
      <w:r w:rsidRPr="00F80B1F">
        <w:t>bias</w:t>
      </w:r>
      <w:r>
        <w:t xml:space="preserve"> (i.e. no full residential histories), but a geographic comparison of recruitment letter addresses between p</w:t>
      </w:r>
      <w:r w:rsidRPr="003F14D8">
        <w:t xml:space="preserve">articipating </w:t>
      </w:r>
      <w:r>
        <w:t>and non-</w:t>
      </w:r>
      <w:r w:rsidRPr="003F14D8">
        <w:t>participating controls</w:t>
      </w:r>
      <w:r>
        <w:t xml:space="preserve"> showed </w:t>
      </w:r>
      <w:r w:rsidRPr="003F14D8">
        <w:t>similar</w:t>
      </w:r>
      <w:r>
        <w:t xml:space="preserve"> proportions of each within the areas of Wilmington estimated to have received higher concentrations of NDMA and TCE versus those receiving very little of the contaminants</w:t>
      </w:r>
      <w:r w:rsidR="00716072">
        <w:t xml:space="preserve">. </w:t>
      </w:r>
      <w:r>
        <w:t xml:space="preserve">This suggests </w:t>
      </w:r>
      <w:r w:rsidRPr="003F14D8">
        <w:t xml:space="preserve">that </w:t>
      </w:r>
      <w:r>
        <w:t xml:space="preserve">control </w:t>
      </w:r>
      <w:r w:rsidRPr="003F14D8">
        <w:t>participati</w:t>
      </w:r>
      <w:r>
        <w:t>o</w:t>
      </w:r>
      <w:r w:rsidRPr="003F14D8">
        <w:t>n</w:t>
      </w:r>
      <w:r>
        <w:t xml:space="preserve"> was likely not related to the </w:t>
      </w:r>
      <w:r w:rsidRPr="003F14D8">
        <w:t>opportunit</w:t>
      </w:r>
      <w:r>
        <w:t>y</w:t>
      </w:r>
      <w:r w:rsidRPr="003F14D8">
        <w:t xml:space="preserve"> for exposure </w:t>
      </w:r>
      <w:r>
        <w:t xml:space="preserve">to </w:t>
      </w:r>
      <w:r w:rsidRPr="003F14D8">
        <w:t>drinking water contaminant</w:t>
      </w:r>
      <w:r>
        <w:t>s</w:t>
      </w:r>
      <w:r w:rsidR="00716072">
        <w:t xml:space="preserve">. </w:t>
      </w:r>
    </w:p>
    <w:p w14:paraId="47E6BBC0" w14:textId="77777777" w:rsidR="0023601D" w:rsidRDefault="0023601D" w:rsidP="00423581">
      <w:r>
        <w:t xml:space="preserve">With respect to other population characteristics, </w:t>
      </w:r>
      <w:r w:rsidRPr="00F80B1F">
        <w:t xml:space="preserve">comparisons </w:t>
      </w:r>
      <w:r>
        <w:t>showed that maternal educational background</w:t>
      </w:r>
      <w:r w:rsidRPr="00F80B1F">
        <w:t xml:space="preserve">, length of residence in Wilmington, </w:t>
      </w:r>
      <w:r>
        <w:t>age at birth, and prenatal vitamin use were all very similar</w:t>
      </w:r>
      <w:r w:rsidRPr="00194C8D">
        <w:t xml:space="preserve"> </w:t>
      </w:r>
      <w:r>
        <w:t>between</w:t>
      </w:r>
      <w:r w:rsidRPr="00F80B1F">
        <w:t xml:space="preserve"> participating cases and controls</w:t>
      </w:r>
      <w:r w:rsidR="00716072">
        <w:t xml:space="preserve">. </w:t>
      </w:r>
      <w:r>
        <w:t>Family history of cancer was also similar between cases and controls with approximately 20% of each having an immediate family member with cancer diagnosed prior to age 50 and only one participant, a control, having an immediate family member with cancer diagnosed prior to age 20 years (rates of missing information for this variable were similar between cases and controls at approximately 15%—see Appendix D)</w:t>
      </w:r>
      <w:r w:rsidR="00716072">
        <w:t xml:space="preserve">. </w:t>
      </w:r>
      <w:r w:rsidRPr="00F80B1F">
        <w:t xml:space="preserve">This suggests that the controls did not appear to be systematically different from the cases and that </w:t>
      </w:r>
      <w:r>
        <w:t xml:space="preserve">selection </w:t>
      </w:r>
      <w:r w:rsidRPr="00F80B1F">
        <w:t>bias was not likely introduced into the study</w:t>
      </w:r>
      <w:r>
        <w:t>.</w:t>
      </w:r>
    </w:p>
    <w:p w14:paraId="79BD939B" w14:textId="32F3EB14" w:rsidR="0023601D" w:rsidRPr="00F80B1F" w:rsidRDefault="00EF5714" w:rsidP="009B5DA2">
      <w:pPr>
        <w:pStyle w:val="Heading2"/>
      </w:pPr>
      <w:bookmarkStart w:id="222" w:name="_Toc67488295"/>
      <w:r>
        <w:t>INFORMATION</w:t>
      </w:r>
      <w:r w:rsidR="0023601D">
        <w:t xml:space="preserve"> BIAS</w:t>
      </w:r>
      <w:bookmarkEnd w:id="222"/>
    </w:p>
    <w:p w14:paraId="78D49FDC" w14:textId="77777777" w:rsidR="0023601D" w:rsidRDefault="0023601D" w:rsidP="00423581">
      <w:r>
        <w:t xml:space="preserve">In </w:t>
      </w:r>
      <w:r w:rsidR="00EF5714">
        <w:t>any study</w:t>
      </w:r>
      <w:r>
        <w:t xml:space="preserve">, it is important to consider the </w:t>
      </w:r>
      <w:r w:rsidR="00EF5714">
        <w:t>potential for</w:t>
      </w:r>
      <w:r>
        <w:t xml:space="preserve"> information bias </w:t>
      </w:r>
      <w:r w:rsidR="00EF5714">
        <w:t>and the effect it may have when interpreting the results</w:t>
      </w:r>
      <w:r w:rsidR="00716072">
        <w:t xml:space="preserve">. </w:t>
      </w:r>
      <w:r w:rsidR="00EF5714">
        <w:t>E</w:t>
      </w:r>
      <w:r>
        <w:t xml:space="preserve">lsewhere in the report, </w:t>
      </w:r>
      <w:r w:rsidR="00EF5714">
        <w:t>methods are described for the</w:t>
      </w:r>
      <w:r>
        <w:t xml:space="preserve"> assess</w:t>
      </w:r>
      <w:r w:rsidR="00EF5714">
        <w:t>ment</w:t>
      </w:r>
      <w:r>
        <w:t xml:space="preserve"> and control </w:t>
      </w:r>
      <w:r w:rsidR="00EF5714">
        <w:t>of</w:t>
      </w:r>
      <w:r>
        <w:t xml:space="preserve"> confounding, which can statistically distort an association between an exposure and outcome</w:t>
      </w:r>
      <w:r w:rsidR="00716072">
        <w:t xml:space="preserve">. </w:t>
      </w:r>
      <w:r w:rsidR="00EF5714">
        <w:t>I</w:t>
      </w:r>
      <w:r>
        <w:t>nformation bias</w:t>
      </w:r>
      <w:r w:rsidR="00EF5714">
        <w:t>, on the other hand,</w:t>
      </w:r>
      <w:r>
        <w:t xml:space="preserve"> can</w:t>
      </w:r>
      <w:r w:rsidR="00EF5714">
        <w:t>not be readily controlled through statistical analysis, and is better prevented where possible</w:t>
      </w:r>
      <w:r w:rsidR="00716072">
        <w:t xml:space="preserve">. </w:t>
      </w:r>
      <w:r w:rsidR="007E2418">
        <w:t>E</w:t>
      </w:r>
      <w:r w:rsidR="00EF5714">
        <w:t>xposure misclassification</w:t>
      </w:r>
      <w:r w:rsidR="007E2418">
        <w:t>, as previously discussed,</w:t>
      </w:r>
      <w:r w:rsidR="00EF5714">
        <w:t xml:space="preserve"> is o</w:t>
      </w:r>
      <w:r>
        <w:t xml:space="preserve">ne </w:t>
      </w:r>
      <w:r w:rsidR="007E2418">
        <w:t>type of information bias</w:t>
      </w:r>
      <w:r w:rsidR="00716072">
        <w:t xml:space="preserve">. </w:t>
      </w:r>
      <w:r w:rsidR="007E2418">
        <w:t xml:space="preserve">Thorough historical review of available data and complex modeling </w:t>
      </w:r>
      <w:r w:rsidR="00B968BE">
        <w:t>were</w:t>
      </w:r>
      <w:r w:rsidR="007E2418">
        <w:t xml:space="preserve"> conducted to assign NDMA and TCE concentrations as accurately as possible</w:t>
      </w:r>
      <w:r w:rsidR="00716072">
        <w:t xml:space="preserve">. </w:t>
      </w:r>
      <w:r w:rsidR="00B968BE">
        <w:t>Nonetheless</w:t>
      </w:r>
      <w:r w:rsidR="007E2418">
        <w:t>, no model is perfect and the possibility of error exists</w:t>
      </w:r>
      <w:r w:rsidR="00716072">
        <w:t xml:space="preserve">. </w:t>
      </w:r>
      <w:r>
        <w:t xml:space="preserve">This type of bias </w:t>
      </w:r>
      <w:r w:rsidR="007E2418">
        <w:t>i</w:t>
      </w:r>
      <w:r>
        <w:t xml:space="preserve">s </w:t>
      </w:r>
      <w:r w:rsidR="007E2418">
        <w:t xml:space="preserve">likely to be </w:t>
      </w:r>
      <w:r>
        <w:t>non-differential in that the potential exposure misclassification is unlikely to be related to whether one is a case or a control and, therefore, tends to bias results towards an underestimate of association between exposure and outcome.</w:t>
      </w:r>
    </w:p>
    <w:p w14:paraId="1005B32F" w14:textId="68AA6F5F" w:rsidR="008C5F06" w:rsidRDefault="0023601D" w:rsidP="00423581">
      <w:r>
        <w:t>Another type of information bias is called recall bias, which can result from the inability of people being interviewed to accurately recall information like medical history</w:t>
      </w:r>
      <w:r w:rsidR="00716072">
        <w:t xml:space="preserve">. </w:t>
      </w:r>
      <w:r>
        <w:t>Recall bias has been shown in other studies to sometimes be different in cases versus controls</w:t>
      </w:r>
      <w:r w:rsidR="00716072">
        <w:t xml:space="preserve">. </w:t>
      </w:r>
      <w:r>
        <w:t xml:space="preserve">This is differential bias and can result in </w:t>
      </w:r>
      <w:r w:rsidR="007E2418">
        <w:t xml:space="preserve">an </w:t>
      </w:r>
      <w:r>
        <w:t xml:space="preserve">underestimate or overestimate of </w:t>
      </w:r>
      <w:r w:rsidR="007E2418">
        <w:t xml:space="preserve">an </w:t>
      </w:r>
      <w:r>
        <w:t>association</w:t>
      </w:r>
      <w:r w:rsidR="007E2418">
        <w:t xml:space="preserve"> </w:t>
      </w:r>
      <w:r>
        <w:t>depending on the specifics of the recall bias</w:t>
      </w:r>
      <w:r w:rsidR="00716072">
        <w:t xml:space="preserve">. </w:t>
      </w:r>
      <w:r>
        <w:t xml:space="preserve">In this study, we attempted to minimize recall bias by providing an interview guide on the types of information of </w:t>
      </w:r>
      <w:r>
        <w:lastRenderedPageBreak/>
        <w:t>interest to participants prior to their interview</w:t>
      </w:r>
      <w:r w:rsidR="00716072">
        <w:t xml:space="preserve">. </w:t>
      </w:r>
      <w:r>
        <w:t>This gave both cases and controls the same opportunity to recall facts about their lives</w:t>
      </w:r>
      <w:r w:rsidR="00716072">
        <w:t xml:space="preserve">. </w:t>
      </w:r>
      <w:r w:rsidR="008C5F06">
        <w:t>Nevertheless, parents of cases may be prone to more thoroughly comb their memories than unaffected parents to try to recall exposure to factors thought to be possible causes of their child’s illness</w:t>
      </w:r>
      <w:r w:rsidR="005044C1">
        <w:t xml:space="preserve"> (</w:t>
      </w:r>
      <w:proofErr w:type="spellStart"/>
      <w:r w:rsidR="005044C1">
        <w:t>Linet</w:t>
      </w:r>
      <w:proofErr w:type="spellEnd"/>
      <w:r w:rsidR="005044C1">
        <w:t xml:space="preserve"> 2003)</w:t>
      </w:r>
      <w:r w:rsidR="00716072">
        <w:t xml:space="preserve">. </w:t>
      </w:r>
      <w:r w:rsidR="008C5F06">
        <w:t>This could result in higher reporting by case parents of household exposures such as metals, alloys, or solders; plastics, synthetics, or resins; and herbicides, as well as occupational ionizing radiation exposure during pregnancy.</w:t>
      </w:r>
    </w:p>
    <w:p w14:paraId="45B7DA15" w14:textId="77777777" w:rsidR="007D3764" w:rsidRDefault="008C5F06" w:rsidP="00423581">
      <w:r>
        <w:t>Another</w:t>
      </w:r>
      <w:r w:rsidR="0023601D">
        <w:t xml:space="preserve"> specific type of recall bias, called social desirability bias, may </w:t>
      </w:r>
      <w:r>
        <w:t xml:space="preserve">also </w:t>
      </w:r>
      <w:r w:rsidR="0023601D">
        <w:t>have</w:t>
      </w:r>
      <w:r>
        <w:t xml:space="preserve"> </w:t>
      </w:r>
      <w:r w:rsidR="0023601D">
        <w:t>affected cases and controls disproportionately</w:t>
      </w:r>
      <w:r w:rsidR="00716072">
        <w:t xml:space="preserve">. </w:t>
      </w:r>
      <w:r w:rsidR="0023601D">
        <w:t>Social desirability bias occurs when a participant’s perception of stigma related to sensitive topics leads them to misreport certai</w:t>
      </w:r>
      <w:r w:rsidR="007E2418">
        <w:t>n information</w:t>
      </w:r>
      <w:r w:rsidR="00716072">
        <w:t xml:space="preserve">. </w:t>
      </w:r>
      <w:r w:rsidR="0023601D">
        <w:t>In this study, it’s possible that parents of children with cancer</w:t>
      </w:r>
      <w:r w:rsidR="007E2418">
        <w:t xml:space="preserve"> were more likely to misreport a history of smoking or alcohol use, for example, than the parents of controls</w:t>
      </w:r>
      <w:r w:rsidR="00716072">
        <w:t xml:space="preserve">. </w:t>
      </w:r>
      <w:r w:rsidR="00894CB4">
        <w:t>Under-reporting of these behaviors is common in most surveys, but p</w:t>
      </w:r>
      <w:r w:rsidR="007E2418">
        <w:t xml:space="preserve">arents of cases may have </w:t>
      </w:r>
      <w:r w:rsidR="00894CB4">
        <w:t>felt particularly uncomfortable disclosing such information</w:t>
      </w:r>
      <w:r w:rsidR="00E71FA3">
        <w:t xml:space="preserve">, </w:t>
      </w:r>
      <w:r w:rsidR="008869F5">
        <w:t>especially</w:t>
      </w:r>
      <w:r w:rsidR="00E71FA3">
        <w:t xml:space="preserve"> if they stopped smoking early in pregnancy or otherwise felt that the behavior was irrelevant to their child’s cancer</w:t>
      </w:r>
      <w:r w:rsidR="00716072">
        <w:t xml:space="preserve">. </w:t>
      </w:r>
      <w:r w:rsidR="007D3764">
        <w:t>Indeed, smoking during the year before birth was reported by only 6% of case mothers compared to 27% of control mothers</w:t>
      </w:r>
      <w:r w:rsidR="00716072">
        <w:t xml:space="preserve">. </w:t>
      </w:r>
      <w:r w:rsidR="007D3764">
        <w:t>Though these results may be accurate, they are somewhat unlikely given data on the prevalence of smoking among women during that time</w:t>
      </w:r>
      <w:r w:rsidR="00716072">
        <w:t xml:space="preserve">. </w:t>
      </w:r>
      <w:r w:rsidR="007D3764">
        <w:t>Specifically, the US Office on Smoking and Health reports that approximately 35% of women aged 25-44 were active smokers in 1979 and the percentage decreased only slightly to 32% by 1985 (US HHS 2001)</w:t>
      </w:r>
      <w:r w:rsidR="00716072">
        <w:t xml:space="preserve">. </w:t>
      </w:r>
      <w:r w:rsidR="007D3764">
        <w:t>If case mothers were less likely to accurately report smoking habits, and if smoking during the year before pregnancy is a true risk factor for childhood cancer, then this could have limited our ability to adjust for the effect</w:t>
      </w:r>
      <w:r w:rsidR="005F040D">
        <w:t>s</w:t>
      </w:r>
      <w:r w:rsidR="007D3764">
        <w:t xml:space="preserve"> of smoking in our results</w:t>
      </w:r>
      <w:r w:rsidR="005F040D">
        <w:t>.</w:t>
      </w:r>
    </w:p>
    <w:p w14:paraId="0643CFD2" w14:textId="24A22BBA" w:rsidR="00F40A42" w:rsidRDefault="00E71FA3" w:rsidP="00423581">
      <w:r>
        <w:t>Similarly, it’s possible that parents of cases were more likely to report the use of bottled water if they perceived of this to be a healthier choice</w:t>
      </w:r>
      <w:r w:rsidR="00716072">
        <w:t xml:space="preserve">. </w:t>
      </w:r>
      <w:r w:rsidR="00B3402B">
        <w:t xml:space="preserve">Or, it’s possible that case parents are more likely to remember using bottled water just as they are more likely to remember other details of their past as they tend to reflect on previous habits and details more so than controls parents. </w:t>
      </w:r>
      <w:r w:rsidR="005F040D">
        <w:t>Bottled water was reported as the primary drinking water source by 39% of case mothers, but only 20% of control mothers</w:t>
      </w:r>
      <w:r w:rsidR="00716072">
        <w:t xml:space="preserve">. </w:t>
      </w:r>
      <w:r w:rsidR="005F040D">
        <w:t>Again, this information could be accurate</w:t>
      </w:r>
      <w:r w:rsidR="00FC4C95">
        <w:t>, but</w:t>
      </w:r>
      <w:r w:rsidR="005F040D">
        <w:t xml:space="preserve"> if reporting bias influenced the reliability of bottled water usage, then adjustment of this factor could bias the results towards the null</w:t>
      </w:r>
      <w:r w:rsidR="00716072">
        <w:t xml:space="preserve">. </w:t>
      </w:r>
      <w:r w:rsidR="00F40A42">
        <w:t>A large-scale survey of bottled water usage among pregnant women during the relevant time</w:t>
      </w:r>
      <w:r w:rsidR="00C9271A">
        <w:t xml:space="preserve"> </w:t>
      </w:r>
      <w:r w:rsidR="00F40A42">
        <w:t xml:space="preserve">period was not found. However, other case-control studies </w:t>
      </w:r>
      <w:r w:rsidR="007D3C19">
        <w:t>involving</w:t>
      </w:r>
      <w:r w:rsidR="00F40A42">
        <w:t xml:space="preserve"> maternal drinking water exposures</w:t>
      </w:r>
      <w:r w:rsidR="00715431">
        <w:t xml:space="preserve"> during the 1990s </w:t>
      </w:r>
      <w:r w:rsidR="00E176E2">
        <w:t>tend to report rates of bottled water usage more similar to the control</w:t>
      </w:r>
      <w:r w:rsidR="00C9271A">
        <w:t>s than the cases</w:t>
      </w:r>
      <w:r w:rsidR="00715431">
        <w:t xml:space="preserve"> </w:t>
      </w:r>
      <w:r w:rsidR="00E176E2">
        <w:t xml:space="preserve">in this study. </w:t>
      </w:r>
      <w:proofErr w:type="spellStart"/>
      <w:r w:rsidR="00E176E2">
        <w:t>Shimokura</w:t>
      </w:r>
      <w:proofErr w:type="spellEnd"/>
      <w:r w:rsidR="00E176E2">
        <w:t xml:space="preserve"> et al. (1998) studied well-educated, predominantly white, pregnant women in North Carolina in 1994 and 1995 and reported that 24% primarily drank bottled water at home. Among </w:t>
      </w:r>
      <w:r w:rsidR="00E176E2">
        <w:lastRenderedPageBreak/>
        <w:t>a population of lower-income, predominantly white, pregnant women in Colorado during 1996-1997, rates of bottled water consumption were lower (14%)</w:t>
      </w:r>
      <w:r w:rsidR="00715431">
        <w:t xml:space="preserve"> (</w:t>
      </w:r>
      <w:proofErr w:type="spellStart"/>
      <w:r w:rsidR="00715431">
        <w:t>Zender</w:t>
      </w:r>
      <w:proofErr w:type="spellEnd"/>
      <w:r w:rsidR="00715431">
        <w:t xml:space="preserve"> et al. 2001)</w:t>
      </w:r>
      <w:r w:rsidR="00E176E2">
        <w:t>.</w:t>
      </w:r>
    </w:p>
    <w:p w14:paraId="39362076" w14:textId="3909A983" w:rsidR="0023601D" w:rsidRDefault="002A3B79" w:rsidP="00423581">
      <w:r>
        <w:t>B</w:t>
      </w:r>
      <w:r w:rsidR="00F93AFB">
        <w:t xml:space="preserve">ottled water usage during the maternal exposure period </w:t>
      </w:r>
      <w:r w:rsidR="005F040D">
        <w:t xml:space="preserve">was adjusted </w:t>
      </w:r>
      <w:r w:rsidR="00FC4C95">
        <w:t xml:space="preserve">for </w:t>
      </w:r>
      <w:r w:rsidR="005F040D">
        <w:t>in two different ways</w:t>
      </w:r>
      <w:r>
        <w:t xml:space="preserve">. Assigning zero exposure to those reporting their primary water intake to be from bottled water resulted in a very large number of participants (both cases and controls) being assigned zero exposure, and effect estimates from accompanying regression models were found to be very much attenuated. However, when bottled water usage was instead adjusted for by reducing, but not eliminating, the overall magnitude of estimated contaminant concentrations, ORs for associations between </w:t>
      </w:r>
      <w:r w:rsidR="00F93AFB">
        <w:t xml:space="preserve">potential </w:t>
      </w:r>
      <w:r>
        <w:t>maternal NDMA exposure and childhood cancer were consistently elevated.</w:t>
      </w:r>
      <w:r w:rsidR="00EE523A">
        <w:t xml:space="preserve"> </w:t>
      </w:r>
      <w:r w:rsidR="007D3C19">
        <w:t>The lat</w:t>
      </w:r>
      <w:r w:rsidR="00C9271A">
        <w:t>t</w:t>
      </w:r>
      <w:r w:rsidR="007D3C19">
        <w:t xml:space="preserve">er adjustment for bottled water usage likely results in a more plausible exposure scenario considering the likelihood that those reporting use of bottled water as their primary drinking  water source undoubtedly experienced some exposure to the estimated concentrations of NDMA in their water either through occasional drinking of tap water, through cooking, or via inhalation during bathing or showering. </w:t>
      </w:r>
      <w:r w:rsidR="00EE523A">
        <w:t>Adjustment for bottled water intake had less apparent impacts on effect estimates for maternal TCE concentrations and childhood cancer.</w:t>
      </w:r>
    </w:p>
    <w:p w14:paraId="6C88179F" w14:textId="3DAC3271" w:rsidR="00EF5714" w:rsidRPr="00F80B1F" w:rsidRDefault="0023601D" w:rsidP="00423581">
      <w:r>
        <w:t>A related type of information bias occurs when public awareness of the purpose of a study by participants affects their recall and also their willingness to participate in a study</w:t>
      </w:r>
      <w:r w:rsidR="00716072">
        <w:t xml:space="preserve">. </w:t>
      </w:r>
      <w:r>
        <w:t>Some studies have found that participants who agree with a study’s known hypothesis may, knowingly or unknowingly, more selectively recall information that supports the hypothesis</w:t>
      </w:r>
      <w:r w:rsidR="00716072">
        <w:t xml:space="preserve">. </w:t>
      </w:r>
      <w:r>
        <w:t>This could result in either differential or non-differential bias</w:t>
      </w:r>
      <w:r w:rsidR="00716072">
        <w:t xml:space="preserve">. </w:t>
      </w:r>
      <w:r>
        <w:t>More common is the potential for controls to not participate at the same rate as cases because they may be less motivated</w:t>
      </w:r>
      <w:r w:rsidR="00716072">
        <w:t xml:space="preserve">. </w:t>
      </w:r>
      <w:r>
        <w:t>As discussed earlier, cases and controls shared similar demographic</w:t>
      </w:r>
      <w:r w:rsidR="00A007CF">
        <w:t xml:space="preserve"> characteristics, so this bias </w:t>
      </w:r>
      <w:r>
        <w:t>appear</w:t>
      </w:r>
      <w:r w:rsidR="00A007CF">
        <w:t>s</w:t>
      </w:r>
      <w:r>
        <w:t xml:space="preserve"> to be an unlikely factor in this study.</w:t>
      </w:r>
    </w:p>
    <w:p w14:paraId="3BFF16EA" w14:textId="01FABD15" w:rsidR="00786F64" w:rsidRDefault="00786F64" w:rsidP="009B5DA2">
      <w:pPr>
        <w:pStyle w:val="Heading2"/>
      </w:pPr>
      <w:bookmarkStart w:id="223" w:name="_Toc67488296"/>
      <w:r>
        <w:t>CONFOUNDING</w:t>
      </w:r>
      <w:bookmarkEnd w:id="223"/>
    </w:p>
    <w:p w14:paraId="4E06E96B" w14:textId="60FA9E7F" w:rsidR="004822CE" w:rsidRDefault="00786F64" w:rsidP="00423581">
      <w:r>
        <w:t xml:space="preserve">As described, we identified a number of childhood cancer risk factors that were plausibly associated </w:t>
      </w:r>
      <w:r w:rsidR="003246A2">
        <w:t xml:space="preserve">with the outcomes in this study </w:t>
      </w:r>
      <w:r>
        <w:t xml:space="preserve">and had a </w:t>
      </w:r>
      <w:r w:rsidRPr="00C67EB4">
        <w:rPr>
          <w:i/>
        </w:rPr>
        <w:t>p</w:t>
      </w:r>
      <w:r w:rsidR="003246A2">
        <w:t xml:space="preserve"> &lt;0.20</w:t>
      </w:r>
      <w:r>
        <w:t xml:space="preserve"> with either all cancers or leukemia/lympho</w:t>
      </w:r>
      <w:r w:rsidR="003246A2">
        <w:t>ma</w:t>
      </w:r>
      <w:r w:rsidR="00716072">
        <w:t xml:space="preserve">. </w:t>
      </w:r>
      <w:r w:rsidR="003E5F52">
        <w:t>Their</w:t>
      </w:r>
      <w:r>
        <w:t xml:space="preserve"> impact as confounders</w:t>
      </w:r>
      <w:r w:rsidR="003E5F52">
        <w:t xml:space="preserve"> was assessed for associations between NDMA and TCE and childhood cancer. Sample size limitations precluded ful</w:t>
      </w:r>
      <w:r w:rsidR="004822CE">
        <w:t xml:space="preserve">l confounding assessment of TCE exposure in the </w:t>
      </w:r>
      <w:r w:rsidR="007F74B7">
        <w:t>Leukemia/Lymphoma</w:t>
      </w:r>
      <w:r w:rsidR="003E5F52">
        <w:t xml:space="preserve"> subgroup analyses</w:t>
      </w:r>
      <w:r w:rsidR="004822CE">
        <w:t xml:space="preserve"> and limited the confounding assessment to the dichotomous (ever/never) TCE exposure metric.</w:t>
      </w:r>
    </w:p>
    <w:p w14:paraId="441ED511" w14:textId="456A3340" w:rsidR="00786F64" w:rsidRDefault="004822CE" w:rsidP="00423581">
      <w:r>
        <w:lastRenderedPageBreak/>
        <w:t>I</w:t>
      </w:r>
      <w:r w:rsidR="00786F64">
        <w:t xml:space="preserve">t was determined that eight variables were acting as confounders </w:t>
      </w:r>
      <w:r w:rsidR="003246A2">
        <w:t xml:space="preserve">of the association between categorical </w:t>
      </w:r>
      <w:r w:rsidR="003E5F52">
        <w:t xml:space="preserve">maternal </w:t>
      </w:r>
      <w:r w:rsidR="003246A2">
        <w:t xml:space="preserve">NDMA </w:t>
      </w:r>
      <w:r w:rsidR="003E5F52">
        <w:t xml:space="preserve">concentrations </w:t>
      </w:r>
      <w:r w:rsidR="003246A2">
        <w:t xml:space="preserve">and the odds of childhood cancer </w:t>
      </w:r>
      <w:r w:rsidR="00786F64">
        <w:t>(i.e</w:t>
      </w:r>
      <w:r w:rsidR="00716072">
        <w:t xml:space="preserve">. </w:t>
      </w:r>
      <w:r w:rsidR="00786F64">
        <w:t>changing the effect estimate of NDMA on cancer by at least 10%)</w:t>
      </w:r>
      <w:r w:rsidR="00716072">
        <w:t xml:space="preserve">. </w:t>
      </w:r>
      <w:r w:rsidR="00786F64">
        <w:t xml:space="preserve">Three of these variables were logically combined into a composite adverse birth event variable, which reduced the number of confounders to be included in a multivariate model to </w:t>
      </w:r>
      <w:r>
        <w:t>5</w:t>
      </w:r>
      <w:r w:rsidR="00716072">
        <w:t xml:space="preserve">. </w:t>
      </w:r>
      <w:r w:rsidR="00786F64">
        <w:t>Due to our small sample size, however, inclusion of all confounders in one model produced wi</w:t>
      </w:r>
      <w:r>
        <w:t>l</w:t>
      </w:r>
      <w:r w:rsidR="00786F64">
        <w:t xml:space="preserve">dly </w:t>
      </w:r>
      <w:r>
        <w:t>unstable effect estimates</w:t>
      </w:r>
      <w:r w:rsidR="00716072">
        <w:t xml:space="preserve">. </w:t>
      </w:r>
      <w:r w:rsidR="00786F64">
        <w:t>In trying to reduce the model, it was determined that there was no clear empirical choice for which variables to leave in and which to remove</w:t>
      </w:r>
      <w:r w:rsidR="00716072">
        <w:t xml:space="preserve">. </w:t>
      </w:r>
      <w:r w:rsidR="00786F64">
        <w:t>Therefore, we chose to present results from models of NDMA and one additional covariate in order to give readers an understanding of the impact of each variable</w:t>
      </w:r>
      <w:r w:rsidR="00716072">
        <w:t xml:space="preserve">. </w:t>
      </w:r>
      <w:r w:rsidR="00786F64">
        <w:t>After reviewing all model results,</w:t>
      </w:r>
      <w:r>
        <w:t xml:space="preserve"> </w:t>
      </w:r>
      <w:r w:rsidR="00786F64">
        <w:t xml:space="preserve">our conclusions regarding the </w:t>
      </w:r>
      <w:r>
        <w:t>association between</w:t>
      </w:r>
      <w:r w:rsidR="00786F64">
        <w:t xml:space="preserve"> NDMA </w:t>
      </w:r>
      <w:r>
        <w:t>and</w:t>
      </w:r>
      <w:r w:rsidR="00786F64">
        <w:t xml:space="preserve"> childhood cancer </w:t>
      </w:r>
      <w:r>
        <w:t xml:space="preserve">in this population </w:t>
      </w:r>
      <w:r w:rsidR="00786F64">
        <w:t>were not changed</w:t>
      </w:r>
      <w:r w:rsidR="00716072">
        <w:t xml:space="preserve">. </w:t>
      </w:r>
      <w:r w:rsidR="00786F64">
        <w:t>The direction of effect was consistently that of a positive association between maternal NDMA exposure and childhood cancer; this was particularly true of the high exposure group</w:t>
      </w:r>
      <w:r>
        <w:t>.</w:t>
      </w:r>
    </w:p>
    <w:p w14:paraId="39295D02" w14:textId="6201FF07" w:rsidR="004822CE" w:rsidRPr="00F80B1F" w:rsidRDefault="004822CE" w:rsidP="00423581">
      <w:r>
        <w:t>Four variables were found to be confounders of the association between estimated ever/never exposure to TCE and childhood cancer</w:t>
      </w:r>
      <w:r w:rsidR="00CF5487">
        <w:t xml:space="preserve">. Nevertheless, adjusted models continued to result in positive associations and the conclusion regarding a possible association between TCE exposure and childhood cancer </w:t>
      </w:r>
      <w:r w:rsidR="00653500">
        <w:t>i</w:t>
      </w:r>
      <w:r w:rsidR="00CF5487">
        <w:t>s not changed as a result of risk factor adjustment.</w:t>
      </w:r>
    </w:p>
    <w:p w14:paraId="50786DBE" w14:textId="4FF1C58B" w:rsidR="00653500" w:rsidRDefault="00653500" w:rsidP="009B5DA2">
      <w:pPr>
        <w:pStyle w:val="Heading2"/>
      </w:pPr>
      <w:bookmarkStart w:id="224" w:name="_Toc67488297"/>
      <w:r>
        <w:t>JOINT EXPOSURE TO NDMA AND TCE</w:t>
      </w:r>
      <w:bookmarkEnd w:id="224"/>
    </w:p>
    <w:p w14:paraId="3716FE39" w14:textId="77777777" w:rsidR="00653500" w:rsidRDefault="00653500" w:rsidP="00423581">
      <w:r>
        <w:t>Positive associations between childhood cancer and estimated concentrations of drinking water contaminants were observed for both NDMA and TCE, although results for NDMA were more robust. Limitations in the ability to model historical TCE concentrations resulted in a smaller sample size for those analyses, possibly contributing to the lack of statistically significant results. Sub-analysis of TCE concentrations and odds of leukemia/lymphoma cases only was also limited to a dichotomous (ever/never) exposure metric.</w:t>
      </w:r>
    </w:p>
    <w:p w14:paraId="08239ABD" w14:textId="108C8CA5" w:rsidR="00653500" w:rsidRPr="003E5F52" w:rsidRDefault="00653500" w:rsidP="00423581">
      <w:r>
        <w:t xml:space="preserve">When joint exposures were evaluated, it was observed that 31% of cases and 25% of controls were estimated to have been exposed to both contaminants (among the 73 participants with modeled concentrations of both NDMA and TCE) and that a small, but statistically significant, correlation exists between the two contaminants in residential drinking water in this study. Assessing the effects </w:t>
      </w:r>
      <w:r w:rsidR="00463648">
        <w:t xml:space="preserve">of </w:t>
      </w:r>
      <w:r>
        <w:t xml:space="preserve">each contaminant in a multivariate model, while not wholly appropriate due to their correlated nature, nevertheless resulted in continued positive associations with childhood cancer for both the </w:t>
      </w:r>
      <w:r w:rsidR="007F74B7">
        <w:t>All Cancers</w:t>
      </w:r>
      <w:r>
        <w:t xml:space="preserve"> group and the </w:t>
      </w:r>
      <w:r w:rsidR="007F74B7">
        <w:t>Leukemia/Lymphoma</w:t>
      </w:r>
      <w:r>
        <w:t xml:space="preserve"> subgroup. Such results may suggest independent associations of each contaminant with childhood cancer in this population; </w:t>
      </w:r>
      <w:r>
        <w:lastRenderedPageBreak/>
        <w:t>however, the lack of a sample only exposed to TCE and the very small number of those only exposed to NDMA severely limits the ability to evaluate independent effects.</w:t>
      </w:r>
    </w:p>
    <w:p w14:paraId="6DE0C0A5" w14:textId="7A9D3519" w:rsidR="00786F64" w:rsidRPr="00F80B1F" w:rsidRDefault="00786F64" w:rsidP="009B5DA2">
      <w:pPr>
        <w:pStyle w:val="Heading2"/>
      </w:pPr>
      <w:bookmarkStart w:id="225" w:name="_Toc67488298"/>
      <w:r w:rsidRPr="00F80B1F">
        <w:t>OTHER RISK FACTORS FOR CHILDHOOD CANCER</w:t>
      </w:r>
      <w:bookmarkEnd w:id="225"/>
    </w:p>
    <w:p w14:paraId="624B611E" w14:textId="37989482" w:rsidR="00786F64" w:rsidRPr="00F80B1F" w:rsidRDefault="00786F64" w:rsidP="00423581">
      <w:r w:rsidRPr="00F80B1F">
        <w:t>The primary goal of th</w:t>
      </w:r>
      <w:r w:rsidR="00A03454">
        <w:t>is</w:t>
      </w:r>
      <w:r w:rsidRPr="00F80B1F">
        <w:t xml:space="preserve"> study was to assess the risk of childhood cancer from exposure to NDMA </w:t>
      </w:r>
      <w:r w:rsidR="00A03454">
        <w:t xml:space="preserve">or TCE </w:t>
      </w:r>
      <w:r w:rsidRPr="00F80B1F">
        <w:t>in drinking wate</w:t>
      </w:r>
      <w:r w:rsidR="00A03454">
        <w:t>r. H</w:t>
      </w:r>
      <w:r w:rsidRPr="00F80B1F">
        <w:t>owever</w:t>
      </w:r>
      <w:r w:rsidR="00A03454">
        <w:t>,</w:t>
      </w:r>
      <w:r w:rsidRPr="00F80B1F">
        <w:t xml:space="preserve"> numerous other possible risk factors were also evaluated</w:t>
      </w:r>
      <w:r w:rsidR="00716072">
        <w:t xml:space="preserve">. </w:t>
      </w:r>
      <w:r w:rsidRPr="00F80B1F">
        <w:t xml:space="preserve">Particular emphasis was placed on identifying factors associated with cancer risk in this population so that we could control for their effect </w:t>
      </w:r>
      <w:r w:rsidR="00A03454">
        <w:t>i</w:t>
      </w:r>
      <w:r w:rsidRPr="00F80B1F">
        <w:t xml:space="preserve">n estimates of cancer risk from </w:t>
      </w:r>
      <w:r w:rsidR="00A03454">
        <w:t>drinking water contaminant</w:t>
      </w:r>
      <w:r w:rsidRPr="00F80B1F">
        <w:t xml:space="preserve"> exposure</w:t>
      </w:r>
      <w:r w:rsidR="00A03454">
        <w:t>s</w:t>
      </w:r>
      <w:r w:rsidRPr="00F80B1F">
        <w:t>.</w:t>
      </w:r>
    </w:p>
    <w:p w14:paraId="00D99A63" w14:textId="77777777" w:rsidR="00786F64" w:rsidRPr="00F80B1F" w:rsidRDefault="00786F64" w:rsidP="00423581">
      <w:r w:rsidRPr="00F80B1F">
        <w:t>Although the study targeted a number of possible risk factors for childhood cancer, little is known about what the risk factors for childhood cancer actually are</w:t>
      </w:r>
      <w:r w:rsidR="00716072">
        <w:t xml:space="preserve">. </w:t>
      </w:r>
      <w:r w:rsidRPr="00F80B1F">
        <w:t>Scientific research has so far identified known or suspected familial/genetic risk factors that might explain only 5% to 10% of childhood cancers</w:t>
      </w:r>
      <w:r w:rsidR="00716072">
        <w:t xml:space="preserve">. </w:t>
      </w:r>
      <w:r w:rsidRPr="00F80B1F">
        <w:t>Those estimates are similar to those for known or suspected environmental risk factors for childhood cancers</w:t>
      </w:r>
      <w:r w:rsidR="00716072">
        <w:t xml:space="preserve">. </w:t>
      </w:r>
      <w:r w:rsidRPr="00F80B1F">
        <w:t>Therefore, the cause of 75% to 90% of childhood cancers is still considered unknown (</w:t>
      </w:r>
      <w:r w:rsidRPr="00BC7757">
        <w:t>WHO</w:t>
      </w:r>
      <w:r w:rsidR="00BC7757">
        <w:t xml:space="preserve"> </w:t>
      </w:r>
      <w:r w:rsidR="00765B25">
        <w:t>2008</w:t>
      </w:r>
      <w:r w:rsidRPr="00F80B1F">
        <w:t>).</w:t>
      </w:r>
    </w:p>
    <w:p w14:paraId="37047D51" w14:textId="5FFF5C23" w:rsidR="00786F64" w:rsidRPr="00F80B1F" w:rsidRDefault="00786F64" w:rsidP="00423581">
      <w:r w:rsidRPr="00F80B1F">
        <w:t xml:space="preserve">Based upon findings reported in the scientific literature </w:t>
      </w:r>
      <w:r w:rsidRPr="00BC7757">
        <w:t>(</w:t>
      </w:r>
      <w:r w:rsidR="00635B27">
        <w:t>Roman et al. 2018</w:t>
      </w:r>
      <w:r w:rsidRPr="00BC7757">
        <w:t>)</w:t>
      </w:r>
      <w:r w:rsidRPr="00F80B1F">
        <w:t xml:space="preserve"> regarding possible childhood cancer risk factors, we evaluated a large number of variables from environmental exposures to lifestyle behaviors to child and family medical histories</w:t>
      </w:r>
      <w:r w:rsidR="00716072">
        <w:t xml:space="preserve">. </w:t>
      </w:r>
      <w:r w:rsidRPr="00F80B1F">
        <w:t>The majority of factors examined showed no association with an increased risk of childhood cancer</w:t>
      </w:r>
      <w:r w:rsidR="00716072">
        <w:t xml:space="preserve">. </w:t>
      </w:r>
      <w:r w:rsidRPr="00F80B1F">
        <w:t xml:space="preserve">However, statistically significant </w:t>
      </w:r>
      <w:r w:rsidR="00653500">
        <w:t xml:space="preserve">or marginally significant </w:t>
      </w:r>
      <w:r w:rsidRPr="00F80B1F">
        <w:t xml:space="preserve">increased risk was estimated for a few factors either in the All Cancer group, the Leukemia/Lymphoma </w:t>
      </w:r>
      <w:r w:rsidR="009176A5">
        <w:t>sub</w:t>
      </w:r>
      <w:r w:rsidRPr="00F80B1F">
        <w:t>group, or in both groups</w:t>
      </w:r>
      <w:r w:rsidR="00653500">
        <w:t>.</w:t>
      </w:r>
    </w:p>
    <w:p w14:paraId="42484C7E" w14:textId="77777777" w:rsidR="00786F64" w:rsidRPr="00F80B1F" w:rsidRDefault="00786F64" w:rsidP="0010161F">
      <w:pPr>
        <w:pStyle w:val="Heading3"/>
      </w:pPr>
      <w:r w:rsidRPr="00F80B1F">
        <w:t>Maternal Medical and Pregnancy History</w:t>
      </w:r>
    </w:p>
    <w:p w14:paraId="6AAB4853" w14:textId="5B373C97" w:rsidR="00786F64" w:rsidRPr="00F80B1F" w:rsidRDefault="00786F64" w:rsidP="00423581">
      <w:r w:rsidRPr="00F80B1F">
        <w:t>The risk of childhood cancer and pregnancy factors has often been studied</w:t>
      </w:r>
      <w:r w:rsidR="00716072">
        <w:t xml:space="preserve">. </w:t>
      </w:r>
      <w:r w:rsidRPr="00F80B1F">
        <w:t>However, findings on those factors, maternal age at delivery, birth weight, maternal alcohol use, and maternal and paternal smoking during pregnancy, have not always been shown to demonstrate consistent results on the risk with childhood cancer</w:t>
      </w:r>
      <w:r w:rsidR="00716072">
        <w:t xml:space="preserve">. </w:t>
      </w:r>
      <w:r w:rsidRPr="00F80B1F">
        <w:t>High birth weight has often been associated with increased risk of acute lymphocytic leukemia (Ross</w:t>
      </w:r>
      <w:r w:rsidR="00765B25">
        <w:t xml:space="preserve"> 2006</w:t>
      </w:r>
      <w:r w:rsidRPr="00F80B1F">
        <w:t>; Charalambous</w:t>
      </w:r>
      <w:r w:rsidR="00CE7D52">
        <w:t xml:space="preserve"> and </w:t>
      </w:r>
      <w:proofErr w:type="spellStart"/>
      <w:r w:rsidR="00CE7D52">
        <w:t>Vasileiou</w:t>
      </w:r>
      <w:proofErr w:type="spellEnd"/>
      <w:r w:rsidR="00765B25">
        <w:t xml:space="preserve"> 2012</w:t>
      </w:r>
      <w:r w:rsidRPr="00F80B1F">
        <w:t xml:space="preserve">), which has led some researchers to believe that leukemia originates </w:t>
      </w:r>
      <w:r w:rsidRPr="00F80B1F">
        <w:rPr>
          <w:i/>
        </w:rPr>
        <w:t xml:space="preserve">in utero </w:t>
      </w:r>
      <w:r w:rsidRPr="00F80B1F">
        <w:t>(</w:t>
      </w:r>
      <w:proofErr w:type="spellStart"/>
      <w:r w:rsidR="00765B25">
        <w:t>H</w:t>
      </w:r>
      <w:r w:rsidRPr="00765B25">
        <w:t>jalgrim</w:t>
      </w:r>
      <w:proofErr w:type="spellEnd"/>
      <w:r w:rsidR="009455BD">
        <w:t xml:space="preserve"> et al</w:t>
      </w:r>
      <w:r w:rsidR="00716072">
        <w:t xml:space="preserve">. </w:t>
      </w:r>
      <w:r w:rsidR="00765B25">
        <w:t>200</w:t>
      </w:r>
      <w:r w:rsidR="009455BD">
        <w:t>4</w:t>
      </w:r>
      <w:r w:rsidRPr="00F80B1F">
        <w:t>)</w:t>
      </w:r>
      <w:r w:rsidR="00716072">
        <w:t xml:space="preserve">. </w:t>
      </w:r>
      <w:r w:rsidR="00463648">
        <w:t>S</w:t>
      </w:r>
      <w:r w:rsidRPr="00F80B1F">
        <w:t>ome studies have shown increased risk associated with maternal smoking and leukemia (</w:t>
      </w:r>
      <w:r w:rsidRPr="00765B25">
        <w:t>MacArthur</w:t>
      </w:r>
      <w:r w:rsidR="00454955">
        <w:t xml:space="preserve"> et al</w:t>
      </w:r>
      <w:r w:rsidR="00716072">
        <w:t xml:space="preserve">. </w:t>
      </w:r>
      <w:r w:rsidR="00765B25">
        <w:t>2008</w:t>
      </w:r>
      <w:r w:rsidRPr="00F80B1F">
        <w:t xml:space="preserve">), </w:t>
      </w:r>
      <w:r w:rsidR="00463648">
        <w:t xml:space="preserve">but </w:t>
      </w:r>
      <w:r w:rsidRPr="00F80B1F">
        <w:t>others have not (</w:t>
      </w:r>
      <w:r w:rsidRPr="00765B25">
        <w:t>Pang</w:t>
      </w:r>
      <w:r w:rsidR="00454955">
        <w:t xml:space="preserve"> et al</w:t>
      </w:r>
      <w:r w:rsidR="00716072">
        <w:t xml:space="preserve">. </w:t>
      </w:r>
      <w:r w:rsidR="00765B25">
        <w:t>2003</w:t>
      </w:r>
      <w:r w:rsidRPr="00F80B1F">
        <w:t>)</w:t>
      </w:r>
      <w:r w:rsidR="00716072">
        <w:t xml:space="preserve">. </w:t>
      </w:r>
      <w:r w:rsidRPr="00A0007B">
        <w:t>Johnson</w:t>
      </w:r>
      <w:r w:rsidRPr="00F80B1F">
        <w:t>, using data from several state cancer registries, found that the risk of childhood cancer increased with increasing maternal age (</w:t>
      </w:r>
      <w:r w:rsidRPr="00765B25">
        <w:t>2009</w:t>
      </w:r>
      <w:r w:rsidRPr="00F80B1F">
        <w:t>)</w:t>
      </w:r>
      <w:r w:rsidR="00716072">
        <w:t xml:space="preserve">. </w:t>
      </w:r>
      <w:r w:rsidRPr="00F80B1F">
        <w:t>However, other studies have shown the opposite (i.e., risk increased with younger maternal age) (</w:t>
      </w:r>
      <w:r w:rsidRPr="00765B25">
        <w:t>Bhattacharya</w:t>
      </w:r>
      <w:r w:rsidR="000F67FA">
        <w:t xml:space="preserve"> et al</w:t>
      </w:r>
      <w:r w:rsidR="001C4EC3">
        <w:t xml:space="preserve">. </w:t>
      </w:r>
      <w:r w:rsidR="00765B25" w:rsidRPr="00765B25">
        <w:t>2014</w:t>
      </w:r>
      <w:r w:rsidRPr="00765B25">
        <w:t xml:space="preserve">; </w:t>
      </w:r>
      <w:proofErr w:type="spellStart"/>
      <w:r w:rsidRPr="00765B25">
        <w:t>Schuz</w:t>
      </w:r>
      <w:proofErr w:type="spellEnd"/>
      <w:r w:rsidR="00765B25">
        <w:t xml:space="preserve"> </w:t>
      </w:r>
      <w:r w:rsidR="00185613">
        <w:t xml:space="preserve">et al. </w:t>
      </w:r>
      <w:r w:rsidR="00765B25">
        <w:t>1999</w:t>
      </w:r>
      <w:r w:rsidRPr="00F80B1F">
        <w:t>)</w:t>
      </w:r>
      <w:r w:rsidR="00716072">
        <w:t>.</w:t>
      </w:r>
    </w:p>
    <w:p w14:paraId="48028E17" w14:textId="610394F6" w:rsidR="00786F64" w:rsidRPr="00F80B1F" w:rsidRDefault="00786F64" w:rsidP="00423581">
      <w:r w:rsidRPr="00F80B1F">
        <w:lastRenderedPageBreak/>
        <w:t>Further, the findings of increased risk are often only seen with specific types of childhood cancer and not for all childhood cancers (WHO</w:t>
      </w:r>
      <w:r w:rsidR="00765B25">
        <w:t xml:space="preserve"> 2008</w:t>
      </w:r>
      <w:r w:rsidRPr="00F80B1F">
        <w:t>)</w:t>
      </w:r>
      <w:r w:rsidR="00716072">
        <w:t xml:space="preserve">. </w:t>
      </w:r>
      <w:r w:rsidRPr="00F80B1F">
        <w:t>It is likely that some of these pregnancy factors may not be direct causal factors for childhood cancer but indicators of the processes and stresses of pregnancy on the developing fetus (</w:t>
      </w:r>
      <w:proofErr w:type="spellStart"/>
      <w:r w:rsidRPr="00F80B1F">
        <w:t>Schuz</w:t>
      </w:r>
      <w:proofErr w:type="spellEnd"/>
      <w:r w:rsidR="00B11F98">
        <w:t xml:space="preserve"> </w:t>
      </w:r>
      <w:r w:rsidR="00185613">
        <w:t xml:space="preserve">et al. </w:t>
      </w:r>
      <w:r w:rsidR="00765B25">
        <w:t>1999</w:t>
      </w:r>
      <w:r w:rsidR="00EB60E7">
        <w:t xml:space="preserve">; </w:t>
      </w:r>
      <w:r w:rsidRPr="00F80B1F">
        <w:t>Bhattacharya</w:t>
      </w:r>
      <w:r w:rsidR="000F67FA">
        <w:t xml:space="preserve"> et al</w:t>
      </w:r>
      <w:r w:rsidR="00716072">
        <w:t xml:space="preserve">. </w:t>
      </w:r>
      <w:r w:rsidR="00765B25">
        <w:t>2014</w:t>
      </w:r>
      <w:r w:rsidRPr="00F80B1F">
        <w:t>)</w:t>
      </w:r>
      <w:r w:rsidR="00716072">
        <w:t xml:space="preserve">. </w:t>
      </w:r>
      <w:r w:rsidRPr="00F80B1F">
        <w:t>Increased risk of high birth weight, for example, may reflect risk associated with higher levels of growth factors, while low birth weight may reflect risks associated with premature development (</w:t>
      </w:r>
      <w:r w:rsidR="00890F9A">
        <w:t>Roman et al. 2018; Reynolds et al. 2004</w:t>
      </w:r>
      <w:r w:rsidRPr="00F80B1F">
        <w:t>)</w:t>
      </w:r>
      <w:r w:rsidR="00716072">
        <w:t xml:space="preserve">. </w:t>
      </w:r>
      <w:r w:rsidRPr="00F80B1F">
        <w:t xml:space="preserve">Therefore, an explanation for the apparent inconsistent effect of pregnancy factors on childhood cancer likely relates to effects </w:t>
      </w:r>
      <w:r w:rsidR="00427554">
        <w:t xml:space="preserve">that </w:t>
      </w:r>
      <w:r w:rsidRPr="00F80B1F">
        <w:t xml:space="preserve">are very specific and </w:t>
      </w:r>
      <w:r w:rsidR="00427554">
        <w:t xml:space="preserve">to the fact </w:t>
      </w:r>
      <w:r w:rsidRPr="00F80B1F">
        <w:t xml:space="preserve">that studies of childhood cancer often have a small sample size that may limit </w:t>
      </w:r>
      <w:r w:rsidR="00427554">
        <w:t xml:space="preserve">the study’s </w:t>
      </w:r>
      <w:r w:rsidRPr="00F80B1F">
        <w:t xml:space="preserve">ability to detect small or moderate levels of risk, especially if the number of cases </w:t>
      </w:r>
      <w:r w:rsidR="00427554">
        <w:t>is</w:t>
      </w:r>
      <w:r w:rsidRPr="00F80B1F">
        <w:t xml:space="preserve"> insufficient to estimate </w:t>
      </w:r>
      <w:r w:rsidR="00427554">
        <w:t>risk by</w:t>
      </w:r>
      <w:r w:rsidRPr="00F80B1F">
        <w:t xml:space="preserve"> specific type</w:t>
      </w:r>
      <w:r w:rsidR="00427554">
        <w:t>s</w:t>
      </w:r>
      <w:r w:rsidRPr="00F80B1F">
        <w:t xml:space="preserve"> of childhood cancer (</w:t>
      </w:r>
      <w:proofErr w:type="spellStart"/>
      <w:r w:rsidRPr="00190999">
        <w:t>Linet</w:t>
      </w:r>
      <w:proofErr w:type="spellEnd"/>
      <w:r w:rsidR="00190999">
        <w:t xml:space="preserve"> 2003</w:t>
      </w:r>
      <w:r w:rsidRPr="00F80B1F">
        <w:t>)</w:t>
      </w:r>
      <w:r w:rsidR="00653500">
        <w:t>.</w:t>
      </w:r>
    </w:p>
    <w:p w14:paraId="398FB04E" w14:textId="45843F14" w:rsidR="00786F64" w:rsidRPr="00F80B1F" w:rsidRDefault="00786F64" w:rsidP="00423581">
      <w:r w:rsidRPr="00F80B1F">
        <w:t xml:space="preserve">The Wilmington study found </w:t>
      </w:r>
      <w:r w:rsidR="00B92F08">
        <w:t>a</w:t>
      </w:r>
      <w:r w:rsidR="00EB60E7">
        <w:t>n</w:t>
      </w:r>
      <w:r w:rsidRPr="00F80B1F">
        <w:t xml:space="preserve"> elevated statistically significant risk for child</w:t>
      </w:r>
      <w:r w:rsidR="00427554">
        <w:t>ren</w:t>
      </w:r>
      <w:r w:rsidRPr="00F80B1F">
        <w:t xml:space="preserve"> with low birth weight</w:t>
      </w:r>
      <w:r w:rsidR="001E3F94">
        <w:t xml:space="preserve"> and development of childhood cancer</w:t>
      </w:r>
      <w:r w:rsidR="00716072">
        <w:t xml:space="preserve">. </w:t>
      </w:r>
      <w:r w:rsidRPr="00F80B1F">
        <w:t>However, this finding is not consistent with what has been generally observed in other studies (</w:t>
      </w:r>
      <w:r w:rsidRPr="00190999">
        <w:t>Ross</w:t>
      </w:r>
      <w:r w:rsidR="00190999">
        <w:t>, 2006</w:t>
      </w:r>
      <w:r w:rsidRPr="00F80B1F">
        <w:t>)</w:t>
      </w:r>
      <w:r w:rsidR="00716072">
        <w:t xml:space="preserve">. </w:t>
      </w:r>
      <w:r w:rsidRPr="00F80B1F">
        <w:t xml:space="preserve">Since leukemia cases represent the largest cancer group in the Wilmington study, we would have expected a stronger relationship with high birth weight, especially given that low birth weight has usually only been associated with liver cancer </w:t>
      </w:r>
      <w:r w:rsidRPr="00190999">
        <w:t>(Spector</w:t>
      </w:r>
      <w:r w:rsidR="00C7275C">
        <w:t xml:space="preserve"> et al</w:t>
      </w:r>
      <w:r w:rsidR="00B11F98">
        <w:t>.</w:t>
      </w:r>
      <w:r w:rsidR="00C7275C">
        <w:t xml:space="preserve"> 2009</w:t>
      </w:r>
      <w:r w:rsidRPr="00190999">
        <w:t>)</w:t>
      </w:r>
      <w:r w:rsidRPr="00F80B1F">
        <w:t xml:space="preserve"> and only one child with liver cancer was in the study</w:t>
      </w:r>
      <w:r w:rsidR="00716072">
        <w:t xml:space="preserve">. </w:t>
      </w:r>
    </w:p>
    <w:p w14:paraId="586B6199" w14:textId="63DB84CB" w:rsidR="00786F64" w:rsidRPr="00F80B1F" w:rsidRDefault="00786F64" w:rsidP="00423581">
      <w:r w:rsidRPr="00F80B1F">
        <w:t>Neither maternal smoking, second</w:t>
      </w:r>
      <w:r w:rsidR="00290629">
        <w:t>-</w:t>
      </w:r>
      <w:r w:rsidRPr="00F80B1F">
        <w:t xml:space="preserve">hand smoke, </w:t>
      </w:r>
      <w:r w:rsidR="00B44DEA">
        <w:t xml:space="preserve">nor </w:t>
      </w:r>
      <w:r w:rsidRPr="00F80B1F">
        <w:t xml:space="preserve">maternal alcohol consumption during pregnancy, were found to have an elevated </w:t>
      </w:r>
      <w:r w:rsidR="00B44DEA">
        <w:t>odds</w:t>
      </w:r>
      <w:r w:rsidRPr="00F80B1F">
        <w:t xml:space="preserve"> of childhood cancer</w:t>
      </w:r>
      <w:r w:rsidR="00B92AA3">
        <w:t xml:space="preserve"> (paternal smoking </w:t>
      </w:r>
      <w:r w:rsidR="003536D5">
        <w:t>information i</w:t>
      </w:r>
      <w:r w:rsidR="00B92AA3">
        <w:t xml:space="preserve">s </w:t>
      </w:r>
      <w:r w:rsidR="003536D5">
        <w:t>included</w:t>
      </w:r>
      <w:r w:rsidR="00B92AA3">
        <w:t xml:space="preserve"> as part of the second-hand smoke variable). </w:t>
      </w:r>
      <w:r w:rsidR="00EB60E7">
        <w:t>While reporting bias may have partially influenced these results, they are</w:t>
      </w:r>
      <w:r w:rsidRPr="00F80B1F">
        <w:t xml:space="preserve"> consistent with many published studies where i</w:t>
      </w:r>
      <w:r w:rsidR="00290629">
        <w:t>t generally appears that second-</w:t>
      </w:r>
      <w:r w:rsidRPr="00F80B1F">
        <w:t xml:space="preserve">hand smoke exposure to a child after birth may be a </w:t>
      </w:r>
      <w:r w:rsidR="00D356C9" w:rsidRPr="00F80B1F">
        <w:t xml:space="preserve">more </w:t>
      </w:r>
      <w:r w:rsidRPr="00F80B1F">
        <w:t xml:space="preserve">important risk factor for childhood cancer </w:t>
      </w:r>
      <w:r w:rsidR="00D356C9" w:rsidRPr="00F80B1F">
        <w:t>tha</w:t>
      </w:r>
      <w:r w:rsidR="00D356C9">
        <w:t>n</w:t>
      </w:r>
      <w:r w:rsidR="00D356C9" w:rsidRPr="00F80B1F">
        <w:t xml:space="preserve"> </w:t>
      </w:r>
      <w:r w:rsidRPr="00F80B1F">
        <w:t>smoking during pregnancy (</w:t>
      </w:r>
      <w:r w:rsidRPr="00190999">
        <w:t>Bhattacharya</w:t>
      </w:r>
      <w:r w:rsidR="000F67FA">
        <w:t xml:space="preserve"> et al</w:t>
      </w:r>
      <w:r w:rsidR="00716072">
        <w:t xml:space="preserve">. </w:t>
      </w:r>
      <w:r w:rsidR="00190999">
        <w:t>2014</w:t>
      </w:r>
      <w:r w:rsidRPr="00F80B1F">
        <w:t xml:space="preserve">), although </w:t>
      </w:r>
      <w:proofErr w:type="gramStart"/>
      <w:r w:rsidRPr="00F80B1F">
        <w:t>some  studies</w:t>
      </w:r>
      <w:proofErr w:type="gramEnd"/>
      <w:r w:rsidRPr="00F80B1F">
        <w:t xml:space="preserve"> have suggested maternal smoking may increase the risk of some specific types of cancer (</w:t>
      </w:r>
      <w:proofErr w:type="spellStart"/>
      <w:r w:rsidR="00190999">
        <w:t>Mucci</w:t>
      </w:r>
      <w:proofErr w:type="spellEnd"/>
      <w:r w:rsidR="00D62C8C">
        <w:t xml:space="preserve"> et al.</w:t>
      </w:r>
      <w:r w:rsidR="00190999">
        <w:t xml:space="preserve"> 2004;</w:t>
      </w:r>
      <w:r w:rsidRPr="00190999">
        <w:t xml:space="preserve"> </w:t>
      </w:r>
      <w:proofErr w:type="spellStart"/>
      <w:r w:rsidRPr="00190999">
        <w:t>Schuz</w:t>
      </w:r>
      <w:proofErr w:type="spellEnd"/>
      <w:r w:rsidR="00190999">
        <w:t xml:space="preserve"> </w:t>
      </w:r>
      <w:r w:rsidR="00185613">
        <w:t xml:space="preserve">et al. </w:t>
      </w:r>
      <w:r w:rsidR="00190999">
        <w:t>1999</w:t>
      </w:r>
      <w:r w:rsidRPr="00F80B1F">
        <w:t>)</w:t>
      </w:r>
      <w:r w:rsidR="00716072">
        <w:t xml:space="preserve">. </w:t>
      </w:r>
    </w:p>
    <w:p w14:paraId="2A8C0C71" w14:textId="77777777" w:rsidR="00786F64" w:rsidRPr="00F80B1F" w:rsidRDefault="00786F64" w:rsidP="00423581">
      <w:r w:rsidRPr="00F80B1F">
        <w:t>Infections experienced by a mother and medications received during pregnancy were aspects of a mother's medical history evaluated in the study</w:t>
      </w:r>
      <w:r w:rsidR="00716072">
        <w:t xml:space="preserve">. </w:t>
      </w:r>
      <w:r w:rsidRPr="00F80B1F">
        <w:t>Exposure to infectious agents during pregnancy has been the focus of some childhood leukemia research (</w:t>
      </w:r>
      <w:r w:rsidR="00965989">
        <w:t>B</w:t>
      </w:r>
      <w:r w:rsidRPr="00965989">
        <w:t>elson</w:t>
      </w:r>
      <w:r w:rsidR="000F67FA">
        <w:t xml:space="preserve"> et al</w:t>
      </w:r>
      <w:r w:rsidR="00716072">
        <w:t xml:space="preserve">. </w:t>
      </w:r>
      <w:r w:rsidR="00965989">
        <w:t>2007</w:t>
      </w:r>
      <w:r w:rsidRPr="00F80B1F">
        <w:t>)</w:t>
      </w:r>
      <w:r w:rsidR="00716072">
        <w:t xml:space="preserve">. </w:t>
      </w:r>
      <w:r w:rsidRPr="00F80B1F">
        <w:t>Less research has focused on the role of infectious agents and other types of childhood cancer (</w:t>
      </w:r>
      <w:proofErr w:type="spellStart"/>
      <w:r w:rsidRPr="00965989">
        <w:t>Alibek</w:t>
      </w:r>
      <w:proofErr w:type="spellEnd"/>
      <w:r w:rsidR="000F67FA">
        <w:t xml:space="preserve"> et al.</w:t>
      </w:r>
      <w:r w:rsidR="00965989">
        <w:t xml:space="preserve"> 2013</w:t>
      </w:r>
      <w:r w:rsidRPr="00F80B1F">
        <w:t>)</w:t>
      </w:r>
      <w:r w:rsidR="00716072">
        <w:t xml:space="preserve">. </w:t>
      </w:r>
      <w:r w:rsidRPr="00F80B1F">
        <w:t xml:space="preserve">It is known that viruses like </w:t>
      </w:r>
      <w:r w:rsidR="00D356C9" w:rsidRPr="00F80B1F">
        <w:t>cytomegalovirus</w:t>
      </w:r>
      <w:r w:rsidRPr="00F80B1F">
        <w:t xml:space="preserve"> (CMV), Epstein Barr Virus (EBV), and herpes simplex virus (HSV) can cross the placenta</w:t>
      </w:r>
      <w:r w:rsidR="00716072">
        <w:t xml:space="preserve">. </w:t>
      </w:r>
      <w:r w:rsidRPr="00F80B1F">
        <w:t>The possible role of maternal virus infections was assessed in this study population by estimating risk of leukemia/lymphoma and of all cancers as a group</w:t>
      </w:r>
      <w:r w:rsidR="00716072">
        <w:t xml:space="preserve">. </w:t>
      </w:r>
      <w:r w:rsidRPr="00F80B1F">
        <w:t xml:space="preserve">No associations with maternal viral infections and cancer risk were observed in </w:t>
      </w:r>
      <w:r w:rsidRPr="00F80B1F">
        <w:lastRenderedPageBreak/>
        <w:t>either group</w:t>
      </w:r>
      <w:r w:rsidR="00716072">
        <w:t xml:space="preserve">. </w:t>
      </w:r>
      <w:r w:rsidRPr="00F80B1F">
        <w:t>This is consistent with most other research on the role of infectious agents (</w:t>
      </w:r>
      <w:r w:rsidR="00276B65">
        <w:t>Roman et al. 2018</w:t>
      </w:r>
      <w:r w:rsidRPr="00F80B1F">
        <w:t>)</w:t>
      </w:r>
      <w:r w:rsidR="00716072">
        <w:t xml:space="preserve">. </w:t>
      </w:r>
    </w:p>
    <w:p w14:paraId="59C60711" w14:textId="77777777" w:rsidR="00786F64" w:rsidRPr="00F80B1F" w:rsidRDefault="00786F64" w:rsidP="00423581">
      <w:r w:rsidRPr="00F80B1F">
        <w:t>No statistically significant associations between mother's use of various medications and cancer risk were observed</w:t>
      </w:r>
      <w:r w:rsidR="00716072">
        <w:t xml:space="preserve">. </w:t>
      </w:r>
    </w:p>
    <w:p w14:paraId="1D0A03F9" w14:textId="77777777" w:rsidR="00786F64" w:rsidRPr="00F80B1F" w:rsidRDefault="00786F64" w:rsidP="00423581">
      <w:r w:rsidRPr="00F80B1F">
        <w:t>Use of two drugs with stronger evidence in the scientific literature of an association with increased risk of childhood cancer</w:t>
      </w:r>
      <w:r w:rsidR="00427554">
        <w:t>—f</w:t>
      </w:r>
      <w:r w:rsidRPr="00F80B1F">
        <w:t>ertility-boosting drugs</w:t>
      </w:r>
      <w:r w:rsidR="00427554">
        <w:t xml:space="preserve"> </w:t>
      </w:r>
      <w:r w:rsidR="00965989">
        <w:t>(</w:t>
      </w:r>
      <w:proofErr w:type="spellStart"/>
      <w:r w:rsidR="00965989">
        <w:t>H</w:t>
      </w:r>
      <w:r w:rsidRPr="00965989">
        <w:t>argreave</w:t>
      </w:r>
      <w:proofErr w:type="spellEnd"/>
      <w:r w:rsidR="009455BD">
        <w:t xml:space="preserve"> et al</w:t>
      </w:r>
      <w:r w:rsidR="00716072">
        <w:t xml:space="preserve">. </w:t>
      </w:r>
      <w:r w:rsidR="00965989" w:rsidRPr="00965989">
        <w:t>2013</w:t>
      </w:r>
      <w:r w:rsidRPr="00F80B1F">
        <w:t>) and the formerly available DES</w:t>
      </w:r>
      <w:r w:rsidR="00FA654C">
        <w:t xml:space="preserve"> (thought </w:t>
      </w:r>
      <w:r w:rsidRPr="00F80B1F">
        <w:t>to prevent miscarriages</w:t>
      </w:r>
      <w:r w:rsidR="00FA654C">
        <w:t>)—w</w:t>
      </w:r>
      <w:r w:rsidRPr="00F80B1F">
        <w:t>ere also evaluated</w:t>
      </w:r>
      <w:r w:rsidR="00716072">
        <w:t xml:space="preserve">. </w:t>
      </w:r>
      <w:r w:rsidRPr="00F80B1F">
        <w:t>No case mothers used either of these drugs (3 control mothers used fertility drugs).</w:t>
      </w:r>
    </w:p>
    <w:p w14:paraId="24473768" w14:textId="77777777" w:rsidR="00786F64" w:rsidRPr="00F80B1F" w:rsidRDefault="00786F64" w:rsidP="00423581">
      <w:r w:rsidRPr="00F80B1F">
        <w:t>Ionizing radiation is a known environmental risk factor for childhood cancer, with a strong relationship with acute leukemias</w:t>
      </w:r>
      <w:r w:rsidR="00716072">
        <w:t xml:space="preserve">. </w:t>
      </w:r>
      <w:r w:rsidRPr="00F80B1F">
        <w:t>Most of this evidence comes from studies of atomic bomb survivors and the Chernobyl accident (</w:t>
      </w:r>
      <w:r w:rsidRPr="00965989">
        <w:t>Belson</w:t>
      </w:r>
      <w:r w:rsidR="000F67FA">
        <w:t xml:space="preserve"> et al</w:t>
      </w:r>
      <w:r w:rsidR="00716072">
        <w:t xml:space="preserve">. </w:t>
      </w:r>
      <w:r w:rsidR="00965989">
        <w:t>2007</w:t>
      </w:r>
      <w:r w:rsidRPr="00F80B1F">
        <w:t>)</w:t>
      </w:r>
      <w:r w:rsidR="00716072">
        <w:t xml:space="preserve">. </w:t>
      </w:r>
      <w:r w:rsidRPr="00F80B1F">
        <w:t xml:space="preserve">However, </w:t>
      </w:r>
      <w:r w:rsidR="00A132AD">
        <w:t xml:space="preserve">a </w:t>
      </w:r>
      <w:r w:rsidRPr="00F80B1F">
        <w:t>significant amount of research has been done to assess the risk of x-ray exposure during pregnancy</w:t>
      </w:r>
      <w:r w:rsidR="00716072">
        <w:t xml:space="preserve">. </w:t>
      </w:r>
      <w:r w:rsidRPr="00F80B1F">
        <w:t>This work has led to inconsistent findings, with more recent studies not demonstrating an increased cancer risk, possibly due to reduced radiation dosage (</w:t>
      </w:r>
      <w:r w:rsidRPr="00965989">
        <w:t>Russ</w:t>
      </w:r>
      <w:r w:rsidR="00965989" w:rsidRPr="00965989">
        <w:t xml:space="preserve"> </w:t>
      </w:r>
      <w:r w:rsidR="0035712D" w:rsidRPr="00965989">
        <w:t>200</w:t>
      </w:r>
      <w:r w:rsidR="0035712D">
        <w:t>7</w:t>
      </w:r>
      <w:r w:rsidR="00965989" w:rsidRPr="00965989">
        <w:t>;</w:t>
      </w:r>
      <w:r w:rsidRPr="00965989">
        <w:t xml:space="preserve"> Shu</w:t>
      </w:r>
      <w:r w:rsidR="00965989" w:rsidRPr="00965989">
        <w:t xml:space="preserve"> </w:t>
      </w:r>
      <w:r w:rsidR="006B1467">
        <w:t>et al. 2002</w:t>
      </w:r>
      <w:r w:rsidRPr="00F80B1F">
        <w:t>)</w:t>
      </w:r>
      <w:r w:rsidR="00716072">
        <w:t xml:space="preserve">. </w:t>
      </w:r>
      <w:r w:rsidRPr="00F80B1F">
        <w:t>Our study results were consistent with these more recent studies in that no case mothers reported x-ray exposure during pregnancy (8 control mothers reported x-ray exposure).</w:t>
      </w:r>
    </w:p>
    <w:p w14:paraId="5B25635A" w14:textId="77777777" w:rsidR="00786F64" w:rsidRPr="00F80B1F" w:rsidRDefault="00786F64" w:rsidP="0010161F">
      <w:pPr>
        <w:pStyle w:val="Heading3"/>
      </w:pPr>
      <w:r w:rsidRPr="00F80B1F">
        <w:t>Household Exposures</w:t>
      </w:r>
    </w:p>
    <w:p w14:paraId="446153FA" w14:textId="74B3877E" w:rsidR="00786F64" w:rsidRPr="00F80B1F" w:rsidRDefault="00786F64" w:rsidP="00423581">
      <w:r w:rsidRPr="00F80B1F" w:rsidDel="0013113E">
        <w:t>Household exposure was assessed by evaluating exposure to the child directly or through</w:t>
      </w:r>
      <w:r w:rsidR="00D720E2">
        <w:t xml:space="preserve"> second-hand</w:t>
      </w:r>
      <w:r w:rsidRPr="00F80B1F" w:rsidDel="0013113E">
        <w:t xml:space="preserve"> exposure </w:t>
      </w:r>
      <w:r w:rsidR="00D720E2">
        <w:t>when</w:t>
      </w:r>
      <w:r w:rsidRPr="00F80B1F" w:rsidDel="0013113E">
        <w:t xml:space="preserve"> the mother, father, or someone else in the household</w:t>
      </w:r>
      <w:r w:rsidR="00D720E2">
        <w:t xml:space="preserve"> used the substance in question</w:t>
      </w:r>
      <w:r w:rsidR="00716072">
        <w:t xml:space="preserve">. </w:t>
      </w:r>
      <w:r w:rsidRPr="00F80B1F" w:rsidDel="0013113E">
        <w:t>Some studies have demonstrated that exposure can occur if exposure is brought into the home on a household member's clothing from an occupational setting (</w:t>
      </w:r>
      <w:proofErr w:type="spellStart"/>
      <w:r w:rsidR="00674767">
        <w:t>Feychting</w:t>
      </w:r>
      <w:proofErr w:type="spellEnd"/>
      <w:r w:rsidR="00674767">
        <w:t xml:space="preserve"> et al. 2001</w:t>
      </w:r>
      <w:r w:rsidRPr="00F80B1F" w:rsidDel="0013113E">
        <w:t>)</w:t>
      </w:r>
      <w:r w:rsidR="00D720E2">
        <w:t>.</w:t>
      </w:r>
    </w:p>
    <w:p w14:paraId="6E572509" w14:textId="585ED74C" w:rsidR="00786F64" w:rsidRPr="00F80B1F" w:rsidRDefault="00786F64" w:rsidP="00423581">
      <w:r w:rsidRPr="00F80B1F">
        <w:t>Exposures related to household products (e.g</w:t>
      </w:r>
      <w:r w:rsidR="00716072">
        <w:t xml:space="preserve">. </w:t>
      </w:r>
      <w:r w:rsidRPr="00F80B1F">
        <w:t>chemical solvents, pesticides) or activities were also evaluated</w:t>
      </w:r>
      <w:r w:rsidR="00716072">
        <w:t xml:space="preserve">. </w:t>
      </w:r>
      <w:r w:rsidRPr="00F80B1F">
        <w:t xml:space="preserve">A number of </w:t>
      </w:r>
      <w:r w:rsidR="001C386B">
        <w:t>exposures</w:t>
      </w:r>
      <w:r w:rsidR="001C386B" w:rsidRPr="00F80B1F">
        <w:t xml:space="preserve"> </w:t>
      </w:r>
      <w:r w:rsidRPr="00F80B1F">
        <w:t>were found to have an increased cancer risk, but none of the findings were statistically significant</w:t>
      </w:r>
      <w:r w:rsidR="00716072">
        <w:t xml:space="preserve">. </w:t>
      </w:r>
      <w:r w:rsidR="008B3BD3">
        <w:t xml:space="preserve">Household use of </w:t>
      </w:r>
      <w:r w:rsidR="008B3BD3" w:rsidRPr="00F272B8">
        <w:t>plastics</w:t>
      </w:r>
      <w:r w:rsidR="008B3BD3">
        <w:t>, synthetics,</w:t>
      </w:r>
      <w:r w:rsidR="008B3BD3" w:rsidRPr="00F272B8">
        <w:t xml:space="preserve"> or resins</w:t>
      </w:r>
      <w:r w:rsidR="008B3BD3" w:rsidRPr="00F80B1F">
        <w:t xml:space="preserve"> </w:t>
      </w:r>
      <w:r w:rsidR="008B3BD3">
        <w:t>was marginally significantly related to childhood leukemia</w:t>
      </w:r>
      <w:r w:rsidR="00422508">
        <w:t>/lymphoma</w:t>
      </w:r>
      <w:r w:rsidR="008B3BD3">
        <w:t xml:space="preserve">, but as previously noted, reporting bias can’t be ruled out. </w:t>
      </w:r>
      <w:r w:rsidR="004171C6">
        <w:t>T</w:t>
      </w:r>
      <w:r w:rsidRPr="00F80B1F">
        <w:t xml:space="preserve">hese results may be due to chance due to the small number of study </w:t>
      </w:r>
      <w:r w:rsidR="002D2905">
        <w:t>participant</w:t>
      </w:r>
      <w:r w:rsidRPr="00F80B1F">
        <w:t>s</w:t>
      </w:r>
      <w:r w:rsidR="008B3BD3" w:rsidRPr="008B3BD3">
        <w:t xml:space="preserve"> </w:t>
      </w:r>
      <w:r w:rsidR="008B3BD3">
        <w:t>and evaluation of multiple comparisons.</w:t>
      </w:r>
    </w:p>
    <w:p w14:paraId="155025ED" w14:textId="78F4BD81" w:rsidR="00423581" w:rsidRPr="00F80B1F" w:rsidRDefault="00786F64" w:rsidP="00423581">
      <w:r w:rsidRPr="00F80B1F">
        <w:t>Our finding of an increased risk for leukemia/lymphoma from potential household exposures to herbicides</w:t>
      </w:r>
      <w:r w:rsidR="00253D42">
        <w:t>, though not statistically significant</w:t>
      </w:r>
      <w:r w:rsidR="008B3BD3">
        <w:t xml:space="preserve"> (p=0.12)</w:t>
      </w:r>
      <w:r w:rsidR="00253D42">
        <w:t>,</w:t>
      </w:r>
      <w:r w:rsidRPr="00F80B1F">
        <w:t xml:space="preserve"> has been seen in other studies looking at pesticide exposure</w:t>
      </w:r>
      <w:r w:rsidR="00716072">
        <w:t xml:space="preserve">. </w:t>
      </w:r>
      <w:r w:rsidRPr="00F80B1F">
        <w:t xml:space="preserve">Most of these studies have considered </w:t>
      </w:r>
      <w:r w:rsidRPr="00F80B1F">
        <w:lastRenderedPageBreak/>
        <w:t>extensive exposure such as indoor spraying for pests and agricultural spraying</w:t>
      </w:r>
      <w:r w:rsidR="00716072">
        <w:t xml:space="preserve">. </w:t>
      </w:r>
      <w:r w:rsidRPr="00F80B1F">
        <w:t>However associations have been consistently seen for leukemia, lymphoma, and brain cancer (</w:t>
      </w:r>
      <w:proofErr w:type="spellStart"/>
      <w:r w:rsidR="00EC6A76" w:rsidRPr="00EC6A76">
        <w:t>Bagazgoitia</w:t>
      </w:r>
      <w:proofErr w:type="spellEnd"/>
      <w:r w:rsidR="00EC6A76" w:rsidRPr="00EC6A76">
        <w:t xml:space="preserve"> et al. 2018; Chen et al. 2015;</w:t>
      </w:r>
      <w:r w:rsidR="007E153E">
        <w:t xml:space="preserve"> </w:t>
      </w:r>
      <w:r w:rsidR="007E153E" w:rsidRPr="007E34A9">
        <w:rPr>
          <w:rFonts w:ascii="Times New Roman" w:hAnsi="Times New Roman"/>
        </w:rPr>
        <w:t>Infante</w:t>
      </w:r>
      <w:r w:rsidR="007E153E">
        <w:rPr>
          <w:rFonts w:ascii="Times New Roman" w:hAnsi="Times New Roman"/>
        </w:rPr>
        <w:t>-</w:t>
      </w:r>
      <w:proofErr w:type="spellStart"/>
      <w:r w:rsidR="007E153E">
        <w:rPr>
          <w:rFonts w:ascii="Times New Roman" w:hAnsi="Times New Roman"/>
        </w:rPr>
        <w:t>Rivard</w:t>
      </w:r>
      <w:proofErr w:type="spellEnd"/>
      <w:r w:rsidR="007E153E">
        <w:rPr>
          <w:rFonts w:ascii="Times New Roman" w:hAnsi="Times New Roman"/>
        </w:rPr>
        <w:t xml:space="preserve"> and </w:t>
      </w:r>
      <w:proofErr w:type="spellStart"/>
      <w:r w:rsidR="007E153E">
        <w:rPr>
          <w:rFonts w:ascii="Times New Roman" w:hAnsi="Times New Roman"/>
        </w:rPr>
        <w:t>Weichenthal</w:t>
      </w:r>
      <w:proofErr w:type="spellEnd"/>
      <w:r w:rsidR="007E153E" w:rsidRPr="007E34A9">
        <w:rPr>
          <w:rFonts w:ascii="Times New Roman" w:hAnsi="Times New Roman"/>
        </w:rPr>
        <w:t xml:space="preserve"> 2007</w:t>
      </w:r>
      <w:r w:rsidR="007E153E">
        <w:rPr>
          <w:rFonts w:ascii="Times New Roman" w:hAnsi="Times New Roman"/>
        </w:rPr>
        <w:t>;</w:t>
      </w:r>
      <w:r w:rsidR="00EC6A76" w:rsidRPr="00EC6A76">
        <w:t xml:space="preserve"> </w:t>
      </w:r>
      <w:proofErr w:type="spellStart"/>
      <w:r w:rsidRPr="00B92F08">
        <w:t>Zahm</w:t>
      </w:r>
      <w:proofErr w:type="spellEnd"/>
      <w:r w:rsidR="00EF0735">
        <w:t xml:space="preserve"> and Ward</w:t>
      </w:r>
      <w:r w:rsidR="00B92F08">
        <w:t xml:space="preserve"> 1998</w:t>
      </w:r>
      <w:r w:rsidRPr="00F80B1F">
        <w:t>)</w:t>
      </w:r>
      <w:r w:rsidR="00716072">
        <w:t xml:space="preserve">. </w:t>
      </w:r>
      <w:r w:rsidRPr="00F80B1F">
        <w:t>Davis</w:t>
      </w:r>
      <w:r w:rsidR="00134164">
        <w:t xml:space="preserve"> and others</w:t>
      </w:r>
      <w:r w:rsidRPr="00F80B1F">
        <w:t xml:space="preserve"> (</w:t>
      </w:r>
      <w:r w:rsidRPr="00B92F08">
        <w:t>1993</w:t>
      </w:r>
      <w:r w:rsidRPr="00F80B1F">
        <w:t>) evaluated the risk of brain cancer from household pesticide use and reported statistically significant associations between use of home pest products and brain cancer in children</w:t>
      </w:r>
      <w:r w:rsidR="00716072">
        <w:t xml:space="preserve">. </w:t>
      </w:r>
      <w:r w:rsidRPr="00F80B1F">
        <w:t>Associations have also been seen with leukemia (</w:t>
      </w:r>
      <w:r w:rsidR="00422508">
        <w:t xml:space="preserve">Bailey et al., 2015; </w:t>
      </w:r>
      <w:proofErr w:type="spellStart"/>
      <w:r w:rsidRPr="00B92F08">
        <w:t>Leiss</w:t>
      </w:r>
      <w:proofErr w:type="spellEnd"/>
      <w:r w:rsidR="00454955">
        <w:t xml:space="preserve"> and </w:t>
      </w:r>
      <w:proofErr w:type="spellStart"/>
      <w:r w:rsidR="00454955">
        <w:t>Savitz</w:t>
      </w:r>
      <w:proofErr w:type="spellEnd"/>
      <w:r w:rsidR="00B11F98">
        <w:t xml:space="preserve"> </w:t>
      </w:r>
      <w:r w:rsidR="00B92F08">
        <w:t>1995</w:t>
      </w:r>
      <w:r w:rsidRPr="00F80B1F">
        <w:t>)</w:t>
      </w:r>
      <w:r w:rsidR="00716072">
        <w:t xml:space="preserve">. </w:t>
      </w:r>
    </w:p>
    <w:p w14:paraId="219F146E" w14:textId="77777777" w:rsidR="00786F64" w:rsidRPr="00F80B1F" w:rsidRDefault="00786F64" w:rsidP="0010161F">
      <w:pPr>
        <w:pStyle w:val="Heading3"/>
      </w:pPr>
      <w:r w:rsidRPr="00F80B1F">
        <w:t>Child Medical History</w:t>
      </w:r>
    </w:p>
    <w:p w14:paraId="6361D323" w14:textId="4E16D98B" w:rsidR="00A934B3" w:rsidRDefault="00786F64" w:rsidP="00423581">
      <w:pPr>
        <w:sectPr w:rsidR="00A934B3" w:rsidSect="00D20DB8">
          <w:footerReference w:type="default" r:id="rId42"/>
          <w:pgSz w:w="12240" w:h="15840"/>
          <w:pgMar w:top="1440" w:right="1440" w:bottom="1440" w:left="1440" w:header="720" w:footer="720" w:gutter="0"/>
          <w:cols w:space="720"/>
          <w:docGrid w:linePitch="360"/>
        </w:sectPr>
      </w:pPr>
      <w:r w:rsidRPr="00F80B1F">
        <w:t>In this study, postnatal supplemental oxygen was found to be associated with risk of childhood cancer</w:t>
      </w:r>
      <w:r w:rsidR="00716072">
        <w:t xml:space="preserve">. </w:t>
      </w:r>
      <w:r w:rsidRPr="00F80B1F">
        <w:t>Previous studies have found an association between postnatal supplemental oxygen and risk of childhood leukemia</w:t>
      </w:r>
      <w:r w:rsidR="00716072">
        <w:t xml:space="preserve">. </w:t>
      </w:r>
      <w:r w:rsidRPr="00F80B1F">
        <w:t>One such study found an OR of 2.</w:t>
      </w:r>
      <w:r w:rsidR="008B3BD3">
        <w:t>9</w:t>
      </w:r>
      <w:r w:rsidRPr="00F80B1F">
        <w:t xml:space="preserve"> (95%CI: 1.2-6.8) among those who were given oxygen by mask immediately after birth (</w:t>
      </w:r>
      <w:proofErr w:type="spellStart"/>
      <w:r w:rsidRPr="00B92F08">
        <w:t>Naumbur</w:t>
      </w:r>
      <w:r w:rsidR="00EC6A76">
        <w:t>g</w:t>
      </w:r>
      <w:proofErr w:type="spellEnd"/>
      <w:r w:rsidR="00D62C8C">
        <w:t xml:space="preserve"> et al</w:t>
      </w:r>
      <w:r w:rsidR="00716072">
        <w:t xml:space="preserve">. </w:t>
      </w:r>
      <w:r w:rsidR="00B92F08">
        <w:t>2002</w:t>
      </w:r>
      <w:r w:rsidRPr="00F80B1F">
        <w:t>)</w:t>
      </w:r>
      <w:r w:rsidR="00716072">
        <w:t xml:space="preserve">. </w:t>
      </w:r>
      <w:r w:rsidRPr="00F80B1F">
        <w:t>Another found, however, when the data were analyzed for only those children diagnosed with leukemia or lymphoma, the resulting OR was lower and was not statistically significant (OR</w:t>
      </w:r>
      <w:r w:rsidR="009D21C6">
        <w:t xml:space="preserve"> </w:t>
      </w:r>
      <w:r w:rsidRPr="00F80B1F">
        <w:t>=</w:t>
      </w:r>
      <w:r w:rsidR="009D21C6">
        <w:t xml:space="preserve"> </w:t>
      </w:r>
      <w:r w:rsidRPr="00F80B1F">
        <w:t>4.8; 95%CI: 0.6-36)</w:t>
      </w:r>
      <w:r w:rsidR="00716072">
        <w:t xml:space="preserve">. </w:t>
      </w:r>
      <w:r w:rsidRPr="00F80B1F">
        <w:t>The study showing a higher OR is not consistent with other such studies</w:t>
      </w:r>
      <w:r w:rsidR="00A934B3">
        <w:t>.</w:t>
      </w:r>
    </w:p>
    <w:p w14:paraId="50C2E0CE" w14:textId="61760203" w:rsidR="00786F64" w:rsidRPr="00741EB8" w:rsidRDefault="00786F64" w:rsidP="003477EB">
      <w:pPr>
        <w:pStyle w:val="Heading1"/>
      </w:pPr>
      <w:bookmarkStart w:id="226" w:name="_Toc67488299"/>
      <w:r w:rsidRPr="004973CB">
        <w:lastRenderedPageBreak/>
        <w:t>CONCLUSIONS</w:t>
      </w:r>
      <w:bookmarkEnd w:id="226"/>
    </w:p>
    <w:p w14:paraId="5F372928" w14:textId="347B75F2" w:rsidR="00786F64" w:rsidRPr="00F80B1F" w:rsidRDefault="00786F64" w:rsidP="00423581">
      <w:r w:rsidRPr="00F80B1F">
        <w:t xml:space="preserve">Despite a number of limitations including a small sample size, an exposure assessment based on limited historical data of NDMA </w:t>
      </w:r>
      <w:r w:rsidR="008518BC">
        <w:t xml:space="preserve">and TCE </w:t>
      </w:r>
      <w:r w:rsidRPr="00F80B1F">
        <w:t>in the town’s drinking water, and an inability to account for dietary NDMA exposure, the study was able to reach several important conclusions:</w:t>
      </w:r>
    </w:p>
    <w:p w14:paraId="6232DA11" w14:textId="77777777" w:rsidR="00786F64" w:rsidRPr="00F80B1F" w:rsidRDefault="00786F64" w:rsidP="00423581">
      <w:pPr>
        <w:pStyle w:val="ListParagraph"/>
        <w:numPr>
          <w:ilvl w:val="0"/>
          <w:numId w:val="40"/>
        </w:numPr>
      </w:pPr>
      <w:r w:rsidRPr="00F80B1F">
        <w:t xml:space="preserve">Comprehensive information on NDMA in groundwater and  the historical Wilmington water distribution system enabled development of a model to predict the movement of NDMA </w:t>
      </w:r>
      <w:r w:rsidR="00FB2F3B">
        <w:t xml:space="preserve">to public water supply wells and </w:t>
      </w:r>
      <w:r w:rsidRPr="00F80B1F">
        <w:t xml:space="preserve">in the </w:t>
      </w:r>
      <w:r w:rsidR="00FB2F3B">
        <w:t xml:space="preserve">water </w:t>
      </w:r>
      <w:r w:rsidRPr="00F80B1F">
        <w:t>distribution system</w:t>
      </w:r>
      <w:r w:rsidR="00FB2F3B">
        <w:t>,</w:t>
      </w:r>
      <w:r w:rsidRPr="00F80B1F">
        <w:t xml:space="preserve"> enabl</w:t>
      </w:r>
      <w:r w:rsidR="00FB2F3B">
        <w:t>ing</w:t>
      </w:r>
      <w:r w:rsidRPr="00F80B1F">
        <w:t xml:space="preserve"> estimation of monthly NDMA concentrations at each study </w:t>
      </w:r>
      <w:r w:rsidR="002D2905">
        <w:t>participant</w:t>
      </w:r>
      <w:r w:rsidRPr="00F80B1F">
        <w:t xml:space="preserve">’s residence between 1974 and 2000;  </w:t>
      </w:r>
    </w:p>
    <w:p w14:paraId="53E4A5A7" w14:textId="77777777" w:rsidR="00786F64" w:rsidRPr="00F80B1F" w:rsidRDefault="00786F64" w:rsidP="00423581">
      <w:pPr>
        <w:pStyle w:val="ListParagraph"/>
        <w:numPr>
          <w:ilvl w:val="0"/>
          <w:numId w:val="40"/>
        </w:numPr>
      </w:pPr>
      <w:r w:rsidRPr="00F80B1F">
        <w:t xml:space="preserve">Detailed interviews of each </w:t>
      </w:r>
      <w:r w:rsidR="002D2905">
        <w:t>participant</w:t>
      </w:r>
      <w:r w:rsidRPr="00F80B1F">
        <w:t xml:space="preserve"> and matched control provided information on major risk factors known or suspected from the published scientific literature for the </w:t>
      </w:r>
      <w:r w:rsidR="002D2905">
        <w:t>childhood cancers diagnosed amon</w:t>
      </w:r>
      <w:r w:rsidRPr="00F80B1F">
        <w:t>g the Wilmington children;</w:t>
      </w:r>
    </w:p>
    <w:p w14:paraId="7F6884D3" w14:textId="421418D4" w:rsidR="008518BC" w:rsidRDefault="00786F64" w:rsidP="00423581">
      <w:pPr>
        <w:pStyle w:val="ListParagraph"/>
        <w:numPr>
          <w:ilvl w:val="0"/>
          <w:numId w:val="40"/>
        </w:numPr>
      </w:pPr>
      <w:r w:rsidRPr="00F80B1F">
        <w:t>An association between maternal exposure to NDMA during the year before the child’s birth and risk of that child developing cancer was</w:t>
      </w:r>
      <w:r w:rsidR="000D6BA2">
        <w:t xml:space="preserve"> strongly</w:t>
      </w:r>
      <w:r w:rsidRPr="00F80B1F">
        <w:t xml:space="preserve"> suggested by the results </w:t>
      </w:r>
      <w:r w:rsidR="000C3E61">
        <w:t>of this study</w:t>
      </w:r>
      <w:r w:rsidR="00716072">
        <w:t xml:space="preserve">. </w:t>
      </w:r>
      <w:r w:rsidRPr="00F80B1F">
        <w:t>This association was statistically significant</w:t>
      </w:r>
      <w:r w:rsidR="000D6BA2">
        <w:t xml:space="preserve"> for leukemia/lymphoma, marginally significant for all cancers, and a dose-response effect was observed. W</w:t>
      </w:r>
      <w:r w:rsidRPr="00F80B1F">
        <w:t xml:space="preserve">e cannot rule out that this finding was </w:t>
      </w:r>
      <w:r w:rsidR="008518BC">
        <w:t xml:space="preserve">confounded by exposure to TCE, but the effect </w:t>
      </w:r>
      <w:r w:rsidR="008518BC" w:rsidRPr="00F80B1F">
        <w:t>is plausi</w:t>
      </w:r>
      <w:r w:rsidR="008518BC">
        <w:t>bly supported by the literature and</w:t>
      </w:r>
      <w:r w:rsidR="008518BC" w:rsidRPr="00F80B1F">
        <w:t xml:space="preserve"> could be a real one;</w:t>
      </w:r>
    </w:p>
    <w:p w14:paraId="05B3CB97" w14:textId="7007D4C5" w:rsidR="00786F64" w:rsidRPr="00F80B1F" w:rsidRDefault="008518BC" w:rsidP="00423581">
      <w:pPr>
        <w:pStyle w:val="ListParagraph"/>
        <w:numPr>
          <w:ilvl w:val="0"/>
          <w:numId w:val="40"/>
        </w:numPr>
      </w:pPr>
      <w:r>
        <w:t>A positive</w:t>
      </w:r>
      <w:r w:rsidRPr="00F80B1F">
        <w:t xml:space="preserve"> association between maternal exposure to </w:t>
      </w:r>
      <w:r>
        <w:t>TCE</w:t>
      </w:r>
      <w:r w:rsidRPr="00F80B1F">
        <w:t xml:space="preserve"> during the year before the child’s birth and risk of that child developing cancer was</w:t>
      </w:r>
      <w:r>
        <w:t xml:space="preserve"> not statistically significant and a dose-response effect was not observed, meaning that w</w:t>
      </w:r>
      <w:r w:rsidRPr="00F80B1F">
        <w:t>e cannot rule out th</w:t>
      </w:r>
      <w:r>
        <w:t>e</w:t>
      </w:r>
      <w:r w:rsidRPr="00F80B1F">
        <w:t xml:space="preserve"> </w:t>
      </w:r>
      <w:r>
        <w:t>possibility that the finding is due to chance</w:t>
      </w:r>
      <w:r w:rsidR="00786F64" w:rsidRPr="00F80B1F">
        <w:t>, although it must also be recognized that the study was necessarily underpowered due to a small population and that the association</w:t>
      </w:r>
      <w:r>
        <w:t xml:space="preserve"> is plausibly supported by the literature</w:t>
      </w:r>
      <w:r w:rsidR="00880F4F">
        <w:t>. It should also be noted that it is impossible to evaluate the effect of TCE alone</w:t>
      </w:r>
      <w:r w:rsidR="00770B86">
        <w:t xml:space="preserve"> using the data available</w:t>
      </w:r>
      <w:r w:rsidR="004D270A">
        <w:t>;</w:t>
      </w:r>
    </w:p>
    <w:p w14:paraId="5D96241D" w14:textId="77777777" w:rsidR="00786F64" w:rsidRPr="00F80B1F" w:rsidRDefault="00BC613F" w:rsidP="00423581">
      <w:pPr>
        <w:pStyle w:val="ListParagraph"/>
        <w:numPr>
          <w:ilvl w:val="0"/>
          <w:numId w:val="40"/>
        </w:numPr>
      </w:pPr>
      <w:r>
        <w:t>Minimal</w:t>
      </w:r>
      <w:r w:rsidRPr="00F80B1F">
        <w:t xml:space="preserve"> </w:t>
      </w:r>
      <w:r w:rsidR="00786F64" w:rsidRPr="00F80B1F">
        <w:t xml:space="preserve">evidence for an association between </w:t>
      </w:r>
      <w:r>
        <w:t xml:space="preserve">childhood cancer and </w:t>
      </w:r>
      <w:r w:rsidR="00786F64" w:rsidRPr="00F80B1F">
        <w:t>exposure to NDMA during childhood was observed;</w:t>
      </w:r>
    </w:p>
    <w:p w14:paraId="2FF7231F" w14:textId="56B5689B" w:rsidR="00886160" w:rsidRDefault="00786F64" w:rsidP="00423581">
      <w:pPr>
        <w:pStyle w:val="ListParagraph"/>
        <w:numPr>
          <w:ilvl w:val="0"/>
          <w:numId w:val="40"/>
        </w:numPr>
      </w:pPr>
      <w:r w:rsidRPr="0099347E">
        <w:t>A statistically significant increased risk of cancer was observed among a small number of cases who were treated with oxygen immediately following birth</w:t>
      </w:r>
      <w:r w:rsidR="0099347E">
        <w:t>,</w:t>
      </w:r>
      <w:r w:rsidRPr="0099347E">
        <w:t xml:space="preserve"> among a small number of cases born with low</w:t>
      </w:r>
      <w:r w:rsidR="00C52B09" w:rsidRPr="0099347E">
        <w:t xml:space="preserve"> birth weight</w:t>
      </w:r>
      <w:r w:rsidR="0099347E">
        <w:t>, and among cases having any of the adverse birth events reported (oxygen at birth, low birth weight, or incubation)</w:t>
      </w:r>
      <w:r w:rsidR="00C52B09" w:rsidRPr="0099347E">
        <w:t>.</w:t>
      </w:r>
      <w:r w:rsidR="00886160">
        <w:br w:type="page"/>
      </w:r>
    </w:p>
    <w:p w14:paraId="21822BBD" w14:textId="77777777" w:rsidR="00EE0D05" w:rsidRDefault="00EE0D05" w:rsidP="003477EB">
      <w:pPr>
        <w:pStyle w:val="Heading1"/>
        <w:sectPr w:rsidR="00EE0D05" w:rsidSect="003A4F4E">
          <w:footerReference w:type="default" r:id="rId43"/>
          <w:pgSz w:w="12240" w:h="15840"/>
          <w:pgMar w:top="1440" w:right="1440" w:bottom="1440" w:left="1440" w:header="720" w:footer="720" w:gutter="0"/>
          <w:cols w:space="720"/>
          <w:docGrid w:linePitch="360"/>
        </w:sectPr>
      </w:pPr>
    </w:p>
    <w:p w14:paraId="370B31AE" w14:textId="4E11F21D" w:rsidR="00886160" w:rsidRPr="004973CB" w:rsidRDefault="00886160" w:rsidP="003477EB">
      <w:pPr>
        <w:pStyle w:val="Heading1"/>
      </w:pPr>
      <w:bookmarkStart w:id="227" w:name="_Toc67488300"/>
      <w:r w:rsidRPr="004973CB">
        <w:lastRenderedPageBreak/>
        <w:t>REFERENCES</w:t>
      </w:r>
      <w:bookmarkEnd w:id="227"/>
    </w:p>
    <w:p w14:paraId="437DBCBF" w14:textId="77777777" w:rsidR="001102A6" w:rsidRPr="00B47D91" w:rsidRDefault="001102A6" w:rsidP="00113E51">
      <w:pPr>
        <w:pStyle w:val="References"/>
      </w:pPr>
      <w:r w:rsidRPr="00B47D91">
        <w:rPr>
          <w:rStyle w:val="Hyperlink"/>
          <w:color w:val="auto"/>
          <w:u w:val="none"/>
        </w:rPr>
        <w:t>ACS</w:t>
      </w:r>
      <w:r w:rsidR="00716072" w:rsidRPr="00B47D91">
        <w:rPr>
          <w:rStyle w:val="Hyperlink"/>
          <w:color w:val="auto"/>
          <w:u w:val="none"/>
        </w:rPr>
        <w:t xml:space="preserve">. </w:t>
      </w:r>
      <w:r w:rsidRPr="00B47D91">
        <w:rPr>
          <w:rStyle w:val="Hyperlink"/>
          <w:color w:val="auto"/>
          <w:u w:val="none"/>
        </w:rPr>
        <w:t>2014</w:t>
      </w:r>
      <w:r w:rsidR="00716072" w:rsidRPr="00B47D91">
        <w:rPr>
          <w:rStyle w:val="Hyperlink"/>
          <w:color w:val="auto"/>
          <w:u w:val="none"/>
        </w:rPr>
        <w:t xml:space="preserve">. </w:t>
      </w:r>
      <w:r w:rsidRPr="00B47D91">
        <w:rPr>
          <w:rStyle w:val="Hyperlink"/>
          <w:color w:val="auto"/>
          <w:u w:val="none"/>
        </w:rPr>
        <w:t>Cancer Facts &amp; Figures 2014</w:t>
      </w:r>
      <w:r w:rsidR="00716072" w:rsidRPr="00B47D91">
        <w:rPr>
          <w:rStyle w:val="Hyperlink"/>
          <w:color w:val="auto"/>
          <w:u w:val="none"/>
        </w:rPr>
        <w:t xml:space="preserve">. </w:t>
      </w:r>
      <w:r w:rsidR="0080249A" w:rsidRPr="00B47D91">
        <w:rPr>
          <w:rStyle w:val="Hyperlink"/>
          <w:color w:val="auto"/>
          <w:u w:val="none"/>
        </w:rPr>
        <w:t xml:space="preserve">Atlanta, </w:t>
      </w:r>
      <w:proofErr w:type="spellStart"/>
      <w:proofErr w:type="gramStart"/>
      <w:r w:rsidR="0080249A" w:rsidRPr="00B47D91">
        <w:rPr>
          <w:rStyle w:val="Hyperlink"/>
          <w:color w:val="auto"/>
          <w:u w:val="none"/>
        </w:rPr>
        <w:t>GA:</w:t>
      </w:r>
      <w:r w:rsidRPr="00B47D91">
        <w:rPr>
          <w:rStyle w:val="Hyperlink"/>
          <w:color w:val="auto"/>
          <w:u w:val="none"/>
        </w:rPr>
        <w:t>American</w:t>
      </w:r>
      <w:proofErr w:type="spellEnd"/>
      <w:proofErr w:type="gramEnd"/>
      <w:r w:rsidRPr="00B47D91">
        <w:rPr>
          <w:rStyle w:val="Hyperlink"/>
          <w:color w:val="auto"/>
          <w:u w:val="none"/>
        </w:rPr>
        <w:t xml:space="preserve"> Cancer Society</w:t>
      </w:r>
      <w:r w:rsidR="00716072" w:rsidRPr="00B47D91">
        <w:rPr>
          <w:rStyle w:val="Hyperlink"/>
          <w:color w:val="auto"/>
          <w:u w:val="none"/>
        </w:rPr>
        <w:t xml:space="preserve">. </w:t>
      </w:r>
      <w:r w:rsidRPr="00B47D91">
        <w:rPr>
          <w:rStyle w:val="Hyperlink"/>
          <w:color w:val="auto"/>
          <w:u w:val="none"/>
        </w:rPr>
        <w:t xml:space="preserve">Available: </w:t>
      </w:r>
      <w:hyperlink r:id="rId44" w:history="1">
        <w:r w:rsidRPr="00B47D91">
          <w:rPr>
            <w:rStyle w:val="Hyperlink"/>
            <w:color w:val="auto"/>
            <w:u w:val="none"/>
          </w:rPr>
          <w:t>https://www.cancer.org/research/cancer-facts-statistics/all-cancer-facts-figures/cancer-facts-figures-2014.html</w:t>
        </w:r>
      </w:hyperlink>
      <w:r w:rsidRPr="00B47D91">
        <w:rPr>
          <w:rStyle w:val="Hyperlink"/>
          <w:color w:val="auto"/>
          <w:u w:val="none"/>
        </w:rPr>
        <w:t xml:space="preserve"> [accessed 2019].</w:t>
      </w:r>
    </w:p>
    <w:p w14:paraId="49BED1BD" w14:textId="77777777" w:rsidR="001102A6" w:rsidRPr="00716072" w:rsidRDefault="001102A6" w:rsidP="00113E51">
      <w:pPr>
        <w:pStyle w:val="References"/>
      </w:pPr>
      <w:r w:rsidRPr="00B47D91">
        <w:t>ACS</w:t>
      </w:r>
      <w:r w:rsidR="00716072" w:rsidRPr="00B47D91">
        <w:t xml:space="preserve">. </w:t>
      </w:r>
      <w:r w:rsidRPr="00B47D91">
        <w:t>2019</w:t>
      </w:r>
      <w:r w:rsidR="00716072" w:rsidRPr="00B47D91">
        <w:t xml:space="preserve">. </w:t>
      </w:r>
      <w:r w:rsidRPr="00B47D91">
        <w:t>Cancer in Children | Learn About Cancer</w:t>
      </w:r>
      <w:r w:rsidR="00716072" w:rsidRPr="00B47D91">
        <w:t xml:space="preserve">. </w:t>
      </w:r>
      <w:r w:rsidR="0080249A" w:rsidRPr="00B47D91">
        <w:rPr>
          <w:rStyle w:val="Hyperlink"/>
          <w:color w:val="auto"/>
          <w:u w:val="none"/>
        </w:rPr>
        <w:t>Atlanta, GA:</w:t>
      </w:r>
      <w:r w:rsidR="00716072" w:rsidRPr="00B47D91">
        <w:rPr>
          <w:rStyle w:val="Hyperlink"/>
          <w:color w:val="auto"/>
        </w:rPr>
        <w:t xml:space="preserve"> </w:t>
      </w:r>
      <w:r w:rsidRPr="00716072">
        <w:t>American Cancer Society</w:t>
      </w:r>
      <w:r w:rsidR="00716072" w:rsidRPr="00716072">
        <w:t xml:space="preserve">. </w:t>
      </w:r>
      <w:r w:rsidRPr="00716072">
        <w:t>Available: https://www.cancer.org/cancer/cancer-in-children.html [accessed 2019].</w:t>
      </w:r>
    </w:p>
    <w:p w14:paraId="38811E25" w14:textId="77777777" w:rsidR="00EC6A76" w:rsidRPr="00716072" w:rsidRDefault="00EC6A76" w:rsidP="00EC6A76">
      <w:pPr>
        <w:pStyle w:val="References"/>
      </w:pPr>
      <w:proofErr w:type="spellStart"/>
      <w:r w:rsidRPr="00716072">
        <w:t>Alibek</w:t>
      </w:r>
      <w:proofErr w:type="spellEnd"/>
      <w:r w:rsidRPr="00716072">
        <w:t xml:space="preserve"> K, </w:t>
      </w:r>
      <w:proofErr w:type="spellStart"/>
      <w:r w:rsidRPr="00716072">
        <w:t>Mussabekova</w:t>
      </w:r>
      <w:proofErr w:type="spellEnd"/>
      <w:r w:rsidRPr="00716072">
        <w:t xml:space="preserve"> A, </w:t>
      </w:r>
      <w:proofErr w:type="spellStart"/>
      <w:r w:rsidRPr="00716072">
        <w:t>Kakpenova</w:t>
      </w:r>
      <w:proofErr w:type="spellEnd"/>
      <w:r w:rsidRPr="00716072">
        <w:t xml:space="preserve"> A, </w:t>
      </w:r>
      <w:proofErr w:type="spellStart"/>
      <w:r w:rsidRPr="00716072">
        <w:t>Duisembekova</w:t>
      </w:r>
      <w:proofErr w:type="spellEnd"/>
      <w:r w:rsidRPr="00716072">
        <w:t xml:space="preserve"> A, </w:t>
      </w:r>
      <w:proofErr w:type="spellStart"/>
      <w:r w:rsidRPr="00716072">
        <w:t>Baiken</w:t>
      </w:r>
      <w:proofErr w:type="spellEnd"/>
      <w:r w:rsidRPr="00716072">
        <w:t xml:space="preserve"> Y, </w:t>
      </w:r>
      <w:proofErr w:type="spellStart"/>
      <w:r w:rsidRPr="00716072">
        <w:t>Aituov</w:t>
      </w:r>
      <w:proofErr w:type="spellEnd"/>
      <w:r w:rsidRPr="00716072">
        <w:t xml:space="preserve"> B, et al. 2013. Childhood cancers: what is a possible role of infectious agents? Infect. Agents Cancer 8, 48. https://infectagentscancer.biomedcentral.com/articles/10.1186/1750-9378-8-48.</w:t>
      </w:r>
    </w:p>
    <w:p w14:paraId="4C6E4D27" w14:textId="77777777" w:rsidR="002700D3" w:rsidRPr="00716072" w:rsidRDefault="002700D3" w:rsidP="00113E51">
      <w:pPr>
        <w:pStyle w:val="References"/>
      </w:pPr>
      <w:r w:rsidRPr="00716072">
        <w:t>AMEC</w:t>
      </w:r>
      <w:r w:rsidR="00716072" w:rsidRPr="00716072">
        <w:t xml:space="preserve">. </w:t>
      </w:r>
      <w:r w:rsidRPr="00716072">
        <w:t>2013</w:t>
      </w:r>
      <w:r w:rsidR="00716072" w:rsidRPr="00716072">
        <w:t xml:space="preserve">. </w:t>
      </w:r>
      <w:r w:rsidRPr="00716072">
        <w:t>Draft Remedial Investigation Report Operable Unit 1 &amp; Operable Unit 2, Olin Chemical Superfund Site, Wilmington, Massachusetts</w:t>
      </w:r>
      <w:r w:rsidR="00716072" w:rsidRPr="00716072">
        <w:t xml:space="preserve">. </w:t>
      </w:r>
      <w:r w:rsidRPr="00716072">
        <w:t>AMEC Environment &amp; Infrastructure, Inc., Westford, Massachusetts</w:t>
      </w:r>
      <w:r w:rsidR="00716072" w:rsidRPr="00716072">
        <w:t xml:space="preserve">. </w:t>
      </w:r>
    </w:p>
    <w:p w14:paraId="3E92B798" w14:textId="77777777" w:rsidR="001102A6" w:rsidRPr="00716072" w:rsidRDefault="001102A6" w:rsidP="00113E51">
      <w:pPr>
        <w:pStyle w:val="References"/>
      </w:pPr>
      <w:proofErr w:type="spellStart"/>
      <w:r w:rsidRPr="00716072">
        <w:t>Annola</w:t>
      </w:r>
      <w:proofErr w:type="spellEnd"/>
      <w:r w:rsidRPr="00716072">
        <w:t xml:space="preserve"> K, Heikkinen AT, Partanen H, Woodhouse H, </w:t>
      </w:r>
      <w:proofErr w:type="spellStart"/>
      <w:r w:rsidRPr="00716072">
        <w:t>Segerbäck</w:t>
      </w:r>
      <w:proofErr w:type="spellEnd"/>
      <w:r w:rsidRPr="00716072">
        <w:t xml:space="preserve"> D, </w:t>
      </w:r>
      <w:proofErr w:type="spellStart"/>
      <w:r w:rsidRPr="00716072">
        <w:t>Vähäkangas</w:t>
      </w:r>
      <w:proofErr w:type="spellEnd"/>
      <w:r w:rsidRPr="00716072">
        <w:t xml:space="preserve"> K</w:t>
      </w:r>
      <w:r w:rsidR="00716072" w:rsidRPr="00716072">
        <w:t xml:space="preserve">. </w:t>
      </w:r>
      <w:r w:rsidRPr="00716072">
        <w:t>2009</w:t>
      </w:r>
      <w:r w:rsidR="00716072" w:rsidRPr="00716072">
        <w:t xml:space="preserve">. </w:t>
      </w:r>
      <w:r w:rsidRPr="00716072">
        <w:t xml:space="preserve">Transplacental transfer of </w:t>
      </w:r>
      <w:proofErr w:type="spellStart"/>
      <w:r w:rsidRPr="00716072">
        <w:t>nitrosodimethylamine</w:t>
      </w:r>
      <w:proofErr w:type="spellEnd"/>
      <w:r w:rsidRPr="00716072">
        <w:t xml:space="preserve"> in perfused human placenta</w:t>
      </w:r>
      <w:r w:rsidR="00716072" w:rsidRPr="00716072">
        <w:t xml:space="preserve">. </w:t>
      </w:r>
      <w:r w:rsidRPr="00716072">
        <w:t>Placenta 30(3):277-283</w:t>
      </w:r>
      <w:r w:rsidR="00716072" w:rsidRPr="00716072">
        <w:t xml:space="preserve">. </w:t>
      </w:r>
      <w:r w:rsidR="0080249A" w:rsidRPr="00716072">
        <w:t>https://doi.org/10.1016/j.placenta.2008.12.012</w:t>
      </w:r>
      <w:r w:rsidR="00BD6A9B" w:rsidRPr="00716072">
        <w:t>.</w:t>
      </w:r>
    </w:p>
    <w:p w14:paraId="1D9A27AD" w14:textId="77777777" w:rsidR="003F63B1" w:rsidRPr="00716072" w:rsidRDefault="003F63B1" w:rsidP="00113E51">
      <w:pPr>
        <w:pStyle w:val="References"/>
      </w:pPr>
      <w:r w:rsidRPr="00716072">
        <w:t xml:space="preserve">Armstrong B, </w:t>
      </w:r>
      <w:proofErr w:type="spellStart"/>
      <w:r w:rsidRPr="00716072">
        <w:t>Vajdic</w:t>
      </w:r>
      <w:proofErr w:type="spellEnd"/>
      <w:r w:rsidRPr="00716072">
        <w:t xml:space="preserve"> C, Cust A</w:t>
      </w:r>
      <w:r w:rsidR="00716072" w:rsidRPr="00716072">
        <w:t xml:space="preserve">. </w:t>
      </w:r>
      <w:r w:rsidRPr="00716072">
        <w:t>2018</w:t>
      </w:r>
      <w:r w:rsidR="00716072" w:rsidRPr="00716072">
        <w:t xml:space="preserve">. </w:t>
      </w:r>
      <w:r w:rsidRPr="00716072">
        <w:t>Melanoma</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1061-1087</w:t>
      </w:r>
      <w:r w:rsidR="00716072" w:rsidRPr="00716072">
        <w:t xml:space="preserve">. </w:t>
      </w:r>
    </w:p>
    <w:p w14:paraId="3DF0C913" w14:textId="77777777" w:rsidR="001102A6" w:rsidRPr="00716072" w:rsidRDefault="001102A6" w:rsidP="00113E51">
      <w:pPr>
        <w:pStyle w:val="References"/>
      </w:pPr>
      <w:proofErr w:type="spellStart"/>
      <w:r w:rsidRPr="00716072">
        <w:t>Aschebrook-Kilfoy</w:t>
      </w:r>
      <w:proofErr w:type="spellEnd"/>
      <w:r w:rsidRPr="00716072">
        <w:t xml:space="preserve"> B, Ward MH, Dave BJ, Smith SM, </w:t>
      </w:r>
      <w:proofErr w:type="spellStart"/>
      <w:r w:rsidRPr="00716072">
        <w:t>Weisenburger</w:t>
      </w:r>
      <w:proofErr w:type="spellEnd"/>
      <w:r w:rsidRPr="00716072">
        <w:t xml:space="preserve"> DD, Chiu BCH</w:t>
      </w:r>
      <w:r w:rsidR="00716072" w:rsidRPr="00716072">
        <w:t xml:space="preserve">. </w:t>
      </w:r>
      <w:r w:rsidRPr="00716072">
        <w:t>2013</w:t>
      </w:r>
      <w:r w:rsidR="00716072" w:rsidRPr="00716072">
        <w:t xml:space="preserve">. </w:t>
      </w:r>
      <w:r w:rsidRPr="00716072">
        <w:t>Dietary nitrate and nitrite intake and risk of non-</w:t>
      </w:r>
      <w:proofErr w:type="spellStart"/>
      <w:r w:rsidRPr="00716072">
        <w:t>Hodgekin</w:t>
      </w:r>
      <w:proofErr w:type="spellEnd"/>
      <w:r w:rsidRPr="00716072">
        <w:t xml:space="preserve"> lymphoma</w:t>
      </w:r>
      <w:r w:rsidR="00716072" w:rsidRPr="00716072">
        <w:t xml:space="preserve">. </w:t>
      </w:r>
      <w:r w:rsidRPr="00716072">
        <w:t>Leukemia &amp; Lymphoma 54(5): 945–950</w:t>
      </w:r>
      <w:r w:rsidR="00716072" w:rsidRPr="00716072">
        <w:t xml:space="preserve">. </w:t>
      </w:r>
      <w:r w:rsidR="00BD6A9B" w:rsidRPr="00716072">
        <w:t>https://doi.org/10.3109/10428194.2012.734613.</w:t>
      </w:r>
    </w:p>
    <w:p w14:paraId="595EC4B4" w14:textId="229D0BEC" w:rsidR="005D3241" w:rsidRPr="00716072" w:rsidRDefault="005D3241" w:rsidP="00113E51">
      <w:pPr>
        <w:pStyle w:val="References"/>
      </w:pPr>
      <w:r w:rsidRPr="00716072">
        <w:t>ATSDR</w:t>
      </w:r>
      <w:r w:rsidR="00716072" w:rsidRPr="00716072">
        <w:t xml:space="preserve">. </w:t>
      </w:r>
      <w:r w:rsidRPr="00716072">
        <w:t>1989</w:t>
      </w:r>
      <w:r w:rsidR="00716072" w:rsidRPr="00716072">
        <w:t xml:space="preserve">. </w:t>
      </w:r>
      <w:r w:rsidRPr="00716072">
        <w:t>Toxicological Profile for N-</w:t>
      </w:r>
      <w:proofErr w:type="spellStart"/>
      <w:r w:rsidRPr="00716072">
        <w:t>Nitrosodimethylamine</w:t>
      </w:r>
      <w:proofErr w:type="spellEnd"/>
      <w:r w:rsidR="00716072" w:rsidRPr="00716072">
        <w:t xml:space="preserve">. </w:t>
      </w:r>
      <w:r w:rsidRPr="00716072">
        <w:t>Atlanta, GA:US</w:t>
      </w:r>
      <w:r w:rsidR="001C4EC3" w:rsidRPr="00716072">
        <w:t xml:space="preserve"> </w:t>
      </w:r>
      <w:r w:rsidRPr="00716072">
        <w:t>Agency for Toxic Substances and Disease Registry</w:t>
      </w:r>
      <w:r w:rsidR="00716072" w:rsidRPr="00716072">
        <w:t xml:space="preserve">. </w:t>
      </w:r>
      <w:r w:rsidRPr="00716072">
        <w:t xml:space="preserve">Available: </w:t>
      </w:r>
      <w:r w:rsidRPr="00F536C5">
        <w:t>https://www.atsdr.cdc.gov/toxprofiles/tp.asp?id=884&amp;tid=173</w:t>
      </w:r>
      <w:r w:rsidR="00716072" w:rsidRPr="00716072">
        <w:t xml:space="preserve">. </w:t>
      </w:r>
      <w:r w:rsidRPr="00716072">
        <w:t>[accessed 2019].</w:t>
      </w:r>
    </w:p>
    <w:p w14:paraId="23AD0F53" w14:textId="6AC6C241" w:rsidR="005D3241" w:rsidRPr="00716072" w:rsidRDefault="005D3241" w:rsidP="00113E51">
      <w:pPr>
        <w:pStyle w:val="References"/>
      </w:pPr>
      <w:r w:rsidRPr="00716072">
        <w:t>ATSDR</w:t>
      </w:r>
      <w:r w:rsidR="00716072" w:rsidRPr="00716072">
        <w:t xml:space="preserve">. </w:t>
      </w:r>
      <w:r w:rsidRPr="00716072">
        <w:t>1999</w:t>
      </w:r>
      <w:r w:rsidR="00716072" w:rsidRPr="00716072">
        <w:t xml:space="preserve">. </w:t>
      </w:r>
      <w:r w:rsidRPr="00716072">
        <w:t>N-</w:t>
      </w:r>
      <w:proofErr w:type="spellStart"/>
      <w:r w:rsidRPr="00716072">
        <w:t>Nitrosodimethylamine</w:t>
      </w:r>
      <w:proofErr w:type="spellEnd"/>
      <w:r w:rsidRPr="00716072">
        <w:t xml:space="preserve"> – </w:t>
      </w:r>
      <w:proofErr w:type="spellStart"/>
      <w:r w:rsidRPr="00716072">
        <w:t>ToxFAQs</w:t>
      </w:r>
      <w:proofErr w:type="spellEnd"/>
      <w:r w:rsidR="00716072" w:rsidRPr="00716072">
        <w:t xml:space="preserve">. </w:t>
      </w:r>
      <w:r w:rsidRPr="00716072">
        <w:t>Atlanta, GA:US</w:t>
      </w:r>
      <w:r w:rsidR="001C4EC3" w:rsidRPr="00716072">
        <w:t xml:space="preserve"> </w:t>
      </w:r>
      <w:r w:rsidRPr="00716072">
        <w:t>Agency for Toxic Substances and Disease Registry</w:t>
      </w:r>
      <w:r w:rsidR="00716072" w:rsidRPr="00716072">
        <w:t xml:space="preserve">. </w:t>
      </w:r>
      <w:r w:rsidRPr="00716072">
        <w:t xml:space="preserve">Available: </w:t>
      </w:r>
      <w:r w:rsidRPr="00F536C5">
        <w:t>https://www.atsdr.cdc.gov/toxfaqs/TF.asp?id=883&amp;tid=173</w:t>
      </w:r>
      <w:r w:rsidR="00716072" w:rsidRPr="00716072">
        <w:t xml:space="preserve">. </w:t>
      </w:r>
      <w:r w:rsidRPr="00716072">
        <w:t>[accessed 2019].</w:t>
      </w:r>
    </w:p>
    <w:p w14:paraId="4131A623" w14:textId="3DDE4F56" w:rsidR="005D3241" w:rsidRPr="00716072" w:rsidRDefault="005D3241" w:rsidP="00113E51">
      <w:pPr>
        <w:pStyle w:val="References"/>
      </w:pPr>
      <w:r w:rsidRPr="00716072">
        <w:t>ATSDR</w:t>
      </w:r>
      <w:r w:rsidR="00716072" w:rsidRPr="00716072">
        <w:t xml:space="preserve">. </w:t>
      </w:r>
      <w:r w:rsidRPr="00716072">
        <w:t>2007</w:t>
      </w:r>
      <w:r w:rsidR="00716072" w:rsidRPr="00716072">
        <w:t xml:space="preserve">. </w:t>
      </w:r>
      <w:r w:rsidRPr="00716072">
        <w:t xml:space="preserve">Benzene – </w:t>
      </w:r>
      <w:proofErr w:type="spellStart"/>
      <w:r w:rsidRPr="00716072">
        <w:t>ToxFAQs</w:t>
      </w:r>
      <w:proofErr w:type="spellEnd"/>
      <w:r w:rsidR="00716072" w:rsidRPr="00716072">
        <w:t xml:space="preserve">. </w:t>
      </w:r>
      <w:r w:rsidRPr="00716072">
        <w:t>Atlanta, GA:US</w:t>
      </w:r>
      <w:r w:rsidR="00983F30" w:rsidRPr="00716072">
        <w:t xml:space="preserve"> </w:t>
      </w:r>
      <w:r w:rsidRPr="00716072">
        <w:t>Agency for Toxic Substances and Disease Registry</w:t>
      </w:r>
      <w:r w:rsidR="00716072" w:rsidRPr="00716072">
        <w:t xml:space="preserve">. </w:t>
      </w:r>
      <w:r w:rsidRPr="00716072">
        <w:t xml:space="preserve">Available: </w:t>
      </w:r>
      <w:r w:rsidRPr="00F536C5">
        <w:t>https://www.atsdr.cdc.gov/toxfaqs/tf.asp?id=38&amp;tid=14</w:t>
      </w:r>
      <w:r w:rsidR="00716072" w:rsidRPr="00716072">
        <w:t xml:space="preserve">. </w:t>
      </w:r>
      <w:r w:rsidRPr="00716072">
        <w:t>[accessed 2019].</w:t>
      </w:r>
    </w:p>
    <w:p w14:paraId="28BF7564" w14:textId="214EE560" w:rsidR="005646A3" w:rsidRPr="00716072" w:rsidRDefault="005646A3" w:rsidP="00113E51">
      <w:pPr>
        <w:pStyle w:val="References"/>
      </w:pPr>
      <w:r w:rsidRPr="00716072">
        <w:t>ATSDR</w:t>
      </w:r>
      <w:r w:rsidR="00716072" w:rsidRPr="00716072">
        <w:t xml:space="preserve">. </w:t>
      </w:r>
      <w:r w:rsidR="001A5A95" w:rsidRPr="00716072">
        <w:t>201</w:t>
      </w:r>
      <w:r w:rsidR="001A5A95">
        <w:t>9</w:t>
      </w:r>
      <w:r w:rsidR="00716072" w:rsidRPr="00716072">
        <w:t xml:space="preserve">. </w:t>
      </w:r>
      <w:r w:rsidR="001A5A95">
        <w:t>Toxicological Profile for Trichloroethylene</w:t>
      </w:r>
      <w:r w:rsidR="00716072" w:rsidRPr="00716072">
        <w:t xml:space="preserve">. </w:t>
      </w:r>
      <w:r w:rsidR="00D774B7" w:rsidRPr="00716072">
        <w:t>Atlanta, GA:US Agency for Toxic Substances and Disease Registry</w:t>
      </w:r>
      <w:r w:rsidR="00716072" w:rsidRPr="00716072">
        <w:t xml:space="preserve">. </w:t>
      </w:r>
      <w:r w:rsidR="00D774B7" w:rsidRPr="00716072">
        <w:t>Available:</w:t>
      </w:r>
      <w:r w:rsidR="001A5A95">
        <w:t xml:space="preserve"> </w:t>
      </w:r>
      <w:r w:rsidR="001A5A95" w:rsidRPr="00F536C5">
        <w:t>https://www.atsdr.cdc.gov/ToxProfiles/tp.asp?id=173&amp;tid=30</w:t>
      </w:r>
      <w:r w:rsidR="00716072" w:rsidRPr="00716072">
        <w:t xml:space="preserve">. </w:t>
      </w:r>
      <w:r w:rsidR="00D774B7" w:rsidRPr="00716072">
        <w:t>[accessed 2019].</w:t>
      </w:r>
    </w:p>
    <w:p w14:paraId="54074DA6" w14:textId="77777777" w:rsidR="001102A6" w:rsidRPr="00716072" w:rsidRDefault="001102A6" w:rsidP="00113E51">
      <w:pPr>
        <w:pStyle w:val="References"/>
      </w:pPr>
      <w:proofErr w:type="spellStart"/>
      <w:r w:rsidRPr="00716072">
        <w:lastRenderedPageBreak/>
        <w:t>Ayanaba</w:t>
      </w:r>
      <w:proofErr w:type="spellEnd"/>
      <w:r w:rsidRPr="00716072">
        <w:t xml:space="preserve"> A, Alexander M</w:t>
      </w:r>
      <w:r w:rsidR="00716072" w:rsidRPr="00716072">
        <w:t xml:space="preserve">. </w:t>
      </w:r>
      <w:r w:rsidRPr="00716072">
        <w:t>1974</w:t>
      </w:r>
      <w:r w:rsidR="00716072" w:rsidRPr="00716072">
        <w:t xml:space="preserve">. </w:t>
      </w:r>
      <w:r w:rsidRPr="00716072">
        <w:t>Transformation of methylamines and formation of a hazardous</w:t>
      </w:r>
      <w:r w:rsidR="006F3F3C" w:rsidRPr="00716072">
        <w:t xml:space="preserve"> </w:t>
      </w:r>
      <w:r w:rsidRPr="00716072">
        <w:t xml:space="preserve">product, </w:t>
      </w:r>
      <w:proofErr w:type="spellStart"/>
      <w:r w:rsidRPr="00716072">
        <w:t>dimethylnitrosamine</w:t>
      </w:r>
      <w:proofErr w:type="spellEnd"/>
      <w:r w:rsidRPr="00716072">
        <w:t>, in samples of treated sewage and lake water</w:t>
      </w:r>
      <w:r w:rsidR="00716072" w:rsidRPr="00716072">
        <w:t xml:space="preserve">. </w:t>
      </w:r>
      <w:r w:rsidRPr="00716072">
        <w:t>J Environ Qual 3:83–89</w:t>
      </w:r>
      <w:r w:rsidR="00716072" w:rsidRPr="00716072">
        <w:t xml:space="preserve">. </w:t>
      </w:r>
      <w:r w:rsidR="00BD6A9B" w:rsidRPr="00716072">
        <w:t>https://doi.org/10.2134/jeq1974.00472425000300010022x.</w:t>
      </w:r>
    </w:p>
    <w:p w14:paraId="373ACEB8" w14:textId="19323E81" w:rsidR="001102A6" w:rsidRDefault="001102A6" w:rsidP="00113E51">
      <w:pPr>
        <w:pStyle w:val="References"/>
      </w:pPr>
      <w:proofErr w:type="spellStart"/>
      <w:r w:rsidRPr="00716072">
        <w:t>Bagazgoïtia</w:t>
      </w:r>
      <w:proofErr w:type="spellEnd"/>
      <w:r w:rsidRPr="00716072">
        <w:t xml:space="preserve"> NV, Bailey HD, </w:t>
      </w:r>
      <w:proofErr w:type="spellStart"/>
      <w:r w:rsidRPr="00716072">
        <w:t>Orsi</w:t>
      </w:r>
      <w:proofErr w:type="spellEnd"/>
      <w:r w:rsidRPr="00716072">
        <w:t xml:space="preserve"> L, </w:t>
      </w:r>
      <w:proofErr w:type="spellStart"/>
      <w:r w:rsidRPr="00716072">
        <w:t>Lacour</w:t>
      </w:r>
      <w:proofErr w:type="spellEnd"/>
      <w:r w:rsidRPr="00716072">
        <w:t xml:space="preserve"> B, Guerrini-Rousseau L, </w:t>
      </w:r>
      <w:proofErr w:type="spellStart"/>
      <w:r w:rsidRPr="00716072">
        <w:t>Bertozzi</w:t>
      </w:r>
      <w:proofErr w:type="spellEnd"/>
      <w:r w:rsidRPr="00716072">
        <w:t xml:space="preserve"> AI, et al</w:t>
      </w:r>
      <w:r w:rsidR="00716072" w:rsidRPr="00716072">
        <w:t xml:space="preserve">. </w:t>
      </w:r>
      <w:r w:rsidRPr="00716072">
        <w:t>2018</w:t>
      </w:r>
      <w:r w:rsidR="00716072" w:rsidRPr="00716072">
        <w:t xml:space="preserve">. </w:t>
      </w:r>
      <w:r w:rsidRPr="00716072">
        <w:t>Maternal residential pesticide use during pregnancy and risk of malignant childhood brain tumors: A pooled analysis of the ESCALE and ESTELLE studies (SFCE)</w:t>
      </w:r>
      <w:r w:rsidR="00716072" w:rsidRPr="00716072">
        <w:t xml:space="preserve">. </w:t>
      </w:r>
      <w:r w:rsidRPr="00716072">
        <w:t>Int</w:t>
      </w:r>
      <w:r w:rsidR="00716072" w:rsidRPr="00716072">
        <w:t xml:space="preserve">. </w:t>
      </w:r>
      <w:r w:rsidRPr="00716072">
        <w:t>J</w:t>
      </w:r>
      <w:r w:rsidR="00716072" w:rsidRPr="00716072">
        <w:t xml:space="preserve">. </w:t>
      </w:r>
      <w:r w:rsidRPr="00716072">
        <w:t>Cancer 142:489–497</w:t>
      </w:r>
      <w:r w:rsidR="00716072" w:rsidRPr="00716072">
        <w:t xml:space="preserve">. </w:t>
      </w:r>
      <w:hyperlink r:id="rId45" w:history="1">
        <w:r w:rsidR="00422508" w:rsidRPr="00F959EA">
          <w:rPr>
            <w:rStyle w:val="Hyperlink"/>
          </w:rPr>
          <w:t>https://doi.org/10.1002/ijc.31073</w:t>
        </w:r>
      </w:hyperlink>
      <w:r w:rsidR="00BD6A9B" w:rsidRPr="00716072">
        <w:t>.</w:t>
      </w:r>
    </w:p>
    <w:p w14:paraId="33A58C0D" w14:textId="00A89D8E" w:rsidR="00422508" w:rsidRDefault="00422508" w:rsidP="00113E51">
      <w:pPr>
        <w:pStyle w:val="References"/>
      </w:pPr>
      <w:r>
        <w:t>Bailey H</w:t>
      </w:r>
      <w:r w:rsidRPr="00422508">
        <w:t>D., Infante‐</w:t>
      </w:r>
      <w:proofErr w:type="spellStart"/>
      <w:r w:rsidRPr="00422508">
        <w:t>Rivard</w:t>
      </w:r>
      <w:proofErr w:type="spellEnd"/>
      <w:r w:rsidRPr="00422508">
        <w:t xml:space="preserve"> C</w:t>
      </w:r>
      <w:r>
        <w:t xml:space="preserve"> , </w:t>
      </w:r>
      <w:proofErr w:type="spellStart"/>
      <w:r>
        <w:t>Metayer</w:t>
      </w:r>
      <w:proofErr w:type="spellEnd"/>
      <w:r>
        <w:t xml:space="preserve"> C , </w:t>
      </w:r>
      <w:proofErr w:type="spellStart"/>
      <w:r>
        <w:t>Clavel</w:t>
      </w:r>
      <w:proofErr w:type="spellEnd"/>
      <w:r>
        <w:t xml:space="preserve"> </w:t>
      </w:r>
      <w:r w:rsidRPr="00422508">
        <w:t>J</w:t>
      </w:r>
      <w:r>
        <w:t xml:space="preserve"> , Lightfoot T , </w:t>
      </w:r>
      <w:proofErr w:type="spellStart"/>
      <w:r>
        <w:t>Kaatsch</w:t>
      </w:r>
      <w:proofErr w:type="spellEnd"/>
      <w:r>
        <w:t xml:space="preserve"> P</w:t>
      </w:r>
      <w:r w:rsidRPr="00422508">
        <w:t xml:space="preserve">, </w:t>
      </w:r>
      <w:r>
        <w:t>et al. 2015.</w:t>
      </w:r>
      <w:r w:rsidRPr="00422508">
        <w:t xml:space="preserve"> Home pesticide exposures and risk of childhood leukemia: Findings from the childhood leukemia international consortium. Int. J. Cancer, 137: 2644-2663. </w:t>
      </w:r>
      <w:r w:rsidR="004171C6">
        <w:t>h</w:t>
      </w:r>
      <w:r w:rsidR="001750A5">
        <w:t>ttps://doi.org/</w:t>
      </w:r>
      <w:hyperlink r:id="rId46" w:history="1">
        <w:r w:rsidRPr="00422508">
          <w:rPr>
            <w:rStyle w:val="Hyperlink"/>
          </w:rPr>
          <w:t>10.1002/ijc.29631</w:t>
        </w:r>
      </w:hyperlink>
      <w:r w:rsidR="001750A5">
        <w:t>.</w:t>
      </w:r>
    </w:p>
    <w:p w14:paraId="66193485" w14:textId="77777777" w:rsidR="00A27B20" w:rsidRPr="00716072" w:rsidRDefault="00A27B20" w:rsidP="00113E51">
      <w:pPr>
        <w:pStyle w:val="References"/>
      </w:pPr>
      <w:r w:rsidRPr="00A27B20">
        <w:t>Baker J A, Healy</w:t>
      </w:r>
      <w:r>
        <w:t xml:space="preserve"> HG</w:t>
      </w:r>
      <w:r w:rsidRPr="00A27B20">
        <w:t>, Hackett</w:t>
      </w:r>
      <w:r>
        <w:t xml:space="preserve"> OM.</w:t>
      </w:r>
      <w:r w:rsidRPr="00A27B20">
        <w:t xml:space="preserve"> 1964. Geology and ground-water conditions in the Wilmington-Reading area Massachusetts. Water-Supply Paper 1694. U.S. Geological Survey, Washington, D.C.</w:t>
      </w:r>
    </w:p>
    <w:p w14:paraId="7000BDB0" w14:textId="77777777" w:rsidR="00D773D2" w:rsidRPr="00716072" w:rsidRDefault="00D773D2" w:rsidP="00113E51">
      <w:pPr>
        <w:pStyle w:val="References"/>
      </w:pPr>
      <w:r w:rsidRPr="00716072">
        <w:t>Barrett JC</w:t>
      </w:r>
      <w:r w:rsidR="00716072" w:rsidRPr="00716072">
        <w:t xml:space="preserve">. </w:t>
      </w:r>
      <w:r w:rsidRPr="00716072">
        <w:t>1993</w:t>
      </w:r>
      <w:r w:rsidR="00716072" w:rsidRPr="00716072">
        <w:t xml:space="preserve">. </w:t>
      </w:r>
      <w:r w:rsidRPr="00716072">
        <w:t>Mechanisms of multistep carcinogenesis and carcinogenic risk assessment</w:t>
      </w:r>
      <w:r w:rsidR="00716072" w:rsidRPr="00716072">
        <w:t xml:space="preserve">. </w:t>
      </w:r>
      <w:r w:rsidRPr="00716072">
        <w:t xml:space="preserve">Environ Health </w:t>
      </w:r>
      <w:proofErr w:type="spellStart"/>
      <w:r w:rsidRPr="00716072">
        <w:t>Perspect</w:t>
      </w:r>
      <w:proofErr w:type="spellEnd"/>
      <w:r w:rsidRPr="00716072">
        <w:t xml:space="preserve"> 100:9-20</w:t>
      </w:r>
      <w:r w:rsidR="00716072" w:rsidRPr="00716072">
        <w:t xml:space="preserve">. </w:t>
      </w:r>
      <w:r w:rsidR="00BD6A9B" w:rsidRPr="00716072">
        <w:t>https://doi.org/10.1289/ehp.931009.</w:t>
      </w:r>
    </w:p>
    <w:p w14:paraId="6779EDF0" w14:textId="77777777" w:rsidR="001102A6" w:rsidRPr="00716072" w:rsidRDefault="001102A6" w:rsidP="00113E51">
      <w:pPr>
        <w:pStyle w:val="References"/>
      </w:pPr>
      <w:r w:rsidRPr="00716072">
        <w:t>Belson M, Kingsley B, Holmes A</w:t>
      </w:r>
      <w:r w:rsidR="00716072" w:rsidRPr="00716072">
        <w:t xml:space="preserve">. </w:t>
      </w:r>
      <w:r w:rsidRPr="00716072">
        <w:t>2007</w:t>
      </w:r>
      <w:r w:rsidR="00716072" w:rsidRPr="00716072">
        <w:t xml:space="preserve">. </w:t>
      </w:r>
      <w:r w:rsidRPr="00716072">
        <w:t>Risk factors for acute leukemia in children: a review</w:t>
      </w:r>
      <w:r w:rsidR="00716072" w:rsidRPr="00716072">
        <w:t xml:space="preserve">. </w:t>
      </w:r>
      <w:r w:rsidRPr="00716072">
        <w:t xml:space="preserve">Environ Health </w:t>
      </w:r>
      <w:proofErr w:type="spellStart"/>
      <w:r w:rsidRPr="00716072">
        <w:t>Perspect</w:t>
      </w:r>
      <w:proofErr w:type="spellEnd"/>
      <w:r w:rsidR="006F3F3C" w:rsidRPr="00716072">
        <w:t xml:space="preserve"> 115:</w:t>
      </w:r>
      <w:r w:rsidRPr="00716072">
        <w:t>138–145</w:t>
      </w:r>
      <w:r w:rsidR="00716072" w:rsidRPr="00716072">
        <w:t xml:space="preserve">. </w:t>
      </w:r>
      <w:r w:rsidR="00BD6A9B" w:rsidRPr="00716072">
        <w:t>https://doi.org/10.1289/ehp.9023.</w:t>
      </w:r>
    </w:p>
    <w:p w14:paraId="4BAA0AB2" w14:textId="77777777" w:rsidR="001102A6" w:rsidRPr="00716072" w:rsidRDefault="001102A6" w:rsidP="00113E51">
      <w:pPr>
        <w:pStyle w:val="References"/>
      </w:pPr>
      <w:r w:rsidRPr="00716072">
        <w:t>Bhattacharya S, Beasley M, Pang D, Macfarlane GJ, 2014</w:t>
      </w:r>
      <w:r w:rsidR="00716072" w:rsidRPr="00716072">
        <w:t xml:space="preserve">. </w:t>
      </w:r>
      <w:r w:rsidRPr="00716072">
        <w:t>Maternal and perinatal risk factors for childhood cancer: record linkage study</w:t>
      </w:r>
      <w:r w:rsidR="00716072" w:rsidRPr="00716072">
        <w:t xml:space="preserve">. </w:t>
      </w:r>
      <w:r w:rsidRPr="00716072">
        <w:t>BMJ Open</w:t>
      </w:r>
      <w:r w:rsidR="00BD6A9B" w:rsidRPr="00716072">
        <w:t xml:space="preserve"> 4</w:t>
      </w:r>
      <w:r w:rsidR="00716072" w:rsidRPr="00716072">
        <w:t xml:space="preserve">. </w:t>
      </w:r>
      <w:r w:rsidR="00BD6A9B" w:rsidRPr="00716072">
        <w:t>https://doi.org/10.1136/bmjopen-2013-003656</w:t>
      </w:r>
      <w:r w:rsidR="00716072" w:rsidRPr="00716072">
        <w:t xml:space="preserve">. </w:t>
      </w:r>
    </w:p>
    <w:p w14:paraId="556927D4" w14:textId="4F00D352" w:rsidR="00134BDF" w:rsidRPr="00716072" w:rsidRDefault="00134BDF" w:rsidP="00113E51">
      <w:pPr>
        <w:pStyle w:val="References"/>
      </w:pPr>
      <w:r w:rsidRPr="00716072">
        <w:t>Birch JM, Marsden HB</w:t>
      </w:r>
      <w:r w:rsidR="00716072" w:rsidRPr="00716072">
        <w:t xml:space="preserve">. </w:t>
      </w:r>
      <w:r w:rsidRPr="00716072">
        <w:t>1987</w:t>
      </w:r>
      <w:r w:rsidR="00716072" w:rsidRPr="00716072">
        <w:t xml:space="preserve">. </w:t>
      </w:r>
      <w:r w:rsidRPr="00716072">
        <w:t>A classification scheme for childhood cancer</w:t>
      </w:r>
      <w:r w:rsidR="00716072" w:rsidRPr="00716072">
        <w:t xml:space="preserve">. </w:t>
      </w:r>
      <w:r w:rsidRPr="00716072">
        <w:t>Int J Cancer 40:620-624</w:t>
      </w:r>
      <w:r w:rsidR="00716072" w:rsidRPr="00716072">
        <w:t xml:space="preserve">. </w:t>
      </w:r>
      <w:r w:rsidR="00BD6A9B" w:rsidRPr="00716072">
        <w:t>https://doi.org/10.1002/ijc.2910400508</w:t>
      </w:r>
      <w:r w:rsidR="001750A5">
        <w:t>.</w:t>
      </w:r>
    </w:p>
    <w:p w14:paraId="3E29CFB3" w14:textId="77777777" w:rsidR="001102A6" w:rsidRPr="00716072" w:rsidRDefault="001102A6" w:rsidP="00113E51">
      <w:pPr>
        <w:pStyle w:val="References"/>
      </w:pPr>
      <w:r w:rsidRPr="00716072">
        <w:t xml:space="preserve">Bleyer A, O’Leary M, Barr R, </w:t>
      </w:r>
      <w:proofErr w:type="spellStart"/>
      <w:r w:rsidRPr="00716072">
        <w:t>Ries</w:t>
      </w:r>
      <w:proofErr w:type="spellEnd"/>
      <w:r w:rsidRPr="00716072">
        <w:t xml:space="preserve"> LAG (eds): Cancer Epidemiology in Older Adolescents and Young Adults 15 to 29 Years of Age, Including SEER Incidence and Survival: 1975-2000</w:t>
      </w:r>
      <w:r w:rsidR="00716072" w:rsidRPr="00716072">
        <w:t xml:space="preserve">. </w:t>
      </w:r>
      <w:r w:rsidRPr="00716072">
        <w:t>National Cancer Institute, NIH Pub</w:t>
      </w:r>
      <w:r w:rsidR="00716072" w:rsidRPr="00716072">
        <w:t xml:space="preserve">. </w:t>
      </w:r>
      <w:r w:rsidRPr="00716072">
        <w:t>No</w:t>
      </w:r>
      <w:r w:rsidR="00716072" w:rsidRPr="00716072">
        <w:t xml:space="preserve">. </w:t>
      </w:r>
      <w:r w:rsidRPr="00716072">
        <w:t>06-5767</w:t>
      </w:r>
      <w:r w:rsidR="00716072" w:rsidRPr="00716072">
        <w:t xml:space="preserve">. </w:t>
      </w:r>
      <w:r w:rsidRPr="00716072">
        <w:t>Bethesda, MD 2006.</w:t>
      </w:r>
    </w:p>
    <w:p w14:paraId="6511DE24" w14:textId="77777777" w:rsidR="003F57C4" w:rsidRPr="00716072" w:rsidRDefault="003F57C4" w:rsidP="00113E51">
      <w:pPr>
        <w:pStyle w:val="References"/>
      </w:pPr>
      <w:r w:rsidRPr="00716072">
        <w:t xml:space="preserve">Bradley M, </w:t>
      </w:r>
      <w:proofErr w:type="spellStart"/>
      <w:r w:rsidRPr="00716072">
        <w:t>O’Rorke</w:t>
      </w:r>
      <w:proofErr w:type="spellEnd"/>
      <w:r w:rsidRPr="00716072">
        <w:t xml:space="preserve"> M, Cooper J, </w:t>
      </w:r>
      <w:proofErr w:type="spellStart"/>
      <w:r w:rsidRPr="00716072">
        <w:t>Friis</w:t>
      </w:r>
      <w:proofErr w:type="spellEnd"/>
      <w:r w:rsidRPr="00716072">
        <w:t xml:space="preserve"> S, </w:t>
      </w:r>
      <w:proofErr w:type="spellStart"/>
      <w:r w:rsidRPr="00716072">
        <w:t>Habel</w:t>
      </w:r>
      <w:proofErr w:type="spellEnd"/>
      <w:r w:rsidRPr="00716072">
        <w:t xml:space="preserve"> L</w:t>
      </w:r>
      <w:r w:rsidR="00716072" w:rsidRPr="00716072">
        <w:t xml:space="preserve">. </w:t>
      </w:r>
      <w:r w:rsidRPr="00716072">
        <w:t>2018</w:t>
      </w:r>
      <w:r w:rsidR="00716072" w:rsidRPr="00716072">
        <w:t xml:space="preserve">. </w:t>
      </w:r>
      <w:r w:rsidRPr="00716072">
        <w:t>Pharmaceutical Drugs Other Than Hormones</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411-</w:t>
      </w:r>
      <w:r w:rsidR="008B7F4B" w:rsidRPr="00716072">
        <w:t>431</w:t>
      </w:r>
      <w:r w:rsidR="00716072" w:rsidRPr="00716072">
        <w:t xml:space="preserve">. </w:t>
      </w:r>
    </w:p>
    <w:p w14:paraId="7983FC4B" w14:textId="77777777" w:rsidR="001102A6" w:rsidRPr="00716072" w:rsidRDefault="001102A6" w:rsidP="00113E51">
      <w:pPr>
        <w:pStyle w:val="References"/>
      </w:pPr>
      <w:r w:rsidRPr="00716072">
        <w:t xml:space="preserve">Bradley PM, </w:t>
      </w:r>
      <w:proofErr w:type="spellStart"/>
      <w:r w:rsidRPr="00716072">
        <w:t>Carr</w:t>
      </w:r>
      <w:proofErr w:type="spellEnd"/>
      <w:r w:rsidRPr="00716072">
        <w:t xml:space="preserve"> SA, Baird RB, Chapelle FH</w:t>
      </w:r>
      <w:r w:rsidR="00716072" w:rsidRPr="00716072">
        <w:t xml:space="preserve">. </w:t>
      </w:r>
      <w:r w:rsidRPr="00716072">
        <w:t>2005</w:t>
      </w:r>
      <w:r w:rsidR="00716072" w:rsidRPr="00716072">
        <w:t xml:space="preserve">. </w:t>
      </w:r>
      <w:r w:rsidRPr="00716072">
        <w:t>Biodegradation of N-</w:t>
      </w:r>
      <w:proofErr w:type="spellStart"/>
      <w:r w:rsidRPr="00716072">
        <w:t>nitrosodimethylamine</w:t>
      </w:r>
      <w:proofErr w:type="spellEnd"/>
      <w:r w:rsidRPr="00716072">
        <w:t xml:space="preserve"> in soil from a water reclamation facility</w:t>
      </w:r>
      <w:r w:rsidR="00716072" w:rsidRPr="00716072">
        <w:t xml:space="preserve">. </w:t>
      </w:r>
      <w:proofErr w:type="spellStart"/>
      <w:r w:rsidRPr="00716072">
        <w:t>Bioremediat</w:t>
      </w:r>
      <w:proofErr w:type="spellEnd"/>
      <w:r w:rsidRPr="00716072">
        <w:t xml:space="preserve"> J 9(2):115-120</w:t>
      </w:r>
      <w:r w:rsidR="00716072" w:rsidRPr="00716072">
        <w:t xml:space="preserve">. </w:t>
      </w:r>
      <w:r w:rsidR="00BD6A9B" w:rsidRPr="00716072">
        <w:t>https://doi.org/10.1080/10889860500276607.</w:t>
      </w:r>
    </w:p>
    <w:p w14:paraId="5772B4B1" w14:textId="1B9C1C92" w:rsidR="001102A6" w:rsidRPr="00716072" w:rsidRDefault="001102A6" w:rsidP="00113E51">
      <w:pPr>
        <w:pStyle w:val="References"/>
      </w:pPr>
      <w:proofErr w:type="spellStart"/>
      <w:r w:rsidRPr="00716072">
        <w:t>Brunnemann</w:t>
      </w:r>
      <w:proofErr w:type="spellEnd"/>
      <w:r w:rsidRPr="00716072">
        <w:t xml:space="preserve"> KD, Hoffmann D</w:t>
      </w:r>
      <w:r w:rsidR="00716072" w:rsidRPr="00716072">
        <w:t xml:space="preserve">. </w:t>
      </w:r>
      <w:r w:rsidRPr="00716072">
        <w:t>1978</w:t>
      </w:r>
      <w:r w:rsidR="00716072" w:rsidRPr="00716072">
        <w:t xml:space="preserve">. </w:t>
      </w:r>
      <w:r w:rsidRPr="00716072">
        <w:t xml:space="preserve">Analysis of volatile nitrosamines in tobacco smoke </w:t>
      </w:r>
      <w:r w:rsidRPr="00716072">
        <w:lastRenderedPageBreak/>
        <w:t>and polluted indoor environments</w:t>
      </w:r>
      <w:r w:rsidR="00716072" w:rsidRPr="00716072">
        <w:t xml:space="preserve">. </w:t>
      </w:r>
      <w:r w:rsidRPr="00716072">
        <w:t>Chemical studies on tobacco smoke LIX</w:t>
      </w:r>
      <w:r w:rsidR="00716072" w:rsidRPr="00716072">
        <w:t xml:space="preserve">. </w:t>
      </w:r>
      <w:r w:rsidRPr="00716072">
        <w:t>IARC scientific publications 19:343–356</w:t>
      </w:r>
      <w:r w:rsidR="001750A5">
        <w:t>.</w:t>
      </w:r>
    </w:p>
    <w:p w14:paraId="668AD66C" w14:textId="452B4B53" w:rsidR="001102A6" w:rsidRPr="00716072" w:rsidRDefault="001102A6" w:rsidP="00113E51">
      <w:pPr>
        <w:pStyle w:val="References"/>
      </w:pPr>
      <w:r w:rsidRPr="00716072">
        <w:t xml:space="preserve">Buckley, J.D., Sather, H., </w:t>
      </w:r>
      <w:proofErr w:type="spellStart"/>
      <w:r w:rsidRPr="00716072">
        <w:t>Ruccione</w:t>
      </w:r>
      <w:proofErr w:type="spellEnd"/>
      <w:r w:rsidRPr="00716072">
        <w:t>, K., Rogers, P.C., Haas, J.E., Henderson, B.E., Hammond, G.D., 1989</w:t>
      </w:r>
      <w:r w:rsidR="00716072" w:rsidRPr="00716072">
        <w:t xml:space="preserve">. </w:t>
      </w:r>
      <w:r w:rsidRPr="00716072">
        <w:t>A case-control study of risk factors for hepatoblastoma</w:t>
      </w:r>
      <w:r w:rsidR="00716072" w:rsidRPr="00716072">
        <w:t xml:space="preserve">. </w:t>
      </w:r>
      <w:r w:rsidRPr="00716072">
        <w:t xml:space="preserve">A report from the </w:t>
      </w:r>
      <w:proofErr w:type="spellStart"/>
      <w:r w:rsidRPr="00716072">
        <w:t>Childrens</w:t>
      </w:r>
      <w:proofErr w:type="spellEnd"/>
      <w:r w:rsidR="006F3F3C" w:rsidRPr="00716072">
        <w:t xml:space="preserve"> Cancer Study Group</w:t>
      </w:r>
      <w:r w:rsidR="00716072" w:rsidRPr="00716072">
        <w:t xml:space="preserve">. </w:t>
      </w:r>
      <w:r w:rsidR="006F3F3C" w:rsidRPr="00716072">
        <w:t>Cancer 64:</w:t>
      </w:r>
      <w:r w:rsidRPr="00716072">
        <w:t>1169–1176</w:t>
      </w:r>
      <w:r w:rsidR="00716072" w:rsidRPr="00716072">
        <w:t xml:space="preserve">. </w:t>
      </w:r>
      <w:r w:rsidR="00101AB9" w:rsidRPr="00716072">
        <w:t>https://doi.org/</w:t>
      </w:r>
      <w:hyperlink r:id="rId47" w:history="1">
        <w:r w:rsidR="001750A5">
          <w:rPr>
            <w:rStyle w:val="Hyperlink"/>
          </w:rPr>
          <w:t>10.3109/10428194.2012.734613</w:t>
        </w:r>
      </w:hyperlink>
      <w:r w:rsidR="00101AB9" w:rsidRPr="00716072">
        <w:t>.</w:t>
      </w:r>
    </w:p>
    <w:p w14:paraId="7750CB31" w14:textId="77777777" w:rsidR="001102A6" w:rsidRPr="00716072" w:rsidRDefault="001102A6" w:rsidP="00113E51">
      <w:pPr>
        <w:pStyle w:val="References"/>
      </w:pPr>
      <w:proofErr w:type="spellStart"/>
      <w:r w:rsidRPr="00716072">
        <w:t>Budavari</w:t>
      </w:r>
      <w:proofErr w:type="spellEnd"/>
      <w:r w:rsidRPr="00716072">
        <w:t xml:space="preserve"> S, O’Neil MJ, Smith AS, </w:t>
      </w:r>
      <w:proofErr w:type="spellStart"/>
      <w:r w:rsidRPr="00716072">
        <w:t>Heckelman</w:t>
      </w:r>
      <w:proofErr w:type="spellEnd"/>
      <w:r w:rsidRPr="00716072">
        <w:t xml:space="preserve"> PE, eds</w:t>
      </w:r>
      <w:r w:rsidR="00716072" w:rsidRPr="00716072">
        <w:t xml:space="preserve">. </w:t>
      </w:r>
      <w:r w:rsidRPr="00716072">
        <w:t>1989</w:t>
      </w:r>
      <w:r w:rsidR="00716072" w:rsidRPr="00716072">
        <w:t xml:space="preserve">. </w:t>
      </w:r>
      <w:r w:rsidRPr="00716072">
        <w:t>The Merck index C An encyclopedia of chemicals, drugs, and biologicals, 11th ed</w:t>
      </w:r>
      <w:r w:rsidR="00716072" w:rsidRPr="00716072">
        <w:t xml:space="preserve">. </w:t>
      </w:r>
      <w:r w:rsidRPr="00716072">
        <w:t>Rahway, NJ, Merck &amp; Co., Inc.</w:t>
      </w:r>
    </w:p>
    <w:p w14:paraId="71900E75" w14:textId="77777777" w:rsidR="00190B7B" w:rsidRPr="00716072" w:rsidRDefault="00190B7B" w:rsidP="00113E51">
      <w:pPr>
        <w:pStyle w:val="References"/>
      </w:pPr>
      <w:r w:rsidRPr="00716072">
        <w:t>CalEPA</w:t>
      </w:r>
      <w:r w:rsidR="00716072" w:rsidRPr="00716072">
        <w:t xml:space="preserve">. </w:t>
      </w:r>
      <w:r w:rsidRPr="00716072">
        <w:t>2006</w:t>
      </w:r>
      <w:r w:rsidR="00716072" w:rsidRPr="00716072">
        <w:t xml:space="preserve">. </w:t>
      </w:r>
      <w:r w:rsidRPr="00716072">
        <w:t>Public health goal for N-</w:t>
      </w:r>
      <w:proofErr w:type="spellStart"/>
      <w:r w:rsidRPr="00716072">
        <w:t>Nitrosodimethylamine</w:t>
      </w:r>
      <w:proofErr w:type="spellEnd"/>
      <w:r w:rsidRPr="00716072">
        <w:t xml:space="preserve"> in drinking water</w:t>
      </w:r>
      <w:r w:rsidR="00716072" w:rsidRPr="00716072">
        <w:t xml:space="preserve">. </w:t>
      </w:r>
      <w:r w:rsidRPr="00716072">
        <w:t>Pesticide and Environmental Toxicology Branch Office of Environmental Health Hazard Assessment California Environmental Protection Agency.</w:t>
      </w:r>
    </w:p>
    <w:p w14:paraId="12C11B02" w14:textId="77E9778E" w:rsidR="002051C1" w:rsidRDefault="002051C1" w:rsidP="00113E51">
      <w:pPr>
        <w:pStyle w:val="References"/>
      </w:pPr>
      <w:r>
        <w:t xml:space="preserve">California SWRCB. 2019. </w:t>
      </w:r>
      <w:r w:rsidRPr="002051C1">
        <w:t>Drinking Water Notification Levels and Response Levels: An Overview</w:t>
      </w:r>
      <w:r>
        <w:t xml:space="preserve">. California </w:t>
      </w:r>
      <w:r w:rsidRPr="002051C1">
        <w:t>State</w:t>
      </w:r>
      <w:r>
        <w:t xml:space="preserve"> Water Resources Control Board </w:t>
      </w:r>
      <w:r w:rsidRPr="002051C1">
        <w:t>Division of Drinking Water</w:t>
      </w:r>
      <w:r>
        <w:t>.</w:t>
      </w:r>
      <w:r w:rsidR="001750A5">
        <w:t xml:space="preserve"> Available: </w:t>
      </w:r>
      <w:hyperlink r:id="rId48" w:history="1">
        <w:r w:rsidR="001750A5" w:rsidRPr="008665D7">
          <w:rPr>
            <w:rStyle w:val="Hyperlink"/>
          </w:rPr>
          <w:t>https://www.waterboards.ca.gov/drinking_water/certlic/drinkingwater/documents/notificationlevels/notification_levels_response_levels_overview.pdf</w:t>
        </w:r>
      </w:hyperlink>
      <w:r w:rsidR="001750A5">
        <w:t xml:space="preserve"> [accessed 2019].</w:t>
      </w:r>
    </w:p>
    <w:p w14:paraId="3E87A1DB" w14:textId="77777777" w:rsidR="00A32EC7" w:rsidRPr="00716072" w:rsidRDefault="00A32EC7" w:rsidP="00113E51">
      <w:pPr>
        <w:pStyle w:val="References"/>
      </w:pPr>
      <w:r w:rsidRPr="00716072">
        <w:t xml:space="preserve">Cantor KP, </w:t>
      </w:r>
      <w:proofErr w:type="spellStart"/>
      <w:r w:rsidRPr="00716072">
        <w:t>Steinmaus</w:t>
      </w:r>
      <w:proofErr w:type="spellEnd"/>
      <w:r w:rsidRPr="00716072">
        <w:t xml:space="preserve"> CM, Ward MH, Freeman LEB</w:t>
      </w:r>
      <w:r w:rsidR="00716072" w:rsidRPr="00716072">
        <w:t xml:space="preserve">. </w:t>
      </w:r>
      <w:r w:rsidR="00910280" w:rsidRPr="00716072">
        <w:t>2018</w:t>
      </w:r>
      <w:r w:rsidR="00716072" w:rsidRPr="00716072">
        <w:t xml:space="preserve">. </w:t>
      </w:r>
      <w:r w:rsidRPr="00716072">
        <w:t>Water Contaminants</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305-328.</w:t>
      </w:r>
    </w:p>
    <w:p w14:paraId="18170945" w14:textId="77777777" w:rsidR="001102A6" w:rsidRPr="00716072" w:rsidRDefault="001102A6" w:rsidP="00113E51">
      <w:pPr>
        <w:pStyle w:val="References"/>
      </w:pPr>
      <w:proofErr w:type="spellStart"/>
      <w:r w:rsidRPr="00716072">
        <w:t>Cerha</w:t>
      </w:r>
      <w:r w:rsidR="00236850" w:rsidRPr="00716072">
        <w:t>n</w:t>
      </w:r>
      <w:proofErr w:type="spellEnd"/>
      <w:r w:rsidRPr="00716072">
        <w:t xml:space="preserve"> JR, </w:t>
      </w:r>
      <w:proofErr w:type="spellStart"/>
      <w:r w:rsidRPr="00716072">
        <w:t>Vajdic</w:t>
      </w:r>
      <w:proofErr w:type="spellEnd"/>
      <w:r w:rsidRPr="00716072">
        <w:t xml:space="preserve"> CM, Spinelli JJ</w:t>
      </w:r>
      <w:r w:rsidR="00716072" w:rsidRPr="00716072">
        <w:t xml:space="preserve">. </w:t>
      </w:r>
      <w:r w:rsidRPr="00716072">
        <w:t>2018</w:t>
      </w:r>
      <w:r w:rsidR="00716072" w:rsidRPr="00716072">
        <w:t xml:space="preserve">. </w:t>
      </w:r>
      <w:r w:rsidRPr="00716072">
        <w:t>The Non-Hodgkin Lymphomas</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767-797</w:t>
      </w:r>
      <w:r w:rsidR="00716072" w:rsidRPr="00716072">
        <w:t xml:space="preserve">. </w:t>
      </w:r>
    </w:p>
    <w:p w14:paraId="00B7592C" w14:textId="77777777" w:rsidR="001102A6" w:rsidRPr="00716072" w:rsidRDefault="001102A6" w:rsidP="00113E51">
      <w:pPr>
        <w:pStyle w:val="References"/>
      </w:pPr>
      <w:r w:rsidRPr="00716072">
        <w:t xml:space="preserve">Charalambous A, </w:t>
      </w:r>
      <w:proofErr w:type="spellStart"/>
      <w:r w:rsidRPr="00716072">
        <w:t>Vasileiou</w:t>
      </w:r>
      <w:proofErr w:type="spellEnd"/>
      <w:r w:rsidRPr="00716072">
        <w:t xml:space="preserve"> P</w:t>
      </w:r>
      <w:r w:rsidR="00716072" w:rsidRPr="00716072">
        <w:t xml:space="preserve">. </w:t>
      </w:r>
      <w:r w:rsidRPr="00716072">
        <w:t>2012</w:t>
      </w:r>
      <w:r w:rsidR="00716072" w:rsidRPr="00716072">
        <w:t xml:space="preserve">. </w:t>
      </w:r>
      <w:r w:rsidRPr="00716072">
        <w:t>Risk factors for childhood leukemia: a comprehensive literature review</w:t>
      </w:r>
      <w:r w:rsidR="00716072" w:rsidRPr="00716072">
        <w:t xml:space="preserve">. </w:t>
      </w:r>
      <w:r w:rsidRPr="00716072">
        <w:t>Health Science Journal: International Journal of Nursing Research and Review 6</w:t>
      </w:r>
      <w:r w:rsidR="006F3F3C" w:rsidRPr="00716072">
        <w:t>:</w:t>
      </w:r>
      <w:r w:rsidRPr="00716072">
        <w:t>432–468.</w:t>
      </w:r>
    </w:p>
    <w:p w14:paraId="14E4A003" w14:textId="77777777" w:rsidR="001102A6" w:rsidRPr="00716072" w:rsidRDefault="001102A6" w:rsidP="00113E51">
      <w:pPr>
        <w:pStyle w:val="References"/>
      </w:pPr>
      <w:r w:rsidRPr="00716072">
        <w:t>Chen M, Chang C, Tao L, Lu C</w:t>
      </w:r>
      <w:r w:rsidR="00716072" w:rsidRPr="00716072">
        <w:t xml:space="preserve">. </w:t>
      </w:r>
      <w:r w:rsidRPr="00716072">
        <w:t>2015</w:t>
      </w:r>
      <w:r w:rsidR="00716072" w:rsidRPr="00716072">
        <w:t xml:space="preserve">. </w:t>
      </w:r>
      <w:r w:rsidRPr="00716072">
        <w:t>Residential exposure to pesticide during childhood and childhood cancers: a meta-analysis</w:t>
      </w:r>
      <w:r w:rsidR="00716072" w:rsidRPr="00716072">
        <w:t xml:space="preserve">. </w:t>
      </w:r>
      <w:r w:rsidRPr="00716072">
        <w:t>Pediatrics 136(4):719-729</w:t>
      </w:r>
      <w:r w:rsidR="00716072" w:rsidRPr="00716072">
        <w:t xml:space="preserve">. </w:t>
      </w:r>
      <w:r w:rsidR="00101AB9" w:rsidRPr="00716072">
        <w:t>https://doi.org/10.1542/peds.2015-0006.</w:t>
      </w:r>
    </w:p>
    <w:p w14:paraId="21DB6151" w14:textId="77777777" w:rsidR="001102A6" w:rsidRPr="00716072" w:rsidRDefault="001102A6" w:rsidP="00113E51">
      <w:pPr>
        <w:pStyle w:val="References"/>
      </w:pPr>
      <w:r w:rsidRPr="00716072">
        <w:t>Chiu BCH, Dave BJ, Ward MH, Fought AJ, Hou L, Jain S, et al</w:t>
      </w:r>
      <w:r w:rsidR="00716072" w:rsidRPr="00716072">
        <w:t xml:space="preserve">. </w:t>
      </w:r>
      <w:r w:rsidRPr="00716072">
        <w:t>2008</w:t>
      </w:r>
      <w:r w:rsidR="00716072" w:rsidRPr="00716072">
        <w:t xml:space="preserve">. </w:t>
      </w:r>
      <w:r w:rsidRPr="00716072">
        <w:t xml:space="preserve">Dietary factors and risk of </w:t>
      </w:r>
      <w:proofErr w:type="gramStart"/>
      <w:r w:rsidRPr="00716072">
        <w:t>t(</w:t>
      </w:r>
      <w:proofErr w:type="gramEnd"/>
      <w:r w:rsidRPr="00716072">
        <w:t>14:18)-defined subgroups of non-Hodgkin lymphoma</w:t>
      </w:r>
      <w:r w:rsidR="00716072" w:rsidRPr="00716072">
        <w:t xml:space="preserve">. </w:t>
      </w:r>
      <w:r w:rsidRPr="00716072">
        <w:t>Cancer Cause Control 19:859–867</w:t>
      </w:r>
      <w:r w:rsidR="00716072" w:rsidRPr="00716072">
        <w:t xml:space="preserve">. </w:t>
      </w:r>
      <w:r w:rsidR="00101AB9" w:rsidRPr="00716072">
        <w:t>https://doi.org/10.1007/s10552-008-9148-3.</w:t>
      </w:r>
    </w:p>
    <w:p w14:paraId="783137AD" w14:textId="77777777" w:rsidR="00BF74B6" w:rsidRPr="00716072" w:rsidRDefault="00BF74B6" w:rsidP="00113E51">
      <w:pPr>
        <w:pStyle w:val="References"/>
      </w:pPr>
      <w:r w:rsidRPr="00716072">
        <w:t>Chowdhury S</w:t>
      </w:r>
      <w:r w:rsidR="00716072" w:rsidRPr="00716072">
        <w:t xml:space="preserve">. </w:t>
      </w:r>
      <w:r w:rsidR="00271F60" w:rsidRPr="00716072">
        <w:t>2014</w:t>
      </w:r>
      <w:r w:rsidR="00716072" w:rsidRPr="00716072">
        <w:t xml:space="preserve">. </w:t>
      </w:r>
      <w:r w:rsidRPr="00716072">
        <w:t>N-</w:t>
      </w:r>
      <w:proofErr w:type="spellStart"/>
      <w:r w:rsidRPr="00716072">
        <w:t>Nitrosodimethylamine</w:t>
      </w:r>
      <w:proofErr w:type="spellEnd"/>
      <w:r w:rsidRPr="00716072">
        <w:t xml:space="preserve"> (NDMA) in food and beverages: A comparison in context to drinking water</w:t>
      </w:r>
      <w:r w:rsidR="00716072" w:rsidRPr="00716072">
        <w:t xml:space="preserve">. </w:t>
      </w:r>
      <w:r w:rsidRPr="00716072">
        <w:t>Human and Ecological Risk Assessment:  An International Journal 20:5, 1291-1312</w:t>
      </w:r>
      <w:r w:rsidR="00716072" w:rsidRPr="00716072">
        <w:t xml:space="preserve">. </w:t>
      </w:r>
      <w:r w:rsidR="00101AB9" w:rsidRPr="00716072">
        <w:lastRenderedPageBreak/>
        <w:t>https://doi.org/10.1080/10807039.2013.817144.</w:t>
      </w:r>
    </w:p>
    <w:p w14:paraId="1331E8D7" w14:textId="77777777" w:rsidR="001102A6" w:rsidRPr="00716072" w:rsidRDefault="001102A6" w:rsidP="00113E51">
      <w:pPr>
        <w:pStyle w:val="References"/>
      </w:pPr>
      <w:r w:rsidRPr="00716072">
        <w:t>Cohen JB, Bachman JD</w:t>
      </w:r>
      <w:r w:rsidR="00716072" w:rsidRPr="00716072">
        <w:t xml:space="preserve">. </w:t>
      </w:r>
      <w:r w:rsidRPr="00716072">
        <w:t>1978</w:t>
      </w:r>
      <w:r w:rsidR="00716072" w:rsidRPr="00716072">
        <w:t xml:space="preserve">. </w:t>
      </w:r>
      <w:r w:rsidRPr="00716072">
        <w:t>Measurement of environmental nitrosamines</w:t>
      </w:r>
      <w:r w:rsidR="00716072" w:rsidRPr="00716072">
        <w:t xml:space="preserve">. </w:t>
      </w:r>
      <w:r w:rsidRPr="00716072">
        <w:t>IARC scientific publications</w:t>
      </w:r>
      <w:r w:rsidR="00716072" w:rsidRPr="00716072">
        <w:t xml:space="preserve">. </w:t>
      </w:r>
      <w:r w:rsidRPr="00716072">
        <w:t>357-72.</w:t>
      </w:r>
    </w:p>
    <w:p w14:paraId="7CBE3B12" w14:textId="77777777" w:rsidR="001102A6" w:rsidRPr="00716072" w:rsidRDefault="001102A6" w:rsidP="00113E51">
      <w:pPr>
        <w:pStyle w:val="References"/>
      </w:pPr>
      <w:r w:rsidRPr="00716072">
        <w:t>Colt JS, Blair A</w:t>
      </w:r>
      <w:r w:rsidR="00716072" w:rsidRPr="00716072">
        <w:t xml:space="preserve">. </w:t>
      </w:r>
      <w:r w:rsidRPr="00716072">
        <w:t>1998</w:t>
      </w:r>
      <w:r w:rsidR="00716072" w:rsidRPr="00716072">
        <w:t xml:space="preserve">. </w:t>
      </w:r>
      <w:r w:rsidRPr="00716072">
        <w:t>Parental occupational exposures and risk of childhood cancer</w:t>
      </w:r>
      <w:r w:rsidR="00716072" w:rsidRPr="00716072">
        <w:t xml:space="preserve">. </w:t>
      </w:r>
      <w:r w:rsidRPr="00716072">
        <w:t xml:space="preserve">Environ Health </w:t>
      </w:r>
      <w:proofErr w:type="spellStart"/>
      <w:r w:rsidRPr="00716072">
        <w:t>Perspect</w:t>
      </w:r>
      <w:proofErr w:type="spellEnd"/>
      <w:r w:rsidRPr="00716072">
        <w:t xml:space="preserve"> 106(Suppl 3): 909–925</w:t>
      </w:r>
      <w:r w:rsidR="00716072" w:rsidRPr="00716072">
        <w:t xml:space="preserve">. </w:t>
      </w:r>
      <w:r w:rsidR="00101AB9" w:rsidRPr="00716072">
        <w:t>https://doi.org/10.1289/ehp.98106909.</w:t>
      </w:r>
    </w:p>
    <w:p w14:paraId="28ED1FDF" w14:textId="77777777" w:rsidR="001102A6" w:rsidRPr="00716072" w:rsidRDefault="001102A6" w:rsidP="00113E51">
      <w:pPr>
        <w:pStyle w:val="References"/>
      </w:pPr>
      <w:r w:rsidRPr="00716072">
        <w:t>Costas K, Knorr RS, Condon SK</w:t>
      </w:r>
      <w:r w:rsidR="00716072" w:rsidRPr="00716072">
        <w:t xml:space="preserve">. </w:t>
      </w:r>
      <w:r w:rsidRPr="00716072">
        <w:t>2002</w:t>
      </w:r>
      <w:r w:rsidR="00716072" w:rsidRPr="00716072">
        <w:t xml:space="preserve">. </w:t>
      </w:r>
      <w:r w:rsidRPr="00716072">
        <w:t>A case-control study of childhood leukemia in Woburn, Massachusetts: the relationship between leukemia incidence and exposure to public drinking water</w:t>
      </w:r>
      <w:r w:rsidR="00716072" w:rsidRPr="00716072">
        <w:t xml:space="preserve">. </w:t>
      </w:r>
      <w:r w:rsidRPr="00716072">
        <w:t>Sci Total Environ 300:23–35</w:t>
      </w:r>
      <w:r w:rsidR="004B0171" w:rsidRPr="00716072">
        <w:t xml:space="preserve">. </w:t>
      </w:r>
      <w:r w:rsidR="00101AB9" w:rsidRPr="00716072">
        <w:t>https://doi.org/10.1016/S0048-9697(02)00169-9.</w:t>
      </w:r>
    </w:p>
    <w:p w14:paraId="2BEC6B14" w14:textId="77777777" w:rsidR="00AC22BB" w:rsidRPr="00716072" w:rsidRDefault="00AC22BB" w:rsidP="00113E51">
      <w:pPr>
        <w:pStyle w:val="References"/>
      </w:pPr>
      <w:r w:rsidRPr="00716072">
        <w:t>CRA</w:t>
      </w:r>
      <w:r w:rsidR="00716072" w:rsidRPr="00716072">
        <w:t xml:space="preserve">. </w:t>
      </w:r>
      <w:r w:rsidRPr="00716072">
        <w:t>1993</w:t>
      </w:r>
      <w:r w:rsidR="00716072" w:rsidRPr="00716072">
        <w:t xml:space="preserve">. </w:t>
      </w:r>
      <w:r w:rsidRPr="00716072">
        <w:t>Comprehensive Site Investigation, Phase II Field Investigation Report, Volume I, Wilmington Facility, Wilmington, MA, Olin Corporation</w:t>
      </w:r>
      <w:r w:rsidR="00716072" w:rsidRPr="00716072">
        <w:t xml:space="preserve">. </w:t>
      </w:r>
      <w:r w:rsidRPr="00716072">
        <w:t>Conestoga-Rovers &amp; Associates</w:t>
      </w:r>
      <w:r w:rsidR="00716072" w:rsidRPr="00716072">
        <w:t xml:space="preserve">. </w:t>
      </w:r>
    </w:p>
    <w:p w14:paraId="27D4B988" w14:textId="77777777" w:rsidR="00236850" w:rsidRPr="00716072" w:rsidRDefault="00236850" w:rsidP="00113E51">
      <w:pPr>
        <w:pStyle w:val="References"/>
      </w:pPr>
      <w:r w:rsidRPr="00716072">
        <w:t>Dang AT, Chin RK</w:t>
      </w:r>
      <w:r w:rsidR="00716072" w:rsidRPr="00716072">
        <w:t xml:space="preserve">. </w:t>
      </w:r>
      <w:r w:rsidRPr="00716072">
        <w:t>2018</w:t>
      </w:r>
      <w:r w:rsidR="00716072" w:rsidRPr="00716072">
        <w:t xml:space="preserve">. </w:t>
      </w:r>
      <w:r w:rsidRPr="00716072">
        <w:t>Microcystic Adnexal Carcinoma: Prognosis and Epidemiology Analysis of the Surveillance, Epidemiology, and End Results Database from 1973-2014</w:t>
      </w:r>
      <w:r w:rsidR="00716072" w:rsidRPr="00716072">
        <w:t xml:space="preserve">. </w:t>
      </w:r>
      <w:r w:rsidRPr="00716072">
        <w:t>International Journal of Radiation Oncology, Biology, Physics 102(3S):E212-E213</w:t>
      </w:r>
      <w:r w:rsidR="00716072" w:rsidRPr="00716072">
        <w:t xml:space="preserve">. </w:t>
      </w:r>
      <w:r w:rsidR="00101AB9" w:rsidRPr="00716072">
        <w:t>https://doi.org/10.1016/j.ijrobp.2018.07.742.</w:t>
      </w:r>
    </w:p>
    <w:p w14:paraId="26DE5306" w14:textId="77777777" w:rsidR="001102A6" w:rsidRPr="00716072" w:rsidRDefault="001102A6" w:rsidP="00113E51">
      <w:pPr>
        <w:pStyle w:val="References"/>
      </w:pPr>
      <w:r w:rsidRPr="00716072">
        <w:t>Davis JR, Brownson RC, Garcia R, Bentz BJ, Turner A</w:t>
      </w:r>
      <w:r w:rsidR="00716072" w:rsidRPr="00716072">
        <w:t xml:space="preserve">. </w:t>
      </w:r>
      <w:r w:rsidRPr="00716072">
        <w:t>1993</w:t>
      </w:r>
      <w:r w:rsidR="00716072" w:rsidRPr="00716072">
        <w:t xml:space="preserve">. </w:t>
      </w:r>
      <w:r w:rsidRPr="00716072">
        <w:t>Family pesticide use and childhood brain cancer</w:t>
      </w:r>
      <w:r w:rsidR="00716072" w:rsidRPr="00716072">
        <w:t xml:space="preserve">. </w:t>
      </w:r>
      <w:r w:rsidRPr="00716072">
        <w:t xml:space="preserve">Arch Environ </w:t>
      </w:r>
      <w:proofErr w:type="spellStart"/>
      <w:r w:rsidRPr="00716072">
        <w:t>Contam</w:t>
      </w:r>
      <w:proofErr w:type="spellEnd"/>
      <w:r w:rsidRPr="00716072">
        <w:t xml:space="preserve"> </w:t>
      </w:r>
      <w:proofErr w:type="spellStart"/>
      <w:r w:rsidRPr="00716072">
        <w:t>Toxicol</w:t>
      </w:r>
      <w:proofErr w:type="spellEnd"/>
      <w:r w:rsidRPr="00716072">
        <w:t xml:space="preserve"> 24</w:t>
      </w:r>
      <w:r w:rsidR="006F3F3C" w:rsidRPr="00716072">
        <w:t>:</w:t>
      </w:r>
      <w:r w:rsidRPr="00716072">
        <w:t>87–92</w:t>
      </w:r>
      <w:r w:rsidR="00716072" w:rsidRPr="00716072">
        <w:t xml:space="preserve">. </w:t>
      </w:r>
      <w:r w:rsidR="0045253D" w:rsidRPr="00716072">
        <w:t>https://doi.org/10.1007/BF01061094.</w:t>
      </w:r>
    </w:p>
    <w:p w14:paraId="3A23E4FF" w14:textId="77777777" w:rsidR="001102A6" w:rsidRPr="00716072" w:rsidRDefault="001102A6" w:rsidP="00113E51">
      <w:pPr>
        <w:pStyle w:val="References"/>
      </w:pPr>
      <w:r w:rsidRPr="00716072">
        <w:t xml:space="preserve">de Gonzalez AB, </w:t>
      </w:r>
      <w:proofErr w:type="spellStart"/>
      <w:r w:rsidRPr="00716072">
        <w:t>Bouville</w:t>
      </w:r>
      <w:proofErr w:type="spellEnd"/>
      <w:r w:rsidRPr="00716072">
        <w:t xml:space="preserve"> A, Rajaraman P, </w:t>
      </w:r>
      <w:proofErr w:type="spellStart"/>
      <w:r w:rsidRPr="00716072">
        <w:t>Schubauer</w:t>
      </w:r>
      <w:proofErr w:type="spellEnd"/>
      <w:r w:rsidRPr="00716072">
        <w:t>-Berigan M</w:t>
      </w:r>
      <w:r w:rsidR="00716072" w:rsidRPr="00716072">
        <w:t xml:space="preserve">. </w:t>
      </w:r>
      <w:r w:rsidRPr="00716072">
        <w:t>2018</w:t>
      </w:r>
      <w:r w:rsidR="00716072" w:rsidRPr="00716072">
        <w:t xml:space="preserve">. </w:t>
      </w:r>
      <w:r w:rsidRPr="00716072">
        <w:t>Ionizing radiation</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227-248</w:t>
      </w:r>
      <w:r w:rsidR="00716072" w:rsidRPr="00716072">
        <w:t xml:space="preserve">. </w:t>
      </w:r>
    </w:p>
    <w:p w14:paraId="0E14DFFC" w14:textId="77777777" w:rsidR="00312010" w:rsidRPr="00716072" w:rsidRDefault="00312010" w:rsidP="00113E51">
      <w:pPr>
        <w:pStyle w:val="References"/>
      </w:pPr>
      <w:r w:rsidRPr="00716072">
        <w:t xml:space="preserve">De Stefani E, </w:t>
      </w:r>
      <w:proofErr w:type="spellStart"/>
      <w:r w:rsidRPr="00716072">
        <w:t>Deneo</w:t>
      </w:r>
      <w:proofErr w:type="spellEnd"/>
      <w:r w:rsidRPr="00716072">
        <w:t xml:space="preserve">-Pellegrini H, </w:t>
      </w:r>
      <w:proofErr w:type="spellStart"/>
      <w:r w:rsidRPr="00716072">
        <w:t>Carzoglio</w:t>
      </w:r>
      <w:proofErr w:type="spellEnd"/>
      <w:r w:rsidRPr="00716072">
        <w:t xml:space="preserve"> JC, </w:t>
      </w:r>
      <w:proofErr w:type="spellStart"/>
      <w:r w:rsidRPr="00716072">
        <w:t>Ronco</w:t>
      </w:r>
      <w:proofErr w:type="spellEnd"/>
      <w:r w:rsidRPr="00716072">
        <w:t xml:space="preserve"> A, </w:t>
      </w:r>
      <w:proofErr w:type="spellStart"/>
      <w:r w:rsidRPr="00716072">
        <w:t>Mendilaharsu</w:t>
      </w:r>
      <w:proofErr w:type="spellEnd"/>
      <w:r w:rsidRPr="00716072">
        <w:t xml:space="preserve"> M</w:t>
      </w:r>
      <w:r w:rsidR="00716072" w:rsidRPr="00716072">
        <w:t xml:space="preserve">. </w:t>
      </w:r>
      <w:r w:rsidRPr="00716072">
        <w:t xml:space="preserve">1996 Dietary </w:t>
      </w:r>
      <w:proofErr w:type="spellStart"/>
      <w:r w:rsidRPr="00716072">
        <w:t>nitrosodimethylamine</w:t>
      </w:r>
      <w:proofErr w:type="spellEnd"/>
      <w:r w:rsidRPr="00716072">
        <w:t xml:space="preserve"> and the risk of lung cancer: a case–control study from Uruguay</w:t>
      </w:r>
      <w:r w:rsidR="00716072" w:rsidRPr="00716072">
        <w:t xml:space="preserve">. </w:t>
      </w:r>
      <w:r w:rsidRPr="00716072">
        <w:t xml:space="preserve">Cancer </w:t>
      </w:r>
      <w:proofErr w:type="spellStart"/>
      <w:r w:rsidRPr="00716072">
        <w:t>Epidem</w:t>
      </w:r>
      <w:proofErr w:type="spellEnd"/>
      <w:r w:rsidRPr="00716072">
        <w:t xml:space="preserve"> </w:t>
      </w:r>
      <w:proofErr w:type="spellStart"/>
      <w:r w:rsidRPr="00716072">
        <w:t>Biomar</w:t>
      </w:r>
      <w:proofErr w:type="spellEnd"/>
      <w:r w:rsidRPr="00716072">
        <w:t xml:space="preserve"> 5:679–682.</w:t>
      </w:r>
    </w:p>
    <w:p w14:paraId="516F3139" w14:textId="77777777" w:rsidR="001102A6" w:rsidRPr="00716072" w:rsidRDefault="001102A6" w:rsidP="00113E51">
      <w:pPr>
        <w:pStyle w:val="References"/>
      </w:pPr>
      <w:r w:rsidRPr="00716072">
        <w:t>Durant J</w:t>
      </w:r>
      <w:r w:rsidR="006E5AE0">
        <w:t>L</w:t>
      </w:r>
      <w:r w:rsidRPr="00716072">
        <w:t xml:space="preserve">, </w:t>
      </w:r>
      <w:r w:rsidR="006E5AE0">
        <w:t xml:space="preserve">Jacobs B, Walker JD, </w:t>
      </w:r>
      <w:proofErr w:type="spellStart"/>
      <w:r w:rsidR="006E5AE0">
        <w:t>Shanaha</w:t>
      </w:r>
      <w:proofErr w:type="spellEnd"/>
      <w:r w:rsidR="006E5AE0">
        <w:t xml:space="preserve"> P, Knott JF. 2018. Modeling N-</w:t>
      </w:r>
      <w:proofErr w:type="spellStart"/>
      <w:r w:rsidR="006E5AE0">
        <w:t>Nitrosodimethylamine</w:t>
      </w:r>
      <w:proofErr w:type="spellEnd"/>
      <w:r w:rsidR="006E5AE0">
        <w:t xml:space="preserve"> and Trichloroethylene Conce</w:t>
      </w:r>
      <w:r w:rsidR="00A65CE8">
        <w:t>n</w:t>
      </w:r>
      <w:r w:rsidR="006E5AE0">
        <w:t>trations in the Wilmington, Massachusetts, Wat</w:t>
      </w:r>
      <w:r w:rsidR="00A65CE8">
        <w:t>er Supply System: 1974 to 2000. Prepared for Massachusetts Department of Public Health.</w:t>
      </w:r>
    </w:p>
    <w:p w14:paraId="31C035D1" w14:textId="77777777" w:rsidR="00874927" w:rsidRDefault="001102A6" w:rsidP="00113E51">
      <w:pPr>
        <w:pStyle w:val="References"/>
      </w:pPr>
      <w:r w:rsidRPr="00716072">
        <w:t>Eden T</w:t>
      </w:r>
      <w:r w:rsidR="00716072" w:rsidRPr="00716072">
        <w:t xml:space="preserve">. </w:t>
      </w:r>
      <w:r w:rsidRPr="00716072">
        <w:t>2010</w:t>
      </w:r>
      <w:r w:rsidR="00716072" w:rsidRPr="00716072">
        <w:t xml:space="preserve">. </w:t>
      </w:r>
      <w:proofErr w:type="spellStart"/>
      <w:r w:rsidRPr="00716072">
        <w:t>Aetiology</w:t>
      </w:r>
      <w:proofErr w:type="spellEnd"/>
      <w:r w:rsidRPr="00716072">
        <w:t xml:space="preserve"> of childhood </w:t>
      </w:r>
      <w:proofErr w:type="spellStart"/>
      <w:r w:rsidRPr="00716072">
        <w:t>leukaemia</w:t>
      </w:r>
      <w:proofErr w:type="spellEnd"/>
      <w:r w:rsidR="00716072" w:rsidRPr="00716072">
        <w:t xml:space="preserve">. </w:t>
      </w:r>
      <w:r w:rsidRPr="00716072">
        <w:t>Cancer Treatment Reviews 36:286–297.</w:t>
      </w:r>
    </w:p>
    <w:p w14:paraId="35DD7229" w14:textId="77777777" w:rsidR="001102A6" w:rsidRPr="00716072" w:rsidRDefault="00A32F2D" w:rsidP="00113E51">
      <w:pPr>
        <w:pStyle w:val="References"/>
      </w:pPr>
      <w:r w:rsidRPr="00716072">
        <w:t>ESRI</w:t>
      </w:r>
      <w:r w:rsidR="00716072" w:rsidRPr="00716072">
        <w:t xml:space="preserve">. </w:t>
      </w:r>
      <w:r w:rsidRPr="00716072">
        <w:t>2009</w:t>
      </w:r>
      <w:r w:rsidR="00716072" w:rsidRPr="00716072">
        <w:t xml:space="preserve">. </w:t>
      </w:r>
      <w:r w:rsidRPr="00716072">
        <w:t>ArcMap Desktop: Release 9.3.1</w:t>
      </w:r>
      <w:r w:rsidR="00716072" w:rsidRPr="00716072">
        <w:t xml:space="preserve">. </w:t>
      </w:r>
      <w:r w:rsidRPr="00716072">
        <w:t>Redlands, CA: Environmental Systems Research Institute.</w:t>
      </w:r>
    </w:p>
    <w:p w14:paraId="0B716391" w14:textId="11A990CC" w:rsidR="00126A9F" w:rsidRPr="00716072" w:rsidRDefault="00126A9F" w:rsidP="00664C90">
      <w:pPr>
        <w:pStyle w:val="References"/>
        <w:tabs>
          <w:tab w:val="left" w:pos="2430"/>
        </w:tabs>
      </w:pPr>
      <w:proofErr w:type="spellStart"/>
      <w:r w:rsidRPr="00716072">
        <w:t>Fagliano</w:t>
      </w:r>
      <w:proofErr w:type="spellEnd"/>
      <w:r w:rsidRPr="00716072">
        <w:t xml:space="preserve"> JA, Berry M, Kohler BA, Klotz JB, Imtiaz R</w:t>
      </w:r>
      <w:r w:rsidR="00716072" w:rsidRPr="00716072">
        <w:t xml:space="preserve">. </w:t>
      </w:r>
      <w:r w:rsidRPr="00716072">
        <w:t>2003</w:t>
      </w:r>
      <w:r w:rsidR="00716072" w:rsidRPr="00716072">
        <w:t xml:space="preserve">. </w:t>
      </w:r>
      <w:r w:rsidRPr="00716072">
        <w:t xml:space="preserve">Case-control study of </w:t>
      </w:r>
      <w:r w:rsidRPr="00716072">
        <w:lastRenderedPageBreak/>
        <w:t>childhood cancers in Dover Township, Ocean County, New Jersey</w:t>
      </w:r>
      <w:r w:rsidR="00716072" w:rsidRPr="00716072">
        <w:t xml:space="preserve">. </w:t>
      </w:r>
      <w:r w:rsidRPr="00716072">
        <w:t>Vol I-Vol V</w:t>
      </w:r>
      <w:r w:rsidR="00716072" w:rsidRPr="00716072">
        <w:t xml:space="preserve">. </w:t>
      </w:r>
      <w:r w:rsidRPr="00716072">
        <w:t>Trenton, New Jersey</w:t>
      </w:r>
      <w:r w:rsidR="00716072" w:rsidRPr="00716072">
        <w:t xml:space="preserve">. </w:t>
      </w:r>
      <w:r w:rsidRPr="00716072">
        <w:t>New Jersey Department of Health and Senior Services in cooperation with the Agency for Toxic Substances and Disease Registry</w:t>
      </w:r>
      <w:r w:rsidR="00716072" w:rsidRPr="00716072">
        <w:t xml:space="preserve">. </w:t>
      </w:r>
      <w:r w:rsidRPr="00716072">
        <w:t xml:space="preserve">Available: </w:t>
      </w:r>
      <w:r w:rsidRPr="00F536C5">
        <w:t>https://www.state.nj.us/health/ceohs/documents/eohap/haz_sites/ocean/toms_river/toms_river_dover_twp/vol_i.pdf</w:t>
      </w:r>
      <w:r w:rsidRPr="00716072">
        <w:t xml:space="preserve"> [accessed 2019].</w:t>
      </w:r>
    </w:p>
    <w:p w14:paraId="237C0A08" w14:textId="77777777" w:rsidR="00B52949" w:rsidRPr="00716072" w:rsidRDefault="00B52949" w:rsidP="00113E51">
      <w:pPr>
        <w:pStyle w:val="References"/>
      </w:pPr>
      <w:proofErr w:type="spellStart"/>
      <w:r w:rsidRPr="00716072">
        <w:t>Feychting</w:t>
      </w:r>
      <w:proofErr w:type="spellEnd"/>
      <w:r w:rsidRPr="00716072">
        <w:t xml:space="preserve"> M, </w:t>
      </w:r>
      <w:proofErr w:type="spellStart"/>
      <w:r w:rsidRPr="00716072">
        <w:t>Schuz</w:t>
      </w:r>
      <w:proofErr w:type="spellEnd"/>
      <w:r w:rsidRPr="00716072">
        <w:t xml:space="preserve"> J, 2018</w:t>
      </w:r>
      <w:r w:rsidR="00716072" w:rsidRPr="00716072">
        <w:t xml:space="preserve">. </w:t>
      </w:r>
      <w:r w:rsidRPr="00716072">
        <w:t>Electromagnetic Fields</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259-274</w:t>
      </w:r>
      <w:r w:rsidR="00716072" w:rsidRPr="00716072">
        <w:t xml:space="preserve">. </w:t>
      </w:r>
    </w:p>
    <w:p w14:paraId="68998947" w14:textId="77777777" w:rsidR="001102A6" w:rsidRPr="00716072" w:rsidRDefault="001102A6" w:rsidP="00113E51">
      <w:pPr>
        <w:pStyle w:val="References"/>
      </w:pPr>
      <w:proofErr w:type="spellStart"/>
      <w:r w:rsidRPr="00716072">
        <w:t>Feychting</w:t>
      </w:r>
      <w:proofErr w:type="spellEnd"/>
      <w:r w:rsidRPr="00716072">
        <w:t xml:space="preserve"> M, Plato N, </w:t>
      </w:r>
      <w:proofErr w:type="spellStart"/>
      <w:r w:rsidRPr="00716072">
        <w:t>Nise</w:t>
      </w:r>
      <w:proofErr w:type="spellEnd"/>
      <w:r w:rsidRPr="00716072">
        <w:t xml:space="preserve"> G, </w:t>
      </w:r>
      <w:proofErr w:type="spellStart"/>
      <w:r w:rsidRPr="00716072">
        <w:t>Ahlbom</w:t>
      </w:r>
      <w:proofErr w:type="spellEnd"/>
      <w:r w:rsidRPr="00716072">
        <w:t xml:space="preserve"> A</w:t>
      </w:r>
      <w:r w:rsidR="00716072" w:rsidRPr="00716072">
        <w:t xml:space="preserve">. </w:t>
      </w:r>
      <w:r w:rsidRPr="00716072">
        <w:t>2001</w:t>
      </w:r>
      <w:r w:rsidR="00716072" w:rsidRPr="00716072">
        <w:t xml:space="preserve">. </w:t>
      </w:r>
      <w:r w:rsidRPr="00716072">
        <w:t>Paternal occupational exposures and childhood cancer</w:t>
      </w:r>
      <w:r w:rsidR="00716072" w:rsidRPr="00716072">
        <w:t xml:space="preserve">. </w:t>
      </w:r>
      <w:r w:rsidRPr="00716072">
        <w:t xml:space="preserve">Environ Health </w:t>
      </w:r>
      <w:proofErr w:type="spellStart"/>
      <w:r w:rsidRPr="00716072">
        <w:t>Perspect</w:t>
      </w:r>
      <w:proofErr w:type="spellEnd"/>
      <w:r w:rsidRPr="00716072">
        <w:t xml:space="preserve"> 109:193–196</w:t>
      </w:r>
      <w:r w:rsidR="00716072" w:rsidRPr="00716072">
        <w:t xml:space="preserve">. </w:t>
      </w:r>
      <w:r w:rsidR="00563C98" w:rsidRPr="00716072">
        <w:t>https://doi.org/10.1289/ehp.01109193.</w:t>
      </w:r>
    </w:p>
    <w:p w14:paraId="653467B8" w14:textId="77777777" w:rsidR="001102A6" w:rsidRPr="00716072" w:rsidRDefault="001102A6" w:rsidP="00113E51">
      <w:pPr>
        <w:pStyle w:val="References"/>
      </w:pPr>
      <w:r w:rsidRPr="00716072">
        <w:t xml:space="preserve">Freedman DM, Stewart P, Kleinerman RA, </w:t>
      </w:r>
      <w:proofErr w:type="spellStart"/>
      <w:r w:rsidRPr="00716072">
        <w:t>Wacholder</w:t>
      </w:r>
      <w:proofErr w:type="spellEnd"/>
      <w:r w:rsidRPr="00716072">
        <w:t xml:space="preserve"> S, Hatch EE, </w:t>
      </w:r>
      <w:proofErr w:type="spellStart"/>
      <w:r w:rsidRPr="00716072">
        <w:t>Tarone</w:t>
      </w:r>
      <w:proofErr w:type="spellEnd"/>
      <w:r w:rsidRPr="00716072">
        <w:t xml:space="preserve"> RE, et al</w:t>
      </w:r>
      <w:r w:rsidR="00716072" w:rsidRPr="00716072">
        <w:t xml:space="preserve">. </w:t>
      </w:r>
      <w:r w:rsidRPr="00716072">
        <w:t>2001</w:t>
      </w:r>
      <w:r w:rsidR="00716072" w:rsidRPr="00716072">
        <w:t xml:space="preserve">. </w:t>
      </w:r>
      <w:r w:rsidRPr="00716072">
        <w:t>Household solvent exposures and childhood acute lymphoblastic leukemia</w:t>
      </w:r>
      <w:r w:rsidR="00716072" w:rsidRPr="00716072">
        <w:t xml:space="preserve">. </w:t>
      </w:r>
      <w:r w:rsidRPr="00716072">
        <w:t>Am J Public Health 91:564–567</w:t>
      </w:r>
      <w:r w:rsidR="00716072" w:rsidRPr="00716072">
        <w:t xml:space="preserve">. </w:t>
      </w:r>
      <w:r w:rsidR="00563C98" w:rsidRPr="00716072">
        <w:t>https://doi.org/10.2105/AJPH.91.4.564.</w:t>
      </w:r>
    </w:p>
    <w:p w14:paraId="267BF282" w14:textId="77777777" w:rsidR="001102A6" w:rsidRPr="00716072" w:rsidRDefault="001102A6" w:rsidP="00113E51">
      <w:pPr>
        <w:pStyle w:val="References"/>
      </w:pPr>
      <w:proofErr w:type="spellStart"/>
      <w:r w:rsidRPr="00716072">
        <w:t>Fristachi</w:t>
      </w:r>
      <w:proofErr w:type="spellEnd"/>
      <w:r w:rsidRPr="00716072">
        <w:t xml:space="preserve"> A, Rice G</w:t>
      </w:r>
      <w:r w:rsidR="00716072" w:rsidRPr="00716072">
        <w:t xml:space="preserve">. </w:t>
      </w:r>
      <w:r w:rsidRPr="00716072">
        <w:t>2007</w:t>
      </w:r>
      <w:r w:rsidR="00716072" w:rsidRPr="00716072">
        <w:t xml:space="preserve">. </w:t>
      </w:r>
      <w:r w:rsidRPr="00716072">
        <w:t>Estimation of the total daily oral intake of NDMA attributable to drinking water</w:t>
      </w:r>
      <w:r w:rsidR="00716072" w:rsidRPr="00716072">
        <w:t xml:space="preserve">. </w:t>
      </w:r>
      <w:r w:rsidRPr="00716072">
        <w:t>J Water Health 5</w:t>
      </w:r>
      <w:r w:rsidR="00563C98" w:rsidRPr="00716072">
        <w:t>:</w:t>
      </w:r>
      <w:r w:rsidRPr="00716072">
        <w:t>341–355</w:t>
      </w:r>
      <w:r w:rsidR="00716072" w:rsidRPr="00716072">
        <w:t xml:space="preserve">. </w:t>
      </w:r>
      <w:r w:rsidR="00563C98" w:rsidRPr="00716072">
        <w:t>https://doi.org/10.2166/wh.2007.030.</w:t>
      </w:r>
    </w:p>
    <w:p w14:paraId="7C1337F2" w14:textId="77777777" w:rsidR="00B777F0" w:rsidRPr="00716072" w:rsidRDefault="00B777F0" w:rsidP="00113E51">
      <w:pPr>
        <w:pStyle w:val="References"/>
      </w:pPr>
      <w:r w:rsidRPr="00716072">
        <w:t>Fay, Spofford, &amp; Thorndike (FST), 1988</w:t>
      </w:r>
      <w:r w:rsidR="00716072" w:rsidRPr="00716072">
        <w:t xml:space="preserve">. </w:t>
      </w:r>
      <w:r w:rsidRPr="00716072">
        <w:t>Town of Wilmington, Massachusetts, Water Works Facilities Master Plan</w:t>
      </w:r>
      <w:r w:rsidR="00716072" w:rsidRPr="00716072">
        <w:t xml:space="preserve">. </w:t>
      </w:r>
      <w:r w:rsidRPr="00716072">
        <w:t>Fay, Spofford &amp; Thorndike, Inc</w:t>
      </w:r>
      <w:r w:rsidR="00716072" w:rsidRPr="00716072">
        <w:t xml:space="preserve">. </w:t>
      </w:r>
      <w:r w:rsidRPr="00716072">
        <w:t>Engineers, Lexington, Massachusetts</w:t>
      </w:r>
      <w:r w:rsidR="00716072" w:rsidRPr="00716072">
        <w:t xml:space="preserve">. </w:t>
      </w:r>
      <w:r w:rsidRPr="00716072">
        <w:t>October 1988.</w:t>
      </w:r>
    </w:p>
    <w:p w14:paraId="6D0E52AE" w14:textId="77777777" w:rsidR="000C6C57" w:rsidRDefault="00275774" w:rsidP="00113E51">
      <w:pPr>
        <w:pStyle w:val="References"/>
      </w:pPr>
      <w:proofErr w:type="spellStart"/>
      <w:r w:rsidRPr="00716072">
        <w:t>Geomega</w:t>
      </w:r>
      <w:proofErr w:type="spellEnd"/>
      <w:r w:rsidR="00716072" w:rsidRPr="00716072">
        <w:t xml:space="preserve">. </w:t>
      </w:r>
      <w:r w:rsidRPr="00716072">
        <w:t>2001</w:t>
      </w:r>
      <w:r w:rsidR="00833448">
        <w:t>a</w:t>
      </w:r>
      <w:r w:rsidR="00716072" w:rsidRPr="00716072">
        <w:t xml:space="preserve">. </w:t>
      </w:r>
      <w:r w:rsidR="004E6932" w:rsidRPr="00716072">
        <w:t>A Groundwater Flow and Solute Transport Model for the Olin Corporation Site (RTN: 3‐0471) in Wilmington, Massachusetts</w:t>
      </w:r>
      <w:r w:rsidR="00716072" w:rsidRPr="00716072">
        <w:t xml:space="preserve">. </w:t>
      </w:r>
      <w:r w:rsidR="004E6932" w:rsidRPr="00716072">
        <w:t>Prepared for Olin Corporation, Wilmington, MA Facility</w:t>
      </w:r>
      <w:r w:rsidR="00716072" w:rsidRPr="00716072">
        <w:t xml:space="preserve">. </w:t>
      </w:r>
      <w:proofErr w:type="spellStart"/>
      <w:r w:rsidR="004E6932" w:rsidRPr="00716072">
        <w:t>Geomega</w:t>
      </w:r>
      <w:proofErr w:type="spellEnd"/>
      <w:r w:rsidR="004E6932" w:rsidRPr="00716072">
        <w:t xml:space="preserve"> Inc., Boulder, Colorado</w:t>
      </w:r>
      <w:r w:rsidR="00716072" w:rsidRPr="00716072">
        <w:t xml:space="preserve">. </w:t>
      </w:r>
    </w:p>
    <w:p w14:paraId="5986DB8A" w14:textId="77777777" w:rsidR="00833448" w:rsidRPr="00716072" w:rsidRDefault="00833448" w:rsidP="00113E51">
      <w:pPr>
        <w:pStyle w:val="References"/>
      </w:pPr>
      <w:proofErr w:type="spellStart"/>
      <w:r w:rsidRPr="00833448">
        <w:t>Geomega</w:t>
      </w:r>
      <w:proofErr w:type="spellEnd"/>
      <w:r>
        <w:t>. 2001b</w:t>
      </w:r>
      <w:r w:rsidRPr="00833448">
        <w:t xml:space="preserve">. A Preliminary Pumping Strategy for the Butters Row Treatment Plant Water-Supply Wells. Prepared for Olin Corporation, Wilmington, MA Facility. </w:t>
      </w:r>
      <w:proofErr w:type="spellStart"/>
      <w:r w:rsidRPr="00833448">
        <w:t>Geomega</w:t>
      </w:r>
      <w:proofErr w:type="spellEnd"/>
      <w:r w:rsidRPr="00833448">
        <w:t xml:space="preserve"> Inc., Boulder, Colorado. May 4, 2001.</w:t>
      </w:r>
    </w:p>
    <w:p w14:paraId="73415D61" w14:textId="77777777" w:rsidR="00275774" w:rsidRPr="00716072" w:rsidRDefault="00275774" w:rsidP="00113E51">
      <w:pPr>
        <w:pStyle w:val="References"/>
      </w:pPr>
      <w:proofErr w:type="spellStart"/>
      <w:r w:rsidRPr="00716072">
        <w:t>Geomega</w:t>
      </w:r>
      <w:proofErr w:type="spellEnd"/>
      <w:r w:rsidR="00716072" w:rsidRPr="00716072">
        <w:t xml:space="preserve">. </w:t>
      </w:r>
      <w:r w:rsidRPr="00716072">
        <w:t>2006</w:t>
      </w:r>
      <w:r w:rsidR="00716072" w:rsidRPr="00716072">
        <w:t xml:space="preserve">. </w:t>
      </w:r>
      <w:r w:rsidRPr="00716072">
        <w:t>2005 Update of Olin Site Groundwater Flow Model in Appendix A of MACTEC (2007) Draft Focused Remedial Investigation Report</w:t>
      </w:r>
      <w:r w:rsidR="00716072" w:rsidRPr="00716072">
        <w:t xml:space="preserve">. </w:t>
      </w:r>
      <w:proofErr w:type="spellStart"/>
      <w:r w:rsidRPr="00716072">
        <w:t>Geomega</w:t>
      </w:r>
      <w:proofErr w:type="spellEnd"/>
      <w:r w:rsidRPr="00716072">
        <w:t>, Inc., Boulder, Colorado</w:t>
      </w:r>
      <w:r w:rsidR="00716072" w:rsidRPr="00716072">
        <w:t xml:space="preserve">. </w:t>
      </w:r>
    </w:p>
    <w:p w14:paraId="2DA8506B" w14:textId="77777777" w:rsidR="00A509B6" w:rsidRPr="00716072" w:rsidRDefault="00A509B6" w:rsidP="00113E51">
      <w:pPr>
        <w:pStyle w:val="References"/>
      </w:pPr>
      <w:r w:rsidRPr="00716072">
        <w:t xml:space="preserve">González CA, </w:t>
      </w:r>
      <w:proofErr w:type="spellStart"/>
      <w:r w:rsidRPr="00716072">
        <w:t>Riboli</w:t>
      </w:r>
      <w:proofErr w:type="spellEnd"/>
      <w:r w:rsidRPr="00716072">
        <w:t xml:space="preserve"> E, </w:t>
      </w:r>
      <w:proofErr w:type="spellStart"/>
      <w:r w:rsidRPr="00716072">
        <w:t>Badosa</w:t>
      </w:r>
      <w:proofErr w:type="spellEnd"/>
      <w:r w:rsidRPr="00716072">
        <w:t xml:space="preserve"> J, Batiste E, Cardona T, Pita S, et al</w:t>
      </w:r>
      <w:r w:rsidR="00716072" w:rsidRPr="00716072">
        <w:t xml:space="preserve">. </w:t>
      </w:r>
      <w:r w:rsidRPr="00716072">
        <w:t>1994</w:t>
      </w:r>
      <w:r w:rsidR="00716072" w:rsidRPr="00716072">
        <w:t xml:space="preserve">. </w:t>
      </w:r>
      <w:r w:rsidRPr="00716072">
        <w:t>Nutritional factors and gastric cancer in Spain</w:t>
      </w:r>
      <w:r w:rsidR="00716072" w:rsidRPr="00716072">
        <w:t xml:space="preserve">. </w:t>
      </w:r>
      <w:r w:rsidRPr="00716072">
        <w:t xml:space="preserve">Am </w:t>
      </w:r>
      <w:r w:rsidR="006F3F3C" w:rsidRPr="00716072">
        <w:t>J</w:t>
      </w:r>
      <w:r w:rsidRPr="00716072">
        <w:t xml:space="preserve"> </w:t>
      </w:r>
      <w:r w:rsidR="006F3F3C" w:rsidRPr="00716072">
        <w:t>E</w:t>
      </w:r>
      <w:r w:rsidRPr="00716072">
        <w:t>pidemiol, 139:466–473</w:t>
      </w:r>
      <w:r w:rsidR="00716072" w:rsidRPr="00716072">
        <w:t xml:space="preserve">. </w:t>
      </w:r>
      <w:r w:rsidR="0086121A" w:rsidRPr="00716072">
        <w:t>https://doi.org/10.1093/oxfordjournals.aje.a117029.</w:t>
      </w:r>
    </w:p>
    <w:p w14:paraId="2D21EE37" w14:textId="77777777" w:rsidR="002463B2" w:rsidRPr="00716072" w:rsidRDefault="002463B2" w:rsidP="00113E51">
      <w:pPr>
        <w:pStyle w:val="References"/>
      </w:pPr>
      <w:r w:rsidRPr="00716072">
        <w:t xml:space="preserve">Goodman MT, </w:t>
      </w:r>
      <w:proofErr w:type="spellStart"/>
      <w:r w:rsidRPr="00716072">
        <w:t>Han</w:t>
      </w:r>
      <w:r w:rsidR="00312010" w:rsidRPr="00716072">
        <w:t>kin</w:t>
      </w:r>
      <w:proofErr w:type="spellEnd"/>
      <w:r w:rsidR="00312010" w:rsidRPr="00716072">
        <w:t xml:space="preserve"> JH, Wilkens LR, Kolonel LN</w:t>
      </w:r>
      <w:r w:rsidR="00716072" w:rsidRPr="00716072">
        <w:t xml:space="preserve">. </w:t>
      </w:r>
      <w:r w:rsidRPr="00716072">
        <w:t>1992</w:t>
      </w:r>
      <w:r w:rsidR="00716072" w:rsidRPr="00716072">
        <w:t xml:space="preserve">. </w:t>
      </w:r>
      <w:r w:rsidRPr="00716072">
        <w:t>High-fat foods and the risk of lung cancer</w:t>
      </w:r>
      <w:r w:rsidR="00716072" w:rsidRPr="00716072">
        <w:t xml:space="preserve">. </w:t>
      </w:r>
      <w:r w:rsidRPr="00716072">
        <w:t>Epidemiology 3:288–299</w:t>
      </w:r>
      <w:r w:rsidR="00716072" w:rsidRPr="00716072">
        <w:t xml:space="preserve">. </w:t>
      </w:r>
      <w:r w:rsidR="0086121A" w:rsidRPr="00716072">
        <w:t>https://doi.org/10.1097/00001648-199207000-00004.</w:t>
      </w:r>
    </w:p>
    <w:p w14:paraId="09BC898D" w14:textId="77777777" w:rsidR="00143E38" w:rsidRPr="00716072" w:rsidRDefault="00143E38" w:rsidP="00113E51">
      <w:pPr>
        <w:pStyle w:val="References"/>
      </w:pPr>
      <w:r w:rsidRPr="00716072">
        <w:lastRenderedPageBreak/>
        <w:t>Gordon S, Fischer C, Martin A, Rosman IS, Council ML</w:t>
      </w:r>
      <w:r w:rsidR="00716072" w:rsidRPr="00716072">
        <w:t xml:space="preserve">. </w:t>
      </w:r>
      <w:r w:rsidRPr="00716072">
        <w:t>2017</w:t>
      </w:r>
      <w:r w:rsidR="00716072" w:rsidRPr="00716072">
        <w:t xml:space="preserve">. </w:t>
      </w:r>
      <w:r w:rsidRPr="00716072">
        <w:t>Microcystic adnexal carcinoma: a review of the literature</w:t>
      </w:r>
      <w:r w:rsidR="00716072" w:rsidRPr="00716072">
        <w:t xml:space="preserve">. </w:t>
      </w:r>
      <w:r w:rsidRPr="00716072">
        <w:t>Dermatol Surg 43(8):1012-1016</w:t>
      </w:r>
      <w:r w:rsidR="00716072" w:rsidRPr="00716072">
        <w:t xml:space="preserve">. </w:t>
      </w:r>
      <w:r w:rsidR="0086121A" w:rsidRPr="00716072">
        <w:t>https://doi.org/10.1097/DSS.0000000000001142.</w:t>
      </w:r>
    </w:p>
    <w:p w14:paraId="20F5AA56" w14:textId="77777777" w:rsidR="00143FCC" w:rsidRPr="00716072" w:rsidRDefault="00143FCC" w:rsidP="00113E51">
      <w:pPr>
        <w:pStyle w:val="References"/>
      </w:pPr>
      <w:r w:rsidRPr="00716072">
        <w:t xml:space="preserve">Gray R, </w:t>
      </w:r>
      <w:proofErr w:type="spellStart"/>
      <w:r w:rsidRPr="00716072">
        <w:t>Peto</w:t>
      </w:r>
      <w:proofErr w:type="spellEnd"/>
      <w:r w:rsidRPr="00716072">
        <w:t xml:space="preserve"> R, </w:t>
      </w:r>
      <w:proofErr w:type="spellStart"/>
      <w:r w:rsidRPr="00716072">
        <w:t>Brantom</w:t>
      </w:r>
      <w:proofErr w:type="spellEnd"/>
      <w:r w:rsidRPr="00716072">
        <w:t xml:space="preserve"> P, Grasso P</w:t>
      </w:r>
      <w:r w:rsidR="00716072" w:rsidRPr="00716072">
        <w:t xml:space="preserve">. </w:t>
      </w:r>
      <w:r w:rsidRPr="00716072">
        <w:t>1991</w:t>
      </w:r>
      <w:r w:rsidR="00716072" w:rsidRPr="00716072">
        <w:t xml:space="preserve">. </w:t>
      </w:r>
      <w:r w:rsidRPr="00716072">
        <w:t xml:space="preserve">Chronic nitrosamine ingestion in 1040 rodents: </w:t>
      </w:r>
      <w:r w:rsidR="00BF74B6" w:rsidRPr="00716072">
        <w:t>T</w:t>
      </w:r>
      <w:r w:rsidRPr="00716072">
        <w:t>he effect of the choice of Nitrosamine, the species studied, and the age of starting exposure</w:t>
      </w:r>
      <w:r w:rsidR="00716072" w:rsidRPr="00716072">
        <w:t xml:space="preserve">. </w:t>
      </w:r>
      <w:r w:rsidRPr="00716072">
        <w:t>Cancer Res 51</w:t>
      </w:r>
      <w:r w:rsidR="006F3F3C" w:rsidRPr="00716072">
        <w:t>:</w:t>
      </w:r>
      <w:r w:rsidRPr="00716072">
        <w:t>6470-6491</w:t>
      </w:r>
      <w:r w:rsidR="007175B9" w:rsidRPr="00716072">
        <w:t>.</w:t>
      </w:r>
    </w:p>
    <w:p w14:paraId="0B945CFE" w14:textId="77777777" w:rsidR="001102A6" w:rsidRPr="00716072" w:rsidRDefault="001102A6" w:rsidP="00113E51">
      <w:pPr>
        <w:pStyle w:val="References"/>
      </w:pPr>
      <w:proofErr w:type="spellStart"/>
      <w:r w:rsidRPr="00716072">
        <w:t>Grufferman</w:t>
      </w:r>
      <w:proofErr w:type="spellEnd"/>
      <w:r w:rsidRPr="00716072">
        <w:t xml:space="preserve"> S, Schwartz AG, </w:t>
      </w:r>
      <w:proofErr w:type="spellStart"/>
      <w:r w:rsidRPr="00716072">
        <w:t>Ruymann</w:t>
      </w:r>
      <w:proofErr w:type="spellEnd"/>
      <w:r w:rsidRPr="00716072">
        <w:t xml:space="preserve"> FB, Maurer HM</w:t>
      </w:r>
      <w:r w:rsidR="00716072" w:rsidRPr="00716072">
        <w:t xml:space="preserve">. </w:t>
      </w:r>
      <w:r w:rsidRPr="00716072">
        <w:t>1993</w:t>
      </w:r>
      <w:r w:rsidR="00716072" w:rsidRPr="00716072">
        <w:t xml:space="preserve">. </w:t>
      </w:r>
      <w:r w:rsidRPr="00716072">
        <w:t>Parents’ use of cocaine and marijuana and increased risk of rhabdomyosarcoma in their children</w:t>
      </w:r>
      <w:r w:rsidR="00716072" w:rsidRPr="00716072">
        <w:t xml:space="preserve">. </w:t>
      </w:r>
      <w:r w:rsidRPr="00716072">
        <w:t>Cancer Cause Control 4</w:t>
      </w:r>
      <w:r w:rsidR="00DB483F" w:rsidRPr="00716072">
        <w:t>:</w:t>
      </w:r>
      <w:r w:rsidRPr="00716072">
        <w:t>217–224</w:t>
      </w:r>
      <w:r w:rsidR="00716072" w:rsidRPr="00716072">
        <w:t xml:space="preserve">. </w:t>
      </w:r>
      <w:r w:rsidR="00DB483F" w:rsidRPr="00716072">
        <w:t>https://doi.org/10.1038/s41572-018-0003-x</w:t>
      </w:r>
      <w:r w:rsidR="00F754F6" w:rsidRPr="00716072">
        <w:t>.</w:t>
      </w:r>
    </w:p>
    <w:p w14:paraId="55C03525" w14:textId="43ADC9E2" w:rsidR="001102A6" w:rsidRDefault="001102A6" w:rsidP="00113E51">
      <w:pPr>
        <w:pStyle w:val="References"/>
      </w:pPr>
      <w:r w:rsidRPr="00716072">
        <w:t xml:space="preserve">Grunewald TGP, </w:t>
      </w:r>
      <w:proofErr w:type="spellStart"/>
      <w:r w:rsidRPr="00716072">
        <w:t>Cidre-Aranaz</w:t>
      </w:r>
      <w:proofErr w:type="spellEnd"/>
      <w:r w:rsidRPr="00716072">
        <w:t xml:space="preserve"> F, </w:t>
      </w:r>
      <w:proofErr w:type="spellStart"/>
      <w:r w:rsidRPr="00716072">
        <w:t>Surdez</w:t>
      </w:r>
      <w:proofErr w:type="spellEnd"/>
      <w:r w:rsidRPr="00716072">
        <w:t xml:space="preserve"> D, </w:t>
      </w:r>
      <w:proofErr w:type="spellStart"/>
      <w:r w:rsidRPr="00716072">
        <w:t>Tomazou</w:t>
      </w:r>
      <w:proofErr w:type="spellEnd"/>
      <w:r w:rsidRPr="00716072">
        <w:t xml:space="preserve"> EM, de Alava E, Kovar H, et al</w:t>
      </w:r>
      <w:r w:rsidR="00716072" w:rsidRPr="00716072">
        <w:t xml:space="preserve">. </w:t>
      </w:r>
      <w:r w:rsidRPr="00716072">
        <w:t>2018</w:t>
      </w:r>
      <w:r w:rsidR="00716072" w:rsidRPr="00716072">
        <w:t xml:space="preserve">. </w:t>
      </w:r>
      <w:r w:rsidRPr="00716072">
        <w:t>Ewing sarcoma</w:t>
      </w:r>
      <w:r w:rsidR="00716072" w:rsidRPr="00716072">
        <w:t xml:space="preserve">. </w:t>
      </w:r>
      <w:r w:rsidRPr="00716072">
        <w:t>Nat Rev Dis Primers 4(5):1-22</w:t>
      </w:r>
      <w:r w:rsidR="00716072" w:rsidRPr="00716072">
        <w:t xml:space="preserve">. </w:t>
      </w:r>
      <w:hyperlink r:id="rId49" w:history="1">
        <w:r w:rsidR="00BF433B" w:rsidRPr="00355513">
          <w:rPr>
            <w:rStyle w:val="Hyperlink"/>
          </w:rPr>
          <w:t>https://doi.org/10.1038/s41572-018-0003-x</w:t>
        </w:r>
      </w:hyperlink>
      <w:r w:rsidR="007A488E" w:rsidRPr="00716072">
        <w:t>.</w:t>
      </w:r>
    </w:p>
    <w:p w14:paraId="25D6656C" w14:textId="49C7DC1E" w:rsidR="00BF433B" w:rsidRPr="00716072" w:rsidRDefault="00BF433B" w:rsidP="00BF433B">
      <w:pPr>
        <w:pStyle w:val="References"/>
      </w:pPr>
      <w:r w:rsidRPr="00BF433B">
        <w:t xml:space="preserve">Guha N, Loomis D, Grosse Y, et al. </w:t>
      </w:r>
      <w:r>
        <w:t xml:space="preserve">2012. </w:t>
      </w:r>
      <w:r w:rsidRPr="00BF433B">
        <w:t xml:space="preserve">Carcinogenicity of Trichloroethylene, Tetrachloroethylene, some other Chlorinated Solvents, and their Metabolites. The Lancet Oncology. 13(12):1192–1193. </w:t>
      </w:r>
    </w:p>
    <w:p w14:paraId="710892C0" w14:textId="77777777" w:rsidR="001102A6" w:rsidRPr="00716072" w:rsidRDefault="001102A6" w:rsidP="00113E51">
      <w:pPr>
        <w:pStyle w:val="References"/>
      </w:pPr>
      <w:proofErr w:type="spellStart"/>
      <w:r w:rsidRPr="00716072">
        <w:t>Hargreave</w:t>
      </w:r>
      <w:proofErr w:type="spellEnd"/>
      <w:r w:rsidRPr="00716072">
        <w:t xml:space="preserve"> M, Jensen A, </w:t>
      </w:r>
      <w:proofErr w:type="spellStart"/>
      <w:r w:rsidRPr="00716072">
        <w:t>Toender</w:t>
      </w:r>
      <w:proofErr w:type="spellEnd"/>
      <w:r w:rsidRPr="00716072">
        <w:t xml:space="preserve"> A, Andersen KK, </w:t>
      </w:r>
      <w:proofErr w:type="spellStart"/>
      <w:r w:rsidRPr="00716072">
        <w:t>Kjaer</w:t>
      </w:r>
      <w:proofErr w:type="spellEnd"/>
      <w:r w:rsidRPr="00716072">
        <w:t xml:space="preserve"> SK</w:t>
      </w:r>
      <w:r w:rsidR="00716072" w:rsidRPr="00716072">
        <w:t xml:space="preserve">. </w:t>
      </w:r>
      <w:r w:rsidRPr="00716072">
        <w:t>2013</w:t>
      </w:r>
      <w:r w:rsidR="00716072" w:rsidRPr="00716072">
        <w:t xml:space="preserve">. </w:t>
      </w:r>
      <w:r w:rsidRPr="00716072">
        <w:t>Fertility treatment and childhood cancer risk: a systematic meta-analysis</w:t>
      </w:r>
      <w:r w:rsidR="00716072" w:rsidRPr="00716072">
        <w:t xml:space="preserve">. </w:t>
      </w:r>
      <w:proofErr w:type="spellStart"/>
      <w:r w:rsidRPr="00716072">
        <w:t>Fertil</w:t>
      </w:r>
      <w:proofErr w:type="spellEnd"/>
      <w:r w:rsidRPr="00716072">
        <w:t xml:space="preserve"> </w:t>
      </w:r>
      <w:proofErr w:type="spellStart"/>
      <w:r w:rsidRPr="00716072">
        <w:t>Steril</w:t>
      </w:r>
      <w:proofErr w:type="spellEnd"/>
      <w:r w:rsidRPr="00716072">
        <w:t xml:space="preserve"> 100</w:t>
      </w:r>
      <w:r w:rsidR="007A488E" w:rsidRPr="00716072">
        <w:t>:</w:t>
      </w:r>
      <w:r w:rsidRPr="00716072">
        <w:t>150–161</w:t>
      </w:r>
      <w:r w:rsidR="00716072" w:rsidRPr="00716072">
        <w:t xml:space="preserve">. </w:t>
      </w:r>
      <w:r w:rsidR="007A488E" w:rsidRPr="00716072">
        <w:t>https://doi.org/10.1016/j.fertnstert.2013.03.017.</w:t>
      </w:r>
    </w:p>
    <w:p w14:paraId="2AAE1D04" w14:textId="77777777" w:rsidR="005D3241" w:rsidRPr="00716072" w:rsidRDefault="005D3241" w:rsidP="00113E51">
      <w:pPr>
        <w:pStyle w:val="References"/>
      </w:pPr>
      <w:r w:rsidRPr="00716072">
        <w:t>Health Canada</w:t>
      </w:r>
      <w:r w:rsidR="00716072" w:rsidRPr="00716072">
        <w:t xml:space="preserve">. </w:t>
      </w:r>
      <w:r w:rsidRPr="00716072">
        <w:t>2001</w:t>
      </w:r>
      <w:r w:rsidR="00716072" w:rsidRPr="00716072">
        <w:t xml:space="preserve">. </w:t>
      </w:r>
      <w:r w:rsidRPr="00716072">
        <w:t>Priority Substances List Assessment Report, N-</w:t>
      </w:r>
      <w:proofErr w:type="spellStart"/>
      <w:r w:rsidRPr="00716072">
        <w:t>Nitrosodimethylamine</w:t>
      </w:r>
      <w:proofErr w:type="spellEnd"/>
      <w:r w:rsidRPr="00716072">
        <w:t xml:space="preserve"> (NDMA)</w:t>
      </w:r>
      <w:r w:rsidR="00716072" w:rsidRPr="00716072">
        <w:t xml:space="preserve">. </w:t>
      </w:r>
      <w:r w:rsidRPr="00716072">
        <w:t>Health Canada, Environment Canada, Ottawa, Ontario</w:t>
      </w:r>
      <w:r w:rsidR="00716072" w:rsidRPr="00716072">
        <w:t xml:space="preserve">. </w:t>
      </w:r>
      <w:r w:rsidRPr="00716072">
        <w:t>September 2001.</w:t>
      </w:r>
    </w:p>
    <w:p w14:paraId="749BFB17" w14:textId="77777777" w:rsidR="005D3241" w:rsidRPr="00716072" w:rsidRDefault="005D3241" w:rsidP="00113E51">
      <w:pPr>
        <w:pStyle w:val="References"/>
      </w:pPr>
      <w:r w:rsidRPr="00716072">
        <w:t>Health Canada</w:t>
      </w:r>
      <w:r w:rsidR="00716072" w:rsidRPr="00716072">
        <w:t xml:space="preserve">. </w:t>
      </w:r>
      <w:r w:rsidRPr="00716072">
        <w:t>2011</w:t>
      </w:r>
      <w:r w:rsidR="00716072" w:rsidRPr="00716072">
        <w:t xml:space="preserve">. </w:t>
      </w:r>
      <w:r w:rsidRPr="00716072">
        <w:t>Guidelines for Canadian Drinking Water Quality: Guideline Technical Document N-</w:t>
      </w:r>
      <w:proofErr w:type="spellStart"/>
      <w:r w:rsidRPr="00716072">
        <w:t>Nitrosodimethylamine</w:t>
      </w:r>
      <w:proofErr w:type="spellEnd"/>
      <w:r w:rsidRPr="00716072">
        <w:t xml:space="preserve"> (NDMA) Federal-Provincial-Territorial Committee on Drinking Water of the Federal-Provincial-Territorial Committee on Health and the Environment Health Canada Ottawa, Ontario.</w:t>
      </w:r>
    </w:p>
    <w:p w14:paraId="3B657D90" w14:textId="77777777" w:rsidR="001102A6" w:rsidRPr="00716072" w:rsidRDefault="001102A6" w:rsidP="00113E51">
      <w:pPr>
        <w:pStyle w:val="References"/>
      </w:pPr>
      <w:proofErr w:type="spellStart"/>
      <w:r w:rsidRPr="00716072">
        <w:t>Hjalgrim</w:t>
      </w:r>
      <w:proofErr w:type="spellEnd"/>
      <w:r w:rsidRPr="00716072">
        <w:t xml:space="preserve"> H, Chang ET, Glaser SL</w:t>
      </w:r>
      <w:r w:rsidR="00716072" w:rsidRPr="00716072">
        <w:t xml:space="preserve">. </w:t>
      </w:r>
      <w:r w:rsidRPr="00716072">
        <w:t>2018</w:t>
      </w:r>
      <w:r w:rsidR="00716072" w:rsidRPr="00716072">
        <w:t xml:space="preserve">. </w:t>
      </w:r>
      <w:r w:rsidRPr="00716072">
        <w:t>Hodgkin Lymphoma</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745-765</w:t>
      </w:r>
      <w:r w:rsidR="00716072" w:rsidRPr="00716072">
        <w:t xml:space="preserve">. </w:t>
      </w:r>
    </w:p>
    <w:p w14:paraId="3F8ED2CE" w14:textId="77777777" w:rsidR="001102A6" w:rsidRPr="00716072" w:rsidRDefault="001102A6" w:rsidP="00113E51">
      <w:pPr>
        <w:pStyle w:val="References"/>
      </w:pPr>
      <w:proofErr w:type="spellStart"/>
      <w:r w:rsidRPr="00716072">
        <w:t>Hjalgrim</w:t>
      </w:r>
      <w:proofErr w:type="spellEnd"/>
      <w:r w:rsidRPr="00716072">
        <w:t xml:space="preserve"> LL, </w:t>
      </w:r>
      <w:proofErr w:type="spellStart"/>
      <w:r w:rsidRPr="00716072">
        <w:t>Rostgaard</w:t>
      </w:r>
      <w:proofErr w:type="spellEnd"/>
      <w:r w:rsidRPr="00716072">
        <w:t xml:space="preserve"> K, </w:t>
      </w:r>
      <w:proofErr w:type="spellStart"/>
      <w:r w:rsidRPr="00716072">
        <w:t>Hjalgrim</w:t>
      </w:r>
      <w:proofErr w:type="spellEnd"/>
      <w:r w:rsidRPr="00716072">
        <w:t xml:space="preserve"> H, </w:t>
      </w:r>
      <w:proofErr w:type="spellStart"/>
      <w:r w:rsidRPr="00716072">
        <w:t>Westergaard</w:t>
      </w:r>
      <w:proofErr w:type="spellEnd"/>
      <w:r w:rsidRPr="00716072">
        <w:t xml:space="preserve"> T, </w:t>
      </w:r>
      <w:proofErr w:type="spellStart"/>
      <w:r w:rsidRPr="00716072">
        <w:t>Thomassen</w:t>
      </w:r>
      <w:proofErr w:type="spellEnd"/>
      <w:r w:rsidRPr="00716072">
        <w:t xml:space="preserve"> H, Forestier E, </w:t>
      </w:r>
      <w:r w:rsidR="00267014" w:rsidRPr="00716072">
        <w:t>et al</w:t>
      </w:r>
      <w:r w:rsidR="00716072" w:rsidRPr="00716072">
        <w:t xml:space="preserve">. </w:t>
      </w:r>
      <w:r w:rsidRPr="00716072">
        <w:t>2004</w:t>
      </w:r>
      <w:r w:rsidR="00716072" w:rsidRPr="00716072">
        <w:t xml:space="preserve">. </w:t>
      </w:r>
      <w:r w:rsidRPr="00716072">
        <w:t>Birth weight and risk for childhood leukemia in Denmark, Sweden, Norway, and Iceland</w:t>
      </w:r>
      <w:r w:rsidR="00716072" w:rsidRPr="00716072">
        <w:t xml:space="preserve">. </w:t>
      </w:r>
      <w:r w:rsidRPr="00716072">
        <w:t>J Natl Cancer Inst 96</w:t>
      </w:r>
      <w:r w:rsidR="00267014" w:rsidRPr="00716072">
        <w:t>:</w:t>
      </w:r>
      <w:r w:rsidRPr="00716072">
        <w:t>1549–1556</w:t>
      </w:r>
      <w:r w:rsidR="00716072" w:rsidRPr="00716072">
        <w:t xml:space="preserve">. </w:t>
      </w:r>
      <w:r w:rsidR="00267014" w:rsidRPr="00716072">
        <w:t>https://doi.org/10.1093/jnci/djh287.</w:t>
      </w:r>
    </w:p>
    <w:p w14:paraId="653A0C57" w14:textId="0D0BAE88" w:rsidR="001102A6" w:rsidRPr="00716072" w:rsidRDefault="001102A6" w:rsidP="00113E51">
      <w:pPr>
        <w:pStyle w:val="References"/>
      </w:pPr>
      <w:proofErr w:type="spellStart"/>
      <w:r w:rsidRPr="00716072">
        <w:t>Hrudey</w:t>
      </w:r>
      <w:proofErr w:type="spellEnd"/>
      <w:r w:rsidRPr="00716072">
        <w:t xml:space="preserve"> SE, Bull RJ, </w:t>
      </w:r>
      <w:proofErr w:type="spellStart"/>
      <w:r w:rsidRPr="00716072">
        <w:t>Cotruvo</w:t>
      </w:r>
      <w:proofErr w:type="spellEnd"/>
      <w:r w:rsidRPr="00716072">
        <w:t xml:space="preserve"> JA, Paoli G, Wilson M</w:t>
      </w:r>
      <w:r w:rsidR="00716072" w:rsidRPr="00716072">
        <w:t xml:space="preserve">. </w:t>
      </w:r>
      <w:r w:rsidRPr="00716072">
        <w:t>2013</w:t>
      </w:r>
      <w:r w:rsidR="00716072" w:rsidRPr="00716072">
        <w:t xml:space="preserve">. </w:t>
      </w:r>
      <w:r w:rsidRPr="00716072">
        <w:t>Drinking water as a proportion of total human exposure to volatile N-nitr</w:t>
      </w:r>
      <w:r w:rsidR="00F754F6" w:rsidRPr="00716072">
        <w:t>osamines</w:t>
      </w:r>
      <w:r w:rsidR="00716072" w:rsidRPr="00716072">
        <w:t xml:space="preserve">. </w:t>
      </w:r>
      <w:r w:rsidR="00F754F6" w:rsidRPr="00716072">
        <w:t>Risk Anal</w:t>
      </w:r>
      <w:r w:rsidRPr="00716072">
        <w:t xml:space="preserve"> 33:2179–2208</w:t>
      </w:r>
      <w:r w:rsidR="00716072" w:rsidRPr="00716072">
        <w:t xml:space="preserve">. </w:t>
      </w:r>
      <w:r w:rsidR="002F6A1D" w:rsidRPr="00F536C5">
        <w:t>https://doi.org/10.1111/risa.12070</w:t>
      </w:r>
      <w:r w:rsidR="00716072" w:rsidRPr="00716072">
        <w:t xml:space="preserve">. </w:t>
      </w:r>
    </w:p>
    <w:p w14:paraId="7EF847D5" w14:textId="377B6B4C" w:rsidR="001102A6" w:rsidRPr="00716072" w:rsidRDefault="001102A6" w:rsidP="00113E51">
      <w:pPr>
        <w:pStyle w:val="References"/>
      </w:pPr>
      <w:r w:rsidRPr="00716072">
        <w:t>HSDB</w:t>
      </w:r>
      <w:r w:rsidR="00716072" w:rsidRPr="00716072">
        <w:t xml:space="preserve">. </w:t>
      </w:r>
      <w:r w:rsidRPr="00716072">
        <w:t>2019</w:t>
      </w:r>
      <w:r w:rsidR="00716072" w:rsidRPr="00716072">
        <w:t xml:space="preserve">. </w:t>
      </w:r>
      <w:r w:rsidRPr="00716072">
        <w:t>Hazardous Substances Data Bank</w:t>
      </w:r>
      <w:r w:rsidR="00716072" w:rsidRPr="00716072">
        <w:t xml:space="preserve">. </w:t>
      </w:r>
      <w:r w:rsidRPr="00716072">
        <w:t>National Library of Medicine</w:t>
      </w:r>
      <w:r w:rsidR="00716072" w:rsidRPr="00716072">
        <w:t xml:space="preserve">. </w:t>
      </w:r>
      <w:r w:rsidRPr="00716072">
        <w:lastRenderedPageBreak/>
        <w:t xml:space="preserve">Available: </w:t>
      </w:r>
      <w:r w:rsidRPr="00F536C5">
        <w:t>https://toxnet.nlm.nih.gov/newtoxnet/hsdb.htm</w:t>
      </w:r>
      <w:r w:rsidR="00716072" w:rsidRPr="00716072">
        <w:t xml:space="preserve">. </w:t>
      </w:r>
      <w:r w:rsidRPr="00716072">
        <w:t>[accessed 2019].</w:t>
      </w:r>
    </w:p>
    <w:p w14:paraId="15E8BB9B" w14:textId="77777777" w:rsidR="001102A6" w:rsidRPr="00716072" w:rsidRDefault="001102A6" w:rsidP="00113E51">
      <w:pPr>
        <w:pStyle w:val="References"/>
      </w:pPr>
      <w:proofErr w:type="spellStart"/>
      <w:r w:rsidRPr="00716072">
        <w:t>Huncharek</w:t>
      </w:r>
      <w:proofErr w:type="spellEnd"/>
      <w:r w:rsidRPr="00716072">
        <w:t xml:space="preserve"> M, </w:t>
      </w:r>
      <w:proofErr w:type="spellStart"/>
      <w:r w:rsidRPr="00716072">
        <w:t>Kupelnick</w:t>
      </w:r>
      <w:proofErr w:type="spellEnd"/>
      <w:r w:rsidRPr="00716072">
        <w:t xml:space="preserve"> B</w:t>
      </w:r>
      <w:r w:rsidR="00716072" w:rsidRPr="00716072">
        <w:t xml:space="preserve">. </w:t>
      </w:r>
      <w:r w:rsidRPr="00716072">
        <w:t>2004</w:t>
      </w:r>
      <w:r w:rsidR="00716072" w:rsidRPr="00716072">
        <w:t xml:space="preserve">. </w:t>
      </w:r>
      <w:r w:rsidRPr="00716072">
        <w:t>A meta-analysis of maternal cured meat consumption during pregnancy and the risk of childhood brain tumors</w:t>
      </w:r>
      <w:r w:rsidR="00716072" w:rsidRPr="00716072">
        <w:t xml:space="preserve">. </w:t>
      </w:r>
      <w:r w:rsidRPr="00716072">
        <w:t>Neuroepidemiology 23</w:t>
      </w:r>
      <w:r w:rsidR="00445238" w:rsidRPr="00716072">
        <w:t>:</w:t>
      </w:r>
      <w:r w:rsidRPr="00716072">
        <w:t>78–84</w:t>
      </w:r>
      <w:r w:rsidR="00716072" w:rsidRPr="00716072">
        <w:t xml:space="preserve">. </w:t>
      </w:r>
      <w:r w:rsidR="00BF1971" w:rsidRPr="00716072">
        <w:t>https://doi.org/10.1159/000073979.</w:t>
      </w:r>
    </w:p>
    <w:p w14:paraId="1C71DB4A" w14:textId="77777777" w:rsidR="007B1501" w:rsidRPr="00716072" w:rsidRDefault="007B1501" w:rsidP="00113E51">
      <w:pPr>
        <w:pStyle w:val="References"/>
      </w:pPr>
      <w:r w:rsidRPr="00716072">
        <w:t>IARC</w:t>
      </w:r>
      <w:r w:rsidR="00716072" w:rsidRPr="00716072">
        <w:t xml:space="preserve">. </w:t>
      </w:r>
      <w:r w:rsidRPr="00716072">
        <w:t>1978</w:t>
      </w:r>
      <w:r w:rsidR="00716072" w:rsidRPr="00716072">
        <w:t xml:space="preserve">. </w:t>
      </w:r>
      <w:r w:rsidRPr="00716072">
        <w:t>Some N-nitroso compounds</w:t>
      </w:r>
      <w:r w:rsidR="00716072" w:rsidRPr="00716072">
        <w:t xml:space="preserve">. </w:t>
      </w:r>
      <w:r w:rsidRPr="00716072">
        <w:t>IARC Monographs on the Evaluation of the Carcinogenic Risk of Chemicals to Humans, Volume 17</w:t>
      </w:r>
      <w:r w:rsidR="00716072" w:rsidRPr="00716072">
        <w:t xml:space="preserve">. </w:t>
      </w:r>
      <w:r w:rsidRPr="00716072">
        <w:t>Lyon, France</w:t>
      </w:r>
      <w:r w:rsidR="00716072" w:rsidRPr="00716072">
        <w:t xml:space="preserve">. </w:t>
      </w:r>
      <w:r w:rsidRPr="00716072">
        <w:t>World Health Organization, International Agency for Research on Cancer</w:t>
      </w:r>
      <w:r w:rsidR="00716072" w:rsidRPr="00716072">
        <w:t xml:space="preserve">. </w:t>
      </w:r>
      <w:r w:rsidRPr="00716072">
        <w:t>125–175.</w:t>
      </w:r>
    </w:p>
    <w:p w14:paraId="56F65F47" w14:textId="77777777" w:rsidR="007B1501" w:rsidRPr="00716072" w:rsidRDefault="007B1501" w:rsidP="00113E51">
      <w:pPr>
        <w:pStyle w:val="References"/>
      </w:pPr>
      <w:r w:rsidRPr="00716072">
        <w:t>IARC</w:t>
      </w:r>
      <w:r w:rsidR="00716072" w:rsidRPr="00716072">
        <w:t xml:space="preserve">. </w:t>
      </w:r>
      <w:r w:rsidRPr="00716072">
        <w:t>1987</w:t>
      </w:r>
      <w:r w:rsidR="00716072" w:rsidRPr="00716072">
        <w:t xml:space="preserve">. </w:t>
      </w:r>
      <w:r w:rsidRPr="00716072">
        <w:t xml:space="preserve">Overall Evaluations of </w:t>
      </w:r>
      <w:proofErr w:type="spellStart"/>
      <w:proofErr w:type="gramStart"/>
      <w:r w:rsidRPr="00716072">
        <w:t>Carcinogenicity:An</w:t>
      </w:r>
      <w:proofErr w:type="spellEnd"/>
      <w:proofErr w:type="gramEnd"/>
      <w:r w:rsidRPr="00716072">
        <w:t xml:space="preserve"> Updating of IARC Monographs Volumes 1-42</w:t>
      </w:r>
      <w:r w:rsidR="00716072" w:rsidRPr="00716072">
        <w:t xml:space="preserve">. </w:t>
      </w:r>
      <w:r w:rsidRPr="00716072">
        <w:t>Supplement No</w:t>
      </w:r>
      <w:r w:rsidR="00716072" w:rsidRPr="00716072">
        <w:t xml:space="preserve">. </w:t>
      </w:r>
      <w:r w:rsidRPr="00716072">
        <w:t>7</w:t>
      </w:r>
      <w:r w:rsidR="00716072" w:rsidRPr="00716072">
        <w:t xml:space="preserve">. </w:t>
      </w:r>
      <w:r w:rsidRPr="00716072">
        <w:t>Lyon, France</w:t>
      </w:r>
      <w:r w:rsidR="00716072" w:rsidRPr="00716072">
        <w:t xml:space="preserve">. </w:t>
      </w:r>
      <w:r w:rsidRPr="00716072">
        <w:t>World Health Organization, International Agency for Research on Cancer</w:t>
      </w:r>
      <w:r w:rsidR="00716072" w:rsidRPr="00716072">
        <w:t xml:space="preserve">. </w:t>
      </w:r>
    </w:p>
    <w:p w14:paraId="44B205E1" w14:textId="77777777" w:rsidR="005E5F89" w:rsidRPr="00716072" w:rsidRDefault="005E5F89" w:rsidP="00113E51">
      <w:pPr>
        <w:pStyle w:val="References"/>
      </w:pPr>
      <w:r w:rsidRPr="00716072">
        <w:t>IARC</w:t>
      </w:r>
      <w:r w:rsidR="00716072" w:rsidRPr="00716072">
        <w:t xml:space="preserve">. </w:t>
      </w:r>
      <w:r w:rsidRPr="00716072">
        <w:t>2010</w:t>
      </w:r>
      <w:r w:rsidR="00716072" w:rsidRPr="00716072">
        <w:t xml:space="preserve">. </w:t>
      </w:r>
      <w:r w:rsidRPr="00716072">
        <w:t>IARC Monographs on the Evaluation of Carcinogenic Risks to Humans, Volume 94 Ingested Nitrate and Nitrite, and Cyanobacterial Peptide Toxins</w:t>
      </w:r>
      <w:r w:rsidR="00716072" w:rsidRPr="00716072">
        <w:t xml:space="preserve">. </w:t>
      </w:r>
      <w:r w:rsidRPr="00716072">
        <w:t>Lyon, France</w:t>
      </w:r>
      <w:r w:rsidR="00716072" w:rsidRPr="00716072">
        <w:t xml:space="preserve">. </w:t>
      </w:r>
      <w:r w:rsidRPr="00716072">
        <w:t>World Health Organization, International Agency for Research on Cancer</w:t>
      </w:r>
      <w:r w:rsidR="00716072" w:rsidRPr="00716072">
        <w:t xml:space="preserve">. </w:t>
      </w:r>
      <w:r w:rsidRPr="00716072">
        <w:t>Available: https://monographs.iarc.fr/iarc-monographs-on-the-evaluation-of-carcinogenic-risks-to-humans-27/ [accessed 2019].</w:t>
      </w:r>
    </w:p>
    <w:p w14:paraId="7C984F78" w14:textId="44C6455A" w:rsidR="005E5F89" w:rsidRPr="00716072" w:rsidRDefault="005E5F89" w:rsidP="00113E51">
      <w:pPr>
        <w:pStyle w:val="References"/>
      </w:pPr>
      <w:r w:rsidRPr="00716072">
        <w:t>IARC</w:t>
      </w:r>
      <w:r w:rsidR="00716072" w:rsidRPr="00716072">
        <w:t xml:space="preserve">. </w:t>
      </w:r>
      <w:r w:rsidRPr="00716072">
        <w:t>2012</w:t>
      </w:r>
      <w:r w:rsidR="00716072" w:rsidRPr="00716072">
        <w:t xml:space="preserve">. </w:t>
      </w:r>
      <w:r w:rsidRPr="00716072">
        <w:t>IARC Monographs on the Evaluation of Carcinogenic Risks to Humans, Volume 100E, Personal Habits and Indoor Combustions, Tobacco Smoking</w:t>
      </w:r>
      <w:r w:rsidR="00716072" w:rsidRPr="00716072">
        <w:t xml:space="preserve">. </w:t>
      </w:r>
      <w:r w:rsidRPr="00716072">
        <w:t>Lyon, France</w:t>
      </w:r>
      <w:r w:rsidR="00716072" w:rsidRPr="00716072">
        <w:t xml:space="preserve">. </w:t>
      </w:r>
      <w:r w:rsidRPr="00716072">
        <w:t>World Health Organization, International Agency for Research on Cancer</w:t>
      </w:r>
      <w:r w:rsidR="00716072" w:rsidRPr="00716072">
        <w:t xml:space="preserve">. </w:t>
      </w:r>
      <w:r w:rsidRPr="00716072">
        <w:t xml:space="preserve">Available: </w:t>
      </w:r>
      <w:r w:rsidRPr="00F536C5">
        <w:t>https://monographs.iarc.fr/iarc-monographs-on-the-evaluation-of-carcinogenic-risks-to-humans-17/</w:t>
      </w:r>
      <w:r w:rsidRPr="00716072">
        <w:t xml:space="preserve"> [accessed 2019].</w:t>
      </w:r>
    </w:p>
    <w:p w14:paraId="7A2D9A6A" w14:textId="6D3515D6" w:rsidR="00644B8F" w:rsidRPr="00716072" w:rsidRDefault="00644B8F" w:rsidP="00113E51">
      <w:pPr>
        <w:pStyle w:val="References"/>
      </w:pPr>
      <w:r w:rsidRPr="00716072">
        <w:t>IARC</w:t>
      </w:r>
      <w:r w:rsidR="00716072" w:rsidRPr="00716072">
        <w:t xml:space="preserve">. </w:t>
      </w:r>
      <w:r w:rsidRPr="00716072">
        <w:t>2014</w:t>
      </w:r>
      <w:r w:rsidR="00716072" w:rsidRPr="00716072">
        <w:t xml:space="preserve">. </w:t>
      </w:r>
      <w:r w:rsidRPr="00716072">
        <w:t>IARC monographs on the evaluation of carcinogenic risks to humans</w:t>
      </w:r>
      <w:r w:rsidR="00716072" w:rsidRPr="00716072">
        <w:t xml:space="preserve">. </w:t>
      </w:r>
      <w:r w:rsidRPr="00716072">
        <w:t>Trichloroethylene, tetrachloroethylene, and some chlorinated agents</w:t>
      </w:r>
      <w:r w:rsidR="00716072" w:rsidRPr="00716072">
        <w:t xml:space="preserve">. </w:t>
      </w:r>
      <w:r w:rsidRPr="00716072">
        <w:t>Volume 106</w:t>
      </w:r>
      <w:r w:rsidR="00716072" w:rsidRPr="00716072">
        <w:t xml:space="preserve">. </w:t>
      </w:r>
      <w:r w:rsidRPr="00716072">
        <w:t>Lyon, France: International Agency for Research on Cancer</w:t>
      </w:r>
      <w:r w:rsidR="00716072" w:rsidRPr="00716072">
        <w:t xml:space="preserve">. </w:t>
      </w:r>
      <w:r w:rsidRPr="00716072">
        <w:t xml:space="preserve">Available: </w:t>
      </w:r>
      <w:r w:rsidRPr="00F536C5">
        <w:t>https://monographs.iarc.fr/wp-content/uploads/2018/06/mono106.pdf</w:t>
      </w:r>
      <w:r w:rsidR="00716072" w:rsidRPr="00716072">
        <w:t xml:space="preserve">. </w:t>
      </w:r>
      <w:r w:rsidR="00A73B8E" w:rsidRPr="00716072">
        <w:t>[accessed 2019].</w:t>
      </w:r>
    </w:p>
    <w:p w14:paraId="4289BD08" w14:textId="0824C704" w:rsidR="00D33E59" w:rsidRPr="00716072" w:rsidRDefault="00D33E59" w:rsidP="00113E51">
      <w:pPr>
        <w:pStyle w:val="References"/>
      </w:pPr>
      <w:r w:rsidRPr="00716072">
        <w:t>IARC</w:t>
      </w:r>
      <w:r w:rsidR="00716072" w:rsidRPr="00716072">
        <w:t xml:space="preserve">. </w:t>
      </w:r>
      <w:r w:rsidRPr="00716072">
        <w:t>2016</w:t>
      </w:r>
      <w:r w:rsidR="00716072" w:rsidRPr="00716072">
        <w:t xml:space="preserve">. </w:t>
      </w:r>
      <w:r w:rsidRPr="00716072">
        <w:t>IARC Monographs on the Evaluation of Carcinogenic Risks to Humans, Volume 107, Polychlorinated biphenyls and polybrominated biphenyls</w:t>
      </w:r>
      <w:r w:rsidR="00716072" w:rsidRPr="00716072">
        <w:t xml:space="preserve">. </w:t>
      </w:r>
      <w:r w:rsidRPr="00716072">
        <w:t>Lyon, France</w:t>
      </w:r>
      <w:r w:rsidR="00716072" w:rsidRPr="00716072">
        <w:t xml:space="preserve">. </w:t>
      </w:r>
      <w:r w:rsidRPr="00716072">
        <w:t>World Health Organization, International Agency for Research on Cancer</w:t>
      </w:r>
      <w:r w:rsidR="00716072" w:rsidRPr="00716072">
        <w:t xml:space="preserve">. </w:t>
      </w:r>
      <w:r w:rsidRPr="00716072">
        <w:t xml:space="preserve">Available: </w:t>
      </w:r>
      <w:r w:rsidRPr="00F536C5">
        <w:t>https://monographs.iarc.fr/iarc-monographs-on-the-evaluation-of-carcinogenic-risks-to-humans-9/</w:t>
      </w:r>
      <w:r w:rsidRPr="00716072">
        <w:t xml:space="preserve"> [accessed 2019].</w:t>
      </w:r>
    </w:p>
    <w:p w14:paraId="0A91074E" w14:textId="2ACDD5DE" w:rsidR="007E34A9" w:rsidRDefault="005E5F89" w:rsidP="007E34A9">
      <w:pPr>
        <w:pStyle w:val="References"/>
      </w:pPr>
      <w:r w:rsidRPr="00716072">
        <w:t>IARC</w:t>
      </w:r>
      <w:r w:rsidR="00716072" w:rsidRPr="00716072">
        <w:t xml:space="preserve">. </w:t>
      </w:r>
      <w:r w:rsidRPr="00716072">
        <w:t>2018</w:t>
      </w:r>
      <w:r w:rsidR="00716072" w:rsidRPr="00716072">
        <w:t xml:space="preserve">. </w:t>
      </w:r>
      <w:r w:rsidRPr="00716072">
        <w:t>IARC Monographs on the Evaluation of Carcinogenic Risks to Humans, Volume 120, Benzene</w:t>
      </w:r>
      <w:r w:rsidR="00716072" w:rsidRPr="00716072">
        <w:t xml:space="preserve">. </w:t>
      </w:r>
      <w:r w:rsidRPr="00716072">
        <w:t>Lyon, France</w:t>
      </w:r>
      <w:r w:rsidR="00716072" w:rsidRPr="00716072">
        <w:t xml:space="preserve">. </w:t>
      </w:r>
      <w:r w:rsidRPr="00716072">
        <w:t>World Health Organization, International Agency for Research on Cancer</w:t>
      </w:r>
      <w:r w:rsidR="00716072" w:rsidRPr="00716072">
        <w:t xml:space="preserve">. </w:t>
      </w:r>
      <w:r w:rsidRPr="00716072">
        <w:t xml:space="preserve">Available: </w:t>
      </w:r>
      <w:r w:rsidRPr="00F536C5">
        <w:t>http://publications.iarc.fr/576</w:t>
      </w:r>
      <w:r w:rsidRPr="00716072">
        <w:t xml:space="preserve"> [accessed 2019].</w:t>
      </w:r>
    </w:p>
    <w:p w14:paraId="78D1F8B3" w14:textId="0BB865E0" w:rsidR="007E34A9" w:rsidRPr="00716072" w:rsidRDefault="007E34A9" w:rsidP="00113E51">
      <w:pPr>
        <w:pStyle w:val="References"/>
      </w:pPr>
      <w:r w:rsidRPr="007E34A9">
        <w:t>Infante</w:t>
      </w:r>
      <w:r>
        <w:t>-</w:t>
      </w:r>
      <w:proofErr w:type="spellStart"/>
      <w:r>
        <w:t>Rivard</w:t>
      </w:r>
      <w:proofErr w:type="spellEnd"/>
      <w:r>
        <w:t xml:space="preserve">, C., &amp; </w:t>
      </w:r>
      <w:proofErr w:type="spellStart"/>
      <w:r>
        <w:t>Weichenthal</w:t>
      </w:r>
      <w:proofErr w:type="spellEnd"/>
      <w:r>
        <w:t>, S. 2007</w:t>
      </w:r>
      <w:r w:rsidRPr="007E34A9">
        <w:t xml:space="preserve">. Pesticides and childhood cancer: an update of </w:t>
      </w:r>
      <w:proofErr w:type="spellStart"/>
      <w:r w:rsidRPr="007E34A9">
        <w:t>Zahm</w:t>
      </w:r>
      <w:proofErr w:type="spellEnd"/>
      <w:r w:rsidRPr="007E34A9">
        <w:t xml:space="preserve"> and Ward's 1998 review. </w:t>
      </w:r>
      <w:r w:rsidRPr="007E34A9">
        <w:rPr>
          <w:i/>
          <w:iCs/>
        </w:rPr>
        <w:t>Journal of toxicology and environmental health. Part B, Critical reviews, 10 1-2</w:t>
      </w:r>
      <w:r w:rsidRPr="007E34A9">
        <w:t>, 81-</w:t>
      </w:r>
      <w:proofErr w:type="gramStart"/>
      <w:r w:rsidRPr="007E34A9">
        <w:t>99 .</w:t>
      </w:r>
      <w:proofErr w:type="gramEnd"/>
    </w:p>
    <w:p w14:paraId="0721FCFA" w14:textId="33CB1ABC" w:rsidR="001102A6" w:rsidRDefault="001102A6" w:rsidP="00113E51">
      <w:pPr>
        <w:pStyle w:val="References"/>
      </w:pPr>
      <w:proofErr w:type="spellStart"/>
      <w:r w:rsidRPr="00716072">
        <w:t>Janitz</w:t>
      </w:r>
      <w:proofErr w:type="spellEnd"/>
      <w:r w:rsidRPr="00716072">
        <w:t xml:space="preserve"> AE, Ramachandran G, Tomlinson GE, </w:t>
      </w:r>
      <w:proofErr w:type="spellStart"/>
      <w:r w:rsidRPr="00716072">
        <w:t>Krailo</w:t>
      </w:r>
      <w:proofErr w:type="spellEnd"/>
      <w:r w:rsidRPr="00716072">
        <w:t xml:space="preserve"> M, Richardson M, Spector L</w:t>
      </w:r>
      <w:r w:rsidR="00716072" w:rsidRPr="00716072">
        <w:t xml:space="preserve">. </w:t>
      </w:r>
      <w:r w:rsidRPr="00716072">
        <w:t>2017</w:t>
      </w:r>
      <w:r w:rsidR="00716072" w:rsidRPr="00716072">
        <w:t xml:space="preserve">. </w:t>
      </w:r>
      <w:r w:rsidRPr="00716072">
        <w:lastRenderedPageBreak/>
        <w:t>Maternal and paternal occupational exposures and hepatoblastoma: results from the HOPE study through the Children’s Oncology Group</w:t>
      </w:r>
      <w:r w:rsidR="00716072" w:rsidRPr="00716072">
        <w:t xml:space="preserve">. </w:t>
      </w:r>
      <w:r w:rsidRPr="00716072">
        <w:t xml:space="preserve">J Expos Sci Env </w:t>
      </w:r>
      <w:proofErr w:type="spellStart"/>
      <w:r w:rsidRPr="00716072">
        <w:t>Epid</w:t>
      </w:r>
      <w:proofErr w:type="spellEnd"/>
      <w:r w:rsidRPr="00716072">
        <w:t xml:space="preserve"> 27:359–364</w:t>
      </w:r>
      <w:r w:rsidR="00716072" w:rsidRPr="00716072">
        <w:t xml:space="preserve">. </w:t>
      </w:r>
      <w:r w:rsidR="00C73261" w:rsidRPr="00F536C5">
        <w:t>https://doi.org/10.1038/jes.2017.1</w:t>
      </w:r>
      <w:r w:rsidR="00C07998" w:rsidRPr="00716072">
        <w:t>.</w:t>
      </w:r>
    </w:p>
    <w:p w14:paraId="3DF2A8F6" w14:textId="77777777" w:rsidR="00C73261" w:rsidRPr="00716072" w:rsidRDefault="00C73261" w:rsidP="00113E51">
      <w:pPr>
        <w:pStyle w:val="References"/>
      </w:pPr>
      <w:r w:rsidRPr="00C73261">
        <w:t>Johnson KJ,</w:t>
      </w:r>
      <w:r>
        <w:t xml:space="preserve"> </w:t>
      </w:r>
      <w:proofErr w:type="spellStart"/>
      <w:r w:rsidRPr="00C73261">
        <w:t>Carozza</w:t>
      </w:r>
      <w:proofErr w:type="spellEnd"/>
      <w:r>
        <w:t xml:space="preserve"> SE, </w:t>
      </w:r>
      <w:r w:rsidRPr="00C73261">
        <w:t>Chow</w:t>
      </w:r>
      <w:r>
        <w:t xml:space="preserve"> EJ, Fox EE, </w:t>
      </w:r>
      <w:proofErr w:type="spellStart"/>
      <w:r>
        <w:t>Horel</w:t>
      </w:r>
      <w:proofErr w:type="spellEnd"/>
      <w:r>
        <w:t xml:space="preserve"> S, </w:t>
      </w:r>
      <w:r w:rsidRPr="00C73261">
        <w:t>McLaughlin</w:t>
      </w:r>
      <w:r>
        <w:t xml:space="preserve"> CC, et al. 2009. </w:t>
      </w:r>
      <w:r w:rsidRPr="00C73261">
        <w:t>Parental age and risk of childhood cancer: A pooled analysis</w:t>
      </w:r>
      <w:r>
        <w:t>. Epidemiology 20(4):475-483. https://doi.org/</w:t>
      </w:r>
      <w:r w:rsidRPr="00C73261">
        <w:t xml:space="preserve"> 10.1097/EDE.0b013e3181a5a332</w:t>
      </w:r>
      <w:r>
        <w:t xml:space="preserve">. </w:t>
      </w:r>
    </w:p>
    <w:p w14:paraId="2148AA4E" w14:textId="77777777" w:rsidR="001102A6" w:rsidRPr="00716072" w:rsidRDefault="001102A6" w:rsidP="00113E51">
      <w:pPr>
        <w:pStyle w:val="References"/>
      </w:pPr>
      <w:r w:rsidRPr="00716072">
        <w:t xml:space="preserve">Johnson KJ, Cullen J, </w:t>
      </w:r>
      <w:proofErr w:type="spellStart"/>
      <w:r w:rsidRPr="00716072">
        <w:t>Barnholtz</w:t>
      </w:r>
      <w:proofErr w:type="spellEnd"/>
      <w:r w:rsidRPr="00716072">
        <w:t xml:space="preserve">-Sloan JS, </w:t>
      </w:r>
      <w:r w:rsidR="009E4349" w:rsidRPr="00716072">
        <w:t xml:space="preserve">Ostrom QT, Langer CE, Turner MC, </w:t>
      </w:r>
      <w:r w:rsidRPr="00716072">
        <w:t>et al</w:t>
      </w:r>
      <w:r w:rsidR="00716072" w:rsidRPr="00716072">
        <w:t xml:space="preserve">. </w:t>
      </w:r>
      <w:r w:rsidRPr="00716072">
        <w:t>2014</w:t>
      </w:r>
      <w:r w:rsidR="00716072" w:rsidRPr="00716072">
        <w:t xml:space="preserve">. </w:t>
      </w:r>
      <w:r w:rsidRPr="00716072">
        <w:t>Childhood brain tumor epidemiology: a brain tumor epidemiology consortium review</w:t>
      </w:r>
      <w:r w:rsidR="00716072" w:rsidRPr="00716072">
        <w:t xml:space="preserve">. </w:t>
      </w:r>
      <w:r w:rsidRPr="00716072">
        <w:t xml:space="preserve">Cancer </w:t>
      </w:r>
      <w:proofErr w:type="spellStart"/>
      <w:r w:rsidRPr="00716072">
        <w:t>Epidem</w:t>
      </w:r>
      <w:proofErr w:type="spellEnd"/>
      <w:r w:rsidRPr="00716072">
        <w:t xml:space="preserve"> </w:t>
      </w:r>
      <w:proofErr w:type="spellStart"/>
      <w:r w:rsidRPr="00716072">
        <w:t>Biomar</w:t>
      </w:r>
      <w:proofErr w:type="spellEnd"/>
      <w:r w:rsidRPr="00716072">
        <w:t xml:space="preserve"> 23(12):2716-2736</w:t>
      </w:r>
      <w:r w:rsidR="00716072" w:rsidRPr="00716072">
        <w:t xml:space="preserve">. </w:t>
      </w:r>
      <w:r w:rsidR="00C07998" w:rsidRPr="00716072">
        <w:t>https://doi.org/10.1158/1055-9965.EPI-14-0207.</w:t>
      </w:r>
    </w:p>
    <w:p w14:paraId="2FEA66FE" w14:textId="77777777" w:rsidR="001102A6" w:rsidRPr="00716072" w:rsidRDefault="001102A6" w:rsidP="00113E51">
      <w:pPr>
        <w:pStyle w:val="References"/>
      </w:pPr>
      <w:proofErr w:type="spellStart"/>
      <w:r w:rsidRPr="00716072">
        <w:t>Klus</w:t>
      </w:r>
      <w:proofErr w:type="spellEnd"/>
      <w:r w:rsidRPr="00716072">
        <w:t xml:space="preserve"> H, </w:t>
      </w:r>
      <w:proofErr w:type="spellStart"/>
      <w:r w:rsidRPr="00716072">
        <w:t>Begutter</w:t>
      </w:r>
      <w:proofErr w:type="spellEnd"/>
      <w:r w:rsidRPr="00716072">
        <w:t xml:space="preserve"> H, Scherer G, Tricker AR, </w:t>
      </w:r>
      <w:proofErr w:type="spellStart"/>
      <w:r w:rsidRPr="00716072">
        <w:t>Adlkofer</w:t>
      </w:r>
      <w:proofErr w:type="spellEnd"/>
      <w:r w:rsidRPr="00716072">
        <w:t xml:space="preserve"> F</w:t>
      </w:r>
      <w:r w:rsidR="00716072" w:rsidRPr="00716072">
        <w:t xml:space="preserve">. </w:t>
      </w:r>
      <w:r w:rsidRPr="00716072">
        <w:t>1992</w:t>
      </w:r>
      <w:r w:rsidR="00716072" w:rsidRPr="00716072">
        <w:t xml:space="preserve">. </w:t>
      </w:r>
      <w:r w:rsidRPr="00716072">
        <w:t>Tobacco-specific and volatile N-nitrosamines in environmental tobacco smoke of offices</w:t>
      </w:r>
      <w:r w:rsidR="00716072" w:rsidRPr="00716072">
        <w:t xml:space="preserve">. </w:t>
      </w:r>
      <w:r w:rsidRPr="00716072">
        <w:t>Indoor Environ 1:348–350</w:t>
      </w:r>
      <w:r w:rsidR="00716072" w:rsidRPr="00716072">
        <w:t xml:space="preserve">. </w:t>
      </w:r>
      <w:r w:rsidR="003E459D" w:rsidRPr="00716072">
        <w:t>https://doi.org/10.1159/000463475.</w:t>
      </w:r>
    </w:p>
    <w:p w14:paraId="4E7DF736" w14:textId="77777777" w:rsidR="00236850" w:rsidRPr="00716072" w:rsidRDefault="00236850" w:rsidP="00113E51">
      <w:pPr>
        <w:pStyle w:val="References"/>
      </w:pPr>
      <w:r w:rsidRPr="00716072">
        <w:t>Knudson AG</w:t>
      </w:r>
      <w:r w:rsidR="00716072" w:rsidRPr="00716072">
        <w:t xml:space="preserve">. </w:t>
      </w:r>
      <w:r w:rsidRPr="00716072">
        <w:t>1971</w:t>
      </w:r>
      <w:r w:rsidR="00716072" w:rsidRPr="00716072">
        <w:t xml:space="preserve">. </w:t>
      </w:r>
      <w:r w:rsidRPr="00716072">
        <w:t>Mutation and cancer: statistical study of retinoblastoma</w:t>
      </w:r>
      <w:r w:rsidR="00716072" w:rsidRPr="00716072">
        <w:t xml:space="preserve">. </w:t>
      </w:r>
      <w:r w:rsidRPr="00716072">
        <w:t xml:space="preserve">Proc Nat </w:t>
      </w:r>
      <w:proofErr w:type="spellStart"/>
      <w:r w:rsidRPr="00716072">
        <w:t>Acad</w:t>
      </w:r>
      <w:proofErr w:type="spellEnd"/>
      <w:r w:rsidRPr="00716072">
        <w:t xml:space="preserve"> Sci 68(4):820-823</w:t>
      </w:r>
      <w:r w:rsidR="00716072" w:rsidRPr="00716072">
        <w:t xml:space="preserve">. </w:t>
      </w:r>
      <w:r w:rsidR="003E459D" w:rsidRPr="00716072">
        <w:t>https://doi.org/10.1073/pnas.68.4.820</w:t>
      </w:r>
      <w:r w:rsidR="00716072" w:rsidRPr="00716072">
        <w:t xml:space="preserve">. </w:t>
      </w:r>
    </w:p>
    <w:p w14:paraId="5181C3C2" w14:textId="77777777" w:rsidR="00D45EDF" w:rsidRPr="00716072" w:rsidRDefault="00D45EDF" w:rsidP="00113E51">
      <w:pPr>
        <w:pStyle w:val="References"/>
      </w:pPr>
      <w:r w:rsidRPr="00716072">
        <w:t xml:space="preserve">La </w:t>
      </w:r>
      <w:proofErr w:type="spellStart"/>
      <w:r w:rsidRPr="00716072">
        <w:t>Vecchia</w:t>
      </w:r>
      <w:proofErr w:type="spellEnd"/>
      <w:r w:rsidRPr="00716072">
        <w:t xml:space="preserve"> C, </w:t>
      </w:r>
      <w:proofErr w:type="spellStart"/>
      <w:r w:rsidRPr="00716072">
        <w:t>D’Avanzo</w:t>
      </w:r>
      <w:proofErr w:type="spellEnd"/>
      <w:r w:rsidRPr="00716072">
        <w:t xml:space="preserve"> B, </w:t>
      </w:r>
      <w:proofErr w:type="spellStart"/>
      <w:r w:rsidRPr="00716072">
        <w:t>Airoldi</w:t>
      </w:r>
      <w:proofErr w:type="spellEnd"/>
      <w:r w:rsidRPr="00716072">
        <w:t xml:space="preserve"> L, Braga C, </w:t>
      </w:r>
      <w:proofErr w:type="spellStart"/>
      <w:r w:rsidRPr="00716072">
        <w:t>Decarli</w:t>
      </w:r>
      <w:proofErr w:type="spellEnd"/>
      <w:r w:rsidRPr="00716072">
        <w:t xml:space="preserve"> A</w:t>
      </w:r>
      <w:r w:rsidR="00716072" w:rsidRPr="00716072">
        <w:t xml:space="preserve">. </w:t>
      </w:r>
      <w:r w:rsidRPr="00716072">
        <w:t>1995 Nitrosamine intake and gastric cancer</w:t>
      </w:r>
      <w:r w:rsidR="00716072" w:rsidRPr="00716072">
        <w:t xml:space="preserve">. </w:t>
      </w:r>
      <w:r w:rsidRPr="00716072">
        <w:t xml:space="preserve">Eur J Cancer </w:t>
      </w:r>
      <w:proofErr w:type="spellStart"/>
      <w:r w:rsidRPr="00716072">
        <w:t>Prev</w:t>
      </w:r>
      <w:proofErr w:type="spellEnd"/>
      <w:r w:rsidRPr="00716072">
        <w:t xml:space="preserve"> 4:469–474</w:t>
      </w:r>
      <w:r w:rsidR="00716072" w:rsidRPr="00716072">
        <w:t xml:space="preserve">. </w:t>
      </w:r>
      <w:r w:rsidR="00A32618" w:rsidRPr="00716072">
        <w:t>https://doi.org/10.1097/00008469-199512000-00005.</w:t>
      </w:r>
    </w:p>
    <w:p w14:paraId="7A3FCDF4" w14:textId="77777777" w:rsidR="001102A6" w:rsidRPr="00716072" w:rsidRDefault="001102A6" w:rsidP="00113E51">
      <w:pPr>
        <w:pStyle w:val="References"/>
      </w:pPr>
      <w:r w:rsidRPr="00716072">
        <w:t xml:space="preserve">Latino-Martel P, Chan DSM, </w:t>
      </w:r>
      <w:proofErr w:type="spellStart"/>
      <w:r w:rsidRPr="00716072">
        <w:t>Druesne-Pecollo</w:t>
      </w:r>
      <w:proofErr w:type="spellEnd"/>
      <w:r w:rsidRPr="00716072">
        <w:t xml:space="preserve"> N, </w:t>
      </w:r>
      <w:proofErr w:type="spellStart"/>
      <w:r w:rsidRPr="00716072">
        <w:t>Barrandon</w:t>
      </w:r>
      <w:proofErr w:type="spellEnd"/>
      <w:r w:rsidRPr="00716072">
        <w:t xml:space="preserve"> E, </w:t>
      </w:r>
      <w:proofErr w:type="spellStart"/>
      <w:r w:rsidRPr="00716072">
        <w:t>Hercberg</w:t>
      </w:r>
      <w:proofErr w:type="spellEnd"/>
      <w:r w:rsidRPr="00716072">
        <w:t xml:space="preserve"> S, </w:t>
      </w:r>
      <w:proofErr w:type="spellStart"/>
      <w:r w:rsidRPr="00716072">
        <w:t>Norat</w:t>
      </w:r>
      <w:proofErr w:type="spellEnd"/>
      <w:r w:rsidRPr="00716072">
        <w:t xml:space="preserve"> T</w:t>
      </w:r>
      <w:r w:rsidR="00716072" w:rsidRPr="00716072">
        <w:t xml:space="preserve">. </w:t>
      </w:r>
      <w:r w:rsidRPr="00716072">
        <w:t>2010</w:t>
      </w:r>
      <w:r w:rsidR="00716072" w:rsidRPr="00716072">
        <w:t xml:space="preserve">. </w:t>
      </w:r>
      <w:r w:rsidRPr="00716072">
        <w:t xml:space="preserve">Maternal alcohol consumption during pregnancy and risk of childhood leukemia: systematic review and </w:t>
      </w:r>
      <w:r w:rsidR="00F754F6" w:rsidRPr="00716072">
        <w:t>meta-analysis</w:t>
      </w:r>
      <w:r w:rsidR="00716072" w:rsidRPr="00716072">
        <w:t xml:space="preserve">. </w:t>
      </w:r>
      <w:r w:rsidR="00F754F6" w:rsidRPr="00716072">
        <w:t xml:space="preserve">Cancer </w:t>
      </w:r>
      <w:proofErr w:type="spellStart"/>
      <w:r w:rsidR="00F754F6" w:rsidRPr="00716072">
        <w:t>Epidem</w:t>
      </w:r>
      <w:proofErr w:type="spellEnd"/>
      <w:r w:rsidR="00F754F6" w:rsidRPr="00716072">
        <w:t xml:space="preserve"> </w:t>
      </w:r>
      <w:proofErr w:type="spellStart"/>
      <w:r w:rsidR="00F754F6" w:rsidRPr="00716072">
        <w:t>Biomar</w:t>
      </w:r>
      <w:proofErr w:type="spellEnd"/>
      <w:r w:rsidRPr="00716072">
        <w:t xml:space="preserve"> 19: 1238–1260</w:t>
      </w:r>
      <w:r w:rsidR="00716072" w:rsidRPr="00716072">
        <w:t xml:space="preserve">. </w:t>
      </w:r>
      <w:r w:rsidR="00A32618" w:rsidRPr="00716072">
        <w:t>https://doi.org/10.1158/1055-9965.EPI-09-1110.</w:t>
      </w:r>
    </w:p>
    <w:p w14:paraId="7CCCF9BB" w14:textId="77777777" w:rsidR="001102A6" w:rsidRPr="00716072" w:rsidRDefault="001102A6" w:rsidP="00113E51">
      <w:pPr>
        <w:pStyle w:val="References"/>
      </w:pPr>
      <w:proofErr w:type="spellStart"/>
      <w:r w:rsidRPr="00716072">
        <w:t>Leiss</w:t>
      </w:r>
      <w:proofErr w:type="spellEnd"/>
      <w:r w:rsidRPr="00716072">
        <w:t xml:space="preserve"> JK, </w:t>
      </w:r>
      <w:proofErr w:type="spellStart"/>
      <w:r w:rsidRPr="00716072">
        <w:t>Savitz</w:t>
      </w:r>
      <w:proofErr w:type="spellEnd"/>
      <w:r w:rsidRPr="00716072">
        <w:t xml:space="preserve"> DA</w:t>
      </w:r>
      <w:r w:rsidR="00716072" w:rsidRPr="00716072">
        <w:t xml:space="preserve">. </w:t>
      </w:r>
      <w:r w:rsidRPr="00716072">
        <w:t>1995</w:t>
      </w:r>
      <w:r w:rsidR="00716072" w:rsidRPr="00716072">
        <w:t xml:space="preserve">. </w:t>
      </w:r>
      <w:r w:rsidRPr="00716072">
        <w:t>Home pesticide use and childhood cancer: a case-control study</w:t>
      </w:r>
      <w:r w:rsidR="00716072" w:rsidRPr="00716072">
        <w:t xml:space="preserve">. </w:t>
      </w:r>
      <w:r w:rsidRPr="00716072">
        <w:t>Am J Public Health 85</w:t>
      </w:r>
      <w:r w:rsidR="00E035A1" w:rsidRPr="00716072">
        <w:t>:</w:t>
      </w:r>
      <w:r w:rsidRPr="00716072">
        <w:t>249–252</w:t>
      </w:r>
      <w:r w:rsidR="00716072" w:rsidRPr="00716072">
        <w:t xml:space="preserve">. </w:t>
      </w:r>
      <w:r w:rsidR="00E035A1" w:rsidRPr="00716072">
        <w:t>https://doi.org/10.2105/AJPH.85.2.249.</w:t>
      </w:r>
    </w:p>
    <w:p w14:paraId="730EEA95" w14:textId="75110943" w:rsidR="006C3EF9" w:rsidRDefault="006C3EF9" w:rsidP="00113E51">
      <w:pPr>
        <w:pStyle w:val="References"/>
      </w:pPr>
      <w:r>
        <w:t>Liu</w:t>
      </w:r>
      <w:r w:rsidRPr="006C3EF9">
        <w:t xml:space="preserve"> R, Zhang L, McHale CM, </w:t>
      </w:r>
      <w:r w:rsidR="00E03024">
        <w:t>Hammond SK.</w:t>
      </w:r>
      <w:r w:rsidRPr="006C3EF9">
        <w:t xml:space="preserve"> </w:t>
      </w:r>
      <w:r w:rsidR="00E03024">
        <w:t xml:space="preserve">2011. </w:t>
      </w:r>
      <w:r w:rsidRPr="006C3EF9">
        <w:t xml:space="preserve">Paternal smoking and risk of childhood acute lymphoblastic leukemia: systematic review </w:t>
      </w:r>
      <w:r w:rsidR="00E03024">
        <w:t>and meta-analysis. J Oncol 2011:</w:t>
      </w:r>
      <w:r w:rsidRPr="006C3EF9">
        <w:t>854584.</w:t>
      </w:r>
    </w:p>
    <w:p w14:paraId="3BA0B2CE" w14:textId="2DFE86EC" w:rsidR="007E153E" w:rsidRDefault="007E153E" w:rsidP="005044C1">
      <w:pPr>
        <w:pStyle w:val="References"/>
      </w:pPr>
      <w:proofErr w:type="spellStart"/>
      <w:r>
        <w:t>Linet</w:t>
      </w:r>
      <w:proofErr w:type="spellEnd"/>
      <w:r>
        <w:t xml:space="preserve"> </w:t>
      </w:r>
      <w:r w:rsidR="005044C1">
        <w:t xml:space="preserve">MS, </w:t>
      </w:r>
      <w:proofErr w:type="spellStart"/>
      <w:r w:rsidR="005044C1">
        <w:t>Wacholder</w:t>
      </w:r>
      <w:proofErr w:type="spellEnd"/>
      <w:r w:rsidR="005044C1">
        <w:t xml:space="preserve"> S, </w:t>
      </w:r>
      <w:proofErr w:type="spellStart"/>
      <w:r w:rsidR="005044C1">
        <w:t>Zahm</w:t>
      </w:r>
      <w:proofErr w:type="spellEnd"/>
      <w:r w:rsidR="005044C1">
        <w:t xml:space="preserve"> SH. 2003. Interpreting epidemiologic research: lessons from studies of childhood cancer. Pediatrics </w:t>
      </w:r>
      <w:r w:rsidR="005044C1" w:rsidRPr="005044C1">
        <w:t>112(1 Pt 2):218-</w:t>
      </w:r>
      <w:r w:rsidR="005044C1">
        <w:t>2</w:t>
      </w:r>
      <w:r w:rsidR="005044C1" w:rsidRPr="005044C1">
        <w:t>32.</w:t>
      </w:r>
    </w:p>
    <w:p w14:paraId="261AD10D" w14:textId="1E4A5369" w:rsidR="00236850" w:rsidRPr="00716072" w:rsidRDefault="00236850" w:rsidP="00113E51">
      <w:pPr>
        <w:pStyle w:val="References"/>
      </w:pPr>
      <w:r w:rsidRPr="00716072">
        <w:t xml:space="preserve">Loeb LA, </w:t>
      </w:r>
      <w:proofErr w:type="spellStart"/>
      <w:r w:rsidRPr="00716072">
        <w:t>Leob</w:t>
      </w:r>
      <w:proofErr w:type="spellEnd"/>
      <w:r w:rsidRPr="00716072">
        <w:t xml:space="preserve"> K, Anderson JP</w:t>
      </w:r>
      <w:r w:rsidR="00716072" w:rsidRPr="00716072">
        <w:t xml:space="preserve">. </w:t>
      </w:r>
      <w:r w:rsidRPr="00716072">
        <w:t>2003</w:t>
      </w:r>
      <w:r w:rsidR="00716072" w:rsidRPr="00716072">
        <w:t xml:space="preserve">. </w:t>
      </w:r>
      <w:r w:rsidRPr="00716072">
        <w:t>Multiple mutations and cancer</w:t>
      </w:r>
      <w:r w:rsidR="00716072" w:rsidRPr="00716072">
        <w:t xml:space="preserve">. </w:t>
      </w:r>
      <w:r w:rsidRPr="00716072">
        <w:t xml:space="preserve">Proc Nat </w:t>
      </w:r>
      <w:proofErr w:type="spellStart"/>
      <w:r w:rsidRPr="00716072">
        <w:t>Acad</w:t>
      </w:r>
      <w:proofErr w:type="spellEnd"/>
      <w:r w:rsidRPr="00716072">
        <w:t xml:space="preserve"> Sci 100(3):776-781</w:t>
      </w:r>
      <w:r w:rsidR="00716072" w:rsidRPr="00716072">
        <w:t xml:space="preserve">. </w:t>
      </w:r>
      <w:r w:rsidR="00E035A1" w:rsidRPr="00716072">
        <w:t>https://doi.org/10.1073/pnas.0334858100.</w:t>
      </w:r>
    </w:p>
    <w:p w14:paraId="46E0C999" w14:textId="77777777" w:rsidR="001102A6" w:rsidRPr="00716072" w:rsidRDefault="001102A6" w:rsidP="00113E51">
      <w:pPr>
        <w:pStyle w:val="References"/>
      </w:pPr>
      <w:r w:rsidRPr="00716072">
        <w:t xml:space="preserve">MacArthur AC, McBride ML, Spinelli JJ, </w:t>
      </w:r>
      <w:proofErr w:type="spellStart"/>
      <w:r w:rsidRPr="00716072">
        <w:t>Tamaro</w:t>
      </w:r>
      <w:proofErr w:type="spellEnd"/>
      <w:r w:rsidRPr="00716072">
        <w:t xml:space="preserve"> S, Gallagher RP, Theriault G</w:t>
      </w:r>
      <w:r w:rsidR="00716072" w:rsidRPr="00716072">
        <w:t xml:space="preserve">. </w:t>
      </w:r>
      <w:r w:rsidRPr="00716072">
        <w:t>2008</w:t>
      </w:r>
      <w:r w:rsidR="00716072" w:rsidRPr="00716072">
        <w:t xml:space="preserve">. </w:t>
      </w:r>
      <w:r w:rsidRPr="00716072">
        <w:t>Risk of childhood leukemia associated with parental smoking and alcohol consumption prior to conception and during pregnancy: the cross-Canada childhood leukemia study</w:t>
      </w:r>
      <w:r w:rsidR="00716072" w:rsidRPr="00716072">
        <w:t xml:space="preserve">. </w:t>
      </w:r>
      <w:r w:rsidRPr="00716072">
        <w:t>Cancer Cause Control 19</w:t>
      </w:r>
      <w:r w:rsidR="00FD20DF" w:rsidRPr="00716072">
        <w:t>:</w:t>
      </w:r>
      <w:r w:rsidRPr="00716072">
        <w:t>283–295</w:t>
      </w:r>
      <w:r w:rsidR="00716072" w:rsidRPr="00716072">
        <w:t xml:space="preserve">. </w:t>
      </w:r>
      <w:r w:rsidR="00FD20DF" w:rsidRPr="00716072">
        <w:t>https://doi.org/10.1007/s10552-007-9091-8.</w:t>
      </w:r>
    </w:p>
    <w:p w14:paraId="38A2D15E" w14:textId="77777777" w:rsidR="00494A27" w:rsidRPr="00716072" w:rsidRDefault="00494A27" w:rsidP="00113E51">
      <w:pPr>
        <w:pStyle w:val="References"/>
      </w:pPr>
      <w:r w:rsidRPr="00716072">
        <w:lastRenderedPageBreak/>
        <w:t>MACTEC</w:t>
      </w:r>
      <w:r w:rsidR="00716072" w:rsidRPr="00716072">
        <w:t xml:space="preserve">. </w:t>
      </w:r>
      <w:r w:rsidRPr="00716072">
        <w:t>2003a</w:t>
      </w:r>
      <w:r w:rsidR="00716072" w:rsidRPr="00716072">
        <w:t xml:space="preserve">. </w:t>
      </w:r>
      <w:r w:rsidRPr="00716072">
        <w:t>Supplemental Phase II Comprehensive Response Action Status Report #1 Related to N-</w:t>
      </w:r>
      <w:proofErr w:type="spellStart"/>
      <w:r w:rsidRPr="00716072">
        <w:t>nitrosodimethylamine</w:t>
      </w:r>
      <w:proofErr w:type="spellEnd"/>
      <w:r w:rsidRPr="00716072">
        <w:t xml:space="preserve"> (NDMA) Olin Site, Wilmington, Massachusetts Release Tracking Number: 3-0471</w:t>
      </w:r>
      <w:r w:rsidR="00716072" w:rsidRPr="00716072">
        <w:t xml:space="preserve">. </w:t>
      </w:r>
      <w:r w:rsidRPr="00716072">
        <w:t>Prepared for: Olin Corporation, Charleston, Tennessee</w:t>
      </w:r>
      <w:r w:rsidR="00716072" w:rsidRPr="00716072">
        <w:t xml:space="preserve">. </w:t>
      </w:r>
      <w:r w:rsidRPr="00716072">
        <w:t>MACTEC Engineering and Consulting, Inc., Wakefield, Massachusetts</w:t>
      </w:r>
      <w:r w:rsidR="00716072" w:rsidRPr="00716072">
        <w:t xml:space="preserve">. </w:t>
      </w:r>
    </w:p>
    <w:p w14:paraId="5946D45F" w14:textId="77777777" w:rsidR="00223FA7" w:rsidRPr="00716072" w:rsidRDefault="00494A27" w:rsidP="00113E51">
      <w:pPr>
        <w:pStyle w:val="References"/>
      </w:pPr>
      <w:r w:rsidRPr="00716072">
        <w:t>MACTEC</w:t>
      </w:r>
      <w:r w:rsidR="00716072" w:rsidRPr="00716072">
        <w:t xml:space="preserve">. </w:t>
      </w:r>
      <w:r w:rsidRPr="00716072">
        <w:t>2003b</w:t>
      </w:r>
      <w:r w:rsidR="00716072" w:rsidRPr="00716072">
        <w:t xml:space="preserve">. </w:t>
      </w:r>
      <w:r w:rsidRPr="00716072">
        <w:t>Western Bedrock Valley Ground-Water Monitoring Report, December 2001 – May 2003, Release Tracking Number: 3-0471, Olin Corporation, Wilmington, Massachusetts</w:t>
      </w:r>
      <w:r w:rsidR="00716072" w:rsidRPr="00716072">
        <w:t xml:space="preserve">. </w:t>
      </w:r>
      <w:r w:rsidRPr="00716072">
        <w:t>Prepared for: Olin Corporation, Wilmington, Massachusetts</w:t>
      </w:r>
      <w:r w:rsidR="00716072" w:rsidRPr="00716072">
        <w:t xml:space="preserve">. </w:t>
      </w:r>
      <w:r w:rsidRPr="00716072">
        <w:t>MACTEC Engineering and Consulting, Inc., Wakefield, Massachusetts</w:t>
      </w:r>
      <w:r w:rsidR="00716072" w:rsidRPr="00716072">
        <w:t xml:space="preserve">. </w:t>
      </w:r>
    </w:p>
    <w:p w14:paraId="0D4E1675" w14:textId="77777777" w:rsidR="00663543" w:rsidRPr="00716072" w:rsidRDefault="00663543" w:rsidP="00113E51">
      <w:pPr>
        <w:pStyle w:val="References"/>
      </w:pPr>
      <w:r w:rsidRPr="00716072">
        <w:t>MACTEC</w:t>
      </w:r>
      <w:r w:rsidR="00716072" w:rsidRPr="00716072">
        <w:t xml:space="preserve">. </w:t>
      </w:r>
      <w:r w:rsidRPr="00716072">
        <w:t>2005</w:t>
      </w:r>
      <w:r w:rsidR="00716072" w:rsidRPr="00716072">
        <w:t xml:space="preserve">. </w:t>
      </w:r>
      <w:r w:rsidRPr="00716072">
        <w:t>Western Bedrock Valley Ground-Water Monitoring Report, June 2003 - December 2004, Release Tracking Number: 3-0471, Olin Corporation, Wilmington, Massachusetts</w:t>
      </w:r>
      <w:r w:rsidR="00716072" w:rsidRPr="00716072">
        <w:t xml:space="preserve">. </w:t>
      </w:r>
      <w:r w:rsidRPr="00716072">
        <w:t>Prepared for: Olin Corporation, Wilmington, Massachusetts</w:t>
      </w:r>
      <w:r w:rsidR="00716072" w:rsidRPr="00716072">
        <w:t xml:space="preserve">. </w:t>
      </w:r>
      <w:r w:rsidRPr="00716072">
        <w:t>MACTEC Engineering and Consulting, Inc., Wakefield, Massachusetts</w:t>
      </w:r>
      <w:r w:rsidR="00716072" w:rsidRPr="00716072">
        <w:t xml:space="preserve">. </w:t>
      </w:r>
    </w:p>
    <w:p w14:paraId="07C04719" w14:textId="77777777" w:rsidR="001102A6" w:rsidRPr="00716072" w:rsidRDefault="00494A27" w:rsidP="00113E51">
      <w:pPr>
        <w:pStyle w:val="References"/>
      </w:pPr>
      <w:r w:rsidRPr="00716072">
        <w:t>MACTEC</w:t>
      </w:r>
      <w:r w:rsidR="00716072" w:rsidRPr="00716072">
        <w:t xml:space="preserve">. </w:t>
      </w:r>
      <w:r w:rsidRPr="00716072">
        <w:t>2007</w:t>
      </w:r>
      <w:r w:rsidR="00716072" w:rsidRPr="00716072">
        <w:t xml:space="preserve">. </w:t>
      </w:r>
      <w:r w:rsidRPr="00716072">
        <w:t>Draft Focused Remedial Investigation Report, Olin Chemical Superfund Site, Wilmington, Massachusetts</w:t>
      </w:r>
      <w:r w:rsidR="00716072" w:rsidRPr="00716072">
        <w:t xml:space="preserve">. </w:t>
      </w:r>
      <w:r w:rsidRPr="00716072">
        <w:t>Prepared for: Olin Corporation, Charleston, Tennessee</w:t>
      </w:r>
      <w:r w:rsidR="00716072" w:rsidRPr="00716072">
        <w:t xml:space="preserve">. </w:t>
      </w:r>
      <w:r w:rsidRPr="00716072">
        <w:t>MACTEC Engineering and Consulting, Inc., Wakefield, Massachusetts</w:t>
      </w:r>
      <w:r w:rsidR="00716072" w:rsidRPr="00716072">
        <w:t xml:space="preserve">. </w:t>
      </w:r>
    </w:p>
    <w:p w14:paraId="76742D38" w14:textId="77777777" w:rsidR="00861613" w:rsidRPr="00716072" w:rsidRDefault="00316439" w:rsidP="00113E51">
      <w:pPr>
        <w:pStyle w:val="References"/>
      </w:pPr>
      <w:r w:rsidRPr="00716072">
        <w:t>MA DEP</w:t>
      </w:r>
      <w:r w:rsidR="00716072" w:rsidRPr="00716072">
        <w:t xml:space="preserve">. </w:t>
      </w:r>
      <w:r w:rsidRPr="00716072">
        <w:t>201</w:t>
      </w:r>
      <w:r w:rsidR="0007647F" w:rsidRPr="00716072">
        <w:t>9</w:t>
      </w:r>
      <w:r w:rsidR="00716072" w:rsidRPr="00716072">
        <w:t xml:space="preserve">. </w:t>
      </w:r>
      <w:r w:rsidRPr="00716072">
        <w:t>Massachusetts Department of Environmental Protection</w:t>
      </w:r>
      <w:r w:rsidR="00716072" w:rsidRPr="00716072">
        <w:t xml:space="preserve">. </w:t>
      </w:r>
      <w:r w:rsidRPr="00716072">
        <w:t>Standards and Guidelines for Contaminants in Massachusetts Drinking Waters</w:t>
      </w:r>
      <w:r w:rsidR="00716072" w:rsidRPr="00716072">
        <w:t xml:space="preserve">. </w:t>
      </w:r>
      <w:r w:rsidR="00947773" w:rsidRPr="00716072">
        <w:t xml:space="preserve">Available: </w:t>
      </w:r>
      <w:r w:rsidR="00527EEE" w:rsidRPr="00527EEE">
        <w:t>https://www.mass.gov/guides/drinking-water-standards-and-guidelines</w:t>
      </w:r>
      <w:r w:rsidR="00947773" w:rsidRPr="00716072">
        <w:t xml:space="preserve"> [accessed 2019]</w:t>
      </w:r>
      <w:r w:rsidR="00716072" w:rsidRPr="00716072">
        <w:t xml:space="preserve">. </w:t>
      </w:r>
    </w:p>
    <w:p w14:paraId="61F7C4D0" w14:textId="77777777" w:rsidR="001102A6" w:rsidRPr="00716072" w:rsidRDefault="001102A6" w:rsidP="00113E51">
      <w:pPr>
        <w:pStyle w:val="References"/>
      </w:pPr>
      <w:proofErr w:type="spellStart"/>
      <w:r w:rsidRPr="00716072">
        <w:t>MassGIS</w:t>
      </w:r>
      <w:proofErr w:type="spellEnd"/>
      <w:r w:rsidR="00716072" w:rsidRPr="00716072">
        <w:t xml:space="preserve">. </w:t>
      </w:r>
      <w:r w:rsidRPr="00716072">
        <w:t>2003</w:t>
      </w:r>
      <w:r w:rsidR="00716072" w:rsidRPr="00716072">
        <w:t xml:space="preserve">. </w:t>
      </w:r>
      <w:proofErr w:type="spellStart"/>
      <w:r w:rsidRPr="00716072">
        <w:t>MassGIS</w:t>
      </w:r>
      <w:proofErr w:type="spellEnd"/>
      <w:r w:rsidRPr="00716072">
        <w:t xml:space="preserve"> Data - Land Use Summary Statistics</w:t>
      </w:r>
      <w:r w:rsidR="00716072" w:rsidRPr="00716072">
        <w:t xml:space="preserve">. </w:t>
      </w:r>
      <w:r w:rsidR="00861613" w:rsidRPr="00716072">
        <w:t xml:space="preserve">Available: </w:t>
      </w:r>
      <w:r w:rsidRPr="00716072">
        <w:t>https://docs.digital.mass.gov/dataset/massgis-data-land-use-summary-statistics</w:t>
      </w:r>
      <w:r w:rsidRPr="00716072" w:rsidDel="002E4E43">
        <w:t xml:space="preserve"> </w:t>
      </w:r>
      <w:r w:rsidR="00861613" w:rsidRPr="00716072">
        <w:t>[</w:t>
      </w:r>
      <w:r w:rsidRPr="00716072">
        <w:t>accessed 7-25-18</w:t>
      </w:r>
      <w:r w:rsidR="00861613" w:rsidRPr="00716072">
        <w:t>]</w:t>
      </w:r>
      <w:r w:rsidRPr="00716072">
        <w:t>.</w:t>
      </w:r>
    </w:p>
    <w:p w14:paraId="794648FC" w14:textId="77777777" w:rsidR="001102A6" w:rsidRPr="00716072" w:rsidRDefault="001102A6" w:rsidP="00113E51">
      <w:pPr>
        <w:pStyle w:val="References"/>
      </w:pPr>
      <w:r w:rsidRPr="00716072">
        <w:t>McBride ML</w:t>
      </w:r>
      <w:r w:rsidR="00716072" w:rsidRPr="00716072">
        <w:t xml:space="preserve">. </w:t>
      </w:r>
      <w:r w:rsidRPr="00716072">
        <w:t>1998</w:t>
      </w:r>
      <w:r w:rsidR="00716072" w:rsidRPr="00716072">
        <w:t xml:space="preserve">. </w:t>
      </w:r>
      <w:r w:rsidRPr="00716072">
        <w:t>Childhood cancer and environmental contaminants</w:t>
      </w:r>
      <w:r w:rsidR="00716072" w:rsidRPr="00716072">
        <w:t xml:space="preserve">. </w:t>
      </w:r>
      <w:r w:rsidRPr="00716072">
        <w:t>Can J Public Health 89 Suppl 1</w:t>
      </w:r>
      <w:r w:rsidR="00F11EA4" w:rsidRPr="00716072">
        <w:t>:</w:t>
      </w:r>
      <w:r w:rsidRPr="00716072">
        <w:t>S53–62, S58–68.</w:t>
      </w:r>
    </w:p>
    <w:p w14:paraId="186ADB31" w14:textId="77777777" w:rsidR="005906B7" w:rsidRPr="00716072" w:rsidRDefault="005906B7" w:rsidP="00113E51">
      <w:pPr>
        <w:pStyle w:val="References"/>
      </w:pPr>
      <w:r w:rsidRPr="00716072">
        <w:t>McDonald M G, Harbaugh</w:t>
      </w:r>
      <w:r w:rsidR="00EC379A" w:rsidRPr="00716072">
        <w:t xml:space="preserve"> AW</w:t>
      </w:r>
      <w:r w:rsidR="00716072" w:rsidRPr="00716072">
        <w:t xml:space="preserve">. </w:t>
      </w:r>
      <w:r w:rsidRPr="00716072">
        <w:t>1988</w:t>
      </w:r>
      <w:r w:rsidR="00716072" w:rsidRPr="00716072">
        <w:t xml:space="preserve">. </w:t>
      </w:r>
      <w:r w:rsidRPr="00716072">
        <w:t>A modular three-dimensional finite-difference ground-water flow model</w:t>
      </w:r>
      <w:r w:rsidR="00716072" w:rsidRPr="00716072">
        <w:t xml:space="preserve">. </w:t>
      </w:r>
      <w:r w:rsidRPr="00716072">
        <w:t>Techniques of Water-Resources Investigations of the United States Geological Survey, Book 6, Chapter A1</w:t>
      </w:r>
      <w:r w:rsidR="00716072" w:rsidRPr="00716072">
        <w:t xml:space="preserve">. </w:t>
      </w:r>
      <w:r w:rsidR="00EF0735" w:rsidRPr="00716072">
        <w:t>US</w:t>
      </w:r>
      <w:r w:rsidRPr="00716072">
        <w:t xml:space="preserve"> Geological Survey, Washington, D.C.</w:t>
      </w:r>
    </w:p>
    <w:p w14:paraId="6350BC87" w14:textId="77777777" w:rsidR="001102A6" w:rsidRPr="00716072" w:rsidRDefault="001102A6" w:rsidP="00113E51">
      <w:pPr>
        <w:pStyle w:val="References"/>
      </w:pPr>
      <w:r w:rsidRPr="00716072">
        <w:t>MCR</w:t>
      </w:r>
      <w:r w:rsidR="00716072" w:rsidRPr="00716072">
        <w:t xml:space="preserve">. </w:t>
      </w:r>
      <w:r w:rsidRPr="00716072">
        <w:t>2014</w:t>
      </w:r>
      <w:r w:rsidR="00716072" w:rsidRPr="00716072">
        <w:t xml:space="preserve">. </w:t>
      </w:r>
      <w:r w:rsidRPr="00716072">
        <w:t>Childhood Cancer in Massachusetts 2000 – 2009</w:t>
      </w:r>
      <w:r w:rsidR="00716072" w:rsidRPr="00716072">
        <w:t xml:space="preserve">. </w:t>
      </w:r>
      <w:r w:rsidRPr="00716072">
        <w:t>Massachusetts Cancer Registry, Massachusetts Department of Public Health.</w:t>
      </w:r>
    </w:p>
    <w:p w14:paraId="3A37BA4E" w14:textId="77777777" w:rsidR="00276B65" w:rsidRPr="00716072" w:rsidRDefault="00276B65" w:rsidP="00276B65">
      <w:pPr>
        <w:pStyle w:val="References"/>
      </w:pPr>
      <w:r w:rsidRPr="00716072">
        <w:t>MDPH. 2000. Massachusetts Department of Public Health. Interim Review of Cancer Incidence in Wilmington, MA, 1987-1995. August 11, 2000.</w:t>
      </w:r>
    </w:p>
    <w:p w14:paraId="06F3222C" w14:textId="77777777" w:rsidR="00276B65" w:rsidRPr="00716072" w:rsidRDefault="00276B65" w:rsidP="00276B65">
      <w:pPr>
        <w:pStyle w:val="References"/>
      </w:pPr>
      <w:r w:rsidRPr="00716072">
        <w:t>MDPH. 2004. Massachusetts Department of Public Health memorandum to the Wilmington Childhood Cancer Study Subgroup. May 12, 2004.</w:t>
      </w:r>
    </w:p>
    <w:p w14:paraId="0387B7F6" w14:textId="77777777" w:rsidR="005B56D6" w:rsidRPr="00716072" w:rsidRDefault="005B56D6" w:rsidP="00113E51">
      <w:pPr>
        <w:pStyle w:val="References"/>
      </w:pPr>
      <w:r w:rsidRPr="00716072">
        <w:lastRenderedPageBreak/>
        <w:t>Miettinen OS</w:t>
      </w:r>
      <w:r w:rsidR="00716072" w:rsidRPr="00716072">
        <w:t xml:space="preserve">. </w:t>
      </w:r>
      <w:r w:rsidRPr="00716072">
        <w:t>1969</w:t>
      </w:r>
      <w:r w:rsidR="00716072" w:rsidRPr="00716072">
        <w:t xml:space="preserve">. </w:t>
      </w:r>
      <w:r w:rsidRPr="00716072">
        <w:t>Individual Matching with Multiple Controls in the Case of All-or-None Responses</w:t>
      </w:r>
      <w:r w:rsidR="00716072" w:rsidRPr="00716072">
        <w:t xml:space="preserve">. </w:t>
      </w:r>
      <w:r w:rsidRPr="00716072">
        <w:t>Biometrics 25</w:t>
      </w:r>
      <w:r w:rsidR="007520DA" w:rsidRPr="00716072">
        <w:t>(</w:t>
      </w:r>
      <w:r w:rsidRPr="00716072">
        <w:t>2</w:t>
      </w:r>
      <w:r w:rsidR="007520DA" w:rsidRPr="00716072">
        <w:t>):</w:t>
      </w:r>
      <w:r w:rsidRPr="00716072">
        <w:t>339-355.</w:t>
      </w:r>
    </w:p>
    <w:p w14:paraId="08A8FF2F" w14:textId="34B6ECC7" w:rsidR="001102A6" w:rsidRPr="00716072" w:rsidRDefault="001102A6" w:rsidP="00113E51">
      <w:pPr>
        <w:pStyle w:val="References"/>
      </w:pPr>
      <w:proofErr w:type="spellStart"/>
      <w:r w:rsidRPr="00716072">
        <w:t>Miligi</w:t>
      </w:r>
      <w:proofErr w:type="spellEnd"/>
      <w:r w:rsidRPr="00716072">
        <w:t xml:space="preserve"> L, </w:t>
      </w:r>
      <w:proofErr w:type="spellStart"/>
      <w:r w:rsidRPr="00716072">
        <w:t>Benvenuti</w:t>
      </w:r>
      <w:proofErr w:type="spellEnd"/>
      <w:r w:rsidRPr="00716072">
        <w:t xml:space="preserve"> A, Mattioli S, </w:t>
      </w:r>
      <w:proofErr w:type="spellStart"/>
      <w:r w:rsidRPr="00716072">
        <w:t>Salvan</w:t>
      </w:r>
      <w:proofErr w:type="spellEnd"/>
      <w:r w:rsidRPr="00716072">
        <w:t xml:space="preserve"> A, </w:t>
      </w:r>
      <w:proofErr w:type="spellStart"/>
      <w:r w:rsidRPr="00716072">
        <w:t>Tozzi</w:t>
      </w:r>
      <w:proofErr w:type="spellEnd"/>
      <w:r w:rsidRPr="00716072">
        <w:t xml:space="preserve"> GA, </w:t>
      </w:r>
      <w:proofErr w:type="spellStart"/>
      <w:r w:rsidRPr="00716072">
        <w:t>Ranucci</w:t>
      </w:r>
      <w:proofErr w:type="spellEnd"/>
      <w:r w:rsidRPr="00716072">
        <w:t xml:space="preserve"> A, et al</w:t>
      </w:r>
      <w:r w:rsidR="00716072" w:rsidRPr="00716072">
        <w:t xml:space="preserve">. </w:t>
      </w:r>
      <w:r w:rsidR="00910280" w:rsidRPr="00716072">
        <w:t>2013</w:t>
      </w:r>
      <w:r w:rsidR="00716072" w:rsidRPr="00716072">
        <w:t xml:space="preserve">. </w:t>
      </w:r>
      <w:r w:rsidRPr="00716072">
        <w:t>Risk of childhood leukemia and non-Hodgkin’s lymphoma after parental occupational exposure to solvents and other agents: the SETIL Study</w:t>
      </w:r>
      <w:r w:rsidR="00716072" w:rsidRPr="00716072">
        <w:t xml:space="preserve">. </w:t>
      </w:r>
      <w:proofErr w:type="spellStart"/>
      <w:r w:rsidRPr="00716072">
        <w:t>Occup</w:t>
      </w:r>
      <w:proofErr w:type="spellEnd"/>
      <w:r w:rsidRPr="00716072">
        <w:t xml:space="preserve"> Environ Med 70:648–655</w:t>
      </w:r>
      <w:r w:rsidR="00716072" w:rsidRPr="00716072">
        <w:t xml:space="preserve">. </w:t>
      </w:r>
      <w:r w:rsidR="00DB07D2" w:rsidRPr="00F536C5">
        <w:t>https://doi.org/10.1136/oemed-2012-100951</w:t>
      </w:r>
      <w:r w:rsidR="00716072" w:rsidRPr="00716072">
        <w:t xml:space="preserve">. </w:t>
      </w:r>
    </w:p>
    <w:p w14:paraId="565264FF" w14:textId="77777777" w:rsidR="001102A6" w:rsidRPr="00716072" w:rsidRDefault="001102A6" w:rsidP="00113E51">
      <w:pPr>
        <w:pStyle w:val="References"/>
      </w:pPr>
      <w:r w:rsidRPr="00716072">
        <w:t xml:space="preserve">Mitch WA, </w:t>
      </w:r>
      <w:proofErr w:type="spellStart"/>
      <w:r w:rsidRPr="00716072">
        <w:t>Gerecke</w:t>
      </w:r>
      <w:proofErr w:type="spellEnd"/>
      <w:r w:rsidRPr="00716072">
        <w:t xml:space="preserve"> </w:t>
      </w:r>
      <w:proofErr w:type="gramStart"/>
      <w:r w:rsidRPr="00716072">
        <w:t>AC ,</w:t>
      </w:r>
      <w:proofErr w:type="gramEnd"/>
      <w:r w:rsidRPr="00716072">
        <w:t xml:space="preserve"> </w:t>
      </w:r>
      <w:proofErr w:type="spellStart"/>
      <w:r w:rsidRPr="00716072">
        <w:t>Sedlak</w:t>
      </w:r>
      <w:proofErr w:type="spellEnd"/>
      <w:r w:rsidRPr="00716072">
        <w:t xml:space="preserve"> DL</w:t>
      </w:r>
      <w:r w:rsidR="00716072" w:rsidRPr="00716072">
        <w:t xml:space="preserve">. </w:t>
      </w:r>
      <w:r w:rsidRPr="00716072">
        <w:t>2003 A N-</w:t>
      </w:r>
      <w:proofErr w:type="spellStart"/>
      <w:r w:rsidRPr="00716072">
        <w:t>nitrosodimethylamine</w:t>
      </w:r>
      <w:proofErr w:type="spellEnd"/>
      <w:r w:rsidRPr="00716072">
        <w:t xml:space="preserve"> (NDMA) precursor analysis for chlorination of water and wastewater</w:t>
      </w:r>
      <w:r w:rsidR="00716072" w:rsidRPr="00716072">
        <w:t xml:space="preserve">. </w:t>
      </w:r>
      <w:r w:rsidRPr="00716072">
        <w:t>Water Res 37:3733-3741</w:t>
      </w:r>
      <w:r w:rsidR="00716072" w:rsidRPr="00716072">
        <w:t xml:space="preserve">. </w:t>
      </w:r>
      <w:r w:rsidR="006420DD" w:rsidRPr="00716072">
        <w:t>https://doi.org/10.1016/S0043-1354(03)00289-6.</w:t>
      </w:r>
    </w:p>
    <w:p w14:paraId="31F969F2" w14:textId="77777777" w:rsidR="001102A6" w:rsidRPr="00716072" w:rsidRDefault="001102A6" w:rsidP="00113E51">
      <w:pPr>
        <w:pStyle w:val="References"/>
      </w:pPr>
      <w:proofErr w:type="spellStart"/>
      <w:r w:rsidRPr="00716072">
        <w:t>Mucci</w:t>
      </w:r>
      <w:proofErr w:type="spellEnd"/>
      <w:r w:rsidRPr="00716072">
        <w:t xml:space="preserve"> LA, </w:t>
      </w:r>
      <w:proofErr w:type="spellStart"/>
      <w:r w:rsidRPr="00716072">
        <w:t>Granath</w:t>
      </w:r>
      <w:proofErr w:type="spellEnd"/>
      <w:r w:rsidRPr="00716072">
        <w:t xml:space="preserve"> F, </w:t>
      </w:r>
      <w:proofErr w:type="spellStart"/>
      <w:r w:rsidRPr="00716072">
        <w:t>Cnattingius</w:t>
      </w:r>
      <w:proofErr w:type="spellEnd"/>
      <w:r w:rsidRPr="00716072">
        <w:t xml:space="preserve"> S</w:t>
      </w:r>
      <w:r w:rsidR="00716072" w:rsidRPr="00716072">
        <w:t xml:space="preserve">. </w:t>
      </w:r>
      <w:r w:rsidRPr="00716072">
        <w:t>2004</w:t>
      </w:r>
      <w:r w:rsidR="00716072" w:rsidRPr="00716072">
        <w:t xml:space="preserve">. </w:t>
      </w:r>
      <w:r w:rsidRPr="00716072">
        <w:t>Maternal smoking and childhood leukemia and lymphoma risk among 1,440,542 Swedish children</w:t>
      </w:r>
      <w:r w:rsidR="00716072" w:rsidRPr="00716072">
        <w:t xml:space="preserve">. </w:t>
      </w:r>
      <w:r w:rsidRPr="00716072">
        <w:t xml:space="preserve">Cancer </w:t>
      </w:r>
      <w:proofErr w:type="spellStart"/>
      <w:r w:rsidRPr="00716072">
        <w:t>Epidem</w:t>
      </w:r>
      <w:proofErr w:type="spellEnd"/>
      <w:r w:rsidRPr="00716072">
        <w:t xml:space="preserve"> </w:t>
      </w:r>
      <w:proofErr w:type="spellStart"/>
      <w:r w:rsidRPr="00716072">
        <w:t>Biomar</w:t>
      </w:r>
      <w:proofErr w:type="spellEnd"/>
      <w:r w:rsidRPr="00716072">
        <w:t xml:space="preserve"> 13</w:t>
      </w:r>
      <w:r w:rsidR="006420DD" w:rsidRPr="00716072">
        <w:t>:</w:t>
      </w:r>
      <w:r w:rsidRPr="00716072">
        <w:t>1528–1533.</w:t>
      </w:r>
    </w:p>
    <w:p w14:paraId="4862448D" w14:textId="162AF4E2" w:rsidR="001102A6" w:rsidRDefault="001102A6" w:rsidP="00113E51">
      <w:pPr>
        <w:pStyle w:val="References"/>
      </w:pPr>
      <w:r w:rsidRPr="00716072">
        <w:t xml:space="preserve">Mueller BA, Nielsen SS, Preston-Martin S, Holly EA, Cordier S, </w:t>
      </w:r>
      <w:proofErr w:type="spellStart"/>
      <w:r w:rsidRPr="00716072">
        <w:t>Filippini</w:t>
      </w:r>
      <w:proofErr w:type="spellEnd"/>
      <w:r w:rsidRPr="00716072">
        <w:t xml:space="preserve"> G, et al</w:t>
      </w:r>
      <w:r w:rsidR="00716072" w:rsidRPr="00716072">
        <w:t xml:space="preserve">. </w:t>
      </w:r>
      <w:r w:rsidRPr="00716072">
        <w:t>2004</w:t>
      </w:r>
      <w:r w:rsidR="00716072" w:rsidRPr="00716072">
        <w:t xml:space="preserve">. </w:t>
      </w:r>
      <w:r w:rsidRPr="00716072">
        <w:t>Household water source and the risk of childhood brain tumors: results of the SEARCH International Brain Tumor Study</w:t>
      </w:r>
      <w:r w:rsidR="00716072" w:rsidRPr="00716072">
        <w:t xml:space="preserve">. </w:t>
      </w:r>
      <w:r w:rsidRPr="00716072">
        <w:t xml:space="preserve">Int J </w:t>
      </w:r>
      <w:proofErr w:type="spellStart"/>
      <w:r w:rsidRPr="00716072">
        <w:t>Epidemol</w:t>
      </w:r>
      <w:proofErr w:type="spellEnd"/>
      <w:r w:rsidRPr="00716072">
        <w:t xml:space="preserve"> 33:1209–1216</w:t>
      </w:r>
      <w:r w:rsidR="00716072" w:rsidRPr="00716072">
        <w:t xml:space="preserve">. </w:t>
      </w:r>
      <w:hyperlink r:id="rId50" w:history="1">
        <w:r w:rsidR="00BF433B" w:rsidRPr="00355513">
          <w:rPr>
            <w:rStyle w:val="Hyperlink"/>
          </w:rPr>
          <w:t>https://doi.org/10.1093/ije/dyh215</w:t>
        </w:r>
      </w:hyperlink>
      <w:r w:rsidR="00FE0194" w:rsidRPr="00716072">
        <w:t>.</w:t>
      </w:r>
    </w:p>
    <w:p w14:paraId="23EC0C2D" w14:textId="73A3A087" w:rsidR="00BF433B" w:rsidRPr="00716072" w:rsidRDefault="00BF433B" w:rsidP="00BF433B">
      <w:pPr>
        <w:pStyle w:val="References"/>
      </w:pPr>
      <w:r w:rsidRPr="00BF433B">
        <w:t xml:space="preserve">National Toxicology Program. </w:t>
      </w:r>
      <w:r>
        <w:t xml:space="preserve">2011. </w:t>
      </w:r>
      <w:r w:rsidRPr="00BF433B">
        <w:t>Report on Carcinogens, Twelfth. Research Triangle Park, NC: U.S. Department of Health and Human Services, Public Health Service</w:t>
      </w:r>
      <w:r>
        <w:t>.</w:t>
      </w:r>
    </w:p>
    <w:p w14:paraId="7CECB4AE" w14:textId="77777777" w:rsidR="001102A6" w:rsidRPr="00716072" w:rsidRDefault="001102A6" w:rsidP="00113E51">
      <w:pPr>
        <w:pStyle w:val="References"/>
      </w:pPr>
      <w:proofErr w:type="spellStart"/>
      <w:r w:rsidRPr="00716072">
        <w:t>Naumburg</w:t>
      </w:r>
      <w:proofErr w:type="spellEnd"/>
      <w:r w:rsidRPr="00716072">
        <w:t xml:space="preserve"> E, </w:t>
      </w:r>
      <w:proofErr w:type="spellStart"/>
      <w:r w:rsidRPr="00716072">
        <w:t>Bellocco</w:t>
      </w:r>
      <w:proofErr w:type="spellEnd"/>
      <w:r w:rsidRPr="00716072">
        <w:t xml:space="preserve"> R, </w:t>
      </w:r>
      <w:proofErr w:type="spellStart"/>
      <w:r w:rsidRPr="00716072">
        <w:t>Cnattingius</w:t>
      </w:r>
      <w:proofErr w:type="spellEnd"/>
      <w:r w:rsidRPr="00716072">
        <w:t xml:space="preserve"> S, </w:t>
      </w:r>
      <w:proofErr w:type="spellStart"/>
      <w:r w:rsidRPr="00716072">
        <w:t>Jonzon</w:t>
      </w:r>
      <w:proofErr w:type="spellEnd"/>
      <w:r w:rsidRPr="00716072">
        <w:t xml:space="preserve"> A, Ekbom A</w:t>
      </w:r>
      <w:r w:rsidR="00716072" w:rsidRPr="00716072">
        <w:t xml:space="preserve">. </w:t>
      </w:r>
      <w:r w:rsidRPr="00716072">
        <w:t>2002</w:t>
      </w:r>
      <w:r w:rsidR="00716072" w:rsidRPr="00716072">
        <w:t xml:space="preserve">. </w:t>
      </w:r>
      <w:r w:rsidRPr="00716072">
        <w:t xml:space="preserve">Supplementary oxygen and risk of childhood lymphatic </w:t>
      </w:r>
      <w:proofErr w:type="spellStart"/>
      <w:r w:rsidRPr="00716072">
        <w:t>leukaemia</w:t>
      </w:r>
      <w:proofErr w:type="spellEnd"/>
      <w:r w:rsidR="00716072" w:rsidRPr="00716072">
        <w:t xml:space="preserve">. </w:t>
      </w:r>
      <w:r w:rsidRPr="00716072">
        <w:t xml:space="preserve">Acta </w:t>
      </w:r>
      <w:proofErr w:type="spellStart"/>
      <w:r w:rsidRPr="00716072">
        <w:t>Paediatr</w:t>
      </w:r>
      <w:proofErr w:type="spellEnd"/>
      <w:r w:rsidRPr="00716072">
        <w:t xml:space="preserve"> 91</w:t>
      </w:r>
      <w:r w:rsidR="00FE0194" w:rsidRPr="00716072">
        <w:t>:</w:t>
      </w:r>
      <w:r w:rsidRPr="00716072">
        <w:t>1328–1333</w:t>
      </w:r>
      <w:r w:rsidR="00716072" w:rsidRPr="00716072">
        <w:t xml:space="preserve">. </w:t>
      </w:r>
      <w:r w:rsidR="00FE0194" w:rsidRPr="00716072">
        <w:t>https://doi.org/10.1080/08035250216105.</w:t>
      </w:r>
    </w:p>
    <w:p w14:paraId="1FDC60CA" w14:textId="7EB40520" w:rsidR="001102A6" w:rsidRPr="00716072" w:rsidRDefault="001102A6" w:rsidP="00113E51">
      <w:pPr>
        <w:pStyle w:val="References"/>
      </w:pPr>
      <w:r w:rsidRPr="00716072">
        <w:t>NCI</w:t>
      </w:r>
      <w:r w:rsidR="00716072" w:rsidRPr="00716072">
        <w:t xml:space="preserve">. </w:t>
      </w:r>
      <w:r w:rsidRPr="00716072">
        <w:t>2019</w:t>
      </w:r>
      <w:r w:rsidR="00716072" w:rsidRPr="00716072">
        <w:t xml:space="preserve">. </w:t>
      </w:r>
      <w:r w:rsidRPr="00716072">
        <w:t>Childhood Cancers Home Page</w:t>
      </w:r>
      <w:r w:rsidR="00716072" w:rsidRPr="00716072">
        <w:t xml:space="preserve">. </w:t>
      </w:r>
      <w:r w:rsidRPr="00716072">
        <w:t>National Cancer Institute</w:t>
      </w:r>
      <w:r w:rsidR="00716072" w:rsidRPr="00716072">
        <w:t xml:space="preserve">. </w:t>
      </w:r>
      <w:r w:rsidRPr="00716072">
        <w:t xml:space="preserve">Available: </w:t>
      </w:r>
      <w:r w:rsidRPr="00F536C5">
        <w:t>https://www.cancer.gov/types/childhood-cancers</w:t>
      </w:r>
      <w:r w:rsidR="00716072" w:rsidRPr="00716072">
        <w:t xml:space="preserve">. </w:t>
      </w:r>
      <w:r w:rsidRPr="00716072">
        <w:t>[accessed 2019].</w:t>
      </w:r>
    </w:p>
    <w:p w14:paraId="6479D64F" w14:textId="77777777" w:rsidR="001102A6" w:rsidRPr="00716072" w:rsidRDefault="001102A6" w:rsidP="00113E51">
      <w:pPr>
        <w:pStyle w:val="References"/>
      </w:pPr>
      <w:proofErr w:type="spellStart"/>
      <w:r w:rsidRPr="00716072">
        <w:t>Neglia</w:t>
      </w:r>
      <w:proofErr w:type="spellEnd"/>
      <w:r w:rsidRPr="00716072">
        <w:t xml:space="preserve"> JP, Meadows AT, Robinson LL, Kim TH, Newton WA, </w:t>
      </w:r>
      <w:proofErr w:type="spellStart"/>
      <w:r w:rsidRPr="00716072">
        <w:t>Ruymann</w:t>
      </w:r>
      <w:proofErr w:type="spellEnd"/>
      <w:r w:rsidRPr="00716072">
        <w:t xml:space="preserve"> FB, </w:t>
      </w:r>
      <w:r w:rsidR="005B4EEC" w:rsidRPr="00716072">
        <w:t>et al</w:t>
      </w:r>
      <w:r w:rsidR="00716072" w:rsidRPr="00716072">
        <w:t xml:space="preserve">. </w:t>
      </w:r>
      <w:r w:rsidRPr="00716072">
        <w:t>1991 Second neoplasms after acute lymphoblastic leukemia in children</w:t>
      </w:r>
      <w:r w:rsidR="00716072" w:rsidRPr="00716072">
        <w:t xml:space="preserve">. </w:t>
      </w:r>
      <w:r w:rsidRPr="00716072">
        <w:t xml:space="preserve">New </w:t>
      </w:r>
      <w:proofErr w:type="spellStart"/>
      <w:r w:rsidRPr="00716072">
        <w:t>Engl</w:t>
      </w:r>
      <w:proofErr w:type="spellEnd"/>
      <w:r w:rsidRPr="00716072">
        <w:t xml:space="preserve"> J Med 325(19):1330-1336</w:t>
      </w:r>
      <w:r w:rsidR="00716072" w:rsidRPr="00716072">
        <w:t xml:space="preserve">. </w:t>
      </w:r>
      <w:r w:rsidR="005B4EEC" w:rsidRPr="00716072">
        <w:t>https://doi.org/10.1056/NEJM199111073251902.</w:t>
      </w:r>
    </w:p>
    <w:p w14:paraId="311F85FE" w14:textId="77777777" w:rsidR="005906B7" w:rsidRPr="00716072" w:rsidRDefault="005906B7" w:rsidP="00113E51">
      <w:pPr>
        <w:pStyle w:val="References"/>
      </w:pPr>
      <w:r w:rsidRPr="00716072">
        <w:t>NHMRC, NRMMC</w:t>
      </w:r>
      <w:r w:rsidR="00716072" w:rsidRPr="00716072">
        <w:t xml:space="preserve">. </w:t>
      </w:r>
      <w:r w:rsidRPr="00716072">
        <w:t>2018</w:t>
      </w:r>
      <w:r w:rsidR="00716072" w:rsidRPr="00716072">
        <w:t xml:space="preserve">. </w:t>
      </w:r>
      <w:r w:rsidRPr="00716072">
        <w:t>Australian Drinking Water Guidelines Paper 6</w:t>
      </w:r>
      <w:r w:rsidR="00716072" w:rsidRPr="00716072">
        <w:t xml:space="preserve">. </w:t>
      </w:r>
      <w:r w:rsidRPr="00716072">
        <w:t>National Water Quality Management Strategy</w:t>
      </w:r>
      <w:r w:rsidR="00716072" w:rsidRPr="00716072">
        <w:t xml:space="preserve">. </w:t>
      </w:r>
      <w:r w:rsidRPr="00716072">
        <w:t>National Health and Medical Research Council, National Resource Management Ministerial Council, Commonwealth of Australia, Canberra</w:t>
      </w:r>
      <w:r w:rsidR="00716072" w:rsidRPr="00716072">
        <w:t xml:space="preserve">. </w:t>
      </w:r>
      <w:r w:rsidRPr="00716072">
        <w:t>Version 3.5.</w:t>
      </w:r>
    </w:p>
    <w:p w14:paraId="21642D54" w14:textId="77777777" w:rsidR="001102A6" w:rsidRPr="00716072" w:rsidRDefault="001102A6" w:rsidP="00113E51">
      <w:pPr>
        <w:pStyle w:val="References"/>
      </w:pPr>
      <w:r w:rsidRPr="00716072">
        <w:t xml:space="preserve">Nielsen SS, Mueller BA, Preston-Martin S, </w:t>
      </w:r>
      <w:proofErr w:type="spellStart"/>
      <w:r w:rsidRPr="00716072">
        <w:t>Farin</w:t>
      </w:r>
      <w:proofErr w:type="spellEnd"/>
      <w:r w:rsidRPr="00716072">
        <w:t xml:space="preserve"> FM, Holly EA, McKean-</w:t>
      </w:r>
      <w:proofErr w:type="spellStart"/>
      <w:r w:rsidRPr="00716072">
        <w:t>Cowdin</w:t>
      </w:r>
      <w:proofErr w:type="spellEnd"/>
      <w:r w:rsidRPr="00716072">
        <w:t xml:space="preserve"> R</w:t>
      </w:r>
      <w:r w:rsidR="00716072" w:rsidRPr="00716072">
        <w:t xml:space="preserve">. </w:t>
      </w:r>
      <w:r w:rsidRPr="00716072">
        <w:t>2011</w:t>
      </w:r>
      <w:r w:rsidR="00716072" w:rsidRPr="00716072">
        <w:t xml:space="preserve">. </w:t>
      </w:r>
      <w:r w:rsidRPr="00716072">
        <w:t>Childhood brain tumors and maternal cured meat consumption in pregnancy: differential effects by glutathione S-transferases</w:t>
      </w:r>
      <w:r w:rsidR="00716072" w:rsidRPr="00716072">
        <w:t xml:space="preserve">. </w:t>
      </w:r>
      <w:r w:rsidRPr="00716072">
        <w:t xml:space="preserve">Cancer </w:t>
      </w:r>
      <w:proofErr w:type="spellStart"/>
      <w:r w:rsidRPr="00716072">
        <w:t>Epidem</w:t>
      </w:r>
      <w:proofErr w:type="spellEnd"/>
      <w:r w:rsidRPr="00716072">
        <w:t xml:space="preserve"> </w:t>
      </w:r>
      <w:proofErr w:type="spellStart"/>
      <w:r w:rsidRPr="00716072">
        <w:t>Biomar</w:t>
      </w:r>
      <w:proofErr w:type="spellEnd"/>
      <w:r w:rsidR="00716072" w:rsidRPr="00716072">
        <w:t xml:space="preserve">. </w:t>
      </w:r>
      <w:r w:rsidRPr="00716072">
        <w:t>20(11):2413-2419</w:t>
      </w:r>
      <w:r w:rsidR="00716072" w:rsidRPr="00716072">
        <w:t xml:space="preserve">. </w:t>
      </w:r>
      <w:r w:rsidR="005B4EEC" w:rsidRPr="00716072">
        <w:t>https://doi.org/10.1158/1055-9965.EPI-11-0196.</w:t>
      </w:r>
    </w:p>
    <w:p w14:paraId="1B2BB101" w14:textId="77777777" w:rsidR="00DA52EF" w:rsidRPr="00716072" w:rsidRDefault="00DA52EF" w:rsidP="00113E51">
      <w:pPr>
        <w:pStyle w:val="References"/>
      </w:pPr>
      <w:proofErr w:type="spellStart"/>
      <w:r w:rsidRPr="00716072">
        <w:t>Noone</w:t>
      </w:r>
      <w:proofErr w:type="spellEnd"/>
      <w:r w:rsidRPr="00716072">
        <w:t xml:space="preserve"> AM, </w:t>
      </w:r>
      <w:proofErr w:type="spellStart"/>
      <w:r w:rsidRPr="00716072">
        <w:t>Howlader</w:t>
      </w:r>
      <w:proofErr w:type="spellEnd"/>
      <w:r w:rsidRPr="00716072">
        <w:t xml:space="preserve"> N, </w:t>
      </w:r>
      <w:proofErr w:type="spellStart"/>
      <w:r w:rsidRPr="00716072">
        <w:t>Krapcho</w:t>
      </w:r>
      <w:proofErr w:type="spellEnd"/>
      <w:r w:rsidRPr="00716072">
        <w:t xml:space="preserve"> M, Miller D, Brest A, Yu M, et al</w:t>
      </w:r>
      <w:r w:rsidR="00716072" w:rsidRPr="00716072">
        <w:t xml:space="preserve">. </w:t>
      </w:r>
      <w:r w:rsidRPr="00716072">
        <w:t>eds</w:t>
      </w:r>
      <w:r w:rsidR="00716072" w:rsidRPr="00716072">
        <w:t xml:space="preserve">. </w:t>
      </w:r>
      <w:r w:rsidR="006E0AC0" w:rsidRPr="00716072">
        <w:t>2018</w:t>
      </w:r>
      <w:r w:rsidR="00716072" w:rsidRPr="00716072">
        <w:t xml:space="preserve">. </w:t>
      </w:r>
      <w:r w:rsidRPr="00716072">
        <w:t>SEER Cancer Statistics Review, 1975-2015, National Cancer Institute</w:t>
      </w:r>
      <w:r w:rsidR="00716072" w:rsidRPr="00716072">
        <w:t xml:space="preserve">. </w:t>
      </w:r>
      <w:r w:rsidRPr="00716072">
        <w:t>Bethesda, MD.</w:t>
      </w:r>
    </w:p>
    <w:p w14:paraId="763243C2" w14:textId="77777777" w:rsidR="001102A6" w:rsidRPr="00716072" w:rsidRDefault="001102A6" w:rsidP="00113E51">
      <w:pPr>
        <w:pStyle w:val="References"/>
      </w:pPr>
      <w:r w:rsidRPr="00716072">
        <w:lastRenderedPageBreak/>
        <w:t>OME</w:t>
      </w:r>
      <w:r w:rsidR="00716072" w:rsidRPr="00716072">
        <w:t xml:space="preserve">. </w:t>
      </w:r>
      <w:r w:rsidRPr="00716072">
        <w:t>1991</w:t>
      </w:r>
      <w:r w:rsidR="00716072" w:rsidRPr="00716072">
        <w:t xml:space="preserve">. </w:t>
      </w:r>
      <w:r w:rsidRPr="00716072">
        <w:t>N-</w:t>
      </w:r>
      <w:proofErr w:type="spellStart"/>
      <w:r w:rsidRPr="00716072">
        <w:t>Nitrosodimethylamine</w:t>
      </w:r>
      <w:proofErr w:type="spellEnd"/>
      <w:r w:rsidRPr="00716072">
        <w:t xml:space="preserve"> Scientific Criteria Document for Multimedia Standard Development No</w:t>
      </w:r>
      <w:r w:rsidR="00716072" w:rsidRPr="00716072">
        <w:t xml:space="preserve">. </w:t>
      </w:r>
      <w:r w:rsidRPr="00716072">
        <w:t>01-90</w:t>
      </w:r>
      <w:r w:rsidR="00716072" w:rsidRPr="00716072">
        <w:t xml:space="preserve">. </w:t>
      </w:r>
      <w:r w:rsidRPr="00716072">
        <w:t>Toronto, Ontario, Ontario Ministry of the Environment, Hazardous Contaminants Coordination Branch.</w:t>
      </w:r>
    </w:p>
    <w:p w14:paraId="015E65DD" w14:textId="77777777" w:rsidR="001102A6" w:rsidRPr="00716072" w:rsidRDefault="001102A6" w:rsidP="00113E51">
      <w:pPr>
        <w:pStyle w:val="References"/>
      </w:pPr>
      <w:r w:rsidRPr="00716072">
        <w:t>OME</w:t>
      </w:r>
      <w:r w:rsidR="00716072" w:rsidRPr="00716072">
        <w:t xml:space="preserve">. </w:t>
      </w:r>
      <w:r w:rsidRPr="00716072">
        <w:t>1994</w:t>
      </w:r>
      <w:r w:rsidR="00716072" w:rsidRPr="00716072">
        <w:t xml:space="preserve">. </w:t>
      </w:r>
      <w:r w:rsidRPr="00716072">
        <w:t>Removal of N-</w:t>
      </w:r>
      <w:proofErr w:type="spellStart"/>
      <w:r w:rsidRPr="00716072">
        <w:t>nitrosodimethylamine</w:t>
      </w:r>
      <w:proofErr w:type="spellEnd"/>
      <w:r w:rsidRPr="00716072">
        <w:t xml:space="preserve"> from the </w:t>
      </w:r>
      <w:proofErr w:type="spellStart"/>
      <w:r w:rsidRPr="00716072">
        <w:t>Ohsweken</w:t>
      </w:r>
      <w:proofErr w:type="spellEnd"/>
      <w:r w:rsidRPr="00716072">
        <w:t xml:space="preserve"> (Six Nations) water supply</w:t>
      </w:r>
      <w:r w:rsidR="00716072" w:rsidRPr="00716072">
        <w:t xml:space="preserve">. </w:t>
      </w:r>
      <w:r w:rsidRPr="00716072">
        <w:t>Final report</w:t>
      </w:r>
      <w:r w:rsidR="00716072" w:rsidRPr="00716072">
        <w:t xml:space="preserve">. </w:t>
      </w:r>
      <w:r w:rsidRPr="00716072">
        <w:t>Toronto, Ontario, Ontario Ministry of the Environment</w:t>
      </w:r>
      <w:r w:rsidR="00716072" w:rsidRPr="00716072">
        <w:t xml:space="preserve">. </w:t>
      </w:r>
      <w:r w:rsidRPr="00716072">
        <w:t>(ISBN 0-7778-3439-1).</w:t>
      </w:r>
    </w:p>
    <w:p w14:paraId="1D76707B" w14:textId="77777777" w:rsidR="001102A6" w:rsidRPr="00716072" w:rsidRDefault="001102A6" w:rsidP="00113E51">
      <w:pPr>
        <w:pStyle w:val="References"/>
      </w:pPr>
      <w:r w:rsidRPr="00716072">
        <w:t>OME</w:t>
      </w:r>
      <w:r w:rsidR="00716072" w:rsidRPr="00716072">
        <w:t xml:space="preserve">. </w:t>
      </w:r>
      <w:r w:rsidRPr="00716072">
        <w:t>1998</w:t>
      </w:r>
      <w:r w:rsidR="00716072" w:rsidRPr="00716072">
        <w:t xml:space="preserve">. </w:t>
      </w:r>
      <w:r w:rsidRPr="00716072">
        <w:t xml:space="preserve">Scientific criteria document for the development of an interim provincial water quality objective for </w:t>
      </w:r>
      <w:proofErr w:type="spellStart"/>
      <w:r w:rsidRPr="00716072">
        <w:t>Nnitrosodimethylamine</w:t>
      </w:r>
      <w:proofErr w:type="spellEnd"/>
      <w:r w:rsidRPr="00716072">
        <w:t xml:space="preserve"> (NDMA)</w:t>
      </w:r>
      <w:r w:rsidR="00716072" w:rsidRPr="00716072">
        <w:t xml:space="preserve">. </w:t>
      </w:r>
      <w:r w:rsidRPr="00716072">
        <w:t xml:space="preserve">Toronto, Ontario, Ontario Ministry of the Environment, Standards Development Branch </w:t>
      </w:r>
    </w:p>
    <w:p w14:paraId="63C5E411" w14:textId="77777777" w:rsidR="001102A6" w:rsidRPr="00716072" w:rsidRDefault="001102A6" w:rsidP="00113E51">
      <w:pPr>
        <w:pStyle w:val="References"/>
      </w:pPr>
      <w:r w:rsidRPr="00716072">
        <w:t>Pang D, McNally R, Birch JM</w:t>
      </w:r>
      <w:r w:rsidR="00716072" w:rsidRPr="00716072">
        <w:t xml:space="preserve">. </w:t>
      </w:r>
      <w:r w:rsidRPr="00716072">
        <w:t>2003</w:t>
      </w:r>
      <w:r w:rsidR="00716072" w:rsidRPr="00716072">
        <w:t xml:space="preserve">. </w:t>
      </w:r>
      <w:r w:rsidRPr="00716072">
        <w:t>Parental smoking and childhood cancer: results from the United Kingdom Childhood Cancer Study</w:t>
      </w:r>
      <w:r w:rsidR="00716072" w:rsidRPr="00716072">
        <w:t xml:space="preserve">. </w:t>
      </w:r>
      <w:r w:rsidRPr="00716072">
        <w:t>Br</w:t>
      </w:r>
      <w:r w:rsidR="00204911" w:rsidRPr="00716072">
        <w:t>it</w:t>
      </w:r>
      <w:r w:rsidRPr="00716072">
        <w:t xml:space="preserve"> J Cancer 88</w:t>
      </w:r>
      <w:r w:rsidR="00204911" w:rsidRPr="00716072">
        <w:t>:</w:t>
      </w:r>
      <w:r w:rsidRPr="00716072">
        <w:t>373–381</w:t>
      </w:r>
      <w:r w:rsidR="00716072" w:rsidRPr="00716072">
        <w:t xml:space="preserve">. </w:t>
      </w:r>
      <w:r w:rsidR="00204911" w:rsidRPr="00716072">
        <w:t>https://doi.org/10.1038/sj.bjc.6600774.</w:t>
      </w:r>
    </w:p>
    <w:p w14:paraId="39CB4D29" w14:textId="77777777" w:rsidR="00AD0C5B" w:rsidRPr="00716072" w:rsidRDefault="00AD0C5B" w:rsidP="00113E51">
      <w:pPr>
        <w:pStyle w:val="References"/>
      </w:pPr>
      <w:proofErr w:type="spellStart"/>
      <w:r w:rsidRPr="00716072">
        <w:t>Pobel</w:t>
      </w:r>
      <w:proofErr w:type="spellEnd"/>
      <w:r w:rsidRPr="00716072">
        <w:t xml:space="preserve"> D, </w:t>
      </w:r>
      <w:proofErr w:type="spellStart"/>
      <w:r w:rsidRPr="00716072">
        <w:t>Riboli</w:t>
      </w:r>
      <w:proofErr w:type="spellEnd"/>
      <w:r w:rsidRPr="00716072">
        <w:t xml:space="preserve"> E, </w:t>
      </w:r>
      <w:proofErr w:type="spellStart"/>
      <w:r w:rsidRPr="00716072">
        <w:t>Cornée</w:t>
      </w:r>
      <w:proofErr w:type="spellEnd"/>
      <w:r w:rsidRPr="00716072">
        <w:t xml:space="preserve"> J, </w:t>
      </w:r>
      <w:proofErr w:type="spellStart"/>
      <w:r w:rsidRPr="00716072">
        <w:t>Hémon</w:t>
      </w:r>
      <w:proofErr w:type="spellEnd"/>
      <w:r w:rsidRPr="00716072">
        <w:t xml:space="preserve"> B, </w:t>
      </w:r>
      <w:proofErr w:type="spellStart"/>
      <w:r w:rsidRPr="00716072">
        <w:t>Guyader</w:t>
      </w:r>
      <w:proofErr w:type="spellEnd"/>
      <w:r w:rsidRPr="00716072">
        <w:t xml:space="preserve"> M 1995</w:t>
      </w:r>
      <w:r w:rsidR="00716072" w:rsidRPr="00716072">
        <w:t xml:space="preserve">. </w:t>
      </w:r>
      <w:r w:rsidRPr="00716072">
        <w:t>Nitrosamine, nitrate and nitrite in relation to gastric cancer: A case–control study in Marseille, France</w:t>
      </w:r>
      <w:r w:rsidR="00716072" w:rsidRPr="00716072">
        <w:t xml:space="preserve">. </w:t>
      </w:r>
      <w:r w:rsidRPr="00716072">
        <w:t>Eur J Epidemiol 11:67–73</w:t>
      </w:r>
      <w:r w:rsidR="00716072" w:rsidRPr="00716072">
        <w:t xml:space="preserve">. </w:t>
      </w:r>
      <w:r w:rsidR="00054B3A" w:rsidRPr="00716072">
        <w:t>https://doi.org/10.1007/BF01719947.</w:t>
      </w:r>
    </w:p>
    <w:p w14:paraId="475BEC1F" w14:textId="77777777" w:rsidR="001102A6" w:rsidRPr="00716072" w:rsidRDefault="001102A6" w:rsidP="00113E51">
      <w:pPr>
        <w:pStyle w:val="References"/>
      </w:pPr>
      <w:proofErr w:type="spellStart"/>
      <w:r w:rsidRPr="00716072">
        <w:t>Pogoda</w:t>
      </w:r>
      <w:proofErr w:type="spellEnd"/>
      <w:r w:rsidRPr="00716072">
        <w:t xml:space="preserve"> JM, Preston-Martin S</w:t>
      </w:r>
      <w:r w:rsidR="00716072" w:rsidRPr="00716072">
        <w:t xml:space="preserve">. </w:t>
      </w:r>
      <w:r w:rsidRPr="00716072">
        <w:t>1997</w:t>
      </w:r>
      <w:r w:rsidR="00716072" w:rsidRPr="00716072">
        <w:t xml:space="preserve">. </w:t>
      </w:r>
      <w:r w:rsidRPr="00716072">
        <w:t>Household pesticides and risk of pediatric brain tumors</w:t>
      </w:r>
      <w:r w:rsidR="00716072" w:rsidRPr="00716072">
        <w:t xml:space="preserve">. </w:t>
      </w:r>
      <w:r w:rsidRPr="00716072">
        <w:t xml:space="preserve">Environ Health </w:t>
      </w:r>
      <w:proofErr w:type="spellStart"/>
      <w:r w:rsidRPr="00716072">
        <w:t>Persp</w:t>
      </w:r>
      <w:proofErr w:type="spellEnd"/>
      <w:r w:rsidRPr="00716072">
        <w:t xml:space="preserve"> 105</w:t>
      </w:r>
      <w:r w:rsidR="00054B3A" w:rsidRPr="00716072">
        <w:t>:</w:t>
      </w:r>
      <w:r w:rsidRPr="00716072">
        <w:t>1214–1220</w:t>
      </w:r>
      <w:r w:rsidR="00716072" w:rsidRPr="00716072">
        <w:t xml:space="preserve">. </w:t>
      </w:r>
      <w:r w:rsidR="00B446FB" w:rsidRPr="00716072">
        <w:t>https://doi.org/10.1289/ehp.971051214.</w:t>
      </w:r>
    </w:p>
    <w:p w14:paraId="2C7E2D04" w14:textId="77777777" w:rsidR="001102A6" w:rsidRPr="00716072" w:rsidRDefault="001102A6" w:rsidP="00113E51">
      <w:pPr>
        <w:pStyle w:val="References"/>
      </w:pPr>
      <w:proofErr w:type="spellStart"/>
      <w:r w:rsidRPr="00716072">
        <w:t>Pogoda</w:t>
      </w:r>
      <w:proofErr w:type="spellEnd"/>
      <w:r w:rsidRPr="00716072">
        <w:t xml:space="preserve"> JM, Preston-Martin S</w:t>
      </w:r>
      <w:r w:rsidR="00716072" w:rsidRPr="00716072">
        <w:t xml:space="preserve">. </w:t>
      </w:r>
      <w:r w:rsidRPr="00716072">
        <w:t>2001</w:t>
      </w:r>
      <w:r w:rsidR="00716072" w:rsidRPr="00716072">
        <w:t xml:space="preserve">. </w:t>
      </w:r>
      <w:r w:rsidRPr="00716072">
        <w:t xml:space="preserve">Maternal cured meat consumption during pregnancy and risk of </w:t>
      </w:r>
      <w:proofErr w:type="spellStart"/>
      <w:r w:rsidRPr="00716072">
        <w:t>paediatric</w:t>
      </w:r>
      <w:proofErr w:type="spellEnd"/>
      <w:r w:rsidRPr="00716072">
        <w:t xml:space="preserve"> brain </w:t>
      </w:r>
      <w:proofErr w:type="spellStart"/>
      <w:r w:rsidRPr="00716072">
        <w:t>tumour</w:t>
      </w:r>
      <w:proofErr w:type="spellEnd"/>
      <w:r w:rsidRPr="00716072">
        <w:t xml:space="preserve"> in offspring: potentially harmful levels of intake</w:t>
      </w:r>
      <w:r w:rsidR="00716072" w:rsidRPr="00716072">
        <w:t xml:space="preserve">. </w:t>
      </w:r>
      <w:r w:rsidRPr="00716072">
        <w:t xml:space="preserve">Public Health </w:t>
      </w:r>
      <w:proofErr w:type="spellStart"/>
      <w:r w:rsidRPr="00716072">
        <w:t>Nutr</w:t>
      </w:r>
      <w:proofErr w:type="spellEnd"/>
      <w:r w:rsidRPr="00716072">
        <w:t xml:space="preserve"> 4(2):183-189</w:t>
      </w:r>
      <w:r w:rsidR="00716072" w:rsidRPr="00716072">
        <w:t xml:space="preserve">. </w:t>
      </w:r>
      <w:r w:rsidR="00B446FB" w:rsidRPr="00716072">
        <w:t>https://doi.org/10.1079/PHN200060.</w:t>
      </w:r>
    </w:p>
    <w:p w14:paraId="7F91BE6D" w14:textId="77777777" w:rsidR="001102A6" w:rsidRPr="00716072" w:rsidRDefault="001102A6" w:rsidP="00113E51">
      <w:pPr>
        <w:pStyle w:val="References"/>
      </w:pPr>
      <w:proofErr w:type="spellStart"/>
      <w:r w:rsidRPr="00716072">
        <w:t>Pogoda</w:t>
      </w:r>
      <w:proofErr w:type="spellEnd"/>
      <w:r w:rsidRPr="00716072">
        <w:t xml:space="preserve"> JM, Preston-Martin S, Howe G, </w:t>
      </w:r>
      <w:proofErr w:type="spellStart"/>
      <w:r w:rsidRPr="00716072">
        <w:t>Lubin</w:t>
      </w:r>
      <w:proofErr w:type="spellEnd"/>
      <w:r w:rsidRPr="00716072">
        <w:t xml:space="preserve"> F, Mueller BA, Holly EA, et al</w:t>
      </w:r>
      <w:r w:rsidR="00716072" w:rsidRPr="00716072">
        <w:t xml:space="preserve">. </w:t>
      </w:r>
      <w:r w:rsidRPr="00716072">
        <w:t>2009</w:t>
      </w:r>
      <w:r w:rsidR="00716072" w:rsidRPr="00716072">
        <w:t xml:space="preserve">. </w:t>
      </w:r>
      <w:r w:rsidRPr="00716072">
        <w:t>An international case-control study of maternal diet during pregnancy and childhood brain tumor risk: a histology-specific analysis by food group</w:t>
      </w:r>
      <w:r w:rsidR="00716072" w:rsidRPr="00716072">
        <w:t xml:space="preserve">. </w:t>
      </w:r>
      <w:r w:rsidRPr="00716072">
        <w:t>Ann Epidemiol 19(3):148-160</w:t>
      </w:r>
      <w:r w:rsidR="00716072" w:rsidRPr="00716072">
        <w:t xml:space="preserve">. </w:t>
      </w:r>
      <w:r w:rsidR="00B446FB" w:rsidRPr="00716072">
        <w:t>https://doi.org/10.1016/j.annepidem.2008.12.011.</w:t>
      </w:r>
    </w:p>
    <w:p w14:paraId="154362D9" w14:textId="77777777" w:rsidR="001102A6" w:rsidRPr="00716072" w:rsidRDefault="001102A6" w:rsidP="00113E51">
      <w:pPr>
        <w:pStyle w:val="References"/>
      </w:pPr>
      <w:r w:rsidRPr="00716072">
        <w:t xml:space="preserve">Pollack IF, </w:t>
      </w:r>
      <w:proofErr w:type="spellStart"/>
      <w:r w:rsidRPr="00716072">
        <w:t>Jakacki</w:t>
      </w:r>
      <w:proofErr w:type="spellEnd"/>
      <w:r w:rsidRPr="00716072">
        <w:t xml:space="preserve"> RI</w:t>
      </w:r>
      <w:r w:rsidR="00716072" w:rsidRPr="00716072">
        <w:t xml:space="preserve">. </w:t>
      </w:r>
      <w:r w:rsidRPr="00716072">
        <w:t>2011</w:t>
      </w:r>
      <w:r w:rsidR="00716072" w:rsidRPr="00716072">
        <w:t xml:space="preserve">. </w:t>
      </w:r>
      <w:r w:rsidRPr="00716072">
        <w:t>Childhood brain tumors: epidemiology, current management and future directions</w:t>
      </w:r>
      <w:r w:rsidR="00716072" w:rsidRPr="00716072">
        <w:t xml:space="preserve">. </w:t>
      </w:r>
      <w:r w:rsidRPr="00716072">
        <w:t>Nat Rev Neurol 7:495-506</w:t>
      </w:r>
      <w:r w:rsidR="00716072" w:rsidRPr="00716072">
        <w:t xml:space="preserve">. </w:t>
      </w:r>
      <w:r w:rsidR="00F411BC" w:rsidRPr="00716072">
        <w:t>https://doi.org/10.1038/nrneurol.2011.110.</w:t>
      </w:r>
    </w:p>
    <w:p w14:paraId="5533CD10" w14:textId="77777777" w:rsidR="001102A6" w:rsidRPr="00716072" w:rsidRDefault="001102A6" w:rsidP="00113E51">
      <w:pPr>
        <w:pStyle w:val="References"/>
      </w:pPr>
      <w:r w:rsidRPr="00716072">
        <w:t xml:space="preserve">Preston-Martin S, </w:t>
      </w:r>
      <w:proofErr w:type="spellStart"/>
      <w:r w:rsidRPr="00716072">
        <w:t>Pogoda</w:t>
      </w:r>
      <w:proofErr w:type="spellEnd"/>
      <w:r w:rsidRPr="00716072">
        <w:t xml:space="preserve"> JM, Mueller BA, Holly EA, </w:t>
      </w:r>
      <w:proofErr w:type="spellStart"/>
      <w:r w:rsidRPr="00716072">
        <w:t>Lijinsky</w:t>
      </w:r>
      <w:proofErr w:type="spellEnd"/>
      <w:r w:rsidRPr="00716072">
        <w:t xml:space="preserve"> W, Davis RL</w:t>
      </w:r>
      <w:r w:rsidR="00716072" w:rsidRPr="00716072">
        <w:t xml:space="preserve">. </w:t>
      </w:r>
      <w:r w:rsidRPr="00716072">
        <w:t>1996</w:t>
      </w:r>
      <w:r w:rsidR="00716072" w:rsidRPr="00716072">
        <w:t xml:space="preserve">. </w:t>
      </w:r>
      <w:r w:rsidRPr="00716072">
        <w:t>Maternal consumption of cured meats and vitamins in relation to pediatric brain tumors</w:t>
      </w:r>
      <w:r w:rsidR="00716072" w:rsidRPr="00716072">
        <w:t xml:space="preserve">. </w:t>
      </w:r>
      <w:r w:rsidRPr="00716072">
        <w:t xml:space="preserve">Cancer </w:t>
      </w:r>
      <w:proofErr w:type="spellStart"/>
      <w:r w:rsidRPr="00716072">
        <w:t>Epidem</w:t>
      </w:r>
      <w:proofErr w:type="spellEnd"/>
      <w:r w:rsidRPr="00716072">
        <w:t xml:space="preserve"> </w:t>
      </w:r>
      <w:proofErr w:type="spellStart"/>
      <w:r w:rsidRPr="00716072">
        <w:t>Biomar</w:t>
      </w:r>
      <w:proofErr w:type="spellEnd"/>
      <w:r w:rsidRPr="00716072">
        <w:t xml:space="preserve"> 5:599-605.</w:t>
      </w:r>
    </w:p>
    <w:p w14:paraId="4A790B8E" w14:textId="77777777" w:rsidR="00C95577" w:rsidRPr="00716072" w:rsidRDefault="00C95577" w:rsidP="00C95577">
      <w:pPr>
        <w:pStyle w:val="References"/>
      </w:pPr>
      <w:r>
        <w:t xml:space="preserve">Reynolds P, </w:t>
      </w:r>
      <w:proofErr w:type="spellStart"/>
      <w:r>
        <w:t>Urayama</w:t>
      </w:r>
      <w:proofErr w:type="spellEnd"/>
      <w:r>
        <w:t xml:space="preserve"> K, Von </w:t>
      </w:r>
      <w:proofErr w:type="spellStart"/>
      <w:r>
        <w:t>Behren</w:t>
      </w:r>
      <w:proofErr w:type="spellEnd"/>
      <w:r>
        <w:t xml:space="preserve"> J. 2004. Birth Characteristics and Hepatoblastoma Risk in Young Children. Cancer 100(5):1070-1076. https://doi.org/</w:t>
      </w:r>
      <w:r w:rsidRPr="00C95577">
        <w:t xml:space="preserve"> DOI 10.1002/cncr.20061</w:t>
      </w:r>
      <w:r>
        <w:t>.</w:t>
      </w:r>
    </w:p>
    <w:p w14:paraId="20BD20F4" w14:textId="77777777" w:rsidR="001102A6" w:rsidRPr="00716072" w:rsidRDefault="001102A6" w:rsidP="00113E51">
      <w:pPr>
        <w:pStyle w:val="References"/>
      </w:pPr>
      <w:r w:rsidRPr="00716072">
        <w:t>Richardson SD</w:t>
      </w:r>
      <w:r w:rsidR="00716072" w:rsidRPr="00716072">
        <w:t xml:space="preserve">. </w:t>
      </w:r>
      <w:r w:rsidRPr="00716072">
        <w:t>2003</w:t>
      </w:r>
      <w:r w:rsidR="00716072" w:rsidRPr="00716072">
        <w:t xml:space="preserve">. </w:t>
      </w:r>
      <w:r w:rsidRPr="00716072">
        <w:t>Disinfection by-products and other emerging contaminants in drinking water</w:t>
      </w:r>
      <w:r w:rsidR="00716072" w:rsidRPr="00716072">
        <w:t xml:space="preserve">. </w:t>
      </w:r>
      <w:r w:rsidRPr="00716072">
        <w:t>Trend Anal Chem 22(10):666-684</w:t>
      </w:r>
      <w:r w:rsidR="00716072" w:rsidRPr="00716072">
        <w:t xml:space="preserve">. </w:t>
      </w:r>
      <w:r w:rsidR="00790241" w:rsidRPr="00716072">
        <w:lastRenderedPageBreak/>
        <w:t>https://doi.org/10.1016/S0165-9936(03)01003-3.</w:t>
      </w:r>
    </w:p>
    <w:p w14:paraId="12A5E65E" w14:textId="77777777" w:rsidR="00A509B6" w:rsidRPr="00716072" w:rsidRDefault="00A509B6" w:rsidP="00113E51">
      <w:pPr>
        <w:pStyle w:val="References"/>
      </w:pPr>
      <w:proofErr w:type="spellStart"/>
      <w:r w:rsidRPr="00716072">
        <w:t>Risch</w:t>
      </w:r>
      <w:proofErr w:type="spellEnd"/>
      <w:r w:rsidRPr="00716072">
        <w:t xml:space="preserve"> HA, Jain M, Choi NW, Fodor JG, Pfeiffer CJ, Howe GR, et al</w:t>
      </w:r>
      <w:r w:rsidR="00716072" w:rsidRPr="00716072">
        <w:t xml:space="preserve">. </w:t>
      </w:r>
      <w:r w:rsidRPr="00716072">
        <w:t>1985</w:t>
      </w:r>
      <w:r w:rsidR="00716072" w:rsidRPr="00716072">
        <w:t xml:space="preserve">. </w:t>
      </w:r>
      <w:r w:rsidRPr="00716072">
        <w:t>Dietary factors and the incidence of cancer of the stomach</w:t>
      </w:r>
      <w:r w:rsidR="00716072" w:rsidRPr="00716072">
        <w:t xml:space="preserve">. </w:t>
      </w:r>
      <w:r w:rsidR="00790241" w:rsidRPr="00716072">
        <w:t xml:space="preserve">Am J Epidemiol </w:t>
      </w:r>
      <w:r w:rsidRPr="00716072">
        <w:t>122:947–957</w:t>
      </w:r>
      <w:r w:rsidR="00716072" w:rsidRPr="00716072">
        <w:t xml:space="preserve">. </w:t>
      </w:r>
      <w:r w:rsidR="00790241" w:rsidRPr="00716072">
        <w:t>https://doi.org/10.1093/oxfordjournals.aje.a114199.</w:t>
      </w:r>
    </w:p>
    <w:p w14:paraId="018360B2" w14:textId="77777777" w:rsidR="001102A6" w:rsidRPr="00716072" w:rsidRDefault="001102A6" w:rsidP="00113E51">
      <w:pPr>
        <w:pStyle w:val="References"/>
      </w:pPr>
      <w:proofErr w:type="spellStart"/>
      <w:r w:rsidRPr="00716072">
        <w:t>Ries</w:t>
      </w:r>
      <w:proofErr w:type="spellEnd"/>
      <w:r w:rsidRPr="00716072">
        <w:t xml:space="preserve"> LAG, Smith MA, Gurney JG, </w:t>
      </w:r>
      <w:proofErr w:type="spellStart"/>
      <w:r w:rsidRPr="00716072">
        <w:t>Linet</w:t>
      </w:r>
      <w:proofErr w:type="spellEnd"/>
      <w:r w:rsidRPr="00716072">
        <w:t xml:space="preserve"> M, </w:t>
      </w:r>
      <w:proofErr w:type="spellStart"/>
      <w:r w:rsidRPr="00716072">
        <w:t>Tamra</w:t>
      </w:r>
      <w:proofErr w:type="spellEnd"/>
      <w:r w:rsidRPr="00716072">
        <w:t xml:space="preserve"> T, Young JL, </w:t>
      </w:r>
      <w:r w:rsidR="00790241" w:rsidRPr="00716072">
        <w:t>et al</w:t>
      </w:r>
      <w:r w:rsidR="00716072" w:rsidRPr="00716072">
        <w:t xml:space="preserve">. </w:t>
      </w:r>
      <w:r w:rsidRPr="00716072">
        <w:t>1999</w:t>
      </w:r>
      <w:r w:rsidR="00716072" w:rsidRPr="00716072">
        <w:t xml:space="preserve">. </w:t>
      </w:r>
      <w:r w:rsidRPr="00716072">
        <w:t>Cancer incidence and survival among children and adolescents: United States SEER Program 1975-1995</w:t>
      </w:r>
      <w:r w:rsidR="00716072" w:rsidRPr="00716072">
        <w:t xml:space="preserve">. </w:t>
      </w:r>
      <w:r w:rsidRPr="00716072">
        <w:t>NIH Pub</w:t>
      </w:r>
      <w:r w:rsidR="00716072" w:rsidRPr="00716072">
        <w:t xml:space="preserve">. </w:t>
      </w:r>
      <w:r w:rsidRPr="00716072">
        <w:t>No</w:t>
      </w:r>
      <w:r w:rsidR="00716072" w:rsidRPr="00716072">
        <w:t xml:space="preserve">. </w:t>
      </w:r>
      <w:r w:rsidRPr="00716072">
        <w:t>99-4649 179 pp.</w:t>
      </w:r>
    </w:p>
    <w:p w14:paraId="28213726" w14:textId="77777777" w:rsidR="002D0131" w:rsidRPr="00716072" w:rsidRDefault="002D0131" w:rsidP="00113E51">
      <w:pPr>
        <w:pStyle w:val="References"/>
      </w:pPr>
      <w:r w:rsidRPr="00716072">
        <w:t>Rogers MAM, Vaughan TL, Davis S, Thomas DB</w:t>
      </w:r>
      <w:r w:rsidR="00716072" w:rsidRPr="00716072">
        <w:t xml:space="preserve">. </w:t>
      </w:r>
      <w:r w:rsidRPr="00716072">
        <w:t>1995</w:t>
      </w:r>
      <w:r w:rsidR="00716072" w:rsidRPr="00716072">
        <w:t xml:space="preserve">. </w:t>
      </w:r>
      <w:r w:rsidRPr="00716072">
        <w:t xml:space="preserve">Consumption of nitrate, nitrite, and </w:t>
      </w:r>
      <w:proofErr w:type="spellStart"/>
      <w:r w:rsidRPr="00716072">
        <w:t>nitrosodimethylamine</w:t>
      </w:r>
      <w:proofErr w:type="spellEnd"/>
      <w:r w:rsidRPr="00716072">
        <w:t xml:space="preserve"> and the risk of upper aerodigestive tract cancer</w:t>
      </w:r>
      <w:r w:rsidR="00716072" w:rsidRPr="00716072">
        <w:t xml:space="preserve">. </w:t>
      </w:r>
      <w:r w:rsidRPr="00716072">
        <w:t xml:space="preserve">Cancer </w:t>
      </w:r>
      <w:proofErr w:type="spellStart"/>
      <w:r w:rsidRPr="00716072">
        <w:t>Epidem</w:t>
      </w:r>
      <w:proofErr w:type="spellEnd"/>
      <w:r w:rsidRPr="00716072">
        <w:t xml:space="preserve"> </w:t>
      </w:r>
      <w:proofErr w:type="spellStart"/>
      <w:r w:rsidRPr="00716072">
        <w:t>Biomar</w:t>
      </w:r>
      <w:proofErr w:type="spellEnd"/>
      <w:r w:rsidRPr="00716072">
        <w:t xml:space="preserve"> 4:29–36.</w:t>
      </w:r>
    </w:p>
    <w:p w14:paraId="1D4D8646" w14:textId="77777777" w:rsidR="001102A6" w:rsidRPr="00716072" w:rsidRDefault="001102A6" w:rsidP="00113E51">
      <w:pPr>
        <w:pStyle w:val="References"/>
      </w:pPr>
      <w:r w:rsidRPr="00716072">
        <w:t xml:space="preserve">Roman E, Lightfoot T, Smith AG, Forman MR, </w:t>
      </w:r>
      <w:proofErr w:type="spellStart"/>
      <w:r w:rsidRPr="00716072">
        <w:t>Linet</w:t>
      </w:r>
      <w:proofErr w:type="spellEnd"/>
      <w:r w:rsidRPr="00716072">
        <w:t xml:space="preserve"> MS, Robison L</w:t>
      </w:r>
      <w:r w:rsidR="00790241" w:rsidRPr="00716072">
        <w:t>, et al</w:t>
      </w:r>
      <w:r w:rsidR="00716072" w:rsidRPr="00716072">
        <w:t xml:space="preserve">. </w:t>
      </w:r>
      <w:r w:rsidRPr="00716072">
        <w:t>2013</w:t>
      </w:r>
      <w:r w:rsidR="00716072" w:rsidRPr="00716072">
        <w:t xml:space="preserve">. </w:t>
      </w:r>
      <w:r w:rsidRPr="00716072">
        <w:t xml:space="preserve">Childhood acute lymphoblastic </w:t>
      </w:r>
      <w:proofErr w:type="spellStart"/>
      <w:r w:rsidRPr="00716072">
        <w:t>leukaemia</w:t>
      </w:r>
      <w:proofErr w:type="spellEnd"/>
      <w:r w:rsidRPr="00716072">
        <w:t xml:space="preserve"> and birthweight: insights from a pooled analysis of case-control data from Germany, the United Kingdom and the United States</w:t>
      </w:r>
      <w:r w:rsidR="00716072" w:rsidRPr="00716072">
        <w:t xml:space="preserve">. </w:t>
      </w:r>
      <w:r w:rsidRPr="00716072">
        <w:t>Eur J Cancer 49</w:t>
      </w:r>
      <w:r w:rsidR="00790241" w:rsidRPr="00716072">
        <w:t>:</w:t>
      </w:r>
      <w:r w:rsidRPr="00716072">
        <w:t>1437–1447</w:t>
      </w:r>
      <w:r w:rsidR="00716072" w:rsidRPr="00716072">
        <w:t xml:space="preserve">. </w:t>
      </w:r>
      <w:r w:rsidR="00790241" w:rsidRPr="00716072">
        <w:t>https://doi.org/10.1016/j.ejca.2012.11.017.</w:t>
      </w:r>
    </w:p>
    <w:p w14:paraId="4224E5C3" w14:textId="77777777" w:rsidR="001102A6" w:rsidRPr="00716072" w:rsidRDefault="001102A6" w:rsidP="00113E51">
      <w:pPr>
        <w:pStyle w:val="References"/>
      </w:pPr>
      <w:r w:rsidRPr="00716072">
        <w:t xml:space="preserve">Roman E, Lightfoot T, </w:t>
      </w:r>
      <w:proofErr w:type="spellStart"/>
      <w:r w:rsidRPr="00716072">
        <w:t>Picton</w:t>
      </w:r>
      <w:proofErr w:type="spellEnd"/>
      <w:r w:rsidRPr="00716072">
        <w:t xml:space="preserve"> S, Kinsey S, 2018</w:t>
      </w:r>
      <w:r w:rsidR="00716072" w:rsidRPr="00716072">
        <w:t xml:space="preserve">. </w:t>
      </w:r>
      <w:r w:rsidRPr="00716072">
        <w:t>Childhood Cancers</w:t>
      </w:r>
      <w:r w:rsidR="00716072" w:rsidRPr="00716072">
        <w:t xml:space="preserve">. </w:t>
      </w:r>
      <w:r w:rsidRPr="00716072">
        <w:t xml:space="preserve">In: </w:t>
      </w:r>
      <w:proofErr w:type="spellStart"/>
      <w:r w:rsidRPr="00716072">
        <w:t>Schottenfeld</w:t>
      </w:r>
      <w:proofErr w:type="spellEnd"/>
      <w:r w:rsidRPr="00716072">
        <w:t xml:space="preserve"> and Fraumeni Cancer Epidemiology and Prevention, Fourth Ed</w:t>
      </w:r>
      <w:r w:rsidR="00716072" w:rsidRPr="00716072">
        <w:t xml:space="preserve">. </w:t>
      </w:r>
      <w:r w:rsidRPr="00716072">
        <w:t xml:space="preserve">(Thun MJ, </w:t>
      </w:r>
      <w:proofErr w:type="spellStart"/>
      <w:r w:rsidRPr="00716072">
        <w:t>Linet</w:t>
      </w:r>
      <w:proofErr w:type="spellEnd"/>
      <w:r w:rsidRPr="00716072">
        <w:t xml:space="preserve"> MS, </w:t>
      </w:r>
      <w:proofErr w:type="spellStart"/>
      <w:r w:rsidRPr="00716072">
        <w:t>Cerhan</w:t>
      </w:r>
      <w:proofErr w:type="spellEnd"/>
      <w:r w:rsidRPr="00716072">
        <w:t xml:space="preserve">, JR </w:t>
      </w:r>
      <w:proofErr w:type="spellStart"/>
      <w:r w:rsidRPr="00716072">
        <w:t>Haiman</w:t>
      </w:r>
      <w:proofErr w:type="spellEnd"/>
      <w:r w:rsidRPr="00716072">
        <w:t xml:space="preserve"> CA, </w:t>
      </w:r>
      <w:proofErr w:type="spellStart"/>
      <w:r w:rsidRPr="00716072">
        <w:t>Schottenfeld</w:t>
      </w:r>
      <w:proofErr w:type="spellEnd"/>
      <w:r w:rsidRPr="00716072">
        <w:t xml:space="preserve"> D eds)</w:t>
      </w:r>
      <w:r w:rsidR="00716072" w:rsidRPr="00716072">
        <w:t xml:space="preserve">. </w:t>
      </w:r>
      <w:r w:rsidRPr="00716072">
        <w:t>New York: Oxford University Press, 1119-1153</w:t>
      </w:r>
      <w:r w:rsidR="00716072" w:rsidRPr="00716072">
        <w:t xml:space="preserve">. </w:t>
      </w:r>
    </w:p>
    <w:p w14:paraId="1C8F401F" w14:textId="77777777" w:rsidR="001102A6" w:rsidRPr="00716072" w:rsidRDefault="001102A6" w:rsidP="00113E51">
      <w:pPr>
        <w:pStyle w:val="References"/>
      </w:pPr>
      <w:r w:rsidRPr="00716072">
        <w:t xml:space="preserve">Ron E, </w:t>
      </w:r>
      <w:proofErr w:type="spellStart"/>
      <w:r w:rsidRPr="00716072">
        <w:t>Modan</w:t>
      </w:r>
      <w:proofErr w:type="spellEnd"/>
      <w:r w:rsidRPr="00716072">
        <w:t xml:space="preserve"> B, </w:t>
      </w:r>
      <w:proofErr w:type="spellStart"/>
      <w:r w:rsidRPr="00716072">
        <w:t>Boice</w:t>
      </w:r>
      <w:proofErr w:type="spellEnd"/>
      <w:r w:rsidRPr="00716072">
        <w:t xml:space="preserve"> J, </w:t>
      </w:r>
      <w:proofErr w:type="spellStart"/>
      <w:r w:rsidRPr="00716072">
        <w:t>Alfandary</w:t>
      </w:r>
      <w:proofErr w:type="spellEnd"/>
      <w:r w:rsidRPr="00716072">
        <w:t xml:space="preserve"> E, Stovall M, Chetrit A, et al</w:t>
      </w:r>
      <w:r w:rsidR="00716072" w:rsidRPr="00716072">
        <w:t xml:space="preserve">. </w:t>
      </w:r>
      <w:r w:rsidRPr="00716072">
        <w:t>1988</w:t>
      </w:r>
      <w:r w:rsidR="00716072" w:rsidRPr="00716072">
        <w:t xml:space="preserve">. </w:t>
      </w:r>
      <w:r w:rsidRPr="00716072">
        <w:t>Tumors of the Brain and Nervous System after Radiotherapy in childhood</w:t>
      </w:r>
      <w:r w:rsidR="00716072" w:rsidRPr="00716072">
        <w:t xml:space="preserve">. </w:t>
      </w:r>
      <w:r w:rsidRPr="00716072">
        <w:t xml:space="preserve">New </w:t>
      </w:r>
      <w:proofErr w:type="spellStart"/>
      <w:r w:rsidRPr="00716072">
        <w:t>Engl</w:t>
      </w:r>
      <w:proofErr w:type="spellEnd"/>
      <w:r w:rsidRPr="00716072">
        <w:t xml:space="preserve"> J Med 319(16):1033-1039</w:t>
      </w:r>
      <w:r w:rsidR="00716072" w:rsidRPr="00716072">
        <w:t xml:space="preserve">. </w:t>
      </w:r>
      <w:r w:rsidR="00F53506" w:rsidRPr="00716072">
        <w:t>https://doi.org/10.1056/NEJM198810203191601.</w:t>
      </w:r>
    </w:p>
    <w:p w14:paraId="3E9BB1FD" w14:textId="77777777" w:rsidR="001102A6" w:rsidRPr="00716072" w:rsidRDefault="001102A6" w:rsidP="00113E51">
      <w:pPr>
        <w:pStyle w:val="References"/>
      </w:pPr>
      <w:r w:rsidRPr="00716072">
        <w:t>Ross JA, Spector LG</w:t>
      </w:r>
      <w:r w:rsidR="00716072" w:rsidRPr="00716072">
        <w:t xml:space="preserve">. </w:t>
      </w:r>
      <w:r w:rsidRPr="00716072">
        <w:t>2006</w:t>
      </w:r>
      <w:r w:rsidR="00716072" w:rsidRPr="00716072">
        <w:t xml:space="preserve">. </w:t>
      </w:r>
      <w:r w:rsidRPr="00716072">
        <w:t>Cancers in Children</w:t>
      </w:r>
      <w:r w:rsidR="00716072" w:rsidRPr="00716072">
        <w:t xml:space="preserve">. </w:t>
      </w:r>
      <w:r w:rsidRPr="00716072">
        <w:t>In: Cancer Epidemiology and Prevention</w:t>
      </w:r>
      <w:r w:rsidR="00716072" w:rsidRPr="00716072">
        <w:t xml:space="preserve">. </w:t>
      </w:r>
      <w:r w:rsidRPr="00716072">
        <w:t>(</w:t>
      </w:r>
      <w:proofErr w:type="spellStart"/>
      <w:r w:rsidRPr="00716072">
        <w:t>Schottenfeld</w:t>
      </w:r>
      <w:proofErr w:type="spellEnd"/>
      <w:r w:rsidRPr="00716072">
        <w:t xml:space="preserve"> D and Fraumeni JF Jr, eds)</w:t>
      </w:r>
      <w:r w:rsidR="00716072" w:rsidRPr="00716072">
        <w:t xml:space="preserve">. </w:t>
      </w:r>
      <w:r w:rsidRPr="00716072">
        <w:t>New York: Oxford University Press, 1251-1268</w:t>
      </w:r>
      <w:r w:rsidR="00716072" w:rsidRPr="00716072">
        <w:t xml:space="preserve">. </w:t>
      </w:r>
      <w:r w:rsidR="00F53506" w:rsidRPr="00716072">
        <w:t>https://doi.org/10.1093/acprof:oso/9780195149616.003.0065.</w:t>
      </w:r>
    </w:p>
    <w:p w14:paraId="760810BF" w14:textId="77777777" w:rsidR="001102A6" w:rsidRPr="00716072" w:rsidRDefault="001102A6" w:rsidP="00113E51">
      <w:pPr>
        <w:pStyle w:val="References"/>
      </w:pPr>
      <w:r w:rsidRPr="00716072">
        <w:t>Ross JA</w:t>
      </w:r>
      <w:r w:rsidR="00716072" w:rsidRPr="00716072">
        <w:t xml:space="preserve">. </w:t>
      </w:r>
      <w:r w:rsidRPr="00716072">
        <w:t>2006</w:t>
      </w:r>
      <w:r w:rsidR="00716072" w:rsidRPr="00716072">
        <w:t xml:space="preserve">. </w:t>
      </w:r>
      <w:r w:rsidRPr="00716072">
        <w:t>High birthweight and cancer: evidence and implications</w:t>
      </w:r>
      <w:r w:rsidR="00716072" w:rsidRPr="00716072">
        <w:t xml:space="preserve">. </w:t>
      </w:r>
      <w:r w:rsidRPr="00716072">
        <w:t xml:space="preserve">Cancer </w:t>
      </w:r>
      <w:proofErr w:type="spellStart"/>
      <w:r w:rsidRPr="00716072">
        <w:t>Epidem</w:t>
      </w:r>
      <w:proofErr w:type="spellEnd"/>
      <w:r w:rsidRPr="00716072">
        <w:t xml:space="preserve"> </w:t>
      </w:r>
      <w:proofErr w:type="spellStart"/>
      <w:r w:rsidRPr="00716072">
        <w:t>Biomar</w:t>
      </w:r>
      <w:proofErr w:type="spellEnd"/>
      <w:r w:rsidRPr="00716072">
        <w:t xml:space="preserve"> 15, 1–2</w:t>
      </w:r>
      <w:r w:rsidR="00716072" w:rsidRPr="00716072">
        <w:t xml:space="preserve">. </w:t>
      </w:r>
      <w:r w:rsidR="00F53506" w:rsidRPr="00716072">
        <w:t>https://doi.org/10.1158/1055-9965.EPI-05-0923.</w:t>
      </w:r>
    </w:p>
    <w:p w14:paraId="2E77676C" w14:textId="77777777" w:rsidR="001102A6" w:rsidRPr="00716072" w:rsidRDefault="001102A6" w:rsidP="00113E51">
      <w:pPr>
        <w:pStyle w:val="References"/>
      </w:pPr>
      <w:proofErr w:type="spellStart"/>
      <w:r w:rsidRPr="00716072">
        <w:t>Ruckart</w:t>
      </w:r>
      <w:proofErr w:type="spellEnd"/>
      <w:r w:rsidRPr="00716072">
        <w:t xml:space="preserve"> PZ, Bove FJ, </w:t>
      </w:r>
      <w:proofErr w:type="spellStart"/>
      <w:r w:rsidRPr="00716072">
        <w:t>Maslia</w:t>
      </w:r>
      <w:proofErr w:type="spellEnd"/>
      <w:r w:rsidRPr="00716072">
        <w:t xml:space="preserve"> M</w:t>
      </w:r>
      <w:r w:rsidR="00716072" w:rsidRPr="00716072">
        <w:t xml:space="preserve">. </w:t>
      </w:r>
      <w:r w:rsidRPr="00716072">
        <w:t>2013</w:t>
      </w:r>
      <w:r w:rsidR="00716072" w:rsidRPr="00716072">
        <w:t xml:space="preserve">. </w:t>
      </w:r>
      <w:r w:rsidRPr="00716072">
        <w:t>Evaluation of exposure to contaminated drinking water and specific birth defects and childhood cancers at Marine Corps Base Camp Lejeune, North Carolina: a case-control study</w:t>
      </w:r>
      <w:r w:rsidR="00716072" w:rsidRPr="00716072">
        <w:t xml:space="preserve">. </w:t>
      </w:r>
      <w:r w:rsidRPr="00716072">
        <w:t>Environ Health 12, 104</w:t>
      </w:r>
      <w:r w:rsidR="00716072" w:rsidRPr="00716072">
        <w:t xml:space="preserve">. </w:t>
      </w:r>
      <w:r w:rsidR="00F53506" w:rsidRPr="00716072">
        <w:t>https://doi.org/10.1186/1476-069X-12-104.</w:t>
      </w:r>
    </w:p>
    <w:p w14:paraId="35C773C6" w14:textId="77777777" w:rsidR="001102A6" w:rsidRPr="00716072" w:rsidRDefault="001102A6" w:rsidP="00113E51">
      <w:pPr>
        <w:pStyle w:val="References"/>
      </w:pPr>
      <w:r w:rsidRPr="00716072">
        <w:t>Russ A</w:t>
      </w:r>
      <w:r w:rsidR="00716072" w:rsidRPr="00716072">
        <w:t xml:space="preserve">. </w:t>
      </w:r>
      <w:r w:rsidRPr="00716072">
        <w:t>2007</w:t>
      </w:r>
      <w:r w:rsidR="00716072" w:rsidRPr="00716072">
        <w:t xml:space="preserve">. </w:t>
      </w:r>
      <w:r w:rsidRPr="00716072">
        <w:t>Ionizing radiation and childhood leukemia</w:t>
      </w:r>
      <w:r w:rsidR="00716072" w:rsidRPr="00716072">
        <w:t xml:space="preserve">. </w:t>
      </w:r>
      <w:r w:rsidRPr="00716072">
        <w:t xml:space="preserve">Environ Health </w:t>
      </w:r>
      <w:proofErr w:type="spellStart"/>
      <w:r w:rsidRPr="00716072">
        <w:t>Perspect</w:t>
      </w:r>
      <w:proofErr w:type="spellEnd"/>
      <w:r w:rsidRPr="00716072">
        <w:t xml:space="preserve"> 115</w:t>
      </w:r>
      <w:r w:rsidR="00F53506" w:rsidRPr="00716072">
        <w:t>:</w:t>
      </w:r>
      <w:r w:rsidRPr="00716072">
        <w:t>A395–A396</w:t>
      </w:r>
      <w:r w:rsidR="00716072" w:rsidRPr="00716072">
        <w:t xml:space="preserve">. </w:t>
      </w:r>
      <w:r w:rsidR="00F53506" w:rsidRPr="00716072">
        <w:t>https://doi.org/10.1289/ehp.10080.</w:t>
      </w:r>
    </w:p>
    <w:p w14:paraId="3FB14F18" w14:textId="6629478D" w:rsidR="0009424E" w:rsidRPr="00716072" w:rsidRDefault="0009424E" w:rsidP="00113E51">
      <w:pPr>
        <w:pStyle w:val="References"/>
      </w:pPr>
      <w:r w:rsidRPr="00716072">
        <w:t>SAS</w:t>
      </w:r>
      <w:r w:rsidR="00716072" w:rsidRPr="00716072">
        <w:t xml:space="preserve">. </w:t>
      </w:r>
      <w:r w:rsidRPr="00716072">
        <w:t>Copyright © 20</w:t>
      </w:r>
      <w:r w:rsidR="000E1157">
        <w:t>10</w:t>
      </w:r>
      <w:r w:rsidR="00716072" w:rsidRPr="00716072">
        <w:t xml:space="preserve">. </w:t>
      </w:r>
      <w:r w:rsidR="00F536C5">
        <w:t>Version 9.</w:t>
      </w:r>
      <w:r w:rsidR="000E1157">
        <w:t>3</w:t>
      </w:r>
      <w:r w:rsidR="00716072" w:rsidRPr="00716072">
        <w:t xml:space="preserve">. </w:t>
      </w:r>
      <w:r w:rsidRPr="00716072">
        <w:t>SAS Institute Inc</w:t>
      </w:r>
      <w:r w:rsidR="00716072" w:rsidRPr="00716072">
        <w:t xml:space="preserve">. </w:t>
      </w:r>
      <w:r w:rsidRPr="00716072">
        <w:t>Cary, NC, USA.</w:t>
      </w:r>
    </w:p>
    <w:p w14:paraId="10340F3B" w14:textId="77777777" w:rsidR="001102A6" w:rsidRPr="00716072" w:rsidRDefault="001102A6" w:rsidP="00113E51">
      <w:pPr>
        <w:pStyle w:val="References"/>
      </w:pPr>
      <w:r w:rsidRPr="00716072">
        <w:t>Sax NI, Lewis RJ</w:t>
      </w:r>
      <w:r w:rsidR="00716072" w:rsidRPr="00716072">
        <w:t xml:space="preserve">. </w:t>
      </w:r>
      <w:r w:rsidRPr="00716072">
        <w:t>1987</w:t>
      </w:r>
      <w:r w:rsidR="00716072" w:rsidRPr="00716072">
        <w:t xml:space="preserve">. </w:t>
      </w:r>
      <w:r w:rsidRPr="00716072">
        <w:t>Hazardous Chemicals Desk Reference</w:t>
      </w:r>
      <w:r w:rsidR="00716072" w:rsidRPr="00716072">
        <w:t xml:space="preserve">. </w:t>
      </w:r>
      <w:r w:rsidRPr="00716072">
        <w:t xml:space="preserve">New York, NY: Van </w:t>
      </w:r>
      <w:r w:rsidRPr="00716072">
        <w:lastRenderedPageBreak/>
        <w:t>Nostrand Reinhold.</w:t>
      </w:r>
    </w:p>
    <w:p w14:paraId="38391729" w14:textId="77777777" w:rsidR="005B56D6" w:rsidRPr="00716072" w:rsidRDefault="005B56D6" w:rsidP="00113E51">
      <w:pPr>
        <w:pStyle w:val="References"/>
      </w:pPr>
      <w:proofErr w:type="spellStart"/>
      <w:r w:rsidRPr="00716072">
        <w:t>Schlesselman</w:t>
      </w:r>
      <w:proofErr w:type="spellEnd"/>
      <w:r w:rsidRPr="00716072">
        <w:t xml:space="preserve"> JJ</w:t>
      </w:r>
      <w:r w:rsidR="00716072" w:rsidRPr="00716072">
        <w:t xml:space="preserve">. </w:t>
      </w:r>
      <w:r w:rsidRPr="00716072">
        <w:t>1982</w:t>
      </w:r>
      <w:r w:rsidR="00716072" w:rsidRPr="00716072">
        <w:t xml:space="preserve">. </w:t>
      </w:r>
      <w:r w:rsidRPr="00716072">
        <w:t>Case-Control Studies</w:t>
      </w:r>
      <w:r w:rsidR="00716072" w:rsidRPr="00716072">
        <w:t xml:space="preserve">. </w:t>
      </w:r>
      <w:r w:rsidRPr="00716072">
        <w:t>Oxford University Press, New York.</w:t>
      </w:r>
    </w:p>
    <w:p w14:paraId="0028CD7D" w14:textId="77777777" w:rsidR="001102A6" w:rsidRPr="00716072" w:rsidRDefault="001102A6" w:rsidP="00113E51">
      <w:pPr>
        <w:pStyle w:val="References"/>
      </w:pPr>
      <w:proofErr w:type="spellStart"/>
      <w:r w:rsidRPr="00716072">
        <w:t>Schüz</w:t>
      </w:r>
      <w:proofErr w:type="spellEnd"/>
      <w:r w:rsidRPr="00716072">
        <w:t xml:space="preserve"> J, </w:t>
      </w:r>
      <w:proofErr w:type="spellStart"/>
      <w:r w:rsidRPr="00716072">
        <w:t>Kaatsch</w:t>
      </w:r>
      <w:proofErr w:type="spellEnd"/>
      <w:r w:rsidRPr="00716072">
        <w:t xml:space="preserve"> P, </w:t>
      </w:r>
      <w:proofErr w:type="spellStart"/>
      <w:r w:rsidRPr="00716072">
        <w:t>Kaletsch</w:t>
      </w:r>
      <w:proofErr w:type="spellEnd"/>
      <w:r w:rsidRPr="00716072">
        <w:t xml:space="preserve"> U, </w:t>
      </w:r>
      <w:proofErr w:type="spellStart"/>
      <w:r w:rsidRPr="00716072">
        <w:t>Meinert</w:t>
      </w:r>
      <w:proofErr w:type="spellEnd"/>
      <w:r w:rsidRPr="00716072">
        <w:t xml:space="preserve"> R, Michaelis J</w:t>
      </w:r>
      <w:r w:rsidR="00716072" w:rsidRPr="00716072">
        <w:t xml:space="preserve">. </w:t>
      </w:r>
      <w:r w:rsidRPr="00716072">
        <w:t>1999</w:t>
      </w:r>
      <w:r w:rsidR="00716072" w:rsidRPr="00716072">
        <w:t xml:space="preserve">. </w:t>
      </w:r>
      <w:r w:rsidRPr="00716072">
        <w:t>Association of childhood cancer with factors related to pregnancy and birth</w:t>
      </w:r>
      <w:r w:rsidR="00716072" w:rsidRPr="00716072">
        <w:t xml:space="preserve">. </w:t>
      </w:r>
      <w:r w:rsidRPr="00716072">
        <w:t>Int J Epidemiol 28, 631–639</w:t>
      </w:r>
      <w:r w:rsidR="00716072" w:rsidRPr="00716072">
        <w:t xml:space="preserve">. </w:t>
      </w:r>
      <w:r w:rsidR="00BD7E35" w:rsidRPr="00716072">
        <w:t>https://doi.org/10.1093/ije/28.4.631.</w:t>
      </w:r>
    </w:p>
    <w:p w14:paraId="385FE7BD" w14:textId="77777777" w:rsidR="00D43852" w:rsidRPr="00716072" w:rsidRDefault="00D43852" w:rsidP="00113E51">
      <w:pPr>
        <w:pStyle w:val="References"/>
      </w:pPr>
      <w:proofErr w:type="spellStart"/>
      <w:r w:rsidRPr="00716072">
        <w:t>Sedlak</w:t>
      </w:r>
      <w:proofErr w:type="spellEnd"/>
      <w:r w:rsidRPr="00716072">
        <w:t xml:space="preserve"> D, Kavanaugh M</w:t>
      </w:r>
      <w:r w:rsidR="00716072" w:rsidRPr="00716072">
        <w:t xml:space="preserve">. </w:t>
      </w:r>
      <w:r w:rsidRPr="00716072">
        <w:t>2006</w:t>
      </w:r>
      <w:r w:rsidR="00716072" w:rsidRPr="00716072">
        <w:t xml:space="preserve">. </w:t>
      </w:r>
      <w:r w:rsidRPr="00716072">
        <w:t>Removal and Destruction of NDMA and NDMA precursors during wastewater treatment</w:t>
      </w:r>
      <w:r w:rsidR="00716072" w:rsidRPr="00716072">
        <w:t xml:space="preserve">. </w:t>
      </w:r>
      <w:r w:rsidRPr="00716072">
        <w:t xml:space="preserve">Report, Alexandria, </w:t>
      </w:r>
      <w:proofErr w:type="spellStart"/>
      <w:proofErr w:type="gramStart"/>
      <w:r w:rsidRPr="00716072">
        <w:t>VA:WateReuse</w:t>
      </w:r>
      <w:proofErr w:type="spellEnd"/>
      <w:proofErr w:type="gramEnd"/>
      <w:r w:rsidRPr="00716072">
        <w:t xml:space="preserve"> Foundation</w:t>
      </w:r>
      <w:r w:rsidR="00716072" w:rsidRPr="00716072">
        <w:t xml:space="preserve">. </w:t>
      </w:r>
      <w:r w:rsidRPr="00716072">
        <w:t xml:space="preserve">Available: http://www.swrcb.ca.gov/water_issues/programs/grants_loans/ </w:t>
      </w:r>
      <w:proofErr w:type="spellStart"/>
      <w:r w:rsidRPr="00716072">
        <w:t>water_recycling</w:t>
      </w:r>
      <w:proofErr w:type="spellEnd"/>
      <w:r w:rsidRPr="00716072">
        <w:t>/research/ 01_002_01.pdf [accessed 2019]</w:t>
      </w:r>
    </w:p>
    <w:p w14:paraId="7C246FB5" w14:textId="77777777" w:rsidR="001102A6" w:rsidRPr="00716072" w:rsidRDefault="001102A6" w:rsidP="00113E51">
      <w:pPr>
        <w:pStyle w:val="References"/>
      </w:pPr>
      <w:r w:rsidRPr="00716072">
        <w:t xml:space="preserve">Sen NP, </w:t>
      </w:r>
      <w:proofErr w:type="spellStart"/>
      <w:r w:rsidRPr="00716072">
        <w:t>Baddoo</w:t>
      </w:r>
      <w:proofErr w:type="spellEnd"/>
      <w:r w:rsidRPr="00716072">
        <w:t xml:space="preserve"> PA</w:t>
      </w:r>
      <w:r w:rsidR="00716072" w:rsidRPr="00716072">
        <w:t xml:space="preserve">. </w:t>
      </w:r>
      <w:r w:rsidRPr="00716072">
        <w:t>1997</w:t>
      </w:r>
      <w:r w:rsidR="00716072" w:rsidRPr="00716072">
        <w:t xml:space="preserve">. </w:t>
      </w:r>
      <w:r w:rsidRPr="00716072">
        <w:t>Trends in the levels of residual nitrite in Canadian cured meat products over the past 25 years</w:t>
      </w:r>
      <w:r w:rsidR="00716072" w:rsidRPr="00716072">
        <w:t xml:space="preserve">. </w:t>
      </w:r>
      <w:r w:rsidRPr="00716072">
        <w:t>J Ag Food Chem 45:4714–4718</w:t>
      </w:r>
      <w:r w:rsidR="00716072" w:rsidRPr="00716072">
        <w:t xml:space="preserve">. </w:t>
      </w:r>
      <w:r w:rsidR="00276AEF" w:rsidRPr="00716072">
        <w:t>https://doi.org/10.1021/jf9706641.</w:t>
      </w:r>
    </w:p>
    <w:p w14:paraId="1CDE61CD" w14:textId="77777777" w:rsidR="001102A6" w:rsidRPr="00716072" w:rsidRDefault="001102A6" w:rsidP="00113E51">
      <w:pPr>
        <w:pStyle w:val="References"/>
      </w:pPr>
      <w:r w:rsidRPr="00716072">
        <w:t xml:space="preserve">Shim YK, </w:t>
      </w:r>
      <w:proofErr w:type="spellStart"/>
      <w:r w:rsidRPr="00716072">
        <w:t>Mlynarek</w:t>
      </w:r>
      <w:proofErr w:type="spellEnd"/>
      <w:r w:rsidRPr="00716072">
        <w:t xml:space="preserve"> SP, van </w:t>
      </w:r>
      <w:proofErr w:type="spellStart"/>
      <w:r w:rsidRPr="00716072">
        <w:t>Wijngaarden</w:t>
      </w:r>
      <w:proofErr w:type="spellEnd"/>
      <w:r w:rsidRPr="00716072">
        <w:t xml:space="preserve"> E</w:t>
      </w:r>
      <w:r w:rsidR="00716072" w:rsidRPr="00716072">
        <w:t xml:space="preserve">. </w:t>
      </w:r>
      <w:r w:rsidRPr="00716072">
        <w:t>2009</w:t>
      </w:r>
      <w:r w:rsidR="00716072" w:rsidRPr="00716072">
        <w:t xml:space="preserve">. </w:t>
      </w:r>
      <w:r w:rsidRPr="00716072">
        <w:t xml:space="preserve">Parental exposure to pesticides and childhood brain cancer: </w:t>
      </w:r>
      <w:r w:rsidR="00EF0735" w:rsidRPr="00716072">
        <w:t>US</w:t>
      </w:r>
      <w:r w:rsidRPr="00716072">
        <w:t xml:space="preserve"> Atlantic coast childhood brain cancer study</w:t>
      </w:r>
      <w:r w:rsidR="00716072" w:rsidRPr="00716072">
        <w:t xml:space="preserve">. </w:t>
      </w:r>
      <w:r w:rsidRPr="00716072">
        <w:t xml:space="preserve">Environ Health </w:t>
      </w:r>
      <w:proofErr w:type="spellStart"/>
      <w:r w:rsidRPr="00716072">
        <w:t>Perspect</w:t>
      </w:r>
      <w:proofErr w:type="spellEnd"/>
      <w:r w:rsidRPr="00716072">
        <w:t xml:space="preserve"> 117:1002–1006</w:t>
      </w:r>
      <w:r w:rsidR="00716072" w:rsidRPr="00716072">
        <w:t xml:space="preserve">. </w:t>
      </w:r>
      <w:r w:rsidR="00276AEF" w:rsidRPr="00716072">
        <w:t>https://doi.org/10.1289/ehp.0800209.</w:t>
      </w:r>
    </w:p>
    <w:p w14:paraId="441882EE" w14:textId="16A078F8" w:rsidR="00715431" w:rsidRDefault="00715431" w:rsidP="00715431">
      <w:pPr>
        <w:pStyle w:val="References"/>
      </w:pPr>
      <w:proofErr w:type="spellStart"/>
      <w:r>
        <w:t>Shimokura</w:t>
      </w:r>
      <w:proofErr w:type="spellEnd"/>
      <w:r>
        <w:t xml:space="preserve"> GH, </w:t>
      </w:r>
      <w:proofErr w:type="spellStart"/>
      <w:r>
        <w:t>Savitz</w:t>
      </w:r>
      <w:proofErr w:type="spellEnd"/>
      <w:r>
        <w:t xml:space="preserve"> DA, </w:t>
      </w:r>
      <w:proofErr w:type="spellStart"/>
      <w:r>
        <w:t>Symanski</w:t>
      </w:r>
      <w:proofErr w:type="spellEnd"/>
      <w:r>
        <w:t xml:space="preserve"> E. </w:t>
      </w:r>
      <w:r w:rsidR="00D34FD7">
        <w:t xml:space="preserve">1998. </w:t>
      </w:r>
      <w:r>
        <w:t xml:space="preserve">Assessment of water use for estimating exposure to tap water contaminants. Environ Health </w:t>
      </w:r>
      <w:proofErr w:type="spellStart"/>
      <w:r>
        <w:t>Perspect</w:t>
      </w:r>
      <w:proofErr w:type="spellEnd"/>
      <w:r>
        <w:t xml:space="preserve"> 106(2): 55–59.</w:t>
      </w:r>
    </w:p>
    <w:p w14:paraId="1A5AB072" w14:textId="77777777" w:rsidR="001102A6" w:rsidRPr="00716072" w:rsidRDefault="001102A6" w:rsidP="00113E51">
      <w:pPr>
        <w:pStyle w:val="References"/>
      </w:pPr>
      <w:r w:rsidRPr="00716072">
        <w:t xml:space="preserve">Shu XO, Potter JD, </w:t>
      </w:r>
      <w:proofErr w:type="spellStart"/>
      <w:r w:rsidRPr="00716072">
        <w:t>Linet</w:t>
      </w:r>
      <w:proofErr w:type="spellEnd"/>
      <w:r w:rsidRPr="00716072">
        <w:t xml:space="preserve"> MS, Severson RK, Han D, Kersey JH, </w:t>
      </w:r>
      <w:r w:rsidR="00276AEF" w:rsidRPr="00716072">
        <w:t>et al</w:t>
      </w:r>
      <w:r w:rsidR="00716072" w:rsidRPr="00716072">
        <w:t xml:space="preserve">. </w:t>
      </w:r>
      <w:r w:rsidRPr="00716072">
        <w:t>2002</w:t>
      </w:r>
      <w:r w:rsidR="00716072" w:rsidRPr="00716072">
        <w:t xml:space="preserve">. </w:t>
      </w:r>
      <w:r w:rsidRPr="00716072">
        <w:t>Diagnostic X-rays and ultrasound exposure and risk of childhood acute lymphoblastic leukemia by immunophenotype</w:t>
      </w:r>
      <w:r w:rsidR="00716072" w:rsidRPr="00716072">
        <w:t xml:space="preserve">. </w:t>
      </w:r>
      <w:r w:rsidRPr="00716072">
        <w:t xml:space="preserve">Cancer Epidemiol </w:t>
      </w:r>
      <w:proofErr w:type="spellStart"/>
      <w:r w:rsidRPr="00716072">
        <w:t>Biomar</w:t>
      </w:r>
      <w:proofErr w:type="spellEnd"/>
      <w:r w:rsidRPr="00716072">
        <w:t xml:space="preserve"> 11</w:t>
      </w:r>
      <w:r w:rsidR="00276AEF" w:rsidRPr="00716072">
        <w:t>:</w:t>
      </w:r>
      <w:r w:rsidRPr="00716072">
        <w:t>177–185.</w:t>
      </w:r>
    </w:p>
    <w:p w14:paraId="242FB705" w14:textId="77777777" w:rsidR="00107D5E" w:rsidRPr="00716072" w:rsidRDefault="00107D5E" w:rsidP="00113E51">
      <w:pPr>
        <w:pStyle w:val="References"/>
      </w:pPr>
      <w:r w:rsidRPr="00716072">
        <w:t>Smith</w:t>
      </w:r>
      <w:r w:rsidR="00716072" w:rsidRPr="00716072">
        <w:t xml:space="preserve">. </w:t>
      </w:r>
      <w:r w:rsidRPr="00716072">
        <w:t>1997</w:t>
      </w:r>
      <w:r w:rsidR="00716072" w:rsidRPr="00716072">
        <w:t xml:space="preserve">. </w:t>
      </w:r>
      <w:r w:rsidRPr="00716072">
        <w:t>Supplemental Phase II Report, Wilmington, Massachusetts Site, Olin Corporation, MADEP RTN: 3-0471</w:t>
      </w:r>
      <w:r w:rsidR="00716072" w:rsidRPr="00716072">
        <w:t xml:space="preserve">. </w:t>
      </w:r>
      <w:r w:rsidRPr="00716072">
        <w:t xml:space="preserve">Smith Technology Corp, Plymouth Meeting, Pennsylvania; PTI Environmental Services, Boulder, Colorado; ABB Environmental Services, Inc., Wakefield, Massachusetts; and </w:t>
      </w:r>
      <w:proofErr w:type="spellStart"/>
      <w:r w:rsidRPr="00716072">
        <w:t>Geomega</w:t>
      </w:r>
      <w:proofErr w:type="spellEnd"/>
      <w:r w:rsidRPr="00716072">
        <w:t>, Boulder, Colorado</w:t>
      </w:r>
      <w:r w:rsidR="00716072" w:rsidRPr="00716072">
        <w:t xml:space="preserve">. </w:t>
      </w:r>
    </w:p>
    <w:p w14:paraId="558CF7BB" w14:textId="263E1468" w:rsidR="001102A6" w:rsidRDefault="001102A6" w:rsidP="00113E51">
      <w:pPr>
        <w:pStyle w:val="References"/>
      </w:pPr>
      <w:r w:rsidRPr="00716072">
        <w:t xml:space="preserve">Spector LG, </w:t>
      </w:r>
      <w:proofErr w:type="spellStart"/>
      <w:r w:rsidRPr="00716072">
        <w:t>Puumala</w:t>
      </w:r>
      <w:proofErr w:type="spellEnd"/>
      <w:r w:rsidRPr="00716072">
        <w:t xml:space="preserve"> SE, </w:t>
      </w:r>
      <w:proofErr w:type="spellStart"/>
      <w:r w:rsidRPr="00716072">
        <w:t>Carozza</w:t>
      </w:r>
      <w:proofErr w:type="spellEnd"/>
      <w:r w:rsidRPr="00716072">
        <w:t xml:space="preserve"> SE, Chow EJ, Fox EE, </w:t>
      </w:r>
      <w:proofErr w:type="spellStart"/>
      <w:r w:rsidRPr="00716072">
        <w:t>Horel</w:t>
      </w:r>
      <w:proofErr w:type="spellEnd"/>
      <w:r w:rsidRPr="00716072">
        <w:t xml:space="preserve"> S, </w:t>
      </w:r>
      <w:r w:rsidR="00C52D75" w:rsidRPr="00716072">
        <w:t>et al</w:t>
      </w:r>
      <w:r w:rsidR="00716072" w:rsidRPr="00716072">
        <w:t xml:space="preserve">. </w:t>
      </w:r>
      <w:r w:rsidRPr="00716072">
        <w:t>2009</w:t>
      </w:r>
      <w:r w:rsidR="00716072" w:rsidRPr="00716072">
        <w:t xml:space="preserve">. </w:t>
      </w:r>
      <w:r w:rsidRPr="00716072">
        <w:t>Cancer risk among children with very low birth weights</w:t>
      </w:r>
      <w:r w:rsidR="00716072" w:rsidRPr="00716072">
        <w:t xml:space="preserve">. </w:t>
      </w:r>
      <w:r w:rsidRPr="00716072">
        <w:t>Pediatrics 124</w:t>
      </w:r>
      <w:r w:rsidR="00C52D75" w:rsidRPr="00716072">
        <w:t>:</w:t>
      </w:r>
      <w:r w:rsidRPr="00716072">
        <w:t>96–104</w:t>
      </w:r>
      <w:r w:rsidR="00716072" w:rsidRPr="00716072">
        <w:t xml:space="preserve">. </w:t>
      </w:r>
      <w:r w:rsidR="00593EBE" w:rsidRPr="00F536C5">
        <w:t>https://doi.org/10.1542/peds.2008-3069</w:t>
      </w:r>
    </w:p>
    <w:p w14:paraId="1C08B4A0" w14:textId="77777777" w:rsidR="00593EBE" w:rsidRPr="00716072" w:rsidRDefault="00593EBE" w:rsidP="00113E51">
      <w:pPr>
        <w:pStyle w:val="References"/>
      </w:pPr>
      <w:proofErr w:type="spellStart"/>
      <w:r w:rsidRPr="00593EBE">
        <w:t>Spiegelhalder</w:t>
      </w:r>
      <w:proofErr w:type="spellEnd"/>
      <w:r>
        <w:t xml:space="preserve"> </w:t>
      </w:r>
      <w:r w:rsidRPr="00593EBE">
        <w:t>B</w:t>
      </w:r>
      <w:r w:rsidR="00214347">
        <w:t>,</w:t>
      </w:r>
      <w:r>
        <w:t xml:space="preserve"> </w:t>
      </w:r>
      <w:proofErr w:type="spellStart"/>
      <w:r w:rsidRPr="00593EBE">
        <w:t>Preussmann</w:t>
      </w:r>
      <w:proofErr w:type="spellEnd"/>
      <w:r w:rsidRPr="00593EBE">
        <w:t xml:space="preserve"> R. 1984. Contamination of toiletries and cosmetic products with volatile and nonvolatile N-nitroso carcinogens. J cancer res clin </w:t>
      </w:r>
      <w:proofErr w:type="spellStart"/>
      <w:r w:rsidRPr="00593EBE">
        <w:t>oncol</w:t>
      </w:r>
      <w:proofErr w:type="spellEnd"/>
      <w:r w:rsidRPr="00593EBE">
        <w:t>. 108</w:t>
      </w:r>
      <w:r w:rsidR="00214347">
        <w:t>:</w:t>
      </w:r>
      <w:r w:rsidRPr="00593EBE">
        <w:t>160-</w:t>
      </w:r>
      <w:r w:rsidR="00214347">
        <w:t>16</w:t>
      </w:r>
      <w:r w:rsidRPr="00593EBE">
        <w:t>3.</w:t>
      </w:r>
    </w:p>
    <w:p w14:paraId="150622FD" w14:textId="77777777" w:rsidR="001102A6" w:rsidRPr="00716072" w:rsidRDefault="001102A6" w:rsidP="00113E51">
      <w:pPr>
        <w:pStyle w:val="References"/>
      </w:pPr>
      <w:r w:rsidRPr="00716072">
        <w:t>Stehlik G, Richter O, Altmann H</w:t>
      </w:r>
      <w:r w:rsidR="00716072" w:rsidRPr="00716072">
        <w:t xml:space="preserve">. </w:t>
      </w:r>
      <w:r w:rsidRPr="00716072">
        <w:t>1982</w:t>
      </w:r>
      <w:r w:rsidR="00716072" w:rsidRPr="00716072">
        <w:t xml:space="preserve">. </w:t>
      </w:r>
      <w:r w:rsidRPr="00716072">
        <w:t xml:space="preserve">Concentration of </w:t>
      </w:r>
      <w:proofErr w:type="spellStart"/>
      <w:r w:rsidRPr="00716072">
        <w:t>dimethylnitrosamine</w:t>
      </w:r>
      <w:proofErr w:type="spellEnd"/>
      <w:r w:rsidRPr="00716072">
        <w:t xml:space="preserve"> in the air of smoke-filled rooms</w:t>
      </w:r>
      <w:r w:rsidR="00716072" w:rsidRPr="00716072">
        <w:t xml:space="preserve">. </w:t>
      </w:r>
      <w:proofErr w:type="spellStart"/>
      <w:r w:rsidRPr="00716072">
        <w:t>Ecotox</w:t>
      </w:r>
      <w:proofErr w:type="spellEnd"/>
      <w:r w:rsidRPr="00716072">
        <w:t xml:space="preserve"> Environ Safe 6:495–500</w:t>
      </w:r>
      <w:r w:rsidR="00716072" w:rsidRPr="00716072">
        <w:t xml:space="preserve">. </w:t>
      </w:r>
      <w:r w:rsidR="00612B7D" w:rsidRPr="00716072">
        <w:t>https://doi.org/10.1016/0147-6513(82)90031-8.</w:t>
      </w:r>
    </w:p>
    <w:p w14:paraId="2778F49E" w14:textId="77777777" w:rsidR="001102A6" w:rsidRPr="00716072" w:rsidRDefault="001102A6" w:rsidP="00113E51">
      <w:pPr>
        <w:pStyle w:val="References"/>
      </w:pPr>
      <w:proofErr w:type="spellStart"/>
      <w:r w:rsidRPr="00716072">
        <w:t>Steliarova-Foucher</w:t>
      </w:r>
      <w:proofErr w:type="spellEnd"/>
      <w:r w:rsidRPr="00716072">
        <w:t xml:space="preserve"> E, Stiller C, </w:t>
      </w:r>
      <w:proofErr w:type="spellStart"/>
      <w:r w:rsidRPr="00716072">
        <w:t>Lacour</w:t>
      </w:r>
      <w:proofErr w:type="spellEnd"/>
      <w:r w:rsidRPr="00716072">
        <w:t xml:space="preserve"> B, </w:t>
      </w:r>
      <w:proofErr w:type="spellStart"/>
      <w:r w:rsidRPr="00716072">
        <w:t>Kaatsch</w:t>
      </w:r>
      <w:proofErr w:type="spellEnd"/>
      <w:r w:rsidRPr="00716072">
        <w:t xml:space="preserve"> P</w:t>
      </w:r>
      <w:r w:rsidR="00716072" w:rsidRPr="00716072">
        <w:t xml:space="preserve">. </w:t>
      </w:r>
      <w:r w:rsidRPr="00716072">
        <w:t>2005</w:t>
      </w:r>
      <w:r w:rsidR="00716072" w:rsidRPr="00716072">
        <w:t xml:space="preserve">. </w:t>
      </w:r>
      <w:r w:rsidRPr="00716072">
        <w:t xml:space="preserve">International Classification </w:t>
      </w:r>
      <w:r w:rsidRPr="00716072">
        <w:lastRenderedPageBreak/>
        <w:t>of Childhood Cancer, third edition</w:t>
      </w:r>
      <w:r w:rsidR="00716072" w:rsidRPr="00716072">
        <w:t xml:space="preserve">. </w:t>
      </w:r>
      <w:r w:rsidRPr="00716072">
        <w:t>Cancer 103:1457–1467</w:t>
      </w:r>
      <w:r w:rsidR="00716072" w:rsidRPr="00716072">
        <w:t xml:space="preserve">. </w:t>
      </w:r>
      <w:r w:rsidR="000A639B" w:rsidRPr="00716072">
        <w:t>https://doi.org/10.1002/cncr.20910.</w:t>
      </w:r>
    </w:p>
    <w:p w14:paraId="664D076B" w14:textId="77777777" w:rsidR="00D773D2" w:rsidRPr="00716072" w:rsidRDefault="00D773D2" w:rsidP="00113E51">
      <w:pPr>
        <w:pStyle w:val="References"/>
      </w:pPr>
      <w:proofErr w:type="spellStart"/>
      <w:r w:rsidRPr="00716072">
        <w:t>Swerdlow</w:t>
      </w:r>
      <w:proofErr w:type="spellEnd"/>
      <w:r w:rsidRPr="00716072">
        <w:t xml:space="preserve"> SH, Campo E, Harris NL, Jaffe ES, </w:t>
      </w:r>
      <w:proofErr w:type="spellStart"/>
      <w:r w:rsidRPr="00716072">
        <w:t>Pileri</w:t>
      </w:r>
      <w:proofErr w:type="spellEnd"/>
      <w:r w:rsidRPr="00716072">
        <w:t xml:space="preserve"> SA, Stein H</w:t>
      </w:r>
      <w:r w:rsidR="00716072" w:rsidRPr="00716072">
        <w:t xml:space="preserve">. </w:t>
      </w:r>
      <w:r w:rsidRPr="00716072">
        <w:t>2008</w:t>
      </w:r>
      <w:r w:rsidR="00716072" w:rsidRPr="00716072">
        <w:t xml:space="preserve">. </w:t>
      </w:r>
      <w:r w:rsidRPr="00716072">
        <w:t xml:space="preserve">WHO classification of </w:t>
      </w:r>
      <w:proofErr w:type="spellStart"/>
      <w:r w:rsidRPr="00716072">
        <w:t>tumours</w:t>
      </w:r>
      <w:proofErr w:type="spellEnd"/>
      <w:r w:rsidRPr="00716072">
        <w:t xml:space="preserve"> of </w:t>
      </w:r>
      <w:proofErr w:type="spellStart"/>
      <w:r w:rsidRPr="00716072">
        <w:t>haematopoietic</w:t>
      </w:r>
      <w:proofErr w:type="spellEnd"/>
      <w:r w:rsidRPr="00716072">
        <w:t xml:space="preserve"> and lymphoid tissues, fourth edition</w:t>
      </w:r>
      <w:r w:rsidR="00716072" w:rsidRPr="00716072">
        <w:t xml:space="preserve">. </w:t>
      </w:r>
      <w:r w:rsidRPr="00716072">
        <w:t>Lyon, France: IARC; 2008</w:t>
      </w:r>
      <w:r w:rsidR="003B07BE" w:rsidRPr="00716072">
        <w:t>.</w:t>
      </w:r>
    </w:p>
    <w:p w14:paraId="342292A7" w14:textId="77777777" w:rsidR="001102A6" w:rsidRPr="00716072" w:rsidRDefault="001102A6" w:rsidP="00113E51">
      <w:pPr>
        <w:pStyle w:val="References"/>
      </w:pPr>
      <w:r w:rsidRPr="00716072">
        <w:t>Thomas RG</w:t>
      </w:r>
      <w:r w:rsidR="00716072" w:rsidRPr="00716072">
        <w:t xml:space="preserve">. </w:t>
      </w:r>
      <w:r w:rsidRPr="00716072">
        <w:t>1982</w:t>
      </w:r>
      <w:r w:rsidR="00716072" w:rsidRPr="00716072">
        <w:t xml:space="preserve">. </w:t>
      </w:r>
      <w:r w:rsidRPr="00716072">
        <w:t>Volatilization from water</w:t>
      </w:r>
      <w:r w:rsidR="00716072" w:rsidRPr="00716072">
        <w:t xml:space="preserve">. </w:t>
      </w:r>
      <w:r w:rsidRPr="00716072">
        <w:t>In: Handbook of chemical property estimation methods</w:t>
      </w:r>
      <w:r w:rsidR="00716072" w:rsidRPr="00716072">
        <w:t xml:space="preserve">. </w:t>
      </w:r>
      <w:r w:rsidRPr="00716072">
        <w:t xml:space="preserve">(Lyman WJ, </w:t>
      </w:r>
      <w:proofErr w:type="spellStart"/>
      <w:r w:rsidRPr="00716072">
        <w:t>Reehl</w:t>
      </w:r>
      <w:proofErr w:type="spellEnd"/>
      <w:r w:rsidRPr="00716072">
        <w:t xml:space="preserve"> WF, Rosenblatt DH, eds.) New York, NY, McGraw-Hill</w:t>
      </w:r>
      <w:r w:rsidR="00716072" w:rsidRPr="00716072">
        <w:t xml:space="preserve">. </w:t>
      </w:r>
      <w:r w:rsidRPr="00716072">
        <w:t>15–27.</w:t>
      </w:r>
    </w:p>
    <w:p w14:paraId="2D60D108" w14:textId="77777777" w:rsidR="00240D74" w:rsidRPr="00716072" w:rsidRDefault="00240D74" w:rsidP="00113E51">
      <w:pPr>
        <w:pStyle w:val="References"/>
      </w:pPr>
      <w:r w:rsidRPr="00716072">
        <w:t>UK DWI, 2000</w:t>
      </w:r>
      <w:r w:rsidR="00716072" w:rsidRPr="00716072">
        <w:t xml:space="preserve">. </w:t>
      </w:r>
      <w:r w:rsidRPr="00716072">
        <w:t>Guidance on the Water Supply (Water Quality) Regulations 2000a specific to N-</w:t>
      </w:r>
      <w:proofErr w:type="spellStart"/>
      <w:r w:rsidRPr="00716072">
        <w:t>nitrosodimethylamine</w:t>
      </w:r>
      <w:proofErr w:type="spellEnd"/>
      <w:r w:rsidRPr="00716072">
        <w:t xml:space="preserve"> (NDMA) concentrations in drinking water</w:t>
      </w:r>
      <w:r w:rsidR="00716072" w:rsidRPr="00716072">
        <w:t xml:space="preserve">. </w:t>
      </w:r>
      <w:r w:rsidRPr="00716072">
        <w:t>United Kingdom Drinking Water Inspectorate</w:t>
      </w:r>
      <w:r w:rsidR="00716072" w:rsidRPr="00716072">
        <w:t xml:space="preserve">. </w:t>
      </w:r>
    </w:p>
    <w:p w14:paraId="763FFADE" w14:textId="77777777" w:rsidR="001102A6" w:rsidRPr="00716072" w:rsidRDefault="001102A6" w:rsidP="00113E51">
      <w:pPr>
        <w:pStyle w:val="References"/>
      </w:pPr>
      <w:r w:rsidRPr="00716072">
        <w:t>US Census, 1972</w:t>
      </w:r>
      <w:r w:rsidR="00716072" w:rsidRPr="00716072">
        <w:t xml:space="preserve">. </w:t>
      </w:r>
      <w:r w:rsidRPr="00716072">
        <w:t>Census of housing: 1970, Vol</w:t>
      </w:r>
      <w:r w:rsidR="00716072" w:rsidRPr="00716072">
        <w:t xml:space="preserve">. </w:t>
      </w:r>
      <w:r w:rsidRPr="00716072">
        <w:t>1: Housing characteristics for states, cities, and counties, Part 23: Massachusetts</w:t>
      </w:r>
      <w:r w:rsidR="00716072" w:rsidRPr="00716072">
        <w:t xml:space="preserve">. </w:t>
      </w:r>
      <w:r w:rsidR="00EF0735" w:rsidRPr="00716072">
        <w:t>US</w:t>
      </w:r>
      <w:r w:rsidRPr="00716072">
        <w:t xml:space="preserve"> Government Printing Office</w:t>
      </w:r>
      <w:r w:rsidR="00716072" w:rsidRPr="00716072">
        <w:t xml:space="preserve">. </w:t>
      </w:r>
      <w:r w:rsidRPr="00716072">
        <w:t>Washington, D.C.</w:t>
      </w:r>
    </w:p>
    <w:p w14:paraId="0F88041F" w14:textId="77777777" w:rsidR="001102A6" w:rsidRPr="00716072" w:rsidRDefault="001102A6" w:rsidP="00113E51">
      <w:pPr>
        <w:pStyle w:val="References"/>
      </w:pPr>
      <w:r w:rsidRPr="00716072">
        <w:t>US Census</w:t>
      </w:r>
      <w:r w:rsidR="00716072" w:rsidRPr="00716072">
        <w:t xml:space="preserve">. </w:t>
      </w:r>
      <w:r w:rsidRPr="00716072">
        <w:t>1973</w:t>
      </w:r>
      <w:r w:rsidR="00716072" w:rsidRPr="00716072">
        <w:t xml:space="preserve">. </w:t>
      </w:r>
      <w:r w:rsidRPr="00716072">
        <w:t>Census of population: 1970, Vol</w:t>
      </w:r>
      <w:r w:rsidR="00716072" w:rsidRPr="00716072">
        <w:t xml:space="preserve">. </w:t>
      </w:r>
      <w:r w:rsidRPr="00716072">
        <w:t>1: Characteristics of the population, Part 23: Massachusetts</w:t>
      </w:r>
      <w:r w:rsidR="00716072" w:rsidRPr="00716072">
        <w:t xml:space="preserve">. </w:t>
      </w:r>
      <w:r w:rsidR="00EF0735" w:rsidRPr="00716072">
        <w:t>US</w:t>
      </w:r>
      <w:r w:rsidRPr="00716072">
        <w:t xml:space="preserve"> Government Printing Office</w:t>
      </w:r>
      <w:r w:rsidR="00716072" w:rsidRPr="00716072">
        <w:t xml:space="preserve">. </w:t>
      </w:r>
      <w:r w:rsidRPr="00716072">
        <w:t>Washington, D.C.</w:t>
      </w:r>
    </w:p>
    <w:p w14:paraId="7012DB45" w14:textId="77777777" w:rsidR="001102A6" w:rsidRDefault="001102A6" w:rsidP="00113E51">
      <w:pPr>
        <w:pStyle w:val="References"/>
      </w:pPr>
      <w:r w:rsidRPr="00716072">
        <w:t>US Census</w:t>
      </w:r>
      <w:r w:rsidR="00716072" w:rsidRPr="00716072">
        <w:t xml:space="preserve">. </w:t>
      </w:r>
      <w:r w:rsidRPr="00716072">
        <w:t>2002</w:t>
      </w:r>
      <w:r w:rsidR="00716072" w:rsidRPr="00716072">
        <w:t xml:space="preserve">. </w:t>
      </w:r>
      <w:r w:rsidRPr="00716072">
        <w:t>2000 Census of population and housing, Summary population and housing characteristics, PHC-1-23, Massachusetts</w:t>
      </w:r>
      <w:r w:rsidR="00716072" w:rsidRPr="00716072">
        <w:t xml:space="preserve">. </w:t>
      </w:r>
      <w:r w:rsidRPr="00716072">
        <w:t>Washington, D.C.</w:t>
      </w:r>
    </w:p>
    <w:p w14:paraId="3162FB53" w14:textId="206371A7" w:rsidR="00BF433B" w:rsidRPr="00716072" w:rsidRDefault="00BF433B" w:rsidP="00BF433B">
      <w:pPr>
        <w:pStyle w:val="References"/>
      </w:pPr>
      <w:r w:rsidRPr="00BF433B">
        <w:t>U</w:t>
      </w:r>
      <w:r>
        <w:t>S EPA</w:t>
      </w:r>
      <w:r w:rsidRPr="00BF433B">
        <w:t>.</w:t>
      </w:r>
      <w:r>
        <w:t xml:space="preserve"> 2005.</w:t>
      </w:r>
      <w:r w:rsidRPr="00BF433B">
        <w:t xml:space="preserve"> Guidelines for Carcinogen Risk Assessment; </w:t>
      </w:r>
      <w:r>
        <w:t xml:space="preserve">Report No.: EPA/630/P-03/001F. </w:t>
      </w:r>
      <w:r w:rsidRPr="00716072">
        <w:t>US Environmental Protection Agency, Washington, DC, USA.</w:t>
      </w:r>
      <w:r>
        <w:t xml:space="preserve"> </w:t>
      </w:r>
      <w:r w:rsidRPr="00BF433B">
        <w:t xml:space="preserve">Available from </w:t>
      </w:r>
      <w:r w:rsidRPr="00BF433B">
        <w:rPr>
          <w:i/>
          <w:iCs/>
        </w:rPr>
        <w:t xml:space="preserve">http://www.epa.gov/cancerguidelines. </w:t>
      </w:r>
    </w:p>
    <w:p w14:paraId="1E72E73F" w14:textId="77777777" w:rsidR="0079240F" w:rsidRDefault="0079240F" w:rsidP="00113E51">
      <w:pPr>
        <w:pStyle w:val="References"/>
      </w:pPr>
      <w:r w:rsidRPr="00716072">
        <w:t>US EPA</w:t>
      </w:r>
      <w:r w:rsidR="00716072" w:rsidRPr="00716072">
        <w:t xml:space="preserve">. </w:t>
      </w:r>
      <w:r w:rsidRPr="00716072">
        <w:t>2005</w:t>
      </w:r>
      <w:r w:rsidR="00716072" w:rsidRPr="00716072">
        <w:t xml:space="preserve">. </w:t>
      </w:r>
      <w:r w:rsidRPr="00716072">
        <w:t>HRS Documentation Record, Name of Site: Olin Chemical, EPA ID No</w:t>
      </w:r>
      <w:r w:rsidR="00716072" w:rsidRPr="00716072">
        <w:t xml:space="preserve">. </w:t>
      </w:r>
      <w:r w:rsidRPr="00716072">
        <w:t>MAD001403104</w:t>
      </w:r>
      <w:r w:rsidR="00716072" w:rsidRPr="00716072">
        <w:t xml:space="preserve">. </w:t>
      </w:r>
      <w:r w:rsidR="00EF0735" w:rsidRPr="00716072">
        <w:t>US</w:t>
      </w:r>
      <w:r w:rsidRPr="00716072">
        <w:t xml:space="preserve"> Environmental Protection Agency, Region 1, Bosto</w:t>
      </w:r>
      <w:r w:rsidR="0031375D" w:rsidRPr="00716072">
        <w:t>n, Massachusetts.</w:t>
      </w:r>
    </w:p>
    <w:p w14:paraId="23D93FAC" w14:textId="53185979" w:rsidR="00BF433B" w:rsidRDefault="00BF433B" w:rsidP="00BF433B">
      <w:pPr>
        <w:pStyle w:val="References"/>
      </w:pPr>
      <w:r>
        <w:t>US</w:t>
      </w:r>
      <w:r w:rsidR="00336134">
        <w:t xml:space="preserve"> </w:t>
      </w:r>
      <w:r>
        <w:t>EPA. 2011.</w:t>
      </w:r>
      <w:r w:rsidRPr="00BF433B">
        <w:t xml:space="preserve"> Toxicological Review of Trichloroethylene (CAS No. 79-01-6) in Support of Summary Information on the Integrated</w:t>
      </w:r>
      <w:r>
        <w:t xml:space="preserve"> Risk Information System (IRIS)</w:t>
      </w:r>
      <w:r w:rsidRPr="00BF433B">
        <w:t xml:space="preserve">. </w:t>
      </w:r>
      <w:r>
        <w:t xml:space="preserve">Report No.: EPA/635/R-09/011F. Available from </w:t>
      </w:r>
      <w:r w:rsidRPr="00BF433B">
        <w:rPr>
          <w:i/>
          <w:iCs/>
        </w:rPr>
        <w:t>http://www.epa.gov/iris/toxreviews/0199tr/0199tr.pdf</w:t>
      </w:r>
      <w:r w:rsidRPr="00BF433B">
        <w:t xml:space="preserve"> </w:t>
      </w:r>
    </w:p>
    <w:p w14:paraId="391E150F" w14:textId="77777777" w:rsidR="0031375D" w:rsidRPr="00716072" w:rsidRDefault="0031375D" w:rsidP="00113E51">
      <w:pPr>
        <w:pStyle w:val="References"/>
      </w:pPr>
      <w:r w:rsidRPr="00716072">
        <w:t>US EPA</w:t>
      </w:r>
      <w:r w:rsidR="00716072" w:rsidRPr="00716072">
        <w:t xml:space="preserve">. </w:t>
      </w:r>
      <w:r w:rsidRPr="00716072">
        <w:t>2012</w:t>
      </w:r>
      <w:r w:rsidR="00716072" w:rsidRPr="00716072">
        <w:t xml:space="preserve">. </w:t>
      </w:r>
      <w:r w:rsidRPr="00716072">
        <w:t>Estimation Programs Interface Suite™ for Microsoft® Windows, v 4.1</w:t>
      </w:r>
      <w:r w:rsidR="00716072" w:rsidRPr="00716072">
        <w:t xml:space="preserve">. </w:t>
      </w:r>
      <w:r w:rsidRPr="00716072">
        <w:t>United States Environmental Protection Agency, Washington, DC, USA.</w:t>
      </w:r>
    </w:p>
    <w:p w14:paraId="6410B595" w14:textId="77777777" w:rsidR="005B56D6" w:rsidRPr="00716072" w:rsidRDefault="005B56D6" w:rsidP="00113E51">
      <w:pPr>
        <w:pStyle w:val="References"/>
      </w:pPr>
      <w:r w:rsidRPr="00716072">
        <w:t>US EPA</w:t>
      </w:r>
      <w:r w:rsidR="00716072" w:rsidRPr="00716072">
        <w:t xml:space="preserve">. </w:t>
      </w:r>
      <w:r w:rsidRPr="00716072">
        <w:t>2017</w:t>
      </w:r>
      <w:r w:rsidR="00716072" w:rsidRPr="00716072">
        <w:t xml:space="preserve">. </w:t>
      </w:r>
      <w:r w:rsidRPr="00716072">
        <w:t>Technical Fact Sheet – N-</w:t>
      </w:r>
      <w:proofErr w:type="spellStart"/>
      <w:r w:rsidRPr="00716072">
        <w:t>Nitrosodimethylamine</w:t>
      </w:r>
      <w:proofErr w:type="spellEnd"/>
      <w:r w:rsidR="00716072" w:rsidRPr="00716072">
        <w:t xml:space="preserve">. </w:t>
      </w:r>
      <w:r w:rsidRPr="00716072">
        <w:t>EPA 505-F-17-005</w:t>
      </w:r>
      <w:r w:rsidR="00716072" w:rsidRPr="00716072">
        <w:t xml:space="preserve">. </w:t>
      </w:r>
      <w:r w:rsidR="00EF0735" w:rsidRPr="00716072">
        <w:t>US</w:t>
      </w:r>
      <w:r w:rsidRPr="00716072">
        <w:t xml:space="preserve"> Environmental Protection Agency</w:t>
      </w:r>
      <w:r w:rsidR="00813F0A" w:rsidRPr="00716072">
        <w:t>, Washington, DC, USA</w:t>
      </w:r>
      <w:r w:rsidRPr="00716072">
        <w:t>.</w:t>
      </w:r>
    </w:p>
    <w:p w14:paraId="572B533D" w14:textId="614644EF" w:rsidR="00304C38" w:rsidRPr="00716072" w:rsidRDefault="00265D39" w:rsidP="00304C38">
      <w:pPr>
        <w:pStyle w:val="References"/>
      </w:pPr>
      <w:r w:rsidRPr="00716072">
        <w:t>US EPA</w:t>
      </w:r>
      <w:r w:rsidR="00716072" w:rsidRPr="00716072">
        <w:t xml:space="preserve">. </w:t>
      </w:r>
      <w:r w:rsidRPr="00716072">
        <w:t>2019</w:t>
      </w:r>
      <w:r w:rsidR="00716072" w:rsidRPr="00716072">
        <w:t xml:space="preserve">. </w:t>
      </w:r>
      <w:r w:rsidRPr="00716072">
        <w:t>Announcements and Key Topics:  Olin Chemical, Wilmington, MA</w:t>
      </w:r>
      <w:r w:rsidR="00716072" w:rsidRPr="00716072">
        <w:t xml:space="preserve">. </w:t>
      </w:r>
      <w:r w:rsidRPr="00716072">
        <w:t xml:space="preserve">Available: </w:t>
      </w:r>
      <w:r w:rsidR="00813F0A" w:rsidRPr="00F536C5">
        <w:t>www.epa.gov/superfund/olin</w:t>
      </w:r>
      <w:r w:rsidR="00813F0A">
        <w:t>. [accessed 2019]</w:t>
      </w:r>
    </w:p>
    <w:p w14:paraId="23ED34AB" w14:textId="77D40631" w:rsidR="0079240F" w:rsidRPr="00716072" w:rsidRDefault="0079240F" w:rsidP="00113E51">
      <w:pPr>
        <w:pStyle w:val="References"/>
      </w:pPr>
      <w:r w:rsidRPr="00716072">
        <w:t>US FDA</w:t>
      </w:r>
      <w:r w:rsidR="00716072" w:rsidRPr="00716072">
        <w:t xml:space="preserve">. </w:t>
      </w:r>
      <w:r w:rsidRPr="00716072">
        <w:t>2019</w:t>
      </w:r>
      <w:r w:rsidR="00716072" w:rsidRPr="00716072">
        <w:t xml:space="preserve">. </w:t>
      </w:r>
      <w:r w:rsidRPr="00716072">
        <w:t>Pediatric X-ray imaging</w:t>
      </w:r>
      <w:r w:rsidR="00716072" w:rsidRPr="00716072">
        <w:t xml:space="preserve">. </w:t>
      </w:r>
      <w:r w:rsidRPr="00716072">
        <w:t xml:space="preserve">Available: </w:t>
      </w:r>
      <w:r w:rsidR="00030AD9" w:rsidRPr="00F536C5">
        <w:t>https://www.fda.gov/radiation-</w:t>
      </w:r>
      <w:r w:rsidR="00030AD9" w:rsidRPr="00F536C5">
        <w:lastRenderedPageBreak/>
        <w:t>emittingproducts/radiationemittingproductsandprocedures/medicalimaging/ucm298899.htm</w:t>
      </w:r>
      <w:r w:rsidR="00716072" w:rsidRPr="00716072">
        <w:t xml:space="preserve">. </w:t>
      </w:r>
      <w:r w:rsidR="003B3FA5" w:rsidRPr="00716072">
        <w:t>[accessed 2019]</w:t>
      </w:r>
    </w:p>
    <w:p w14:paraId="5E0A5711" w14:textId="77777777" w:rsidR="000205C0" w:rsidRPr="00716072" w:rsidRDefault="000205C0" w:rsidP="00113E51">
      <w:pPr>
        <w:pStyle w:val="References"/>
      </w:pPr>
      <w:r w:rsidRPr="00716072">
        <w:t xml:space="preserve">US HHS. 2001. Women and Smoking: A Report of the Surgeon General. Atlanta, GA: US Department of Health and Human Services, Centers for Disease Control and Prevention, National Center for Chronic Disease Prevention and Health Promotion, Office on Smoking and Health. </w:t>
      </w:r>
      <w:r w:rsidRPr="00716072">
        <w:rPr>
          <w:rStyle w:val="bkciteavail"/>
        </w:rPr>
        <w:t>https://www.ncbi.nlm.nih.gov/books/NBK44311.</w:t>
      </w:r>
    </w:p>
    <w:p w14:paraId="4DBB03F0" w14:textId="77777777" w:rsidR="00236850" w:rsidRPr="00716072" w:rsidRDefault="00EF0735" w:rsidP="00113E51">
      <w:pPr>
        <w:pStyle w:val="References"/>
      </w:pPr>
      <w:r w:rsidRPr="00716072">
        <w:t>US</w:t>
      </w:r>
      <w:r w:rsidR="00236850" w:rsidRPr="00716072">
        <w:t xml:space="preserve"> HHS</w:t>
      </w:r>
      <w:r w:rsidR="001C4EC3" w:rsidRPr="00716072">
        <w:t xml:space="preserve">. </w:t>
      </w:r>
      <w:r w:rsidR="00236850" w:rsidRPr="00716072">
        <w:t>2014</w:t>
      </w:r>
      <w:r w:rsidR="001C4EC3" w:rsidRPr="00716072">
        <w:t xml:space="preserve">. </w:t>
      </w:r>
      <w:r w:rsidR="00236850" w:rsidRPr="00716072">
        <w:t>The Health Consequences of Smoking—50 Years of Progress</w:t>
      </w:r>
      <w:r w:rsidR="00716072" w:rsidRPr="00716072">
        <w:t xml:space="preserve">. </w:t>
      </w:r>
      <w:r w:rsidR="00236850" w:rsidRPr="00716072">
        <w:t>A Report of the Surgeon General</w:t>
      </w:r>
      <w:r w:rsidR="00716072" w:rsidRPr="00716072">
        <w:t xml:space="preserve">. </w:t>
      </w:r>
      <w:r w:rsidR="00236850" w:rsidRPr="00716072">
        <w:t xml:space="preserve">Atlanta, GA: </w:t>
      </w:r>
      <w:r w:rsidRPr="00716072">
        <w:t>US</w:t>
      </w:r>
      <w:r w:rsidR="00236850" w:rsidRPr="00716072">
        <w:t xml:space="preserve"> Department of Health and Human Services, Centers for Disease Control and Prevention, National Center for Chronic Disease Prevention and Health Promotion, Office on Smoking and Health</w:t>
      </w:r>
      <w:r w:rsidR="000205C0" w:rsidRPr="00716072">
        <w:t>.</w:t>
      </w:r>
    </w:p>
    <w:p w14:paraId="1A92E315" w14:textId="7D33923A" w:rsidR="00BB3487" w:rsidRPr="00716072" w:rsidRDefault="00BB3487" w:rsidP="00113E51">
      <w:pPr>
        <w:pStyle w:val="References"/>
      </w:pPr>
      <w:r w:rsidRPr="00716072">
        <w:t>US NLM</w:t>
      </w:r>
      <w:r w:rsidR="00716072" w:rsidRPr="00716072">
        <w:t xml:space="preserve">. </w:t>
      </w:r>
      <w:r w:rsidRPr="00716072">
        <w:t>2019</w:t>
      </w:r>
      <w:r w:rsidR="00716072" w:rsidRPr="00716072">
        <w:t xml:space="preserve">. </w:t>
      </w:r>
      <w:r w:rsidRPr="00716072">
        <w:t>Ewing Sarcoma</w:t>
      </w:r>
      <w:r w:rsidR="00716072" w:rsidRPr="00716072">
        <w:t xml:space="preserve">. </w:t>
      </w:r>
      <w:r w:rsidRPr="00716072">
        <w:t>National Library of Medicine, Genetics Home Reference</w:t>
      </w:r>
      <w:r w:rsidR="00716072" w:rsidRPr="00716072">
        <w:t xml:space="preserve">. </w:t>
      </w:r>
      <w:r w:rsidRPr="00716072">
        <w:t>Available:</w:t>
      </w:r>
      <w:r w:rsidRPr="00F536C5">
        <w:t>https://ghr.nlm.nih.gov/condition/ewing-sarcoma#inheritance</w:t>
      </w:r>
      <w:r w:rsidR="00716072" w:rsidRPr="00716072">
        <w:t xml:space="preserve">. </w:t>
      </w:r>
      <w:r w:rsidRPr="00716072">
        <w:t>[accessed 2019].</w:t>
      </w:r>
    </w:p>
    <w:p w14:paraId="101E6EC1" w14:textId="77777777" w:rsidR="00D71351" w:rsidRPr="00716072" w:rsidRDefault="00EA09E6" w:rsidP="00113E51">
      <w:pPr>
        <w:pStyle w:val="References"/>
      </w:pPr>
      <w:r w:rsidRPr="00716072">
        <w:t xml:space="preserve">Van </w:t>
      </w:r>
      <w:proofErr w:type="spellStart"/>
      <w:r w:rsidRPr="00716072">
        <w:t>Maele</w:t>
      </w:r>
      <w:proofErr w:type="spellEnd"/>
      <w:r w:rsidRPr="00716072">
        <w:t xml:space="preserve">-Fabry G, Lantin AC, </w:t>
      </w:r>
      <w:proofErr w:type="spellStart"/>
      <w:r w:rsidRPr="00716072">
        <w:t>Hoet</w:t>
      </w:r>
      <w:proofErr w:type="spellEnd"/>
      <w:r w:rsidRPr="00716072">
        <w:t xml:space="preserve"> P, </w:t>
      </w:r>
      <w:proofErr w:type="spellStart"/>
      <w:r w:rsidRPr="00716072">
        <w:t>Lison</w:t>
      </w:r>
      <w:proofErr w:type="spellEnd"/>
      <w:r w:rsidRPr="00716072">
        <w:t xml:space="preserve"> D</w:t>
      </w:r>
      <w:r w:rsidR="00716072" w:rsidRPr="00716072">
        <w:t xml:space="preserve">. </w:t>
      </w:r>
      <w:r w:rsidRPr="00716072">
        <w:t>2010 Childhood leukemia and parental occupational exposure to pesticides: a systematic review and meta-analysis</w:t>
      </w:r>
      <w:r w:rsidR="00716072" w:rsidRPr="00716072">
        <w:t xml:space="preserve">. </w:t>
      </w:r>
      <w:r w:rsidRPr="00716072">
        <w:t>Cancer Cause Control 21:787–809</w:t>
      </w:r>
      <w:r w:rsidR="00716072" w:rsidRPr="00716072">
        <w:t xml:space="preserve">. </w:t>
      </w:r>
      <w:r w:rsidR="003B3FA5" w:rsidRPr="00716072">
        <w:t>https://doi.org/10.1007/s10552-010-9516-7.</w:t>
      </w:r>
    </w:p>
    <w:p w14:paraId="7A8B9895" w14:textId="77777777" w:rsidR="00364BCF" w:rsidRPr="00716072" w:rsidRDefault="00364BCF" w:rsidP="00113E51">
      <w:pPr>
        <w:pStyle w:val="References"/>
      </w:pPr>
      <w:r w:rsidRPr="00716072">
        <w:t xml:space="preserve">Van </w:t>
      </w:r>
      <w:proofErr w:type="spellStart"/>
      <w:r w:rsidRPr="00716072">
        <w:t>Maele</w:t>
      </w:r>
      <w:proofErr w:type="spellEnd"/>
      <w:r w:rsidRPr="00716072">
        <w:t xml:space="preserve">-Fabry G, Lantin AC, </w:t>
      </w:r>
      <w:proofErr w:type="spellStart"/>
      <w:r w:rsidRPr="00716072">
        <w:t>Hoet</w:t>
      </w:r>
      <w:proofErr w:type="spellEnd"/>
      <w:r w:rsidRPr="00716072">
        <w:t xml:space="preserve"> P, </w:t>
      </w:r>
      <w:proofErr w:type="spellStart"/>
      <w:r w:rsidRPr="00716072">
        <w:t>Lison</w:t>
      </w:r>
      <w:proofErr w:type="spellEnd"/>
      <w:r w:rsidRPr="00716072">
        <w:t xml:space="preserve"> D</w:t>
      </w:r>
      <w:r w:rsidR="00716072" w:rsidRPr="00716072">
        <w:t xml:space="preserve">. </w:t>
      </w:r>
      <w:r w:rsidRPr="00716072">
        <w:t xml:space="preserve">2011 </w:t>
      </w:r>
      <w:r w:rsidR="00DC45C8" w:rsidRPr="00716072">
        <w:t>Residential exposure to pesticides and childhood leukemia: a systematic review and meta-analysis</w:t>
      </w:r>
      <w:r w:rsidR="00716072" w:rsidRPr="00716072">
        <w:t xml:space="preserve">. </w:t>
      </w:r>
      <w:r w:rsidR="00DC45C8" w:rsidRPr="00716072">
        <w:t>Envi</w:t>
      </w:r>
      <w:r w:rsidR="00B1042A" w:rsidRPr="00716072">
        <w:t>ron Int</w:t>
      </w:r>
      <w:r w:rsidR="00DC45C8" w:rsidRPr="00716072">
        <w:t xml:space="preserve"> 37:280–291</w:t>
      </w:r>
      <w:r w:rsidR="00716072" w:rsidRPr="00716072">
        <w:t xml:space="preserve">. </w:t>
      </w:r>
      <w:r w:rsidR="003B3FA5" w:rsidRPr="00716072">
        <w:t>https://doi.org/10.1016/j.envint.2010.08.016.</w:t>
      </w:r>
    </w:p>
    <w:p w14:paraId="58698E5A" w14:textId="77777777" w:rsidR="00DB2F76" w:rsidRPr="00716072" w:rsidRDefault="00DB2F76" w:rsidP="00113E51">
      <w:pPr>
        <w:pStyle w:val="References"/>
      </w:pPr>
      <w:r w:rsidRPr="00716072">
        <w:t xml:space="preserve">Van </w:t>
      </w:r>
      <w:proofErr w:type="spellStart"/>
      <w:r w:rsidRPr="00716072">
        <w:t>Maele</w:t>
      </w:r>
      <w:proofErr w:type="spellEnd"/>
      <w:r w:rsidRPr="00716072">
        <w:t xml:space="preserve">-Fabry G, </w:t>
      </w:r>
      <w:proofErr w:type="spellStart"/>
      <w:r w:rsidRPr="00716072">
        <w:t>Gamet-Payrastre</w:t>
      </w:r>
      <w:proofErr w:type="spellEnd"/>
      <w:r w:rsidRPr="00716072">
        <w:t xml:space="preserve"> L, </w:t>
      </w:r>
      <w:proofErr w:type="spellStart"/>
      <w:r w:rsidRPr="00716072">
        <w:t>Lison</w:t>
      </w:r>
      <w:proofErr w:type="spellEnd"/>
      <w:r w:rsidRPr="00716072">
        <w:t xml:space="preserve"> D</w:t>
      </w:r>
      <w:r w:rsidR="00716072" w:rsidRPr="00716072">
        <w:t xml:space="preserve">. </w:t>
      </w:r>
      <w:r w:rsidRPr="00716072">
        <w:t>2019</w:t>
      </w:r>
      <w:r w:rsidR="00716072" w:rsidRPr="00716072">
        <w:t xml:space="preserve">. </w:t>
      </w:r>
      <w:r w:rsidRPr="00716072">
        <w:t>Household exposure to pesticides and risk of leukemia in children and adolescents: updated systematic review and meta-analysis</w:t>
      </w:r>
      <w:r w:rsidR="00716072" w:rsidRPr="00716072">
        <w:t xml:space="preserve">. </w:t>
      </w:r>
      <w:r w:rsidRPr="00716072">
        <w:t xml:space="preserve">Int J </w:t>
      </w:r>
      <w:proofErr w:type="spellStart"/>
      <w:r w:rsidRPr="00716072">
        <w:t>Hyg</w:t>
      </w:r>
      <w:proofErr w:type="spellEnd"/>
      <w:r w:rsidRPr="00716072">
        <w:t xml:space="preserve"> </w:t>
      </w:r>
      <w:proofErr w:type="spellStart"/>
      <w:r w:rsidRPr="00716072">
        <w:t>Envir</w:t>
      </w:r>
      <w:proofErr w:type="spellEnd"/>
      <w:r w:rsidRPr="00716072">
        <w:t xml:space="preserve"> Heal 222:49–67</w:t>
      </w:r>
      <w:r w:rsidR="00716072" w:rsidRPr="00716072">
        <w:t xml:space="preserve">. </w:t>
      </w:r>
      <w:r w:rsidR="003B3FA5" w:rsidRPr="00716072">
        <w:t>https://doi.org/10.1016/j.ijheh.2018.08.004/</w:t>
      </w:r>
    </w:p>
    <w:p w14:paraId="64870735" w14:textId="77777777" w:rsidR="001102A6" w:rsidRPr="00716072" w:rsidRDefault="001102A6" w:rsidP="00113E51">
      <w:pPr>
        <w:pStyle w:val="References"/>
      </w:pPr>
      <w:r w:rsidRPr="00716072">
        <w:t xml:space="preserve">Wang R, Zhang Y, Lan Q, Holford TR, </w:t>
      </w:r>
      <w:proofErr w:type="spellStart"/>
      <w:r w:rsidRPr="00716072">
        <w:t>Leaderer</w:t>
      </w:r>
      <w:proofErr w:type="spellEnd"/>
      <w:r w:rsidRPr="00716072">
        <w:t xml:space="preserve"> B, </w:t>
      </w:r>
      <w:proofErr w:type="spellStart"/>
      <w:r w:rsidRPr="00716072">
        <w:t>Zahm</w:t>
      </w:r>
      <w:proofErr w:type="spellEnd"/>
      <w:r w:rsidRPr="00716072">
        <w:t xml:space="preserve"> SH, </w:t>
      </w:r>
      <w:r w:rsidR="003B3FA5" w:rsidRPr="00716072">
        <w:t>et al</w:t>
      </w:r>
      <w:r w:rsidR="00716072" w:rsidRPr="00716072">
        <w:t xml:space="preserve">. </w:t>
      </w:r>
      <w:r w:rsidRPr="00716072">
        <w:t>2009</w:t>
      </w:r>
      <w:r w:rsidR="00716072" w:rsidRPr="00716072">
        <w:t xml:space="preserve">. </w:t>
      </w:r>
      <w:r w:rsidRPr="00716072">
        <w:t>Occupational exposure to solvents and risk of non-Hodgkin lymphoma in Connecticut women</w:t>
      </w:r>
      <w:r w:rsidR="00716072" w:rsidRPr="00716072">
        <w:t xml:space="preserve">. </w:t>
      </w:r>
      <w:r w:rsidRPr="00716072">
        <w:t xml:space="preserve">Am </w:t>
      </w:r>
      <w:r w:rsidR="003B3FA5" w:rsidRPr="00716072">
        <w:t>J</w:t>
      </w:r>
      <w:r w:rsidRPr="00716072">
        <w:t xml:space="preserve"> </w:t>
      </w:r>
      <w:proofErr w:type="spellStart"/>
      <w:r w:rsidR="003B3FA5" w:rsidRPr="00716072">
        <w:t>E</w:t>
      </w:r>
      <w:r w:rsidRPr="00716072">
        <w:t>pidem</w:t>
      </w:r>
      <w:proofErr w:type="spellEnd"/>
      <w:r w:rsidRPr="00716072">
        <w:t>, 169(2)</w:t>
      </w:r>
      <w:r w:rsidR="003B3FA5" w:rsidRPr="00716072">
        <w:t>:</w:t>
      </w:r>
      <w:r w:rsidRPr="00716072">
        <w:t>176-185</w:t>
      </w:r>
      <w:r w:rsidR="00716072" w:rsidRPr="00716072">
        <w:t xml:space="preserve">. </w:t>
      </w:r>
      <w:r w:rsidR="003B3FA5" w:rsidRPr="00716072">
        <w:t>https://doi.org/10.1093/aje/kwn300.</w:t>
      </w:r>
    </w:p>
    <w:p w14:paraId="2B2C6767" w14:textId="77777777" w:rsidR="001102A6" w:rsidRPr="00716072" w:rsidRDefault="001102A6" w:rsidP="00113E51">
      <w:pPr>
        <w:pStyle w:val="References"/>
      </w:pPr>
      <w:r w:rsidRPr="00716072">
        <w:t xml:space="preserve">Ward MH, Mark SD, Cantor KP, </w:t>
      </w:r>
      <w:proofErr w:type="spellStart"/>
      <w:r w:rsidRPr="00716072">
        <w:t>Weisenburger</w:t>
      </w:r>
      <w:proofErr w:type="spellEnd"/>
      <w:r w:rsidRPr="00716072">
        <w:t xml:space="preserve"> DD, Correa-Villasenor A, </w:t>
      </w:r>
      <w:proofErr w:type="spellStart"/>
      <w:r w:rsidRPr="00716072">
        <w:t>Zahm</w:t>
      </w:r>
      <w:proofErr w:type="spellEnd"/>
      <w:r w:rsidRPr="00716072">
        <w:t xml:space="preserve"> SH</w:t>
      </w:r>
      <w:r w:rsidR="00716072" w:rsidRPr="00716072">
        <w:t xml:space="preserve">. </w:t>
      </w:r>
      <w:r w:rsidRPr="00716072">
        <w:t>1996</w:t>
      </w:r>
      <w:r w:rsidR="00716072" w:rsidRPr="00716072">
        <w:t xml:space="preserve">. </w:t>
      </w:r>
      <w:r w:rsidRPr="00716072">
        <w:t>Drinking water nitrate and the risk of non-Hodgkin's lymphoma</w:t>
      </w:r>
      <w:r w:rsidR="00716072" w:rsidRPr="00716072">
        <w:t xml:space="preserve">. </w:t>
      </w:r>
      <w:r w:rsidRPr="00716072">
        <w:t>Epidemiology 7(5):465-471</w:t>
      </w:r>
      <w:r w:rsidR="00716072" w:rsidRPr="00716072">
        <w:t xml:space="preserve">. </w:t>
      </w:r>
      <w:r w:rsidR="00100C51" w:rsidRPr="00716072">
        <w:t>https://doi.org/10.1097/00001648-199609000-00003.</w:t>
      </w:r>
    </w:p>
    <w:p w14:paraId="6187AA84" w14:textId="77777777" w:rsidR="001102A6" w:rsidRPr="00716072" w:rsidRDefault="001102A6" w:rsidP="00113E51">
      <w:pPr>
        <w:pStyle w:val="References"/>
      </w:pPr>
      <w:r w:rsidRPr="00716072">
        <w:t xml:space="preserve">Ward MH, </w:t>
      </w:r>
      <w:proofErr w:type="spellStart"/>
      <w:r w:rsidRPr="00716072">
        <w:t>Cerhan</w:t>
      </w:r>
      <w:proofErr w:type="spellEnd"/>
      <w:r w:rsidRPr="00716072">
        <w:t xml:space="preserve"> JR, Colt JS, </w:t>
      </w:r>
      <w:proofErr w:type="spellStart"/>
      <w:r w:rsidRPr="00716072">
        <w:t>Hartge</w:t>
      </w:r>
      <w:proofErr w:type="spellEnd"/>
      <w:r w:rsidRPr="00716072">
        <w:t xml:space="preserve"> P</w:t>
      </w:r>
      <w:r w:rsidR="00716072" w:rsidRPr="00716072">
        <w:t xml:space="preserve">. </w:t>
      </w:r>
      <w:r w:rsidRPr="00716072">
        <w:t>2006</w:t>
      </w:r>
      <w:r w:rsidR="00716072" w:rsidRPr="00716072">
        <w:t xml:space="preserve">. </w:t>
      </w:r>
      <w:r w:rsidRPr="00716072">
        <w:t>Risk of non-Hodgkin lymphoma and nitrate and nitrite from drinking water and diet</w:t>
      </w:r>
      <w:r w:rsidR="00716072" w:rsidRPr="00716072">
        <w:t xml:space="preserve">. </w:t>
      </w:r>
      <w:r w:rsidRPr="00716072">
        <w:t>Epidemiology 17(4):375–382</w:t>
      </w:r>
      <w:r w:rsidR="00716072" w:rsidRPr="00716072">
        <w:t xml:space="preserve">. </w:t>
      </w:r>
      <w:r w:rsidR="00100C51" w:rsidRPr="00716072">
        <w:t>https://doi.org/10.1097/01.ede.0000219675.79395.9f.</w:t>
      </w:r>
    </w:p>
    <w:p w14:paraId="2CA56A76" w14:textId="77777777" w:rsidR="001102A6" w:rsidRPr="00716072" w:rsidRDefault="001102A6" w:rsidP="00113E51">
      <w:pPr>
        <w:pStyle w:val="References"/>
      </w:pPr>
      <w:r w:rsidRPr="00716072">
        <w:t xml:space="preserve">Whitehead TP, </w:t>
      </w:r>
      <w:proofErr w:type="spellStart"/>
      <w:r w:rsidRPr="00716072">
        <w:t>Metayer</w:t>
      </w:r>
      <w:proofErr w:type="spellEnd"/>
      <w:r w:rsidRPr="00716072">
        <w:t xml:space="preserve"> C, </w:t>
      </w:r>
      <w:proofErr w:type="spellStart"/>
      <w:r w:rsidRPr="00716072">
        <w:t>Wiemels</w:t>
      </w:r>
      <w:proofErr w:type="spellEnd"/>
      <w:r w:rsidRPr="00716072">
        <w:t xml:space="preserve"> JL, Singer AW, Miller MD</w:t>
      </w:r>
      <w:r w:rsidR="00716072" w:rsidRPr="00716072">
        <w:t xml:space="preserve">. </w:t>
      </w:r>
      <w:r w:rsidRPr="00716072">
        <w:t>2016</w:t>
      </w:r>
      <w:r w:rsidR="00716072" w:rsidRPr="00716072">
        <w:t xml:space="preserve">. </w:t>
      </w:r>
      <w:r w:rsidRPr="00716072">
        <w:t>Childhood leukemia and primary prevention</w:t>
      </w:r>
      <w:r w:rsidR="00716072" w:rsidRPr="00716072">
        <w:t xml:space="preserve">. </w:t>
      </w:r>
      <w:proofErr w:type="spellStart"/>
      <w:r w:rsidRPr="00716072">
        <w:t>Curr</w:t>
      </w:r>
      <w:proofErr w:type="spellEnd"/>
      <w:r w:rsidRPr="00716072">
        <w:t xml:space="preserve"> </w:t>
      </w:r>
      <w:proofErr w:type="spellStart"/>
      <w:r w:rsidRPr="00716072">
        <w:t>Probl</w:t>
      </w:r>
      <w:proofErr w:type="spellEnd"/>
      <w:r w:rsidRPr="00716072">
        <w:t xml:space="preserve"> </w:t>
      </w:r>
      <w:proofErr w:type="spellStart"/>
      <w:r w:rsidRPr="00716072">
        <w:t>Pediatr</w:t>
      </w:r>
      <w:proofErr w:type="spellEnd"/>
      <w:r w:rsidRPr="00716072">
        <w:t xml:space="preserve"> </w:t>
      </w:r>
      <w:proofErr w:type="spellStart"/>
      <w:r w:rsidRPr="00716072">
        <w:t>Adolesc</w:t>
      </w:r>
      <w:proofErr w:type="spellEnd"/>
      <w:r w:rsidRPr="00716072">
        <w:t xml:space="preserve"> Health Care 46:317-352</w:t>
      </w:r>
      <w:r w:rsidR="00716072" w:rsidRPr="00716072">
        <w:t xml:space="preserve">. </w:t>
      </w:r>
      <w:r w:rsidR="00A51DD0" w:rsidRPr="00716072">
        <w:t>https://doi.org/10.1016/j.cppeds.2016.08.004.</w:t>
      </w:r>
    </w:p>
    <w:p w14:paraId="60F208E8" w14:textId="77777777" w:rsidR="00395712" w:rsidRPr="00716072" w:rsidRDefault="00395712" w:rsidP="00113E51">
      <w:pPr>
        <w:pStyle w:val="References"/>
      </w:pPr>
      <w:proofErr w:type="gramStart"/>
      <w:r w:rsidRPr="00716072">
        <w:lastRenderedPageBreak/>
        <w:t>WHO</w:t>
      </w:r>
      <w:r w:rsidR="00716072" w:rsidRPr="00716072">
        <w:t>.</w:t>
      </w:r>
      <w:proofErr w:type="gramEnd"/>
      <w:r w:rsidR="00716072" w:rsidRPr="00716072">
        <w:t xml:space="preserve"> </w:t>
      </w:r>
      <w:r w:rsidRPr="00716072">
        <w:t>2002</w:t>
      </w:r>
      <w:r w:rsidR="00716072" w:rsidRPr="00716072">
        <w:t xml:space="preserve">. </w:t>
      </w:r>
      <w:r w:rsidRPr="00716072">
        <w:t>N-</w:t>
      </w:r>
      <w:proofErr w:type="spellStart"/>
      <w:r w:rsidRPr="00716072">
        <w:t>nitrosodimethylamine</w:t>
      </w:r>
      <w:proofErr w:type="spellEnd"/>
      <w:r w:rsidR="00716072" w:rsidRPr="00716072">
        <w:t xml:space="preserve">. </w:t>
      </w:r>
      <w:r w:rsidRPr="00716072">
        <w:t>Concise International Chemical Assessment Document 38, Geneva, Switzerland: World Health Organization.</w:t>
      </w:r>
    </w:p>
    <w:p w14:paraId="404C9688" w14:textId="77777777" w:rsidR="008843CE" w:rsidRDefault="00B34B9C" w:rsidP="008843CE">
      <w:pPr>
        <w:pStyle w:val="References"/>
      </w:pPr>
      <w:proofErr w:type="gramStart"/>
      <w:r w:rsidRPr="00716072">
        <w:t>WHO</w:t>
      </w:r>
      <w:r w:rsidR="00716072" w:rsidRPr="00716072">
        <w:t>.</w:t>
      </w:r>
      <w:proofErr w:type="gramEnd"/>
      <w:r w:rsidR="00716072" w:rsidRPr="00716072">
        <w:t xml:space="preserve"> </w:t>
      </w:r>
      <w:r w:rsidRPr="00716072">
        <w:t>2008</w:t>
      </w:r>
      <w:r w:rsidR="00716072" w:rsidRPr="00716072">
        <w:t xml:space="preserve">. </w:t>
      </w:r>
      <w:r w:rsidRPr="00716072">
        <w:t>N-</w:t>
      </w:r>
      <w:proofErr w:type="spellStart"/>
      <w:r w:rsidRPr="00716072">
        <w:t>Nitrosodimethylamine</w:t>
      </w:r>
      <w:proofErr w:type="spellEnd"/>
      <w:r w:rsidRPr="00716072">
        <w:t xml:space="preserve"> in drinking water, background document for development of WHO guideli</w:t>
      </w:r>
      <w:r w:rsidR="00395712" w:rsidRPr="00716072">
        <w:t>nes for drinking-water quality</w:t>
      </w:r>
      <w:r w:rsidR="00716072" w:rsidRPr="00716072">
        <w:t xml:space="preserve">. </w:t>
      </w:r>
      <w:r w:rsidR="00395712" w:rsidRPr="00716072">
        <w:t xml:space="preserve">Geneva, Switzerland: </w:t>
      </w:r>
      <w:r w:rsidRPr="00716072">
        <w:t>WHO Press, World Health Organization</w:t>
      </w:r>
      <w:r w:rsidR="00395712" w:rsidRPr="00716072">
        <w:t>.</w:t>
      </w:r>
    </w:p>
    <w:p w14:paraId="5537A89C" w14:textId="77777777" w:rsidR="00B34B9C" w:rsidRPr="00716072" w:rsidRDefault="008843CE" w:rsidP="008843CE">
      <w:pPr>
        <w:pStyle w:val="References"/>
      </w:pPr>
      <w:proofErr w:type="gramStart"/>
      <w:r>
        <w:t>WHO.</w:t>
      </w:r>
      <w:proofErr w:type="gramEnd"/>
      <w:r>
        <w:t xml:space="preserve"> 2017. Guidelines for drinking-water quality: fourth edition incorporating the first addendum. Geneva: World Health Organization. </w:t>
      </w:r>
    </w:p>
    <w:p w14:paraId="534C5445" w14:textId="77777777" w:rsidR="00236850" w:rsidRPr="00716072" w:rsidRDefault="00236850" w:rsidP="00113E51">
      <w:pPr>
        <w:pStyle w:val="References"/>
      </w:pPr>
      <w:proofErr w:type="spellStart"/>
      <w:r w:rsidRPr="00716072">
        <w:t>Wigle</w:t>
      </w:r>
      <w:proofErr w:type="spellEnd"/>
      <w:r w:rsidRPr="00716072">
        <w:t xml:space="preserve"> DT, Turner MC, </w:t>
      </w:r>
      <w:proofErr w:type="spellStart"/>
      <w:r w:rsidRPr="00716072">
        <w:t>Krewski</w:t>
      </w:r>
      <w:proofErr w:type="spellEnd"/>
      <w:r w:rsidRPr="00716072">
        <w:t xml:space="preserve"> D</w:t>
      </w:r>
      <w:r w:rsidR="00716072" w:rsidRPr="00716072">
        <w:t xml:space="preserve">. </w:t>
      </w:r>
      <w:r w:rsidRPr="00716072">
        <w:t>2009</w:t>
      </w:r>
      <w:r w:rsidR="00716072" w:rsidRPr="00716072">
        <w:t xml:space="preserve">. </w:t>
      </w:r>
      <w:r w:rsidRPr="00716072">
        <w:t>A systematic review and meta-analysis of childhood leukemia and parental occupational pesticide exposure</w:t>
      </w:r>
      <w:r w:rsidR="00716072" w:rsidRPr="00716072">
        <w:t xml:space="preserve">. </w:t>
      </w:r>
      <w:r w:rsidRPr="00716072">
        <w:t xml:space="preserve">Environ Health </w:t>
      </w:r>
      <w:proofErr w:type="spellStart"/>
      <w:r w:rsidRPr="00716072">
        <w:t>Perspect</w:t>
      </w:r>
      <w:proofErr w:type="spellEnd"/>
      <w:r w:rsidRPr="00716072">
        <w:t xml:space="preserve"> 117(10):1505-1513</w:t>
      </w:r>
      <w:r w:rsidR="00716072" w:rsidRPr="00716072">
        <w:t xml:space="preserve">. </w:t>
      </w:r>
      <w:r w:rsidR="00A51DD0" w:rsidRPr="00716072">
        <w:t>https://doi.org/10.1289/ehp.0900582.</w:t>
      </w:r>
    </w:p>
    <w:p w14:paraId="3249AE9D" w14:textId="77777777" w:rsidR="0002403E" w:rsidRPr="00716072" w:rsidRDefault="0002403E" w:rsidP="00113E51">
      <w:pPr>
        <w:pStyle w:val="References"/>
      </w:pPr>
      <w:r w:rsidRPr="00716072">
        <w:t>Wilmington BOH, 1999</w:t>
      </w:r>
      <w:r w:rsidR="00716072" w:rsidRPr="00716072">
        <w:t xml:space="preserve">. </w:t>
      </w:r>
      <w:r w:rsidRPr="00716072">
        <w:t>Wilmington Board of Health correspondence.</w:t>
      </w:r>
    </w:p>
    <w:p w14:paraId="4FBC84D1" w14:textId="77777777" w:rsidR="008245D8" w:rsidRPr="00716072" w:rsidRDefault="008245D8" w:rsidP="00113E51">
      <w:pPr>
        <w:pStyle w:val="References"/>
      </w:pPr>
      <w:r w:rsidRPr="00716072">
        <w:t xml:space="preserve">Wu S, Zhu W, Thompson P, </w:t>
      </w:r>
      <w:proofErr w:type="spellStart"/>
      <w:r w:rsidRPr="00716072">
        <w:t>Hannun</w:t>
      </w:r>
      <w:proofErr w:type="spellEnd"/>
      <w:r w:rsidRPr="00716072">
        <w:t xml:space="preserve"> YA</w:t>
      </w:r>
      <w:r w:rsidR="00716072" w:rsidRPr="00716072">
        <w:t xml:space="preserve">. </w:t>
      </w:r>
      <w:r w:rsidRPr="00716072">
        <w:t>2018 Evaluating intrinsic and non-intrinsic cancer ris</w:t>
      </w:r>
      <w:r w:rsidR="00A51DD0" w:rsidRPr="00716072">
        <w:t>k factors</w:t>
      </w:r>
      <w:r w:rsidR="00716072" w:rsidRPr="00716072">
        <w:t xml:space="preserve">. </w:t>
      </w:r>
      <w:r w:rsidR="00A51DD0" w:rsidRPr="00716072">
        <w:t xml:space="preserve">Nat </w:t>
      </w:r>
      <w:proofErr w:type="spellStart"/>
      <w:r w:rsidR="00A51DD0" w:rsidRPr="00716072">
        <w:t>Commun</w:t>
      </w:r>
      <w:proofErr w:type="spellEnd"/>
      <w:r w:rsidRPr="00716072">
        <w:t xml:space="preserve"> 9:1-12</w:t>
      </w:r>
      <w:r w:rsidR="00716072" w:rsidRPr="00716072">
        <w:t xml:space="preserve">. </w:t>
      </w:r>
      <w:r w:rsidR="00A51DD0" w:rsidRPr="00716072">
        <w:t>https://doi.org/10.1038/s41467-018-05467-z.</w:t>
      </w:r>
    </w:p>
    <w:p w14:paraId="0E402038" w14:textId="77777777" w:rsidR="001102A6" w:rsidRPr="00716072" w:rsidRDefault="001102A6" w:rsidP="00113E51">
      <w:pPr>
        <w:pStyle w:val="References"/>
      </w:pPr>
      <w:proofErr w:type="spellStart"/>
      <w:r w:rsidRPr="00716072">
        <w:t>Zahm</w:t>
      </w:r>
      <w:proofErr w:type="spellEnd"/>
      <w:r w:rsidRPr="00716072">
        <w:t xml:space="preserve"> SH</w:t>
      </w:r>
      <w:r w:rsidR="001A6EF5" w:rsidRPr="00716072">
        <w:t>,</w:t>
      </w:r>
      <w:r w:rsidRPr="00716072">
        <w:t xml:space="preserve"> </w:t>
      </w:r>
      <w:proofErr w:type="spellStart"/>
      <w:r w:rsidRPr="00716072">
        <w:t>Devesa</w:t>
      </w:r>
      <w:proofErr w:type="spellEnd"/>
      <w:r w:rsidRPr="00716072">
        <w:t xml:space="preserve"> SS</w:t>
      </w:r>
      <w:r w:rsidR="00716072" w:rsidRPr="00716072">
        <w:t xml:space="preserve">. </w:t>
      </w:r>
      <w:r w:rsidRPr="00716072">
        <w:t>1995</w:t>
      </w:r>
      <w:r w:rsidR="00716072" w:rsidRPr="00716072">
        <w:t xml:space="preserve">. </w:t>
      </w:r>
      <w:r w:rsidRPr="00716072">
        <w:t>Childhood cancer: overview of incidence trends and environmental carcinogens</w:t>
      </w:r>
      <w:r w:rsidR="00716072" w:rsidRPr="00716072">
        <w:t xml:space="preserve">. </w:t>
      </w:r>
      <w:r w:rsidRPr="00716072">
        <w:t xml:space="preserve">Environ Health </w:t>
      </w:r>
      <w:proofErr w:type="spellStart"/>
      <w:r w:rsidRPr="00716072">
        <w:t>Perspect</w:t>
      </w:r>
      <w:proofErr w:type="spellEnd"/>
      <w:r w:rsidRPr="00716072">
        <w:t xml:space="preserve"> 103(Suppl 6):177-184</w:t>
      </w:r>
      <w:r w:rsidR="00716072" w:rsidRPr="00716072">
        <w:t xml:space="preserve">. </w:t>
      </w:r>
      <w:r w:rsidR="001A6EF5" w:rsidRPr="00716072">
        <w:t>https://doi.org/10.1289/ehp.95103s6177.</w:t>
      </w:r>
    </w:p>
    <w:p w14:paraId="4D20B319" w14:textId="77777777" w:rsidR="001102A6" w:rsidRPr="00716072" w:rsidRDefault="001102A6" w:rsidP="00113E51">
      <w:pPr>
        <w:pStyle w:val="References"/>
      </w:pPr>
      <w:proofErr w:type="spellStart"/>
      <w:r w:rsidRPr="00716072">
        <w:t>Zahm</w:t>
      </w:r>
      <w:proofErr w:type="spellEnd"/>
      <w:r w:rsidRPr="00716072">
        <w:t xml:space="preserve"> SH</w:t>
      </w:r>
      <w:r w:rsidR="001A6EF5" w:rsidRPr="00716072">
        <w:t>,</w:t>
      </w:r>
      <w:r w:rsidRPr="00716072">
        <w:t xml:space="preserve"> Ward MH</w:t>
      </w:r>
      <w:r w:rsidR="00716072" w:rsidRPr="00716072">
        <w:t xml:space="preserve">. </w:t>
      </w:r>
      <w:r w:rsidRPr="00716072">
        <w:t>1998</w:t>
      </w:r>
      <w:r w:rsidR="00716072" w:rsidRPr="00716072">
        <w:t xml:space="preserve">. </w:t>
      </w:r>
      <w:r w:rsidRPr="00716072">
        <w:t>Pesticides and childhood cancer</w:t>
      </w:r>
      <w:r w:rsidR="00716072" w:rsidRPr="00716072">
        <w:t xml:space="preserve">. </w:t>
      </w:r>
      <w:r w:rsidRPr="00716072">
        <w:t xml:space="preserve">Environ Health </w:t>
      </w:r>
      <w:proofErr w:type="spellStart"/>
      <w:r w:rsidRPr="00716072">
        <w:t>Perspect</w:t>
      </w:r>
      <w:proofErr w:type="spellEnd"/>
      <w:r w:rsidRPr="00716072">
        <w:t xml:space="preserve"> 106(Suppl 3):893-908</w:t>
      </w:r>
      <w:r w:rsidR="00716072" w:rsidRPr="00716072">
        <w:t xml:space="preserve">. </w:t>
      </w:r>
      <w:r w:rsidR="001A6EF5" w:rsidRPr="00716072">
        <w:t>https://doi.org/10.1289/ehp.98106893.</w:t>
      </w:r>
    </w:p>
    <w:p w14:paraId="7A83AD1B" w14:textId="77777777" w:rsidR="001102A6" w:rsidRPr="00716072" w:rsidRDefault="001102A6" w:rsidP="00113E51">
      <w:pPr>
        <w:pStyle w:val="References"/>
      </w:pPr>
      <w:proofErr w:type="spellStart"/>
      <w:r w:rsidRPr="00716072">
        <w:t>Zeilmaker</w:t>
      </w:r>
      <w:proofErr w:type="spellEnd"/>
      <w:r w:rsidRPr="00716072">
        <w:t xml:space="preserve"> MJ, Bakker MI, </w:t>
      </w:r>
      <w:proofErr w:type="spellStart"/>
      <w:r w:rsidRPr="00716072">
        <w:t>Schothorst</w:t>
      </w:r>
      <w:proofErr w:type="spellEnd"/>
      <w:r w:rsidRPr="00716072">
        <w:t xml:space="preserve"> R, Slob W</w:t>
      </w:r>
      <w:r w:rsidR="00716072" w:rsidRPr="00716072">
        <w:t xml:space="preserve">. </w:t>
      </w:r>
      <w:r w:rsidRPr="00716072">
        <w:t>2010</w:t>
      </w:r>
      <w:r w:rsidR="00716072" w:rsidRPr="00716072">
        <w:t xml:space="preserve">. </w:t>
      </w:r>
      <w:r w:rsidRPr="00716072">
        <w:t>Risk assessment of N-</w:t>
      </w:r>
      <w:proofErr w:type="spellStart"/>
      <w:r w:rsidRPr="00716072">
        <w:t>nitrosodimethylamine</w:t>
      </w:r>
      <w:proofErr w:type="spellEnd"/>
      <w:r w:rsidRPr="00716072">
        <w:t xml:space="preserve"> formed endogenously after fish-with-vegetable meals</w:t>
      </w:r>
      <w:r w:rsidR="00716072" w:rsidRPr="00716072">
        <w:t xml:space="preserve">. </w:t>
      </w:r>
      <w:proofErr w:type="spellStart"/>
      <w:r w:rsidRPr="00716072">
        <w:t>Toxicol</w:t>
      </w:r>
      <w:proofErr w:type="spellEnd"/>
      <w:r w:rsidRPr="00716072">
        <w:t xml:space="preserve"> Sci 116</w:t>
      </w:r>
      <w:r w:rsidR="001A6EF5" w:rsidRPr="00716072">
        <w:t>:</w:t>
      </w:r>
      <w:r w:rsidRPr="00716072">
        <w:t>323–335</w:t>
      </w:r>
      <w:r w:rsidR="00716072" w:rsidRPr="00716072">
        <w:t xml:space="preserve">. </w:t>
      </w:r>
      <w:r w:rsidR="001A6EF5" w:rsidRPr="00716072">
        <w:t>https://doi.org/10.1093/toxsci/kfq093.</w:t>
      </w:r>
    </w:p>
    <w:p w14:paraId="1FEF4D54" w14:textId="6F173CE8" w:rsidR="00D34FD7" w:rsidRDefault="00D34FD7" w:rsidP="00D34FD7">
      <w:pPr>
        <w:pStyle w:val="References"/>
      </w:pPr>
      <w:proofErr w:type="spellStart"/>
      <w:r>
        <w:t>Zender</w:t>
      </w:r>
      <w:proofErr w:type="spellEnd"/>
      <w:r>
        <w:t xml:space="preserve"> R, </w:t>
      </w:r>
      <w:proofErr w:type="spellStart"/>
      <w:r>
        <w:t>Bachand</w:t>
      </w:r>
      <w:proofErr w:type="spellEnd"/>
      <w:r>
        <w:t xml:space="preserve"> AM, </w:t>
      </w:r>
      <w:proofErr w:type="spellStart"/>
      <w:r>
        <w:t>Reif</w:t>
      </w:r>
      <w:proofErr w:type="spellEnd"/>
      <w:r>
        <w:t xml:space="preserve"> JS. 2001. Exposure to tap water during pregnancy. J Expo Anal Environ Epidemiol 11(3):224-230.</w:t>
      </w:r>
    </w:p>
    <w:p w14:paraId="1E99D292" w14:textId="532CBA72" w:rsidR="00434A20" w:rsidRDefault="00A716C8" w:rsidP="00A716C8">
      <w:pPr>
        <w:pStyle w:val="References"/>
      </w:pPr>
      <w:r w:rsidRPr="00716072">
        <w:t>Zheng C. 1990. MT3D: A Modular Three-Dimensional Transport Model for Simulation of Advection, Dispersion and Chemical Reactions of Contaminants in Groundwater Systems. Robert S. Kerr Environmental Research Laboratory, US Environmental Protection Agency, Ada, Oklahoma. October 1990.</w:t>
      </w:r>
    </w:p>
    <w:sectPr w:rsidR="00434A20" w:rsidSect="00EE58FC">
      <w:footerReference w:type="default" r:id="rId5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9858A" w14:textId="77777777" w:rsidR="00BD2E24" w:rsidRDefault="00BD2E24" w:rsidP="00150F76">
      <w:r>
        <w:separator/>
      </w:r>
    </w:p>
    <w:p w14:paraId="2FC4FE10" w14:textId="77777777" w:rsidR="00BD2E24" w:rsidRDefault="00BD2E24" w:rsidP="00150F76"/>
  </w:endnote>
  <w:endnote w:type="continuationSeparator" w:id="0">
    <w:p w14:paraId="24863D00" w14:textId="77777777" w:rsidR="00BD2E24" w:rsidRDefault="00BD2E24" w:rsidP="00150F76">
      <w:r>
        <w:continuationSeparator/>
      </w:r>
    </w:p>
    <w:p w14:paraId="4CDEE89D" w14:textId="77777777" w:rsidR="00BD2E24" w:rsidRDefault="00BD2E24" w:rsidP="00150F76"/>
  </w:endnote>
  <w:endnote w:type="continuationNotice" w:id="1">
    <w:p w14:paraId="632ABCF3" w14:textId="77777777" w:rsidR="00BD2E24" w:rsidRDefault="00BD2E24" w:rsidP="00150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dobe Caslon Pro">
    <w:altName w:val="Georgia"/>
    <w:panose1 w:val="00000000000000000000"/>
    <w:charset w:val="00"/>
    <w:family w:val="roman"/>
    <w:notTrueType/>
    <w:pitch w:val="variable"/>
    <w:sig w:usb0="800000AF" w:usb1="50002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EJOCHJ+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HelveticaNeueLT Std Cn">
    <w:altName w:val="Arial"/>
    <w:panose1 w:val="00000000000000000000"/>
    <w:charset w:val="00"/>
    <w:family w:val="swiss"/>
    <w:notTrueType/>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E80F3" w14:textId="13ACCEA0" w:rsidR="00C2588D" w:rsidRDefault="00C2588D" w:rsidP="000B3B13">
    <w:pPr>
      <w:pStyle w:val="Footer"/>
      <w:spacing w:after="0"/>
      <w:jc w:val="center"/>
    </w:pPr>
    <w:r w:rsidRPr="00561A58">
      <w:rPr>
        <w:rFonts w:ascii="Univers LT Std 47 Cn Lt" w:hAnsi="Univers LT Std 47 Cn Lt"/>
        <w:b/>
        <w:color w:val="009BA4"/>
        <w:spacing w:val="10"/>
        <w:sz w:val="18"/>
        <w:szCs w:val="18"/>
        <w:lang w:val="en-US"/>
      </w:rPr>
      <w:br/>
    </w:r>
    <w:r>
      <w:rPr>
        <w:rFonts w:ascii="Univers LT Std 47 Cn Lt" w:hAnsi="Univers LT Std 47 Cn Lt"/>
        <w:b/>
        <w:color w:val="009BA4"/>
        <w:spacing w:val="10"/>
        <w:sz w:val="18"/>
        <w:szCs w:val="18"/>
        <w:u w:val="single"/>
        <w:lang w:val="en-US"/>
      </w:rPr>
      <w:t>Contents</w:t>
    </w:r>
    <w:r w:rsidRPr="00DE7D96">
      <w:rPr>
        <w:rFonts w:ascii="Univers LT Std 47 Cn Lt" w:hAnsi="Univers LT Std 47 Cn Lt"/>
        <w:b/>
        <w:color w:val="009BA4"/>
        <w:spacing w:val="10"/>
        <w:sz w:val="18"/>
        <w:szCs w:val="18"/>
      </w:rPr>
      <w:t xml:space="preserve"> </w:t>
    </w:r>
    <w:r w:rsidRPr="00743BFC">
      <w:rPr>
        <w:rFonts w:ascii="Univers LT Std 47 Cn Lt" w:hAnsi="Univers LT Std 47 Cn Lt"/>
        <w:b/>
        <w:color w:val="009BA4"/>
        <w:spacing w:val="10"/>
        <w:sz w:val="18"/>
        <w:szCs w:val="18"/>
      </w:rPr>
      <w:t xml:space="preserve"> </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ii</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57FE0" w14:textId="1A3565EC" w:rsidR="00C2588D" w:rsidRDefault="00C2588D" w:rsidP="00325583">
    <w:pPr>
      <w:pStyle w:val="Footer"/>
      <w:jc w:val="center"/>
    </w:pPr>
    <w:r>
      <w:rPr>
        <w:rFonts w:ascii="Univers LT Std 47 Cn Lt" w:hAnsi="Univers LT Std 47 Cn Lt"/>
        <w:b/>
        <w:color w:val="009BA4"/>
        <w:spacing w:val="10"/>
        <w:sz w:val="18"/>
        <w:szCs w:val="18"/>
        <w:u w:val="single"/>
        <w:lang w:val="en-US"/>
      </w:rPr>
      <w:t>Discussion</w:t>
    </w:r>
    <w:r w:rsidRPr="00743BFC">
      <w:rPr>
        <w:rFonts w:ascii="Univers LT Std 47 Cn Lt" w:hAnsi="Univers LT Std 47 Cn Lt"/>
        <w:b/>
        <w:color w:val="009BA4"/>
        <w:spacing w:val="10"/>
        <w:sz w:val="18"/>
        <w:szCs w:val="18"/>
      </w:rPr>
      <w:t xml:space="preserve"> </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152</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7E06E" w14:textId="042C44A4" w:rsidR="00C2588D" w:rsidRDefault="00C2588D" w:rsidP="00325583">
    <w:pPr>
      <w:pStyle w:val="Footer"/>
      <w:jc w:val="center"/>
    </w:pPr>
    <w:r>
      <w:rPr>
        <w:rFonts w:ascii="Univers LT Std 47 Cn Lt" w:hAnsi="Univers LT Std 47 Cn Lt"/>
        <w:b/>
        <w:color w:val="009BA4"/>
        <w:spacing w:val="10"/>
        <w:sz w:val="18"/>
        <w:szCs w:val="18"/>
        <w:u w:val="single"/>
        <w:lang w:val="en-US"/>
      </w:rPr>
      <w:t>Conclusions</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154</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F2374" w14:textId="3307DC26" w:rsidR="00C2588D" w:rsidRDefault="00C2588D" w:rsidP="00325583">
    <w:pPr>
      <w:pStyle w:val="Footer"/>
      <w:jc w:val="center"/>
    </w:pPr>
    <w:r>
      <w:rPr>
        <w:rFonts w:ascii="Univers LT Std 47 Cn Lt" w:hAnsi="Univers LT Std 47 Cn Lt"/>
        <w:b/>
        <w:color w:val="009BA4"/>
        <w:spacing w:val="10"/>
        <w:sz w:val="18"/>
        <w:szCs w:val="18"/>
        <w:u w:val="single"/>
        <w:lang w:val="en-US"/>
      </w:rPr>
      <w:t>References</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175</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673561"/>
      <w:docPartObj>
        <w:docPartGallery w:val="Page Numbers (Bottom of Page)"/>
        <w:docPartUnique/>
      </w:docPartObj>
    </w:sdtPr>
    <w:sdtEndPr>
      <w:rPr>
        <w:noProof/>
      </w:rPr>
    </w:sdtEndPr>
    <w:sdtContent>
      <w:p w14:paraId="69529188" w14:textId="72E31D8F" w:rsidR="00C2588D" w:rsidRDefault="00C2588D">
        <w:pPr>
          <w:pStyle w:val="Footer"/>
          <w:jc w:val="center"/>
        </w:pPr>
      </w:p>
    </w:sdtContent>
  </w:sdt>
  <w:p w14:paraId="6B877306" w14:textId="77777777" w:rsidR="00C2588D" w:rsidRDefault="00C25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2CEB1" w14:textId="6D01C87D" w:rsidR="00C2588D" w:rsidRDefault="00C2588D" w:rsidP="004242FD">
    <w:pPr>
      <w:pStyle w:val="Footer"/>
      <w:jc w:val="center"/>
    </w:pPr>
    <w:r>
      <w:rPr>
        <w:rFonts w:ascii="Univers LT Std 47 Cn Lt" w:hAnsi="Univers LT Std 47 Cn Lt"/>
        <w:b/>
        <w:color w:val="009BA4"/>
        <w:spacing w:val="10"/>
        <w:sz w:val="18"/>
        <w:szCs w:val="18"/>
        <w:u w:val="single"/>
        <w:lang w:val="en-US"/>
      </w:rPr>
      <w:t>Acknowledgements</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i</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B435F" w14:textId="77777777" w:rsidR="00C2588D" w:rsidRDefault="00C2588D" w:rsidP="004242FD">
    <w:pPr>
      <w:pStyle w:val="Footer"/>
      <w:jc w:val="center"/>
    </w:pPr>
    <w:r>
      <w:rPr>
        <w:rFonts w:ascii="Univers LT Std 47 Cn Lt" w:hAnsi="Univers LT Std 47 Cn Lt"/>
        <w:b/>
        <w:color w:val="009BA4"/>
        <w:spacing w:val="10"/>
        <w:sz w:val="18"/>
        <w:szCs w:val="18"/>
        <w:u w:val="single"/>
        <w:lang w:val="en-US"/>
      </w:rPr>
      <w:t>Contents</w:t>
    </w:r>
    <w:r w:rsidRPr="00DE7D96">
      <w:rPr>
        <w:rFonts w:ascii="Univers LT Std 47 Cn Lt" w:hAnsi="Univers LT Std 47 Cn Lt"/>
        <w:b/>
        <w:color w:val="009BA4"/>
        <w:spacing w:val="10"/>
        <w:sz w:val="18"/>
        <w:szCs w:val="18"/>
      </w:rPr>
      <w:t xml:space="preserve"> </w:t>
    </w:r>
    <w:r w:rsidRPr="00743BFC">
      <w:rPr>
        <w:rFonts w:ascii="Univers LT Std 47 Cn Lt" w:hAnsi="Univers LT Std 47 Cn Lt"/>
        <w:b/>
        <w:color w:val="009BA4"/>
        <w:spacing w:val="10"/>
        <w:sz w:val="18"/>
        <w:szCs w:val="18"/>
      </w:rPr>
      <w:t xml:space="preserve"> </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ii</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4F6F4" w14:textId="565FD92B" w:rsidR="00C2588D" w:rsidRDefault="00C2588D" w:rsidP="00325583">
    <w:pPr>
      <w:pStyle w:val="Footer"/>
      <w:jc w:val="center"/>
    </w:pPr>
    <w:r>
      <w:rPr>
        <w:rFonts w:ascii="Univers LT Std 47 Cn Lt" w:hAnsi="Univers LT Std 47 Cn Lt"/>
        <w:b/>
        <w:color w:val="009BA4"/>
        <w:spacing w:val="10"/>
        <w:sz w:val="18"/>
        <w:szCs w:val="18"/>
        <w:lang w:val="en-US"/>
      </w:rPr>
      <w:t>Executive Summary</w:t>
    </w:r>
    <w:r w:rsidRPr="00DE7D96">
      <w:rPr>
        <w:rFonts w:ascii="Univers LT Std 47 Cn Lt" w:hAnsi="Univers LT Std 47 Cn Lt"/>
        <w:b/>
        <w:color w:val="009BA4"/>
        <w:spacing w:val="10"/>
        <w:sz w:val="18"/>
        <w:szCs w:val="18"/>
      </w:rPr>
      <w:t xml:space="preserve"> </w:t>
    </w:r>
    <w:r w:rsidRPr="00743BFC">
      <w:rPr>
        <w:rFonts w:ascii="Univers LT Std 47 Cn Lt" w:hAnsi="Univers LT Std 47 Cn Lt"/>
        <w:b/>
        <w:color w:val="009BA4"/>
        <w:spacing w:val="10"/>
        <w:sz w:val="18"/>
        <w:szCs w:val="18"/>
      </w:rPr>
      <w:t xml:space="preserve"> </w:t>
    </w:r>
    <w:r>
      <w:rPr>
        <w:rFonts w:ascii="Univers LT Std 47 Cn Lt" w:hAnsi="Univers LT Std 47 Cn Lt"/>
        <w:b/>
        <w:color w:val="009BA4"/>
        <w:spacing w:val="10"/>
        <w:sz w:val="18"/>
        <w:szCs w:val="18"/>
        <w:lang w:val="en-US"/>
      </w:rPr>
      <w:br/>
    </w:r>
    <w:r w:rsidRPr="0029648E">
      <w:rPr>
        <w:rFonts w:ascii="Arial" w:hAnsi="Arial" w:cs="Arial"/>
        <w:sz w:val="17"/>
        <w:szCs w:val="17"/>
      </w:rPr>
      <w:t>│</w:t>
    </w:r>
    <w:r w:rsidRPr="00A05FCD">
      <w:rPr>
        <w:rFonts w:ascii="Arial" w:hAnsi="Arial" w:cs="Arial"/>
        <w:color w:val="808080" w:themeColor="background1" w:themeShade="80"/>
        <w:sz w:val="17"/>
        <w:szCs w:val="17"/>
      </w:rPr>
      <w:t xml:space="preserve"> </w:t>
    </w:r>
    <w:r w:rsidRPr="00A05FCD">
      <w:rPr>
        <w:rFonts w:ascii="HelveticaNeueLT Std Cn" w:hAnsi="HelveticaNeueLT Std Cn" w:cs="Arial"/>
        <w:color w:val="808080" w:themeColor="background1" w:themeShade="80"/>
        <w:sz w:val="18"/>
        <w:szCs w:val="18"/>
        <w:lang w:val="en-US"/>
      </w:rPr>
      <w:t>ES</w:t>
    </w:r>
    <w:r w:rsidRPr="007110BC">
      <w:rPr>
        <w:rFonts w:ascii="HelveticaNeueLT Std Cn" w:hAnsi="HelveticaNeueLT Std Cn" w:cs="Arial"/>
        <w:sz w:val="18"/>
        <w:szCs w:val="18"/>
        <w:lang w:val="en-US"/>
      </w:rPr>
      <w:t>-</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16</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AE1B4" w14:textId="2A1EEBC0" w:rsidR="00C2588D" w:rsidRDefault="00C2588D" w:rsidP="00325583">
    <w:pPr>
      <w:pStyle w:val="Footer"/>
      <w:jc w:val="center"/>
    </w:pPr>
    <w:r>
      <w:rPr>
        <w:rFonts w:ascii="Univers LT Std 47 Cn Lt" w:hAnsi="Univers LT Std 47 Cn Lt"/>
        <w:b/>
        <w:color w:val="009BA4"/>
        <w:spacing w:val="10"/>
        <w:sz w:val="18"/>
        <w:szCs w:val="18"/>
        <w:lang w:val="en-US"/>
      </w:rPr>
      <w:t>Goals and Objectives</w:t>
    </w:r>
    <w:r w:rsidRPr="00DE7D96">
      <w:rPr>
        <w:rFonts w:ascii="Univers LT Std 47 Cn Lt" w:hAnsi="Univers LT Std 47 Cn Lt"/>
        <w:b/>
        <w:color w:val="009BA4"/>
        <w:spacing w:val="10"/>
        <w:sz w:val="18"/>
        <w:szCs w:val="18"/>
      </w:rPr>
      <w:t xml:space="preserve"> </w:t>
    </w:r>
    <w:r w:rsidRPr="00743BFC">
      <w:rPr>
        <w:rFonts w:ascii="Univers LT Std 47 Cn Lt" w:hAnsi="Univers LT Std 47 Cn Lt"/>
        <w:b/>
        <w:color w:val="009BA4"/>
        <w:spacing w:val="10"/>
        <w:sz w:val="18"/>
        <w:szCs w:val="18"/>
      </w:rPr>
      <w:t xml:space="preserve"> </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7</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8A6" w14:textId="0E52307C" w:rsidR="00C2588D" w:rsidRDefault="00C2588D" w:rsidP="00325583">
    <w:pPr>
      <w:pStyle w:val="Footer"/>
      <w:jc w:val="center"/>
    </w:pPr>
    <w:r>
      <w:rPr>
        <w:rFonts w:ascii="Univers LT Std 47 Cn Lt" w:hAnsi="Univers LT Std 47 Cn Lt"/>
        <w:b/>
        <w:color w:val="009BA4"/>
        <w:spacing w:val="10"/>
        <w:sz w:val="18"/>
        <w:szCs w:val="18"/>
        <w:u w:val="single"/>
        <w:lang w:val="en-US"/>
      </w:rPr>
      <w:t>Background</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46</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48125" w14:textId="2CA18A3B" w:rsidR="00C2588D" w:rsidRDefault="00C2588D" w:rsidP="00325583">
    <w:pPr>
      <w:pStyle w:val="Footer"/>
      <w:jc w:val="center"/>
    </w:pPr>
    <w:r>
      <w:rPr>
        <w:rFonts w:ascii="Univers LT Std 47 Cn Lt" w:hAnsi="Univers LT Std 47 Cn Lt"/>
        <w:b/>
        <w:color w:val="009BA4"/>
        <w:spacing w:val="10"/>
        <w:sz w:val="18"/>
        <w:szCs w:val="18"/>
        <w:u w:val="single"/>
        <w:lang w:val="en-US"/>
      </w:rPr>
      <w:t>Methods</w:t>
    </w:r>
    <w:r w:rsidRPr="00743BFC">
      <w:rPr>
        <w:rFonts w:ascii="Univers LT Std 47 Cn Lt" w:hAnsi="Univers LT Std 47 Cn Lt"/>
        <w:b/>
        <w:color w:val="009BA4"/>
        <w:spacing w:val="10"/>
        <w:sz w:val="18"/>
        <w:szCs w:val="18"/>
      </w:rPr>
      <w:t xml:space="preserve"> </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74</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E7FBD" w14:textId="2A18A816" w:rsidR="00C2588D" w:rsidRDefault="00C2588D" w:rsidP="00325583">
    <w:pPr>
      <w:pStyle w:val="Footer"/>
      <w:jc w:val="center"/>
    </w:pPr>
    <w:r>
      <w:rPr>
        <w:rFonts w:ascii="Univers LT Std 47 Cn Lt" w:hAnsi="Univers LT Std 47 Cn Lt"/>
        <w:b/>
        <w:color w:val="009BA4"/>
        <w:spacing w:val="10"/>
        <w:sz w:val="18"/>
        <w:szCs w:val="18"/>
        <w:u w:val="single"/>
        <w:lang w:val="en-US"/>
      </w:rPr>
      <w:t>Results</w:t>
    </w:r>
    <w:r w:rsidRPr="00743BFC">
      <w:rPr>
        <w:rFonts w:ascii="Univers LT Std 47 Cn Lt" w:hAnsi="Univers LT Std 47 Cn Lt"/>
        <w:b/>
        <w:color w:val="009BA4"/>
        <w:spacing w:val="10"/>
        <w:sz w:val="18"/>
        <w:szCs w:val="18"/>
      </w:rPr>
      <w:t xml:space="preserve"> </w:t>
    </w:r>
    <w:r>
      <w:rPr>
        <w:rFonts w:ascii="Univers LT Std 47 Cn Lt" w:hAnsi="Univers LT Std 47 Cn Lt"/>
        <w:b/>
        <w:color w:val="009BA4"/>
        <w:spacing w:val="10"/>
        <w:sz w:val="18"/>
        <w:szCs w:val="18"/>
        <w:lang w:val="en-US"/>
      </w:rPr>
      <w:br/>
    </w:r>
    <w:r w:rsidRPr="0029648E">
      <w:rPr>
        <w:rFonts w:ascii="Arial" w:hAnsi="Arial" w:cs="Arial"/>
        <w:sz w:val="17"/>
        <w:szCs w:val="17"/>
      </w:rPr>
      <w:t>│</w:t>
    </w:r>
    <w:r>
      <w:rPr>
        <w:rFonts w:ascii="Arial" w:hAnsi="Arial" w:cs="Arial"/>
        <w:sz w:val="17"/>
        <w:szCs w:val="17"/>
      </w:rPr>
      <w:t xml:space="preserve"> </w:t>
    </w:r>
    <w:r w:rsidRPr="00324828">
      <w:rPr>
        <w:rFonts w:ascii="HelveticaNeueLT Std Cn" w:hAnsi="HelveticaNeueLT Std Cn"/>
        <w:b/>
        <w:color w:val="7F7F7F" w:themeColor="text1" w:themeTint="80"/>
        <w:sz w:val="18"/>
        <w:szCs w:val="18"/>
      </w:rPr>
      <w:fldChar w:fldCharType="begin"/>
    </w:r>
    <w:r w:rsidRPr="00324828">
      <w:rPr>
        <w:rFonts w:ascii="HelveticaNeueLT Std Cn" w:hAnsi="HelveticaNeueLT Std Cn"/>
        <w:b/>
        <w:color w:val="7F7F7F" w:themeColor="text1" w:themeTint="80"/>
        <w:sz w:val="18"/>
        <w:szCs w:val="18"/>
      </w:rPr>
      <w:instrText xml:space="preserve"> PAGE   \* MERGEFORMAT </w:instrText>
    </w:r>
    <w:r w:rsidRPr="00324828">
      <w:rPr>
        <w:rFonts w:ascii="HelveticaNeueLT Std Cn" w:hAnsi="HelveticaNeueLT Std Cn"/>
        <w:b/>
        <w:color w:val="7F7F7F" w:themeColor="text1" w:themeTint="80"/>
        <w:sz w:val="18"/>
        <w:szCs w:val="18"/>
      </w:rPr>
      <w:fldChar w:fldCharType="separate"/>
    </w:r>
    <w:r>
      <w:rPr>
        <w:rFonts w:ascii="HelveticaNeueLT Std Cn" w:hAnsi="HelveticaNeueLT Std Cn"/>
        <w:b/>
        <w:noProof/>
        <w:color w:val="7F7F7F" w:themeColor="text1" w:themeTint="80"/>
        <w:sz w:val="18"/>
        <w:szCs w:val="18"/>
      </w:rPr>
      <w:t>130</w:t>
    </w:r>
    <w:r w:rsidRPr="00324828">
      <w:rPr>
        <w:rFonts w:ascii="HelveticaNeueLT Std Cn" w:hAnsi="HelveticaNeueLT Std Cn"/>
        <w:b/>
        <w:noProof/>
        <w:color w:val="7F7F7F" w:themeColor="text1" w:themeTint="80"/>
        <w:sz w:val="18"/>
        <w:szCs w:val="18"/>
      </w:rPr>
      <w:fldChar w:fldCharType="end"/>
    </w:r>
    <w:r>
      <w:rPr>
        <w:rFonts w:ascii="HelveticaNeueLT Std Lt" w:hAnsi="HelveticaNeueLT Std Lt"/>
        <w:b/>
        <w:noProof/>
        <w:sz w:val="17"/>
        <w:szCs w:val="17"/>
      </w:rPr>
      <w:t xml:space="preserve"> </w:t>
    </w:r>
    <w:r w:rsidRPr="0029648E">
      <w:rPr>
        <w:rFonts w:ascii="Arial" w:hAnsi="Arial" w:cs="Arial"/>
        <w:sz w:val="17"/>
        <w:szCs w:val="17"/>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1AA35" w14:textId="77777777" w:rsidR="00BD2E24" w:rsidRDefault="00BD2E24" w:rsidP="00150F76">
      <w:r>
        <w:separator/>
      </w:r>
    </w:p>
    <w:p w14:paraId="3EDB872D" w14:textId="77777777" w:rsidR="00BD2E24" w:rsidRDefault="00BD2E24" w:rsidP="00150F76"/>
  </w:footnote>
  <w:footnote w:type="continuationSeparator" w:id="0">
    <w:p w14:paraId="7C8E5F5A" w14:textId="77777777" w:rsidR="00BD2E24" w:rsidRDefault="00BD2E24" w:rsidP="00150F76">
      <w:r>
        <w:continuationSeparator/>
      </w:r>
    </w:p>
    <w:p w14:paraId="7CECFD0C" w14:textId="77777777" w:rsidR="00BD2E24" w:rsidRDefault="00BD2E24" w:rsidP="00150F76"/>
  </w:footnote>
  <w:footnote w:type="continuationNotice" w:id="1">
    <w:p w14:paraId="70FF6E8F" w14:textId="77777777" w:rsidR="00BD2E24" w:rsidRDefault="00BD2E24" w:rsidP="00150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2BFC2" w14:textId="77777777" w:rsidR="00C2588D" w:rsidRDefault="00C258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name w:val="AutoList1"/>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1E3376"/>
    <w:multiLevelType w:val="hybridMultilevel"/>
    <w:tmpl w:val="105E5A04"/>
    <w:lvl w:ilvl="0" w:tplc="440CECC0">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 w15:restartNumberingAfterBreak="0">
    <w:nsid w:val="04F14B6D"/>
    <w:multiLevelType w:val="hybridMultilevel"/>
    <w:tmpl w:val="D01AF77A"/>
    <w:lvl w:ilvl="0" w:tplc="A1D61696">
      <w:start w:val="1"/>
      <w:numFmt w:val="decimal"/>
      <w:lvlText w:val="%1."/>
      <w:lvlJc w:val="left"/>
      <w:pPr>
        <w:tabs>
          <w:tab w:val="num" w:pos="720"/>
        </w:tabs>
        <w:ind w:left="720" w:hanging="360"/>
      </w:pPr>
      <w:rPr>
        <w:rFonts w:ascii="Adobe Caslon Pro" w:hAnsi="Adobe Caslon Pro"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8F5463"/>
    <w:multiLevelType w:val="hybridMultilevel"/>
    <w:tmpl w:val="F1E20DEA"/>
    <w:lvl w:ilvl="0" w:tplc="77C675DC">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707CB6"/>
    <w:multiLevelType w:val="hybridMultilevel"/>
    <w:tmpl w:val="34E6ABCC"/>
    <w:lvl w:ilvl="0" w:tplc="EDB4C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86642"/>
    <w:multiLevelType w:val="hybridMultilevel"/>
    <w:tmpl w:val="7F788A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9C04808"/>
    <w:multiLevelType w:val="hybridMultilevel"/>
    <w:tmpl w:val="B48CFC06"/>
    <w:lvl w:ilvl="0" w:tplc="FACE51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E43395"/>
    <w:multiLevelType w:val="hybridMultilevel"/>
    <w:tmpl w:val="4CA01EC8"/>
    <w:lvl w:ilvl="0" w:tplc="21869332">
      <w:start w:val="1"/>
      <w:numFmt w:val="bullet"/>
      <w:lvlText w:val=""/>
      <w:lvlJc w:val="left"/>
      <w:pPr>
        <w:tabs>
          <w:tab w:val="num" w:pos="720"/>
        </w:tabs>
        <w:ind w:left="720" w:hanging="360"/>
      </w:pPr>
      <w:rPr>
        <w:rFonts w:ascii="Symbol" w:hAnsi="Symbol" w:hint="default"/>
        <w:sz w:val="20"/>
      </w:rPr>
    </w:lvl>
    <w:lvl w:ilvl="1" w:tplc="8F7C083A" w:tentative="1">
      <w:start w:val="1"/>
      <w:numFmt w:val="bullet"/>
      <w:lvlText w:val="o"/>
      <w:lvlJc w:val="left"/>
      <w:pPr>
        <w:tabs>
          <w:tab w:val="num" w:pos="1440"/>
        </w:tabs>
        <w:ind w:left="1440" w:hanging="360"/>
      </w:pPr>
      <w:rPr>
        <w:rFonts w:ascii="Courier New" w:hAnsi="Courier New" w:hint="default"/>
        <w:sz w:val="20"/>
      </w:rPr>
    </w:lvl>
    <w:lvl w:ilvl="2" w:tplc="02328762" w:tentative="1">
      <w:start w:val="1"/>
      <w:numFmt w:val="bullet"/>
      <w:lvlText w:val=""/>
      <w:lvlJc w:val="left"/>
      <w:pPr>
        <w:tabs>
          <w:tab w:val="num" w:pos="2160"/>
        </w:tabs>
        <w:ind w:left="2160" w:hanging="360"/>
      </w:pPr>
      <w:rPr>
        <w:rFonts w:ascii="Wingdings" w:hAnsi="Wingdings" w:hint="default"/>
        <w:sz w:val="20"/>
      </w:rPr>
    </w:lvl>
    <w:lvl w:ilvl="3" w:tplc="3962B99C" w:tentative="1">
      <w:start w:val="1"/>
      <w:numFmt w:val="bullet"/>
      <w:lvlText w:val=""/>
      <w:lvlJc w:val="left"/>
      <w:pPr>
        <w:tabs>
          <w:tab w:val="num" w:pos="2880"/>
        </w:tabs>
        <w:ind w:left="2880" w:hanging="360"/>
      </w:pPr>
      <w:rPr>
        <w:rFonts w:ascii="Wingdings" w:hAnsi="Wingdings" w:hint="default"/>
        <w:sz w:val="20"/>
      </w:rPr>
    </w:lvl>
    <w:lvl w:ilvl="4" w:tplc="2438E4F6" w:tentative="1">
      <w:start w:val="1"/>
      <w:numFmt w:val="bullet"/>
      <w:lvlText w:val=""/>
      <w:lvlJc w:val="left"/>
      <w:pPr>
        <w:tabs>
          <w:tab w:val="num" w:pos="3600"/>
        </w:tabs>
        <w:ind w:left="3600" w:hanging="360"/>
      </w:pPr>
      <w:rPr>
        <w:rFonts w:ascii="Wingdings" w:hAnsi="Wingdings" w:hint="default"/>
        <w:sz w:val="20"/>
      </w:rPr>
    </w:lvl>
    <w:lvl w:ilvl="5" w:tplc="658C1450" w:tentative="1">
      <w:start w:val="1"/>
      <w:numFmt w:val="bullet"/>
      <w:lvlText w:val=""/>
      <w:lvlJc w:val="left"/>
      <w:pPr>
        <w:tabs>
          <w:tab w:val="num" w:pos="4320"/>
        </w:tabs>
        <w:ind w:left="4320" w:hanging="360"/>
      </w:pPr>
      <w:rPr>
        <w:rFonts w:ascii="Wingdings" w:hAnsi="Wingdings" w:hint="default"/>
        <w:sz w:val="20"/>
      </w:rPr>
    </w:lvl>
    <w:lvl w:ilvl="6" w:tplc="936407C0" w:tentative="1">
      <w:start w:val="1"/>
      <w:numFmt w:val="bullet"/>
      <w:lvlText w:val=""/>
      <w:lvlJc w:val="left"/>
      <w:pPr>
        <w:tabs>
          <w:tab w:val="num" w:pos="5040"/>
        </w:tabs>
        <w:ind w:left="5040" w:hanging="360"/>
      </w:pPr>
      <w:rPr>
        <w:rFonts w:ascii="Wingdings" w:hAnsi="Wingdings" w:hint="default"/>
        <w:sz w:val="20"/>
      </w:rPr>
    </w:lvl>
    <w:lvl w:ilvl="7" w:tplc="98E2802A" w:tentative="1">
      <w:start w:val="1"/>
      <w:numFmt w:val="bullet"/>
      <w:lvlText w:val=""/>
      <w:lvlJc w:val="left"/>
      <w:pPr>
        <w:tabs>
          <w:tab w:val="num" w:pos="5760"/>
        </w:tabs>
        <w:ind w:left="5760" w:hanging="360"/>
      </w:pPr>
      <w:rPr>
        <w:rFonts w:ascii="Wingdings" w:hAnsi="Wingdings" w:hint="default"/>
        <w:sz w:val="20"/>
      </w:rPr>
    </w:lvl>
    <w:lvl w:ilvl="8" w:tplc="38BAA8E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B95936"/>
    <w:multiLevelType w:val="hybridMultilevel"/>
    <w:tmpl w:val="E4D66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09731C"/>
    <w:multiLevelType w:val="hybridMultilevel"/>
    <w:tmpl w:val="8C7E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D31D5"/>
    <w:multiLevelType w:val="hybridMultilevel"/>
    <w:tmpl w:val="F6C2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C7426"/>
    <w:multiLevelType w:val="hybridMultilevel"/>
    <w:tmpl w:val="D1E279DA"/>
    <w:lvl w:ilvl="0" w:tplc="534E6764">
      <w:start w:val="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163E7"/>
    <w:multiLevelType w:val="singleLevel"/>
    <w:tmpl w:val="1E38BA68"/>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7965AB0"/>
    <w:multiLevelType w:val="hybridMultilevel"/>
    <w:tmpl w:val="CDAE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B4330"/>
    <w:multiLevelType w:val="hybridMultilevel"/>
    <w:tmpl w:val="E7E4E0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B7318E1"/>
    <w:multiLevelType w:val="multilevel"/>
    <w:tmpl w:val="4C7A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F5565"/>
    <w:multiLevelType w:val="hybridMultilevel"/>
    <w:tmpl w:val="440269FA"/>
    <w:lvl w:ilvl="0" w:tplc="EA322C20">
      <w:start w:val="1985"/>
      <w:numFmt w:val="decimal"/>
      <w:lvlText w:val="%1"/>
      <w:lvlJc w:val="left"/>
      <w:pPr>
        <w:ind w:left="2550" w:hanging="48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15:restartNumberingAfterBreak="0">
    <w:nsid w:val="31BA5C44"/>
    <w:multiLevelType w:val="hybridMultilevel"/>
    <w:tmpl w:val="9DC649C0"/>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99458A"/>
    <w:multiLevelType w:val="hybridMultilevel"/>
    <w:tmpl w:val="325EC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015419"/>
    <w:multiLevelType w:val="multilevel"/>
    <w:tmpl w:val="280E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F5844"/>
    <w:multiLevelType w:val="hybridMultilevel"/>
    <w:tmpl w:val="C990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3574C"/>
    <w:multiLevelType w:val="hybridMultilevel"/>
    <w:tmpl w:val="9BE2A15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BA97F4A"/>
    <w:multiLevelType w:val="hybridMultilevel"/>
    <w:tmpl w:val="AE5EC850"/>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F061AA0"/>
    <w:multiLevelType w:val="singleLevel"/>
    <w:tmpl w:val="1E38BA68"/>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F264439"/>
    <w:multiLevelType w:val="hybridMultilevel"/>
    <w:tmpl w:val="52E21528"/>
    <w:lvl w:ilvl="0" w:tplc="77C675DC">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90230E"/>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4454CCD1"/>
    <w:multiLevelType w:val="hybridMultilevel"/>
    <w:tmpl w:val="492A00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75F46E0"/>
    <w:multiLevelType w:val="hybridMultilevel"/>
    <w:tmpl w:val="644A06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E630A3"/>
    <w:multiLevelType w:val="hybridMultilevel"/>
    <w:tmpl w:val="4FF4B5A0"/>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9" w15:restartNumberingAfterBreak="0">
    <w:nsid w:val="5229481C"/>
    <w:multiLevelType w:val="hybridMultilevel"/>
    <w:tmpl w:val="58DEB8EE"/>
    <w:lvl w:ilvl="0" w:tplc="30404F1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A01FB"/>
    <w:multiLevelType w:val="hybridMultilevel"/>
    <w:tmpl w:val="76D8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5447F6"/>
    <w:multiLevelType w:val="hybridMultilevel"/>
    <w:tmpl w:val="510E17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952127"/>
    <w:multiLevelType w:val="hybridMultilevel"/>
    <w:tmpl w:val="6102ED8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ambria Math"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Math"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Math"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90478"/>
    <w:multiLevelType w:val="hybridMultilevel"/>
    <w:tmpl w:val="AF3E8816"/>
    <w:lvl w:ilvl="0" w:tplc="24A2D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B1F89"/>
    <w:multiLevelType w:val="hybridMultilevel"/>
    <w:tmpl w:val="C1E29078"/>
    <w:lvl w:ilvl="0" w:tplc="D1867D38">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894D85"/>
    <w:multiLevelType w:val="hybridMultilevel"/>
    <w:tmpl w:val="40EC289E"/>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41393A"/>
    <w:multiLevelType w:val="hybridMultilevel"/>
    <w:tmpl w:val="76EC9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786D12"/>
    <w:multiLevelType w:val="singleLevel"/>
    <w:tmpl w:val="1E38BA68"/>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74CD2B24"/>
    <w:multiLevelType w:val="hybridMultilevel"/>
    <w:tmpl w:val="0FB4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21499C"/>
    <w:multiLevelType w:val="hybridMultilevel"/>
    <w:tmpl w:val="1A14F388"/>
    <w:lvl w:ilvl="0" w:tplc="9AB20826">
      <w:start w:val="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44A6B"/>
    <w:multiLevelType w:val="hybridMultilevel"/>
    <w:tmpl w:val="E2DE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2"/>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2"/>
  </w:num>
  <w:num w:numId="7">
    <w:abstractNumId w:val="37"/>
  </w:num>
  <w:num w:numId="8">
    <w:abstractNumId w:val="32"/>
  </w:num>
  <w:num w:numId="9">
    <w:abstractNumId w:val="35"/>
  </w:num>
  <w:num w:numId="10">
    <w:abstractNumId w:val="22"/>
  </w:num>
  <w:num w:numId="11">
    <w:abstractNumId w:val="21"/>
  </w:num>
  <w:num w:numId="12">
    <w:abstractNumId w:val="15"/>
  </w:num>
  <w:num w:numId="13">
    <w:abstractNumId w:val="19"/>
  </w:num>
  <w:num w:numId="14">
    <w:abstractNumId w:val="17"/>
  </w:num>
  <w:num w:numId="15">
    <w:abstractNumId w:val="7"/>
  </w:num>
  <w:num w:numId="16">
    <w:abstractNumId w:val="26"/>
  </w:num>
  <w:num w:numId="17">
    <w:abstractNumId w:val="14"/>
  </w:num>
  <w:num w:numId="18">
    <w:abstractNumId w:val="27"/>
  </w:num>
  <w:num w:numId="19">
    <w:abstractNumId w:val="6"/>
  </w:num>
  <w:num w:numId="20">
    <w:abstractNumId w:val="34"/>
  </w:num>
  <w:num w:numId="21">
    <w:abstractNumId w:val="1"/>
  </w:num>
  <w:num w:numId="22">
    <w:abstractNumId w:val="29"/>
  </w:num>
  <w:num w:numId="23">
    <w:abstractNumId w:val="4"/>
  </w:num>
  <w:num w:numId="24">
    <w:abstractNumId w:val="33"/>
  </w:num>
  <w:num w:numId="25">
    <w:abstractNumId w:val="16"/>
  </w:num>
  <w:num w:numId="26">
    <w:abstractNumId w:val="36"/>
  </w:num>
  <w:num w:numId="27">
    <w:abstractNumId w:val="30"/>
  </w:num>
  <w:num w:numId="28">
    <w:abstractNumId w:val="39"/>
  </w:num>
  <w:num w:numId="29">
    <w:abstractNumId w:val="11"/>
  </w:num>
  <w:num w:numId="30">
    <w:abstractNumId w:val="38"/>
  </w:num>
  <w:num w:numId="31">
    <w:abstractNumId w:val="5"/>
  </w:num>
  <w:num w:numId="32">
    <w:abstractNumId w:val="24"/>
  </w:num>
  <w:num w:numId="33">
    <w:abstractNumId w:val="18"/>
  </w:num>
  <w:num w:numId="34">
    <w:abstractNumId w:val="13"/>
  </w:num>
  <w:num w:numId="35">
    <w:abstractNumId w:val="9"/>
  </w:num>
  <w:num w:numId="36">
    <w:abstractNumId w:val="28"/>
  </w:num>
  <w:num w:numId="37">
    <w:abstractNumId w:val="3"/>
  </w:num>
  <w:num w:numId="38">
    <w:abstractNumId w:val="0"/>
    <w:lvlOverride w:ilvl="0">
      <w:lvl w:ilvl="0">
        <w:start w:val="1"/>
        <w:numFmt w:val="decimal"/>
        <w:pStyle w:val="Level1"/>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39">
    <w:abstractNumId w:val="10"/>
  </w:num>
  <w:num w:numId="40">
    <w:abstractNumId w:val="8"/>
  </w:num>
  <w:num w:numId="41">
    <w:abstractNumId w:val="20"/>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LMwNjQzMLY0tjRU0lEKTi0uzszPAykwrQUAf3mHqywAAAA="/>
  </w:docVars>
  <w:rsids>
    <w:rsidRoot w:val="00327FC1"/>
    <w:rsid w:val="00000576"/>
    <w:rsid w:val="00000E19"/>
    <w:rsid w:val="00000E30"/>
    <w:rsid w:val="000015F7"/>
    <w:rsid w:val="0000177E"/>
    <w:rsid w:val="00002136"/>
    <w:rsid w:val="00002BD9"/>
    <w:rsid w:val="0000383E"/>
    <w:rsid w:val="00004BA6"/>
    <w:rsid w:val="0000548D"/>
    <w:rsid w:val="00005C06"/>
    <w:rsid w:val="0000604D"/>
    <w:rsid w:val="000104DC"/>
    <w:rsid w:val="00010A46"/>
    <w:rsid w:val="00011100"/>
    <w:rsid w:val="000122EF"/>
    <w:rsid w:val="00012901"/>
    <w:rsid w:val="000139F4"/>
    <w:rsid w:val="00015164"/>
    <w:rsid w:val="000154D2"/>
    <w:rsid w:val="00016EDB"/>
    <w:rsid w:val="000205C0"/>
    <w:rsid w:val="000215EC"/>
    <w:rsid w:val="00021615"/>
    <w:rsid w:val="000227F9"/>
    <w:rsid w:val="00022BA0"/>
    <w:rsid w:val="00023483"/>
    <w:rsid w:val="0002403E"/>
    <w:rsid w:val="00025CB7"/>
    <w:rsid w:val="0002648B"/>
    <w:rsid w:val="00026642"/>
    <w:rsid w:val="0002670B"/>
    <w:rsid w:val="00026D0A"/>
    <w:rsid w:val="00027591"/>
    <w:rsid w:val="00027E67"/>
    <w:rsid w:val="00030233"/>
    <w:rsid w:val="0003030A"/>
    <w:rsid w:val="00030AD9"/>
    <w:rsid w:val="00030C2E"/>
    <w:rsid w:val="000316D9"/>
    <w:rsid w:val="000322FD"/>
    <w:rsid w:val="0003300C"/>
    <w:rsid w:val="00034232"/>
    <w:rsid w:val="000342D7"/>
    <w:rsid w:val="00035103"/>
    <w:rsid w:val="000352AF"/>
    <w:rsid w:val="000355BB"/>
    <w:rsid w:val="00035BB3"/>
    <w:rsid w:val="00036165"/>
    <w:rsid w:val="00037C9C"/>
    <w:rsid w:val="00037D48"/>
    <w:rsid w:val="00040436"/>
    <w:rsid w:val="00040F96"/>
    <w:rsid w:val="000420AE"/>
    <w:rsid w:val="00042181"/>
    <w:rsid w:val="00042BBA"/>
    <w:rsid w:val="0004305E"/>
    <w:rsid w:val="00044139"/>
    <w:rsid w:val="00044652"/>
    <w:rsid w:val="00044F9F"/>
    <w:rsid w:val="00046614"/>
    <w:rsid w:val="00046A11"/>
    <w:rsid w:val="00050538"/>
    <w:rsid w:val="000511BC"/>
    <w:rsid w:val="000512C7"/>
    <w:rsid w:val="000538CE"/>
    <w:rsid w:val="00053AEC"/>
    <w:rsid w:val="00053BD8"/>
    <w:rsid w:val="00054B3A"/>
    <w:rsid w:val="00054BFE"/>
    <w:rsid w:val="00054E17"/>
    <w:rsid w:val="00055FB0"/>
    <w:rsid w:val="000563AB"/>
    <w:rsid w:val="000576BA"/>
    <w:rsid w:val="00057790"/>
    <w:rsid w:val="0005797F"/>
    <w:rsid w:val="00057ED5"/>
    <w:rsid w:val="0006092A"/>
    <w:rsid w:val="000610D7"/>
    <w:rsid w:val="00062472"/>
    <w:rsid w:val="00063B90"/>
    <w:rsid w:val="000645A5"/>
    <w:rsid w:val="00064BC1"/>
    <w:rsid w:val="00065739"/>
    <w:rsid w:val="0006689A"/>
    <w:rsid w:val="000674C1"/>
    <w:rsid w:val="00067F08"/>
    <w:rsid w:val="000707B4"/>
    <w:rsid w:val="0007349B"/>
    <w:rsid w:val="000736F2"/>
    <w:rsid w:val="000740CA"/>
    <w:rsid w:val="00074857"/>
    <w:rsid w:val="00074905"/>
    <w:rsid w:val="00074E6B"/>
    <w:rsid w:val="000755AA"/>
    <w:rsid w:val="000756F0"/>
    <w:rsid w:val="00076187"/>
    <w:rsid w:val="000763F3"/>
    <w:rsid w:val="0007647F"/>
    <w:rsid w:val="00076554"/>
    <w:rsid w:val="000777A9"/>
    <w:rsid w:val="000777C2"/>
    <w:rsid w:val="00080320"/>
    <w:rsid w:val="00080AD4"/>
    <w:rsid w:val="00082D47"/>
    <w:rsid w:val="00083B82"/>
    <w:rsid w:val="00085EA1"/>
    <w:rsid w:val="000860CA"/>
    <w:rsid w:val="000869E5"/>
    <w:rsid w:val="00086F8C"/>
    <w:rsid w:val="00091859"/>
    <w:rsid w:val="00092D0F"/>
    <w:rsid w:val="000932AF"/>
    <w:rsid w:val="0009424E"/>
    <w:rsid w:val="00094ADB"/>
    <w:rsid w:val="000951F2"/>
    <w:rsid w:val="00095B45"/>
    <w:rsid w:val="00096D00"/>
    <w:rsid w:val="00097D84"/>
    <w:rsid w:val="000A0FD8"/>
    <w:rsid w:val="000A104E"/>
    <w:rsid w:val="000A200A"/>
    <w:rsid w:val="000A259C"/>
    <w:rsid w:val="000A29F4"/>
    <w:rsid w:val="000A2EB7"/>
    <w:rsid w:val="000A3743"/>
    <w:rsid w:val="000A3E65"/>
    <w:rsid w:val="000A4474"/>
    <w:rsid w:val="000A5B56"/>
    <w:rsid w:val="000A6286"/>
    <w:rsid w:val="000A639B"/>
    <w:rsid w:val="000A6D0A"/>
    <w:rsid w:val="000A7010"/>
    <w:rsid w:val="000B0648"/>
    <w:rsid w:val="000B178D"/>
    <w:rsid w:val="000B1A4E"/>
    <w:rsid w:val="000B2028"/>
    <w:rsid w:val="000B2661"/>
    <w:rsid w:val="000B32C0"/>
    <w:rsid w:val="000B33FB"/>
    <w:rsid w:val="000B3420"/>
    <w:rsid w:val="000B3595"/>
    <w:rsid w:val="000B3B13"/>
    <w:rsid w:val="000B3C71"/>
    <w:rsid w:val="000B45FA"/>
    <w:rsid w:val="000B4F45"/>
    <w:rsid w:val="000B5157"/>
    <w:rsid w:val="000B5850"/>
    <w:rsid w:val="000B5FA4"/>
    <w:rsid w:val="000B7D07"/>
    <w:rsid w:val="000B7EA4"/>
    <w:rsid w:val="000C0726"/>
    <w:rsid w:val="000C0B4F"/>
    <w:rsid w:val="000C0EF7"/>
    <w:rsid w:val="000C1A5A"/>
    <w:rsid w:val="000C1D74"/>
    <w:rsid w:val="000C27B9"/>
    <w:rsid w:val="000C2AF5"/>
    <w:rsid w:val="000C3E61"/>
    <w:rsid w:val="000C4868"/>
    <w:rsid w:val="000C51AA"/>
    <w:rsid w:val="000C67E8"/>
    <w:rsid w:val="000C6C57"/>
    <w:rsid w:val="000C76B3"/>
    <w:rsid w:val="000C7880"/>
    <w:rsid w:val="000C7EDC"/>
    <w:rsid w:val="000D106C"/>
    <w:rsid w:val="000D1087"/>
    <w:rsid w:val="000D1F63"/>
    <w:rsid w:val="000D2723"/>
    <w:rsid w:val="000D277B"/>
    <w:rsid w:val="000D2E18"/>
    <w:rsid w:val="000D310C"/>
    <w:rsid w:val="000D3735"/>
    <w:rsid w:val="000D45A3"/>
    <w:rsid w:val="000D465F"/>
    <w:rsid w:val="000D4D46"/>
    <w:rsid w:val="000D6BA2"/>
    <w:rsid w:val="000D71CB"/>
    <w:rsid w:val="000D71E9"/>
    <w:rsid w:val="000D7AF7"/>
    <w:rsid w:val="000D7C86"/>
    <w:rsid w:val="000E0678"/>
    <w:rsid w:val="000E1157"/>
    <w:rsid w:val="000E2D79"/>
    <w:rsid w:val="000E3062"/>
    <w:rsid w:val="000E322C"/>
    <w:rsid w:val="000E396E"/>
    <w:rsid w:val="000E3B57"/>
    <w:rsid w:val="000E4107"/>
    <w:rsid w:val="000E5D6A"/>
    <w:rsid w:val="000E6044"/>
    <w:rsid w:val="000E6844"/>
    <w:rsid w:val="000E7D29"/>
    <w:rsid w:val="000E7ED5"/>
    <w:rsid w:val="000F04E0"/>
    <w:rsid w:val="000F0BE5"/>
    <w:rsid w:val="000F144A"/>
    <w:rsid w:val="000F1F59"/>
    <w:rsid w:val="000F2BE4"/>
    <w:rsid w:val="000F359E"/>
    <w:rsid w:val="000F3879"/>
    <w:rsid w:val="000F3F11"/>
    <w:rsid w:val="000F3F40"/>
    <w:rsid w:val="000F4025"/>
    <w:rsid w:val="000F4A02"/>
    <w:rsid w:val="000F67FA"/>
    <w:rsid w:val="000F7931"/>
    <w:rsid w:val="00100C51"/>
    <w:rsid w:val="0010161F"/>
    <w:rsid w:val="001018EA"/>
    <w:rsid w:val="00101988"/>
    <w:rsid w:val="00101AB9"/>
    <w:rsid w:val="001024A3"/>
    <w:rsid w:val="00102556"/>
    <w:rsid w:val="001032AE"/>
    <w:rsid w:val="001038EF"/>
    <w:rsid w:val="00103A13"/>
    <w:rsid w:val="00105B85"/>
    <w:rsid w:val="00105BF8"/>
    <w:rsid w:val="001064D5"/>
    <w:rsid w:val="00106E5D"/>
    <w:rsid w:val="0010729A"/>
    <w:rsid w:val="00107D5E"/>
    <w:rsid w:val="00110275"/>
    <w:rsid w:val="001102A6"/>
    <w:rsid w:val="0011049E"/>
    <w:rsid w:val="001104A1"/>
    <w:rsid w:val="00110E6F"/>
    <w:rsid w:val="001111E3"/>
    <w:rsid w:val="00111E27"/>
    <w:rsid w:val="00113D54"/>
    <w:rsid w:val="00113E51"/>
    <w:rsid w:val="0011494A"/>
    <w:rsid w:val="00115AE4"/>
    <w:rsid w:val="001163AB"/>
    <w:rsid w:val="00116700"/>
    <w:rsid w:val="00116882"/>
    <w:rsid w:val="001207C0"/>
    <w:rsid w:val="00121B75"/>
    <w:rsid w:val="00123BD9"/>
    <w:rsid w:val="00123CF4"/>
    <w:rsid w:val="0012588C"/>
    <w:rsid w:val="00126017"/>
    <w:rsid w:val="00126A9F"/>
    <w:rsid w:val="00126C62"/>
    <w:rsid w:val="00130862"/>
    <w:rsid w:val="0013113E"/>
    <w:rsid w:val="00131422"/>
    <w:rsid w:val="001321C3"/>
    <w:rsid w:val="001325FF"/>
    <w:rsid w:val="0013272B"/>
    <w:rsid w:val="00132ACE"/>
    <w:rsid w:val="0013362C"/>
    <w:rsid w:val="00134164"/>
    <w:rsid w:val="0013460D"/>
    <w:rsid w:val="00134AD1"/>
    <w:rsid w:val="00134BDF"/>
    <w:rsid w:val="001352E3"/>
    <w:rsid w:val="00135DAC"/>
    <w:rsid w:val="00136CF6"/>
    <w:rsid w:val="00136EB4"/>
    <w:rsid w:val="0013753B"/>
    <w:rsid w:val="001376AC"/>
    <w:rsid w:val="0013787E"/>
    <w:rsid w:val="001379F5"/>
    <w:rsid w:val="00140055"/>
    <w:rsid w:val="0014010B"/>
    <w:rsid w:val="001408AF"/>
    <w:rsid w:val="00140F5C"/>
    <w:rsid w:val="00141202"/>
    <w:rsid w:val="00141510"/>
    <w:rsid w:val="00141592"/>
    <w:rsid w:val="001415A0"/>
    <w:rsid w:val="00141A6C"/>
    <w:rsid w:val="0014385C"/>
    <w:rsid w:val="00143E38"/>
    <w:rsid w:val="00143FCC"/>
    <w:rsid w:val="001449AD"/>
    <w:rsid w:val="0014542F"/>
    <w:rsid w:val="001454EF"/>
    <w:rsid w:val="00146347"/>
    <w:rsid w:val="00146AC8"/>
    <w:rsid w:val="0014763B"/>
    <w:rsid w:val="00150185"/>
    <w:rsid w:val="00150F76"/>
    <w:rsid w:val="001521CC"/>
    <w:rsid w:val="00152244"/>
    <w:rsid w:val="001525AA"/>
    <w:rsid w:val="00153D7C"/>
    <w:rsid w:val="0015450E"/>
    <w:rsid w:val="00154732"/>
    <w:rsid w:val="0015486E"/>
    <w:rsid w:val="00154D70"/>
    <w:rsid w:val="00155718"/>
    <w:rsid w:val="00155BB8"/>
    <w:rsid w:val="001564C8"/>
    <w:rsid w:val="0016091B"/>
    <w:rsid w:val="0016112B"/>
    <w:rsid w:val="00163BC3"/>
    <w:rsid w:val="00163D77"/>
    <w:rsid w:val="00163D7E"/>
    <w:rsid w:val="00163F5A"/>
    <w:rsid w:val="00163FB1"/>
    <w:rsid w:val="0016471F"/>
    <w:rsid w:val="00165616"/>
    <w:rsid w:val="00165EC1"/>
    <w:rsid w:val="00166AEA"/>
    <w:rsid w:val="00166CE4"/>
    <w:rsid w:val="00167334"/>
    <w:rsid w:val="00167395"/>
    <w:rsid w:val="0016759F"/>
    <w:rsid w:val="0017149D"/>
    <w:rsid w:val="00172427"/>
    <w:rsid w:val="00172918"/>
    <w:rsid w:val="001748E1"/>
    <w:rsid w:val="00174D4F"/>
    <w:rsid w:val="00174FB0"/>
    <w:rsid w:val="001750A5"/>
    <w:rsid w:val="00175113"/>
    <w:rsid w:val="0017605B"/>
    <w:rsid w:val="001767E8"/>
    <w:rsid w:val="00177802"/>
    <w:rsid w:val="00177F29"/>
    <w:rsid w:val="0018018B"/>
    <w:rsid w:val="001809EC"/>
    <w:rsid w:val="00180B39"/>
    <w:rsid w:val="00181AD1"/>
    <w:rsid w:val="00181ECB"/>
    <w:rsid w:val="001821F9"/>
    <w:rsid w:val="001823AA"/>
    <w:rsid w:val="00182D55"/>
    <w:rsid w:val="00183C00"/>
    <w:rsid w:val="001855F6"/>
    <w:rsid w:val="00185613"/>
    <w:rsid w:val="00186DED"/>
    <w:rsid w:val="001874C0"/>
    <w:rsid w:val="00190274"/>
    <w:rsid w:val="00190999"/>
    <w:rsid w:val="00190B7B"/>
    <w:rsid w:val="001922A8"/>
    <w:rsid w:val="001923CB"/>
    <w:rsid w:val="001927FE"/>
    <w:rsid w:val="00192E71"/>
    <w:rsid w:val="00192F3F"/>
    <w:rsid w:val="0019472D"/>
    <w:rsid w:val="00194911"/>
    <w:rsid w:val="00194C8D"/>
    <w:rsid w:val="00195066"/>
    <w:rsid w:val="0019532C"/>
    <w:rsid w:val="00195D2B"/>
    <w:rsid w:val="00197227"/>
    <w:rsid w:val="00197426"/>
    <w:rsid w:val="001A0A02"/>
    <w:rsid w:val="001A0C61"/>
    <w:rsid w:val="001A1608"/>
    <w:rsid w:val="001A378D"/>
    <w:rsid w:val="001A487F"/>
    <w:rsid w:val="001A4D0E"/>
    <w:rsid w:val="001A5A95"/>
    <w:rsid w:val="001A64A0"/>
    <w:rsid w:val="001A6D5E"/>
    <w:rsid w:val="001A6EF5"/>
    <w:rsid w:val="001B09D0"/>
    <w:rsid w:val="001B0A2F"/>
    <w:rsid w:val="001B15D3"/>
    <w:rsid w:val="001B24D2"/>
    <w:rsid w:val="001B2765"/>
    <w:rsid w:val="001B2DED"/>
    <w:rsid w:val="001B3740"/>
    <w:rsid w:val="001B3989"/>
    <w:rsid w:val="001B3F1E"/>
    <w:rsid w:val="001B4384"/>
    <w:rsid w:val="001B4DAF"/>
    <w:rsid w:val="001B51C0"/>
    <w:rsid w:val="001B53B9"/>
    <w:rsid w:val="001B5467"/>
    <w:rsid w:val="001C0A63"/>
    <w:rsid w:val="001C1365"/>
    <w:rsid w:val="001C1E79"/>
    <w:rsid w:val="001C21B9"/>
    <w:rsid w:val="001C258C"/>
    <w:rsid w:val="001C386B"/>
    <w:rsid w:val="001C423E"/>
    <w:rsid w:val="001C4EC3"/>
    <w:rsid w:val="001C6AD8"/>
    <w:rsid w:val="001D1435"/>
    <w:rsid w:val="001D1739"/>
    <w:rsid w:val="001D183D"/>
    <w:rsid w:val="001D1F92"/>
    <w:rsid w:val="001D2116"/>
    <w:rsid w:val="001D2ED7"/>
    <w:rsid w:val="001D2FEB"/>
    <w:rsid w:val="001D36FA"/>
    <w:rsid w:val="001D4918"/>
    <w:rsid w:val="001D5169"/>
    <w:rsid w:val="001D5355"/>
    <w:rsid w:val="001D59BD"/>
    <w:rsid w:val="001D5E8E"/>
    <w:rsid w:val="001D607B"/>
    <w:rsid w:val="001D75F0"/>
    <w:rsid w:val="001E0684"/>
    <w:rsid w:val="001E1D92"/>
    <w:rsid w:val="001E3D38"/>
    <w:rsid w:val="001E3F94"/>
    <w:rsid w:val="001E3FF9"/>
    <w:rsid w:val="001E5021"/>
    <w:rsid w:val="001E5180"/>
    <w:rsid w:val="001E623C"/>
    <w:rsid w:val="001E6B59"/>
    <w:rsid w:val="001E7162"/>
    <w:rsid w:val="001E7664"/>
    <w:rsid w:val="001E7E4A"/>
    <w:rsid w:val="001F018A"/>
    <w:rsid w:val="001F021B"/>
    <w:rsid w:val="001F0BD3"/>
    <w:rsid w:val="001F1C71"/>
    <w:rsid w:val="001F3572"/>
    <w:rsid w:val="001F3A2A"/>
    <w:rsid w:val="001F4066"/>
    <w:rsid w:val="001F4BE3"/>
    <w:rsid w:val="001F545D"/>
    <w:rsid w:val="001F5C68"/>
    <w:rsid w:val="001F6EF4"/>
    <w:rsid w:val="001F7004"/>
    <w:rsid w:val="0020008B"/>
    <w:rsid w:val="0020056D"/>
    <w:rsid w:val="00201406"/>
    <w:rsid w:val="002022D6"/>
    <w:rsid w:val="002023E3"/>
    <w:rsid w:val="00202A83"/>
    <w:rsid w:val="002032AD"/>
    <w:rsid w:val="00203936"/>
    <w:rsid w:val="00203BD6"/>
    <w:rsid w:val="00203F9C"/>
    <w:rsid w:val="00204911"/>
    <w:rsid w:val="002050CC"/>
    <w:rsid w:val="002051C1"/>
    <w:rsid w:val="002053E8"/>
    <w:rsid w:val="00205CA6"/>
    <w:rsid w:val="0020728A"/>
    <w:rsid w:val="002077B5"/>
    <w:rsid w:val="00210EC7"/>
    <w:rsid w:val="002133CA"/>
    <w:rsid w:val="002139BE"/>
    <w:rsid w:val="00213AC5"/>
    <w:rsid w:val="00213CAC"/>
    <w:rsid w:val="00214347"/>
    <w:rsid w:val="00214FD9"/>
    <w:rsid w:val="002152C1"/>
    <w:rsid w:val="00217F0C"/>
    <w:rsid w:val="00220505"/>
    <w:rsid w:val="00220B4C"/>
    <w:rsid w:val="00223FA7"/>
    <w:rsid w:val="00223FB7"/>
    <w:rsid w:val="0022462E"/>
    <w:rsid w:val="002265DC"/>
    <w:rsid w:val="00226E11"/>
    <w:rsid w:val="00227265"/>
    <w:rsid w:val="00227AA1"/>
    <w:rsid w:val="00227F85"/>
    <w:rsid w:val="002311B3"/>
    <w:rsid w:val="0023138B"/>
    <w:rsid w:val="00231D8C"/>
    <w:rsid w:val="00231EF3"/>
    <w:rsid w:val="0023230F"/>
    <w:rsid w:val="0023280C"/>
    <w:rsid w:val="00232A0E"/>
    <w:rsid w:val="00233600"/>
    <w:rsid w:val="0023534B"/>
    <w:rsid w:val="00235FCE"/>
    <w:rsid w:val="0023601D"/>
    <w:rsid w:val="00236529"/>
    <w:rsid w:val="00236663"/>
    <w:rsid w:val="00236850"/>
    <w:rsid w:val="002369BC"/>
    <w:rsid w:val="0023703B"/>
    <w:rsid w:val="00240D74"/>
    <w:rsid w:val="00240F37"/>
    <w:rsid w:val="0024133F"/>
    <w:rsid w:val="0024199B"/>
    <w:rsid w:val="002420EA"/>
    <w:rsid w:val="00242968"/>
    <w:rsid w:val="00244953"/>
    <w:rsid w:val="00244999"/>
    <w:rsid w:val="00244F95"/>
    <w:rsid w:val="002451F8"/>
    <w:rsid w:val="002463B2"/>
    <w:rsid w:val="00246AC9"/>
    <w:rsid w:val="00247603"/>
    <w:rsid w:val="00250D35"/>
    <w:rsid w:val="002510D8"/>
    <w:rsid w:val="002521CA"/>
    <w:rsid w:val="0025236E"/>
    <w:rsid w:val="00252E46"/>
    <w:rsid w:val="002531DC"/>
    <w:rsid w:val="00253786"/>
    <w:rsid w:val="00253D42"/>
    <w:rsid w:val="00254DF0"/>
    <w:rsid w:val="00255388"/>
    <w:rsid w:val="00255666"/>
    <w:rsid w:val="00255886"/>
    <w:rsid w:val="00257695"/>
    <w:rsid w:val="002579B1"/>
    <w:rsid w:val="0026215A"/>
    <w:rsid w:val="0026268B"/>
    <w:rsid w:val="00264CA3"/>
    <w:rsid w:val="0026576C"/>
    <w:rsid w:val="00265D39"/>
    <w:rsid w:val="002661BA"/>
    <w:rsid w:val="0026625B"/>
    <w:rsid w:val="0026662D"/>
    <w:rsid w:val="00266829"/>
    <w:rsid w:val="00266A19"/>
    <w:rsid w:val="00267014"/>
    <w:rsid w:val="00267126"/>
    <w:rsid w:val="0026761A"/>
    <w:rsid w:val="00267C2D"/>
    <w:rsid w:val="002700D3"/>
    <w:rsid w:val="0027079B"/>
    <w:rsid w:val="00270D40"/>
    <w:rsid w:val="00271DCC"/>
    <w:rsid w:val="00271F60"/>
    <w:rsid w:val="002725A1"/>
    <w:rsid w:val="00272631"/>
    <w:rsid w:val="00273043"/>
    <w:rsid w:val="0027321E"/>
    <w:rsid w:val="0027332A"/>
    <w:rsid w:val="00273A7C"/>
    <w:rsid w:val="00273FCA"/>
    <w:rsid w:val="00274E0A"/>
    <w:rsid w:val="00275774"/>
    <w:rsid w:val="00275AA9"/>
    <w:rsid w:val="00275D0D"/>
    <w:rsid w:val="0027690B"/>
    <w:rsid w:val="00276AC0"/>
    <w:rsid w:val="00276AEF"/>
    <w:rsid w:val="00276B65"/>
    <w:rsid w:val="00276BFF"/>
    <w:rsid w:val="00277608"/>
    <w:rsid w:val="002801E9"/>
    <w:rsid w:val="0028021A"/>
    <w:rsid w:val="002802A2"/>
    <w:rsid w:val="00280E62"/>
    <w:rsid w:val="0028181F"/>
    <w:rsid w:val="002821EC"/>
    <w:rsid w:val="00283327"/>
    <w:rsid w:val="002843C0"/>
    <w:rsid w:val="00284403"/>
    <w:rsid w:val="00284884"/>
    <w:rsid w:val="002850AD"/>
    <w:rsid w:val="002857EA"/>
    <w:rsid w:val="00285A11"/>
    <w:rsid w:val="00290629"/>
    <w:rsid w:val="00290CA2"/>
    <w:rsid w:val="002919B0"/>
    <w:rsid w:val="002938E9"/>
    <w:rsid w:val="00294232"/>
    <w:rsid w:val="00294A23"/>
    <w:rsid w:val="00294D95"/>
    <w:rsid w:val="00294DDB"/>
    <w:rsid w:val="00297951"/>
    <w:rsid w:val="00297DA5"/>
    <w:rsid w:val="002A034A"/>
    <w:rsid w:val="002A103A"/>
    <w:rsid w:val="002A1118"/>
    <w:rsid w:val="002A1235"/>
    <w:rsid w:val="002A1370"/>
    <w:rsid w:val="002A21D4"/>
    <w:rsid w:val="002A2B27"/>
    <w:rsid w:val="002A3B79"/>
    <w:rsid w:val="002A4701"/>
    <w:rsid w:val="002A526C"/>
    <w:rsid w:val="002A5275"/>
    <w:rsid w:val="002A62A5"/>
    <w:rsid w:val="002A76E3"/>
    <w:rsid w:val="002B023F"/>
    <w:rsid w:val="002B0A8F"/>
    <w:rsid w:val="002B1137"/>
    <w:rsid w:val="002B1EB6"/>
    <w:rsid w:val="002B26A9"/>
    <w:rsid w:val="002B4AF5"/>
    <w:rsid w:val="002B548A"/>
    <w:rsid w:val="002B6484"/>
    <w:rsid w:val="002B64AB"/>
    <w:rsid w:val="002B6988"/>
    <w:rsid w:val="002B6E6A"/>
    <w:rsid w:val="002B7CE5"/>
    <w:rsid w:val="002C04D3"/>
    <w:rsid w:val="002C07A1"/>
    <w:rsid w:val="002C0D44"/>
    <w:rsid w:val="002C0E52"/>
    <w:rsid w:val="002C1094"/>
    <w:rsid w:val="002C15B9"/>
    <w:rsid w:val="002C317F"/>
    <w:rsid w:val="002C3432"/>
    <w:rsid w:val="002C371F"/>
    <w:rsid w:val="002C5300"/>
    <w:rsid w:val="002C5565"/>
    <w:rsid w:val="002C634F"/>
    <w:rsid w:val="002C6952"/>
    <w:rsid w:val="002C6DA8"/>
    <w:rsid w:val="002C6F48"/>
    <w:rsid w:val="002D0131"/>
    <w:rsid w:val="002D0156"/>
    <w:rsid w:val="002D06B7"/>
    <w:rsid w:val="002D08C3"/>
    <w:rsid w:val="002D28D0"/>
    <w:rsid w:val="002D2905"/>
    <w:rsid w:val="002D3A48"/>
    <w:rsid w:val="002D3E54"/>
    <w:rsid w:val="002D416F"/>
    <w:rsid w:val="002D41FA"/>
    <w:rsid w:val="002D524D"/>
    <w:rsid w:val="002D52B4"/>
    <w:rsid w:val="002D6C8B"/>
    <w:rsid w:val="002D6D0A"/>
    <w:rsid w:val="002D7520"/>
    <w:rsid w:val="002E0C12"/>
    <w:rsid w:val="002E1BA5"/>
    <w:rsid w:val="002E1FE0"/>
    <w:rsid w:val="002E23EE"/>
    <w:rsid w:val="002E24A9"/>
    <w:rsid w:val="002E2633"/>
    <w:rsid w:val="002E2F48"/>
    <w:rsid w:val="002E36A3"/>
    <w:rsid w:val="002E4E43"/>
    <w:rsid w:val="002E58CC"/>
    <w:rsid w:val="002E5AB5"/>
    <w:rsid w:val="002E6A69"/>
    <w:rsid w:val="002E7693"/>
    <w:rsid w:val="002E76BB"/>
    <w:rsid w:val="002E785E"/>
    <w:rsid w:val="002F1DFF"/>
    <w:rsid w:val="002F2CD9"/>
    <w:rsid w:val="002F4289"/>
    <w:rsid w:val="002F5F38"/>
    <w:rsid w:val="002F6A1D"/>
    <w:rsid w:val="002F7137"/>
    <w:rsid w:val="002F7C14"/>
    <w:rsid w:val="00300B11"/>
    <w:rsid w:val="00301CC8"/>
    <w:rsid w:val="00302777"/>
    <w:rsid w:val="003033A2"/>
    <w:rsid w:val="003039F8"/>
    <w:rsid w:val="00303AF8"/>
    <w:rsid w:val="00304305"/>
    <w:rsid w:val="00304C38"/>
    <w:rsid w:val="003050A8"/>
    <w:rsid w:val="00305513"/>
    <w:rsid w:val="003065B6"/>
    <w:rsid w:val="003070BF"/>
    <w:rsid w:val="003071C8"/>
    <w:rsid w:val="00310E03"/>
    <w:rsid w:val="003114BE"/>
    <w:rsid w:val="0031172E"/>
    <w:rsid w:val="00311A8D"/>
    <w:rsid w:val="00312010"/>
    <w:rsid w:val="0031375D"/>
    <w:rsid w:val="00313D38"/>
    <w:rsid w:val="0031430A"/>
    <w:rsid w:val="00314DCE"/>
    <w:rsid w:val="00315774"/>
    <w:rsid w:val="00315E31"/>
    <w:rsid w:val="00315FB3"/>
    <w:rsid w:val="00316364"/>
    <w:rsid w:val="00316439"/>
    <w:rsid w:val="00316DD1"/>
    <w:rsid w:val="0031750B"/>
    <w:rsid w:val="00317836"/>
    <w:rsid w:val="00320593"/>
    <w:rsid w:val="003217BA"/>
    <w:rsid w:val="00322272"/>
    <w:rsid w:val="00322605"/>
    <w:rsid w:val="003243C6"/>
    <w:rsid w:val="003246A2"/>
    <w:rsid w:val="00324927"/>
    <w:rsid w:val="00325583"/>
    <w:rsid w:val="003262F6"/>
    <w:rsid w:val="003265C0"/>
    <w:rsid w:val="00326AA9"/>
    <w:rsid w:val="00327A65"/>
    <w:rsid w:val="00327E51"/>
    <w:rsid w:val="00327FC1"/>
    <w:rsid w:val="00327FCB"/>
    <w:rsid w:val="00331E3E"/>
    <w:rsid w:val="00331E7D"/>
    <w:rsid w:val="003325DB"/>
    <w:rsid w:val="00332FD8"/>
    <w:rsid w:val="003339EF"/>
    <w:rsid w:val="00333C95"/>
    <w:rsid w:val="00334384"/>
    <w:rsid w:val="00334424"/>
    <w:rsid w:val="003357B6"/>
    <w:rsid w:val="00336134"/>
    <w:rsid w:val="0033624D"/>
    <w:rsid w:val="003363B8"/>
    <w:rsid w:val="00336635"/>
    <w:rsid w:val="00340E6A"/>
    <w:rsid w:val="003419DF"/>
    <w:rsid w:val="003424F6"/>
    <w:rsid w:val="003441A8"/>
    <w:rsid w:val="00344641"/>
    <w:rsid w:val="00344FDF"/>
    <w:rsid w:val="0034558F"/>
    <w:rsid w:val="00346304"/>
    <w:rsid w:val="00346D04"/>
    <w:rsid w:val="00346D55"/>
    <w:rsid w:val="003477EB"/>
    <w:rsid w:val="00347C74"/>
    <w:rsid w:val="00347CFE"/>
    <w:rsid w:val="00350F12"/>
    <w:rsid w:val="00351475"/>
    <w:rsid w:val="0035208E"/>
    <w:rsid w:val="003521B7"/>
    <w:rsid w:val="00352A17"/>
    <w:rsid w:val="003532B0"/>
    <w:rsid w:val="0035330B"/>
    <w:rsid w:val="003536D5"/>
    <w:rsid w:val="00353A75"/>
    <w:rsid w:val="003548BA"/>
    <w:rsid w:val="00355108"/>
    <w:rsid w:val="0035639B"/>
    <w:rsid w:val="003567F9"/>
    <w:rsid w:val="00357085"/>
    <w:rsid w:val="00357092"/>
    <w:rsid w:val="0035712D"/>
    <w:rsid w:val="003571BB"/>
    <w:rsid w:val="003574FC"/>
    <w:rsid w:val="00360228"/>
    <w:rsid w:val="0036029D"/>
    <w:rsid w:val="00360657"/>
    <w:rsid w:val="00361166"/>
    <w:rsid w:val="0036122D"/>
    <w:rsid w:val="0036157A"/>
    <w:rsid w:val="00361D4F"/>
    <w:rsid w:val="00361DAF"/>
    <w:rsid w:val="0036205B"/>
    <w:rsid w:val="003620FA"/>
    <w:rsid w:val="00363452"/>
    <w:rsid w:val="003635F5"/>
    <w:rsid w:val="0036459D"/>
    <w:rsid w:val="00364BCF"/>
    <w:rsid w:val="003656D9"/>
    <w:rsid w:val="0036641D"/>
    <w:rsid w:val="003664C2"/>
    <w:rsid w:val="003676A4"/>
    <w:rsid w:val="003700D9"/>
    <w:rsid w:val="00370DA2"/>
    <w:rsid w:val="0037167F"/>
    <w:rsid w:val="00371BD3"/>
    <w:rsid w:val="003721BF"/>
    <w:rsid w:val="00372442"/>
    <w:rsid w:val="003733B6"/>
    <w:rsid w:val="00373AD7"/>
    <w:rsid w:val="003743D3"/>
    <w:rsid w:val="0037460A"/>
    <w:rsid w:val="0037546A"/>
    <w:rsid w:val="0037554B"/>
    <w:rsid w:val="003755EE"/>
    <w:rsid w:val="00375775"/>
    <w:rsid w:val="00375BD5"/>
    <w:rsid w:val="003767C8"/>
    <w:rsid w:val="003767E5"/>
    <w:rsid w:val="00376C1F"/>
    <w:rsid w:val="00376E40"/>
    <w:rsid w:val="00376EFE"/>
    <w:rsid w:val="00377A92"/>
    <w:rsid w:val="00377B07"/>
    <w:rsid w:val="00380459"/>
    <w:rsid w:val="003806E7"/>
    <w:rsid w:val="0038100F"/>
    <w:rsid w:val="00381116"/>
    <w:rsid w:val="00382A75"/>
    <w:rsid w:val="00383653"/>
    <w:rsid w:val="00383882"/>
    <w:rsid w:val="00385022"/>
    <w:rsid w:val="0038606A"/>
    <w:rsid w:val="003860F4"/>
    <w:rsid w:val="00386CC9"/>
    <w:rsid w:val="00393489"/>
    <w:rsid w:val="00394B41"/>
    <w:rsid w:val="00395712"/>
    <w:rsid w:val="00395B4B"/>
    <w:rsid w:val="003A03AE"/>
    <w:rsid w:val="003A04F7"/>
    <w:rsid w:val="003A1597"/>
    <w:rsid w:val="003A2162"/>
    <w:rsid w:val="003A24B1"/>
    <w:rsid w:val="003A3161"/>
    <w:rsid w:val="003A3577"/>
    <w:rsid w:val="003A4C38"/>
    <w:rsid w:val="003A4F4E"/>
    <w:rsid w:val="003A5103"/>
    <w:rsid w:val="003A7EBC"/>
    <w:rsid w:val="003B07BE"/>
    <w:rsid w:val="003B183D"/>
    <w:rsid w:val="003B3D7F"/>
    <w:rsid w:val="003B3FA5"/>
    <w:rsid w:val="003B4506"/>
    <w:rsid w:val="003B4E19"/>
    <w:rsid w:val="003B4F2E"/>
    <w:rsid w:val="003B5259"/>
    <w:rsid w:val="003B5C49"/>
    <w:rsid w:val="003B6610"/>
    <w:rsid w:val="003B6CA5"/>
    <w:rsid w:val="003B6E9F"/>
    <w:rsid w:val="003B73E1"/>
    <w:rsid w:val="003B78E7"/>
    <w:rsid w:val="003B7BFA"/>
    <w:rsid w:val="003C00B9"/>
    <w:rsid w:val="003C053D"/>
    <w:rsid w:val="003C0A68"/>
    <w:rsid w:val="003C1176"/>
    <w:rsid w:val="003C2EA4"/>
    <w:rsid w:val="003C579D"/>
    <w:rsid w:val="003C6575"/>
    <w:rsid w:val="003C68D7"/>
    <w:rsid w:val="003C6C80"/>
    <w:rsid w:val="003D0294"/>
    <w:rsid w:val="003D069F"/>
    <w:rsid w:val="003D0D11"/>
    <w:rsid w:val="003D1CCE"/>
    <w:rsid w:val="003D2337"/>
    <w:rsid w:val="003D38F9"/>
    <w:rsid w:val="003D4645"/>
    <w:rsid w:val="003D59DE"/>
    <w:rsid w:val="003D6AC2"/>
    <w:rsid w:val="003E1782"/>
    <w:rsid w:val="003E1C2E"/>
    <w:rsid w:val="003E3247"/>
    <w:rsid w:val="003E3D00"/>
    <w:rsid w:val="003E459D"/>
    <w:rsid w:val="003E4AE7"/>
    <w:rsid w:val="003E5F52"/>
    <w:rsid w:val="003E647B"/>
    <w:rsid w:val="003E65EF"/>
    <w:rsid w:val="003E6E89"/>
    <w:rsid w:val="003E6F50"/>
    <w:rsid w:val="003E6F78"/>
    <w:rsid w:val="003E7150"/>
    <w:rsid w:val="003E73B8"/>
    <w:rsid w:val="003E7853"/>
    <w:rsid w:val="003F02B5"/>
    <w:rsid w:val="003F04F9"/>
    <w:rsid w:val="003F14D8"/>
    <w:rsid w:val="003F16C5"/>
    <w:rsid w:val="003F1F68"/>
    <w:rsid w:val="003F208A"/>
    <w:rsid w:val="003F2BB0"/>
    <w:rsid w:val="003F398A"/>
    <w:rsid w:val="003F4437"/>
    <w:rsid w:val="003F4F8B"/>
    <w:rsid w:val="003F4FDE"/>
    <w:rsid w:val="003F55A0"/>
    <w:rsid w:val="003F55AC"/>
    <w:rsid w:val="003F57C4"/>
    <w:rsid w:val="003F61B2"/>
    <w:rsid w:val="003F63B1"/>
    <w:rsid w:val="003F6B70"/>
    <w:rsid w:val="00400377"/>
    <w:rsid w:val="00401455"/>
    <w:rsid w:val="00401E1B"/>
    <w:rsid w:val="004029BE"/>
    <w:rsid w:val="00402B0D"/>
    <w:rsid w:val="00402ED2"/>
    <w:rsid w:val="004045E9"/>
    <w:rsid w:val="00404DE7"/>
    <w:rsid w:val="0040594E"/>
    <w:rsid w:val="00405A23"/>
    <w:rsid w:val="00406104"/>
    <w:rsid w:val="00410EAE"/>
    <w:rsid w:val="00410EE4"/>
    <w:rsid w:val="00411170"/>
    <w:rsid w:val="004112A0"/>
    <w:rsid w:val="00412853"/>
    <w:rsid w:val="0041397D"/>
    <w:rsid w:val="0041454A"/>
    <w:rsid w:val="00415730"/>
    <w:rsid w:val="00415787"/>
    <w:rsid w:val="00415AFD"/>
    <w:rsid w:val="004161C2"/>
    <w:rsid w:val="004163BB"/>
    <w:rsid w:val="00416B90"/>
    <w:rsid w:val="004171C6"/>
    <w:rsid w:val="00417E4B"/>
    <w:rsid w:val="004210B6"/>
    <w:rsid w:val="00421932"/>
    <w:rsid w:val="004221AE"/>
    <w:rsid w:val="00422508"/>
    <w:rsid w:val="00422B56"/>
    <w:rsid w:val="00422C3E"/>
    <w:rsid w:val="00422D72"/>
    <w:rsid w:val="00422F01"/>
    <w:rsid w:val="00423581"/>
    <w:rsid w:val="00423659"/>
    <w:rsid w:val="0042401C"/>
    <w:rsid w:val="004242FD"/>
    <w:rsid w:val="004255DD"/>
    <w:rsid w:val="00426187"/>
    <w:rsid w:val="00427554"/>
    <w:rsid w:val="004305E2"/>
    <w:rsid w:val="004311C0"/>
    <w:rsid w:val="00432281"/>
    <w:rsid w:val="00433230"/>
    <w:rsid w:val="004337ED"/>
    <w:rsid w:val="00433B97"/>
    <w:rsid w:val="00434A20"/>
    <w:rsid w:val="00434C85"/>
    <w:rsid w:val="004357EA"/>
    <w:rsid w:val="004360E1"/>
    <w:rsid w:val="00437DBF"/>
    <w:rsid w:val="00437FB7"/>
    <w:rsid w:val="00437FE2"/>
    <w:rsid w:val="00440534"/>
    <w:rsid w:val="004413EB"/>
    <w:rsid w:val="0044217D"/>
    <w:rsid w:val="004425AE"/>
    <w:rsid w:val="00442E06"/>
    <w:rsid w:val="00442E87"/>
    <w:rsid w:val="004447DB"/>
    <w:rsid w:val="004448CD"/>
    <w:rsid w:val="004449EE"/>
    <w:rsid w:val="00444C91"/>
    <w:rsid w:val="0044502C"/>
    <w:rsid w:val="00445238"/>
    <w:rsid w:val="00445D27"/>
    <w:rsid w:val="00446984"/>
    <w:rsid w:val="00446C67"/>
    <w:rsid w:val="00446E36"/>
    <w:rsid w:val="0044743F"/>
    <w:rsid w:val="004505B3"/>
    <w:rsid w:val="00450D25"/>
    <w:rsid w:val="00450DEF"/>
    <w:rsid w:val="00450FFE"/>
    <w:rsid w:val="004516AB"/>
    <w:rsid w:val="00452447"/>
    <w:rsid w:val="0045253D"/>
    <w:rsid w:val="00453188"/>
    <w:rsid w:val="0045367D"/>
    <w:rsid w:val="00454955"/>
    <w:rsid w:val="00455CD0"/>
    <w:rsid w:val="00456167"/>
    <w:rsid w:val="00456C12"/>
    <w:rsid w:val="0046207B"/>
    <w:rsid w:val="00463648"/>
    <w:rsid w:val="00463810"/>
    <w:rsid w:val="00463980"/>
    <w:rsid w:val="0046452E"/>
    <w:rsid w:val="00464B11"/>
    <w:rsid w:val="00466AC0"/>
    <w:rsid w:val="004672A4"/>
    <w:rsid w:val="0046758B"/>
    <w:rsid w:val="00467C7A"/>
    <w:rsid w:val="004700EF"/>
    <w:rsid w:val="00470369"/>
    <w:rsid w:val="004708EF"/>
    <w:rsid w:val="00470B83"/>
    <w:rsid w:val="00471168"/>
    <w:rsid w:val="00471515"/>
    <w:rsid w:val="00471752"/>
    <w:rsid w:val="004757BA"/>
    <w:rsid w:val="004774BF"/>
    <w:rsid w:val="00477E07"/>
    <w:rsid w:val="00480089"/>
    <w:rsid w:val="00480171"/>
    <w:rsid w:val="004812E9"/>
    <w:rsid w:val="00481A92"/>
    <w:rsid w:val="004822CE"/>
    <w:rsid w:val="004825AA"/>
    <w:rsid w:val="00483316"/>
    <w:rsid w:val="0048345B"/>
    <w:rsid w:val="00483D14"/>
    <w:rsid w:val="00484C73"/>
    <w:rsid w:val="00484C9D"/>
    <w:rsid w:val="004850AE"/>
    <w:rsid w:val="004859EE"/>
    <w:rsid w:val="0048691A"/>
    <w:rsid w:val="0048694B"/>
    <w:rsid w:val="004873F1"/>
    <w:rsid w:val="00487CA7"/>
    <w:rsid w:val="00490422"/>
    <w:rsid w:val="00490619"/>
    <w:rsid w:val="00490A6C"/>
    <w:rsid w:val="00490B60"/>
    <w:rsid w:val="00490BBC"/>
    <w:rsid w:val="0049233C"/>
    <w:rsid w:val="00492404"/>
    <w:rsid w:val="00492C79"/>
    <w:rsid w:val="00493414"/>
    <w:rsid w:val="00493592"/>
    <w:rsid w:val="00494A27"/>
    <w:rsid w:val="00494BE3"/>
    <w:rsid w:val="00494ECF"/>
    <w:rsid w:val="004958F2"/>
    <w:rsid w:val="00495BBC"/>
    <w:rsid w:val="004961A1"/>
    <w:rsid w:val="00496531"/>
    <w:rsid w:val="004973CB"/>
    <w:rsid w:val="00497E9A"/>
    <w:rsid w:val="004A1044"/>
    <w:rsid w:val="004A10E4"/>
    <w:rsid w:val="004A2AD3"/>
    <w:rsid w:val="004A39E9"/>
    <w:rsid w:val="004A4130"/>
    <w:rsid w:val="004A4F3F"/>
    <w:rsid w:val="004A53C9"/>
    <w:rsid w:val="004A5A5E"/>
    <w:rsid w:val="004A5AC4"/>
    <w:rsid w:val="004B0171"/>
    <w:rsid w:val="004B062A"/>
    <w:rsid w:val="004B0A61"/>
    <w:rsid w:val="004B2092"/>
    <w:rsid w:val="004B2245"/>
    <w:rsid w:val="004B325F"/>
    <w:rsid w:val="004B3849"/>
    <w:rsid w:val="004B3DFE"/>
    <w:rsid w:val="004B40BA"/>
    <w:rsid w:val="004B4A15"/>
    <w:rsid w:val="004B51E8"/>
    <w:rsid w:val="004B5519"/>
    <w:rsid w:val="004B6028"/>
    <w:rsid w:val="004B6D88"/>
    <w:rsid w:val="004C0206"/>
    <w:rsid w:val="004C19E6"/>
    <w:rsid w:val="004C21D9"/>
    <w:rsid w:val="004C2D3C"/>
    <w:rsid w:val="004C2F2F"/>
    <w:rsid w:val="004C3EFE"/>
    <w:rsid w:val="004C40AB"/>
    <w:rsid w:val="004C44A5"/>
    <w:rsid w:val="004C45BC"/>
    <w:rsid w:val="004C509F"/>
    <w:rsid w:val="004C734E"/>
    <w:rsid w:val="004C75A9"/>
    <w:rsid w:val="004C7AE2"/>
    <w:rsid w:val="004D1329"/>
    <w:rsid w:val="004D1F87"/>
    <w:rsid w:val="004D2084"/>
    <w:rsid w:val="004D22F9"/>
    <w:rsid w:val="004D270A"/>
    <w:rsid w:val="004D28EC"/>
    <w:rsid w:val="004D349A"/>
    <w:rsid w:val="004D3945"/>
    <w:rsid w:val="004D42CC"/>
    <w:rsid w:val="004D48FA"/>
    <w:rsid w:val="004D4BAE"/>
    <w:rsid w:val="004D563E"/>
    <w:rsid w:val="004D570B"/>
    <w:rsid w:val="004D5980"/>
    <w:rsid w:val="004D59C2"/>
    <w:rsid w:val="004D5C9C"/>
    <w:rsid w:val="004D6D93"/>
    <w:rsid w:val="004D6FF8"/>
    <w:rsid w:val="004D728F"/>
    <w:rsid w:val="004D7735"/>
    <w:rsid w:val="004D7B71"/>
    <w:rsid w:val="004D7FE6"/>
    <w:rsid w:val="004E0623"/>
    <w:rsid w:val="004E08B9"/>
    <w:rsid w:val="004E0FC0"/>
    <w:rsid w:val="004E102A"/>
    <w:rsid w:val="004E1B11"/>
    <w:rsid w:val="004E1E5D"/>
    <w:rsid w:val="004E21E3"/>
    <w:rsid w:val="004E3D63"/>
    <w:rsid w:val="004E456F"/>
    <w:rsid w:val="004E5DB6"/>
    <w:rsid w:val="004E5ECD"/>
    <w:rsid w:val="004E6932"/>
    <w:rsid w:val="004E7386"/>
    <w:rsid w:val="004E74A4"/>
    <w:rsid w:val="004E767F"/>
    <w:rsid w:val="004E7832"/>
    <w:rsid w:val="004F054B"/>
    <w:rsid w:val="004F079D"/>
    <w:rsid w:val="004F0C5E"/>
    <w:rsid w:val="004F1347"/>
    <w:rsid w:val="004F246B"/>
    <w:rsid w:val="004F2954"/>
    <w:rsid w:val="004F2A71"/>
    <w:rsid w:val="004F3C5E"/>
    <w:rsid w:val="004F3CC9"/>
    <w:rsid w:val="004F4803"/>
    <w:rsid w:val="004F48E1"/>
    <w:rsid w:val="004F62EC"/>
    <w:rsid w:val="004F702C"/>
    <w:rsid w:val="004F72EC"/>
    <w:rsid w:val="004F7AA1"/>
    <w:rsid w:val="00500167"/>
    <w:rsid w:val="00500CB2"/>
    <w:rsid w:val="0050109D"/>
    <w:rsid w:val="005012F0"/>
    <w:rsid w:val="005044C1"/>
    <w:rsid w:val="00506375"/>
    <w:rsid w:val="00506FA7"/>
    <w:rsid w:val="0050730C"/>
    <w:rsid w:val="00507C11"/>
    <w:rsid w:val="005107FA"/>
    <w:rsid w:val="0051093B"/>
    <w:rsid w:val="00510F76"/>
    <w:rsid w:val="00511745"/>
    <w:rsid w:val="0051304E"/>
    <w:rsid w:val="00514267"/>
    <w:rsid w:val="005144A6"/>
    <w:rsid w:val="00514530"/>
    <w:rsid w:val="005149F3"/>
    <w:rsid w:val="00514A0B"/>
    <w:rsid w:val="00514B0C"/>
    <w:rsid w:val="00514B27"/>
    <w:rsid w:val="00514E43"/>
    <w:rsid w:val="005158A6"/>
    <w:rsid w:val="005160C4"/>
    <w:rsid w:val="00516C49"/>
    <w:rsid w:val="00521F90"/>
    <w:rsid w:val="005238A8"/>
    <w:rsid w:val="00523EED"/>
    <w:rsid w:val="005251BF"/>
    <w:rsid w:val="005254A0"/>
    <w:rsid w:val="005256FD"/>
    <w:rsid w:val="005257E9"/>
    <w:rsid w:val="00526161"/>
    <w:rsid w:val="005266DC"/>
    <w:rsid w:val="00527082"/>
    <w:rsid w:val="005271E6"/>
    <w:rsid w:val="0052755B"/>
    <w:rsid w:val="00527EEE"/>
    <w:rsid w:val="005302BA"/>
    <w:rsid w:val="00530525"/>
    <w:rsid w:val="00530AC9"/>
    <w:rsid w:val="00532378"/>
    <w:rsid w:val="00532BA7"/>
    <w:rsid w:val="005330DE"/>
    <w:rsid w:val="0053331D"/>
    <w:rsid w:val="005333DE"/>
    <w:rsid w:val="00533F9A"/>
    <w:rsid w:val="005347F0"/>
    <w:rsid w:val="005355A8"/>
    <w:rsid w:val="00535BC7"/>
    <w:rsid w:val="00535F1D"/>
    <w:rsid w:val="0053742F"/>
    <w:rsid w:val="005376E1"/>
    <w:rsid w:val="00537E0A"/>
    <w:rsid w:val="00541C57"/>
    <w:rsid w:val="00542826"/>
    <w:rsid w:val="00542A0D"/>
    <w:rsid w:val="0054384D"/>
    <w:rsid w:val="00543B38"/>
    <w:rsid w:val="005475C6"/>
    <w:rsid w:val="00547730"/>
    <w:rsid w:val="00547D6C"/>
    <w:rsid w:val="00547ECD"/>
    <w:rsid w:val="00550169"/>
    <w:rsid w:val="00550734"/>
    <w:rsid w:val="00551D30"/>
    <w:rsid w:val="0055215F"/>
    <w:rsid w:val="00553B58"/>
    <w:rsid w:val="00554350"/>
    <w:rsid w:val="005547EF"/>
    <w:rsid w:val="00554E6F"/>
    <w:rsid w:val="00554FAC"/>
    <w:rsid w:val="00555005"/>
    <w:rsid w:val="005554FD"/>
    <w:rsid w:val="00555D2D"/>
    <w:rsid w:val="00556812"/>
    <w:rsid w:val="00557E15"/>
    <w:rsid w:val="00557E4A"/>
    <w:rsid w:val="00557F5F"/>
    <w:rsid w:val="00561A58"/>
    <w:rsid w:val="00562C8C"/>
    <w:rsid w:val="00562CED"/>
    <w:rsid w:val="00563A84"/>
    <w:rsid w:val="00563C98"/>
    <w:rsid w:val="00564635"/>
    <w:rsid w:val="005646A3"/>
    <w:rsid w:val="00565F8A"/>
    <w:rsid w:val="005662F6"/>
    <w:rsid w:val="005665F7"/>
    <w:rsid w:val="005670F9"/>
    <w:rsid w:val="00570632"/>
    <w:rsid w:val="005721F3"/>
    <w:rsid w:val="00573B55"/>
    <w:rsid w:val="00573CF5"/>
    <w:rsid w:val="00573F52"/>
    <w:rsid w:val="00574923"/>
    <w:rsid w:val="00574AEE"/>
    <w:rsid w:val="00575EF1"/>
    <w:rsid w:val="005760FC"/>
    <w:rsid w:val="0057723B"/>
    <w:rsid w:val="00577350"/>
    <w:rsid w:val="00580240"/>
    <w:rsid w:val="0058093B"/>
    <w:rsid w:val="00581265"/>
    <w:rsid w:val="00581398"/>
    <w:rsid w:val="00581A78"/>
    <w:rsid w:val="00581CAA"/>
    <w:rsid w:val="00581D54"/>
    <w:rsid w:val="00581DB6"/>
    <w:rsid w:val="00581FC7"/>
    <w:rsid w:val="00581FFF"/>
    <w:rsid w:val="005824A6"/>
    <w:rsid w:val="005827F1"/>
    <w:rsid w:val="00582CB5"/>
    <w:rsid w:val="00583BCF"/>
    <w:rsid w:val="00583FF7"/>
    <w:rsid w:val="00584065"/>
    <w:rsid w:val="00585549"/>
    <w:rsid w:val="00585E08"/>
    <w:rsid w:val="00586328"/>
    <w:rsid w:val="00586B61"/>
    <w:rsid w:val="00586D28"/>
    <w:rsid w:val="00587177"/>
    <w:rsid w:val="00587A16"/>
    <w:rsid w:val="005906B7"/>
    <w:rsid w:val="00590C2C"/>
    <w:rsid w:val="0059170A"/>
    <w:rsid w:val="00591ADE"/>
    <w:rsid w:val="00592134"/>
    <w:rsid w:val="0059232A"/>
    <w:rsid w:val="00592385"/>
    <w:rsid w:val="00593142"/>
    <w:rsid w:val="00593313"/>
    <w:rsid w:val="00593EBE"/>
    <w:rsid w:val="00594471"/>
    <w:rsid w:val="00594EA9"/>
    <w:rsid w:val="0059523D"/>
    <w:rsid w:val="00595F22"/>
    <w:rsid w:val="00596139"/>
    <w:rsid w:val="00596189"/>
    <w:rsid w:val="00596431"/>
    <w:rsid w:val="00596D05"/>
    <w:rsid w:val="00596EE6"/>
    <w:rsid w:val="0059777E"/>
    <w:rsid w:val="00597C2D"/>
    <w:rsid w:val="005A2D4C"/>
    <w:rsid w:val="005A2EC1"/>
    <w:rsid w:val="005A3F6F"/>
    <w:rsid w:val="005A4DE0"/>
    <w:rsid w:val="005A4DEC"/>
    <w:rsid w:val="005A53E4"/>
    <w:rsid w:val="005A54ED"/>
    <w:rsid w:val="005A6429"/>
    <w:rsid w:val="005A662E"/>
    <w:rsid w:val="005A7394"/>
    <w:rsid w:val="005A7D13"/>
    <w:rsid w:val="005A7F9A"/>
    <w:rsid w:val="005B0214"/>
    <w:rsid w:val="005B085A"/>
    <w:rsid w:val="005B0CB2"/>
    <w:rsid w:val="005B10CF"/>
    <w:rsid w:val="005B12A5"/>
    <w:rsid w:val="005B1604"/>
    <w:rsid w:val="005B25CD"/>
    <w:rsid w:val="005B2804"/>
    <w:rsid w:val="005B296F"/>
    <w:rsid w:val="005B3CC7"/>
    <w:rsid w:val="005B45B9"/>
    <w:rsid w:val="005B465A"/>
    <w:rsid w:val="005B4EEC"/>
    <w:rsid w:val="005B5105"/>
    <w:rsid w:val="005B52BC"/>
    <w:rsid w:val="005B56D6"/>
    <w:rsid w:val="005B69ED"/>
    <w:rsid w:val="005B7490"/>
    <w:rsid w:val="005B7586"/>
    <w:rsid w:val="005C1141"/>
    <w:rsid w:val="005C238D"/>
    <w:rsid w:val="005C2BD0"/>
    <w:rsid w:val="005C3491"/>
    <w:rsid w:val="005C38BD"/>
    <w:rsid w:val="005C3F74"/>
    <w:rsid w:val="005C431F"/>
    <w:rsid w:val="005C46ED"/>
    <w:rsid w:val="005C57D3"/>
    <w:rsid w:val="005C60FE"/>
    <w:rsid w:val="005C6BC2"/>
    <w:rsid w:val="005C799E"/>
    <w:rsid w:val="005C7D8F"/>
    <w:rsid w:val="005D0D8E"/>
    <w:rsid w:val="005D10DF"/>
    <w:rsid w:val="005D1757"/>
    <w:rsid w:val="005D2C0D"/>
    <w:rsid w:val="005D2EA3"/>
    <w:rsid w:val="005D31F9"/>
    <w:rsid w:val="005D3241"/>
    <w:rsid w:val="005D3772"/>
    <w:rsid w:val="005D41C1"/>
    <w:rsid w:val="005D5737"/>
    <w:rsid w:val="005D59E9"/>
    <w:rsid w:val="005D5A0F"/>
    <w:rsid w:val="005D7333"/>
    <w:rsid w:val="005E26A4"/>
    <w:rsid w:val="005E2CBD"/>
    <w:rsid w:val="005E2E9A"/>
    <w:rsid w:val="005E353D"/>
    <w:rsid w:val="005E361F"/>
    <w:rsid w:val="005E41AE"/>
    <w:rsid w:val="005E4745"/>
    <w:rsid w:val="005E4BC7"/>
    <w:rsid w:val="005E5C46"/>
    <w:rsid w:val="005E5F89"/>
    <w:rsid w:val="005F040D"/>
    <w:rsid w:val="005F1819"/>
    <w:rsid w:val="005F29F1"/>
    <w:rsid w:val="005F2E48"/>
    <w:rsid w:val="005F3CBB"/>
    <w:rsid w:val="005F4547"/>
    <w:rsid w:val="005F4BA0"/>
    <w:rsid w:val="005F5C00"/>
    <w:rsid w:val="005F6C24"/>
    <w:rsid w:val="005F716A"/>
    <w:rsid w:val="00600127"/>
    <w:rsid w:val="00600AD5"/>
    <w:rsid w:val="006013B6"/>
    <w:rsid w:val="00601B89"/>
    <w:rsid w:val="00601CA1"/>
    <w:rsid w:val="00602C8B"/>
    <w:rsid w:val="006073BD"/>
    <w:rsid w:val="00607FE8"/>
    <w:rsid w:val="00610690"/>
    <w:rsid w:val="00610F23"/>
    <w:rsid w:val="00610F56"/>
    <w:rsid w:val="00612B7D"/>
    <w:rsid w:val="00612BF3"/>
    <w:rsid w:val="00613D2D"/>
    <w:rsid w:val="0061452B"/>
    <w:rsid w:val="006145D9"/>
    <w:rsid w:val="006148D6"/>
    <w:rsid w:val="00614987"/>
    <w:rsid w:val="00614B86"/>
    <w:rsid w:val="00615D86"/>
    <w:rsid w:val="00616AFF"/>
    <w:rsid w:val="00616BB2"/>
    <w:rsid w:val="00616C2C"/>
    <w:rsid w:val="00616E35"/>
    <w:rsid w:val="00616F3B"/>
    <w:rsid w:val="006207EE"/>
    <w:rsid w:val="00621986"/>
    <w:rsid w:val="00621F87"/>
    <w:rsid w:val="0062330E"/>
    <w:rsid w:val="00623568"/>
    <w:rsid w:val="00623C81"/>
    <w:rsid w:val="0062535B"/>
    <w:rsid w:val="00625DBD"/>
    <w:rsid w:val="00626646"/>
    <w:rsid w:val="006302C9"/>
    <w:rsid w:val="006304F6"/>
    <w:rsid w:val="0063071E"/>
    <w:rsid w:val="006307EA"/>
    <w:rsid w:val="00630D1E"/>
    <w:rsid w:val="006312FD"/>
    <w:rsid w:val="00632C41"/>
    <w:rsid w:val="0063329D"/>
    <w:rsid w:val="0063453F"/>
    <w:rsid w:val="00634627"/>
    <w:rsid w:val="00635944"/>
    <w:rsid w:val="00635B27"/>
    <w:rsid w:val="0063645A"/>
    <w:rsid w:val="00636E17"/>
    <w:rsid w:val="00637385"/>
    <w:rsid w:val="00637668"/>
    <w:rsid w:val="00637C0F"/>
    <w:rsid w:val="00641C78"/>
    <w:rsid w:val="006420DD"/>
    <w:rsid w:val="0064210F"/>
    <w:rsid w:val="00642AD7"/>
    <w:rsid w:val="00643248"/>
    <w:rsid w:val="006436A7"/>
    <w:rsid w:val="00643A31"/>
    <w:rsid w:val="006440A3"/>
    <w:rsid w:val="00644448"/>
    <w:rsid w:val="00644B8F"/>
    <w:rsid w:val="00645EA1"/>
    <w:rsid w:val="00646040"/>
    <w:rsid w:val="00647477"/>
    <w:rsid w:val="0065097A"/>
    <w:rsid w:val="00650B21"/>
    <w:rsid w:val="00652061"/>
    <w:rsid w:val="0065255E"/>
    <w:rsid w:val="00652D01"/>
    <w:rsid w:val="006534CB"/>
    <w:rsid w:val="00653500"/>
    <w:rsid w:val="0065398C"/>
    <w:rsid w:val="00653E7F"/>
    <w:rsid w:val="0065483B"/>
    <w:rsid w:val="00655389"/>
    <w:rsid w:val="00655675"/>
    <w:rsid w:val="0065662D"/>
    <w:rsid w:val="00656D81"/>
    <w:rsid w:val="00657657"/>
    <w:rsid w:val="006576FB"/>
    <w:rsid w:val="00657CE4"/>
    <w:rsid w:val="00660435"/>
    <w:rsid w:val="00660A0C"/>
    <w:rsid w:val="00661B1C"/>
    <w:rsid w:val="006623DD"/>
    <w:rsid w:val="00662747"/>
    <w:rsid w:val="00662839"/>
    <w:rsid w:val="00663543"/>
    <w:rsid w:val="006641C3"/>
    <w:rsid w:val="00664826"/>
    <w:rsid w:val="00664BC7"/>
    <w:rsid w:val="00664C90"/>
    <w:rsid w:val="00665320"/>
    <w:rsid w:val="00665A8A"/>
    <w:rsid w:val="00665C5D"/>
    <w:rsid w:val="006660C6"/>
    <w:rsid w:val="00666FA3"/>
    <w:rsid w:val="00670008"/>
    <w:rsid w:val="0067012C"/>
    <w:rsid w:val="006706CD"/>
    <w:rsid w:val="00670B8B"/>
    <w:rsid w:val="0067268D"/>
    <w:rsid w:val="00672AB0"/>
    <w:rsid w:val="00673000"/>
    <w:rsid w:val="0067445F"/>
    <w:rsid w:val="00674767"/>
    <w:rsid w:val="00674787"/>
    <w:rsid w:val="00674D6E"/>
    <w:rsid w:val="00675A7E"/>
    <w:rsid w:val="00677818"/>
    <w:rsid w:val="00677986"/>
    <w:rsid w:val="00677A6A"/>
    <w:rsid w:val="0068023E"/>
    <w:rsid w:val="00681367"/>
    <w:rsid w:val="0068152C"/>
    <w:rsid w:val="00681890"/>
    <w:rsid w:val="00682B3D"/>
    <w:rsid w:val="00683038"/>
    <w:rsid w:val="006834E5"/>
    <w:rsid w:val="00684368"/>
    <w:rsid w:val="00684803"/>
    <w:rsid w:val="00684A5F"/>
    <w:rsid w:val="006855E4"/>
    <w:rsid w:val="00685633"/>
    <w:rsid w:val="00685A63"/>
    <w:rsid w:val="00686096"/>
    <w:rsid w:val="006866AC"/>
    <w:rsid w:val="00694055"/>
    <w:rsid w:val="006944F5"/>
    <w:rsid w:val="00694855"/>
    <w:rsid w:val="00694DAF"/>
    <w:rsid w:val="00694F6A"/>
    <w:rsid w:val="0069652E"/>
    <w:rsid w:val="00696769"/>
    <w:rsid w:val="00697A89"/>
    <w:rsid w:val="006A05A2"/>
    <w:rsid w:val="006A25F9"/>
    <w:rsid w:val="006A2C72"/>
    <w:rsid w:val="006A507B"/>
    <w:rsid w:val="006A6DCE"/>
    <w:rsid w:val="006A7240"/>
    <w:rsid w:val="006B0971"/>
    <w:rsid w:val="006B110C"/>
    <w:rsid w:val="006B1467"/>
    <w:rsid w:val="006B17D9"/>
    <w:rsid w:val="006B238D"/>
    <w:rsid w:val="006B2BD2"/>
    <w:rsid w:val="006B3B48"/>
    <w:rsid w:val="006B4530"/>
    <w:rsid w:val="006B5112"/>
    <w:rsid w:val="006B5F3B"/>
    <w:rsid w:val="006B6553"/>
    <w:rsid w:val="006B6DD0"/>
    <w:rsid w:val="006B7B99"/>
    <w:rsid w:val="006C32AE"/>
    <w:rsid w:val="006C3E16"/>
    <w:rsid w:val="006C3ED9"/>
    <w:rsid w:val="006C3EF9"/>
    <w:rsid w:val="006C42C2"/>
    <w:rsid w:val="006C430E"/>
    <w:rsid w:val="006C6870"/>
    <w:rsid w:val="006C72BF"/>
    <w:rsid w:val="006C76D5"/>
    <w:rsid w:val="006D0072"/>
    <w:rsid w:val="006D1733"/>
    <w:rsid w:val="006D1DB5"/>
    <w:rsid w:val="006D22A5"/>
    <w:rsid w:val="006D230F"/>
    <w:rsid w:val="006D28A8"/>
    <w:rsid w:val="006D2E3C"/>
    <w:rsid w:val="006D2E63"/>
    <w:rsid w:val="006D3604"/>
    <w:rsid w:val="006D3790"/>
    <w:rsid w:val="006D56C5"/>
    <w:rsid w:val="006D6503"/>
    <w:rsid w:val="006D7C81"/>
    <w:rsid w:val="006D7D91"/>
    <w:rsid w:val="006E0AC0"/>
    <w:rsid w:val="006E16B4"/>
    <w:rsid w:val="006E182D"/>
    <w:rsid w:val="006E27DF"/>
    <w:rsid w:val="006E3A6D"/>
    <w:rsid w:val="006E4C12"/>
    <w:rsid w:val="006E4C5F"/>
    <w:rsid w:val="006E5AE0"/>
    <w:rsid w:val="006E645F"/>
    <w:rsid w:val="006E651A"/>
    <w:rsid w:val="006E6BFA"/>
    <w:rsid w:val="006E71B2"/>
    <w:rsid w:val="006E75DE"/>
    <w:rsid w:val="006F1742"/>
    <w:rsid w:val="006F1DE3"/>
    <w:rsid w:val="006F2383"/>
    <w:rsid w:val="006F3F3C"/>
    <w:rsid w:val="006F47BD"/>
    <w:rsid w:val="006F50CA"/>
    <w:rsid w:val="006F57D5"/>
    <w:rsid w:val="006F620D"/>
    <w:rsid w:val="006F69A6"/>
    <w:rsid w:val="006F6A23"/>
    <w:rsid w:val="006F704D"/>
    <w:rsid w:val="006F7110"/>
    <w:rsid w:val="006F782D"/>
    <w:rsid w:val="007023DB"/>
    <w:rsid w:val="00703FE7"/>
    <w:rsid w:val="007048E2"/>
    <w:rsid w:val="00705398"/>
    <w:rsid w:val="00705717"/>
    <w:rsid w:val="00705AD1"/>
    <w:rsid w:val="007063C5"/>
    <w:rsid w:val="007104FD"/>
    <w:rsid w:val="0071083D"/>
    <w:rsid w:val="007110BC"/>
    <w:rsid w:val="00711852"/>
    <w:rsid w:val="00711C21"/>
    <w:rsid w:val="0071282D"/>
    <w:rsid w:val="00712E50"/>
    <w:rsid w:val="0071395F"/>
    <w:rsid w:val="00713C87"/>
    <w:rsid w:val="00713E37"/>
    <w:rsid w:val="00715431"/>
    <w:rsid w:val="00715459"/>
    <w:rsid w:val="00716072"/>
    <w:rsid w:val="00716918"/>
    <w:rsid w:val="00716DD8"/>
    <w:rsid w:val="007175B9"/>
    <w:rsid w:val="00717E1C"/>
    <w:rsid w:val="007202D8"/>
    <w:rsid w:val="00720F18"/>
    <w:rsid w:val="007213B3"/>
    <w:rsid w:val="00721470"/>
    <w:rsid w:val="007221ED"/>
    <w:rsid w:val="0072279C"/>
    <w:rsid w:val="00722935"/>
    <w:rsid w:val="007250AB"/>
    <w:rsid w:val="007255B6"/>
    <w:rsid w:val="00725A34"/>
    <w:rsid w:val="00725ED5"/>
    <w:rsid w:val="00726529"/>
    <w:rsid w:val="0073161B"/>
    <w:rsid w:val="007327D3"/>
    <w:rsid w:val="007342D3"/>
    <w:rsid w:val="007347D0"/>
    <w:rsid w:val="007349E4"/>
    <w:rsid w:val="00734EFA"/>
    <w:rsid w:val="00735880"/>
    <w:rsid w:val="00737385"/>
    <w:rsid w:val="00737469"/>
    <w:rsid w:val="007405ED"/>
    <w:rsid w:val="00740E3D"/>
    <w:rsid w:val="00741EB8"/>
    <w:rsid w:val="007438E5"/>
    <w:rsid w:val="007438EE"/>
    <w:rsid w:val="007463B4"/>
    <w:rsid w:val="00750E46"/>
    <w:rsid w:val="007520DA"/>
    <w:rsid w:val="0075288A"/>
    <w:rsid w:val="00752AE7"/>
    <w:rsid w:val="00753421"/>
    <w:rsid w:val="007535DB"/>
    <w:rsid w:val="00753B98"/>
    <w:rsid w:val="0075490B"/>
    <w:rsid w:val="007553EF"/>
    <w:rsid w:val="0075574E"/>
    <w:rsid w:val="00755E85"/>
    <w:rsid w:val="00760562"/>
    <w:rsid w:val="00761832"/>
    <w:rsid w:val="00761B3E"/>
    <w:rsid w:val="00762585"/>
    <w:rsid w:val="007637ED"/>
    <w:rsid w:val="007640AE"/>
    <w:rsid w:val="00765B25"/>
    <w:rsid w:val="00766187"/>
    <w:rsid w:val="0076647E"/>
    <w:rsid w:val="00770B86"/>
    <w:rsid w:val="00771581"/>
    <w:rsid w:val="0077215A"/>
    <w:rsid w:val="00772334"/>
    <w:rsid w:val="007727EA"/>
    <w:rsid w:val="00773297"/>
    <w:rsid w:val="00774CCA"/>
    <w:rsid w:val="00775095"/>
    <w:rsid w:val="00775DEE"/>
    <w:rsid w:val="00776517"/>
    <w:rsid w:val="00776865"/>
    <w:rsid w:val="007772BC"/>
    <w:rsid w:val="00777E86"/>
    <w:rsid w:val="0078013D"/>
    <w:rsid w:val="007818FA"/>
    <w:rsid w:val="0078284A"/>
    <w:rsid w:val="007829A3"/>
    <w:rsid w:val="007836ED"/>
    <w:rsid w:val="007864BA"/>
    <w:rsid w:val="00786F64"/>
    <w:rsid w:val="00787584"/>
    <w:rsid w:val="007876FA"/>
    <w:rsid w:val="00790241"/>
    <w:rsid w:val="007916C2"/>
    <w:rsid w:val="00792236"/>
    <w:rsid w:val="0079240F"/>
    <w:rsid w:val="00792CA7"/>
    <w:rsid w:val="007937EA"/>
    <w:rsid w:val="007939FC"/>
    <w:rsid w:val="00794B89"/>
    <w:rsid w:val="007954DB"/>
    <w:rsid w:val="007954E3"/>
    <w:rsid w:val="00795F44"/>
    <w:rsid w:val="007968A1"/>
    <w:rsid w:val="00797F91"/>
    <w:rsid w:val="007A02A9"/>
    <w:rsid w:val="007A1640"/>
    <w:rsid w:val="007A2046"/>
    <w:rsid w:val="007A21E4"/>
    <w:rsid w:val="007A26D5"/>
    <w:rsid w:val="007A308A"/>
    <w:rsid w:val="007A3DE2"/>
    <w:rsid w:val="007A47CE"/>
    <w:rsid w:val="007A488E"/>
    <w:rsid w:val="007A4A80"/>
    <w:rsid w:val="007A7084"/>
    <w:rsid w:val="007B00A3"/>
    <w:rsid w:val="007B12D1"/>
    <w:rsid w:val="007B1501"/>
    <w:rsid w:val="007B1873"/>
    <w:rsid w:val="007B1A8C"/>
    <w:rsid w:val="007B2A97"/>
    <w:rsid w:val="007B2EF6"/>
    <w:rsid w:val="007B335E"/>
    <w:rsid w:val="007B35E8"/>
    <w:rsid w:val="007B4514"/>
    <w:rsid w:val="007B47D9"/>
    <w:rsid w:val="007B4CEC"/>
    <w:rsid w:val="007B4CFD"/>
    <w:rsid w:val="007B5CD4"/>
    <w:rsid w:val="007B5D01"/>
    <w:rsid w:val="007B658A"/>
    <w:rsid w:val="007B6C4E"/>
    <w:rsid w:val="007B6D3C"/>
    <w:rsid w:val="007B73D0"/>
    <w:rsid w:val="007C00A4"/>
    <w:rsid w:val="007C0BD0"/>
    <w:rsid w:val="007C17BB"/>
    <w:rsid w:val="007C17F1"/>
    <w:rsid w:val="007C1FE1"/>
    <w:rsid w:val="007C2A3C"/>
    <w:rsid w:val="007C2DBF"/>
    <w:rsid w:val="007C3985"/>
    <w:rsid w:val="007C42D6"/>
    <w:rsid w:val="007C4385"/>
    <w:rsid w:val="007C494D"/>
    <w:rsid w:val="007C49A9"/>
    <w:rsid w:val="007C56EB"/>
    <w:rsid w:val="007C7E95"/>
    <w:rsid w:val="007D01DB"/>
    <w:rsid w:val="007D0CC0"/>
    <w:rsid w:val="007D1FAE"/>
    <w:rsid w:val="007D2A6F"/>
    <w:rsid w:val="007D2F5C"/>
    <w:rsid w:val="007D3764"/>
    <w:rsid w:val="007D387D"/>
    <w:rsid w:val="007D3C19"/>
    <w:rsid w:val="007D3EF9"/>
    <w:rsid w:val="007D4152"/>
    <w:rsid w:val="007D4E4C"/>
    <w:rsid w:val="007D5239"/>
    <w:rsid w:val="007D65C9"/>
    <w:rsid w:val="007D6AAE"/>
    <w:rsid w:val="007D6F4C"/>
    <w:rsid w:val="007D7CB3"/>
    <w:rsid w:val="007E148D"/>
    <w:rsid w:val="007E153E"/>
    <w:rsid w:val="007E1667"/>
    <w:rsid w:val="007E2145"/>
    <w:rsid w:val="007E2418"/>
    <w:rsid w:val="007E34A9"/>
    <w:rsid w:val="007E3C71"/>
    <w:rsid w:val="007E3F07"/>
    <w:rsid w:val="007E42F4"/>
    <w:rsid w:val="007E4B3E"/>
    <w:rsid w:val="007E4B97"/>
    <w:rsid w:val="007E648B"/>
    <w:rsid w:val="007E6D54"/>
    <w:rsid w:val="007F038C"/>
    <w:rsid w:val="007F1891"/>
    <w:rsid w:val="007F1A52"/>
    <w:rsid w:val="007F1C12"/>
    <w:rsid w:val="007F1C4D"/>
    <w:rsid w:val="007F2932"/>
    <w:rsid w:val="007F3353"/>
    <w:rsid w:val="007F3410"/>
    <w:rsid w:val="007F4C53"/>
    <w:rsid w:val="007F58E1"/>
    <w:rsid w:val="007F591E"/>
    <w:rsid w:val="007F5EB4"/>
    <w:rsid w:val="007F61F7"/>
    <w:rsid w:val="007F6281"/>
    <w:rsid w:val="007F65F8"/>
    <w:rsid w:val="007F724A"/>
    <w:rsid w:val="007F74B7"/>
    <w:rsid w:val="007F7C35"/>
    <w:rsid w:val="00800142"/>
    <w:rsid w:val="00800501"/>
    <w:rsid w:val="008012AE"/>
    <w:rsid w:val="008014FA"/>
    <w:rsid w:val="00801981"/>
    <w:rsid w:val="00801D00"/>
    <w:rsid w:val="0080249A"/>
    <w:rsid w:val="008025CE"/>
    <w:rsid w:val="008035FD"/>
    <w:rsid w:val="008044B5"/>
    <w:rsid w:val="00804AF0"/>
    <w:rsid w:val="00805075"/>
    <w:rsid w:val="00805791"/>
    <w:rsid w:val="008058EB"/>
    <w:rsid w:val="008058F0"/>
    <w:rsid w:val="00806A9E"/>
    <w:rsid w:val="00806E19"/>
    <w:rsid w:val="00807039"/>
    <w:rsid w:val="00812008"/>
    <w:rsid w:val="008124C3"/>
    <w:rsid w:val="00812E15"/>
    <w:rsid w:val="00813DA3"/>
    <w:rsid w:val="00813F0A"/>
    <w:rsid w:val="00814003"/>
    <w:rsid w:val="00814C8F"/>
    <w:rsid w:val="00814F9D"/>
    <w:rsid w:val="00815076"/>
    <w:rsid w:val="008151D3"/>
    <w:rsid w:val="008161F4"/>
    <w:rsid w:val="008164AB"/>
    <w:rsid w:val="008203DC"/>
    <w:rsid w:val="0082074C"/>
    <w:rsid w:val="00820A0B"/>
    <w:rsid w:val="008212AC"/>
    <w:rsid w:val="00821633"/>
    <w:rsid w:val="008222C6"/>
    <w:rsid w:val="00822A70"/>
    <w:rsid w:val="00822D55"/>
    <w:rsid w:val="00823028"/>
    <w:rsid w:val="0082329B"/>
    <w:rsid w:val="00823756"/>
    <w:rsid w:val="00823795"/>
    <w:rsid w:val="008245D8"/>
    <w:rsid w:val="00826DF2"/>
    <w:rsid w:val="0082709F"/>
    <w:rsid w:val="0082718A"/>
    <w:rsid w:val="0082722C"/>
    <w:rsid w:val="008273B0"/>
    <w:rsid w:val="008305F9"/>
    <w:rsid w:val="00832728"/>
    <w:rsid w:val="008327CF"/>
    <w:rsid w:val="00832A75"/>
    <w:rsid w:val="00833448"/>
    <w:rsid w:val="008335D0"/>
    <w:rsid w:val="00833E90"/>
    <w:rsid w:val="00834C08"/>
    <w:rsid w:val="00836048"/>
    <w:rsid w:val="0083661E"/>
    <w:rsid w:val="00836FBD"/>
    <w:rsid w:val="00841479"/>
    <w:rsid w:val="00841D41"/>
    <w:rsid w:val="008454FA"/>
    <w:rsid w:val="00845962"/>
    <w:rsid w:val="00845FAD"/>
    <w:rsid w:val="00846B6C"/>
    <w:rsid w:val="00847366"/>
    <w:rsid w:val="00847608"/>
    <w:rsid w:val="008518BC"/>
    <w:rsid w:val="00851B42"/>
    <w:rsid w:val="00852A81"/>
    <w:rsid w:val="00852F39"/>
    <w:rsid w:val="008534EE"/>
    <w:rsid w:val="00854331"/>
    <w:rsid w:val="0085469C"/>
    <w:rsid w:val="0085476A"/>
    <w:rsid w:val="00854E08"/>
    <w:rsid w:val="00855660"/>
    <w:rsid w:val="008556D0"/>
    <w:rsid w:val="00855BF3"/>
    <w:rsid w:val="00855E8A"/>
    <w:rsid w:val="0085694D"/>
    <w:rsid w:val="00857DD5"/>
    <w:rsid w:val="00860024"/>
    <w:rsid w:val="00860492"/>
    <w:rsid w:val="008610B1"/>
    <w:rsid w:val="00861154"/>
    <w:rsid w:val="0086121A"/>
    <w:rsid w:val="00861613"/>
    <w:rsid w:val="0086413F"/>
    <w:rsid w:val="00864402"/>
    <w:rsid w:val="0086468C"/>
    <w:rsid w:val="008669DF"/>
    <w:rsid w:val="00871FEE"/>
    <w:rsid w:val="008732A6"/>
    <w:rsid w:val="00873E92"/>
    <w:rsid w:val="00874927"/>
    <w:rsid w:val="00874CE9"/>
    <w:rsid w:val="008752ED"/>
    <w:rsid w:val="0087535A"/>
    <w:rsid w:val="00875FAB"/>
    <w:rsid w:val="0087644B"/>
    <w:rsid w:val="00877A74"/>
    <w:rsid w:val="00877C4C"/>
    <w:rsid w:val="00880F4F"/>
    <w:rsid w:val="0088137F"/>
    <w:rsid w:val="00882545"/>
    <w:rsid w:val="00883521"/>
    <w:rsid w:val="00883A68"/>
    <w:rsid w:val="008843CE"/>
    <w:rsid w:val="0088477D"/>
    <w:rsid w:val="00885005"/>
    <w:rsid w:val="0088594B"/>
    <w:rsid w:val="00886160"/>
    <w:rsid w:val="0088619B"/>
    <w:rsid w:val="008869F5"/>
    <w:rsid w:val="008873C5"/>
    <w:rsid w:val="008875FA"/>
    <w:rsid w:val="00887764"/>
    <w:rsid w:val="008900F1"/>
    <w:rsid w:val="00890356"/>
    <w:rsid w:val="00890805"/>
    <w:rsid w:val="00890F9A"/>
    <w:rsid w:val="00891B0F"/>
    <w:rsid w:val="00891B39"/>
    <w:rsid w:val="00891D0E"/>
    <w:rsid w:val="00891FE8"/>
    <w:rsid w:val="008928B7"/>
    <w:rsid w:val="00893289"/>
    <w:rsid w:val="0089367E"/>
    <w:rsid w:val="008942D2"/>
    <w:rsid w:val="00894A86"/>
    <w:rsid w:val="00894CB4"/>
    <w:rsid w:val="00895CB2"/>
    <w:rsid w:val="008965C3"/>
    <w:rsid w:val="00896A17"/>
    <w:rsid w:val="00897640"/>
    <w:rsid w:val="00897B64"/>
    <w:rsid w:val="008A0530"/>
    <w:rsid w:val="008A0BA7"/>
    <w:rsid w:val="008A0D72"/>
    <w:rsid w:val="008A1996"/>
    <w:rsid w:val="008A2756"/>
    <w:rsid w:val="008A34CC"/>
    <w:rsid w:val="008A39F3"/>
    <w:rsid w:val="008A4DD5"/>
    <w:rsid w:val="008A4E3C"/>
    <w:rsid w:val="008A4EAE"/>
    <w:rsid w:val="008A573B"/>
    <w:rsid w:val="008A5D69"/>
    <w:rsid w:val="008A6477"/>
    <w:rsid w:val="008A671F"/>
    <w:rsid w:val="008A6B5C"/>
    <w:rsid w:val="008A6F95"/>
    <w:rsid w:val="008B04C2"/>
    <w:rsid w:val="008B0C22"/>
    <w:rsid w:val="008B1BBF"/>
    <w:rsid w:val="008B27E1"/>
    <w:rsid w:val="008B3731"/>
    <w:rsid w:val="008B3BD3"/>
    <w:rsid w:val="008B3F5B"/>
    <w:rsid w:val="008B50FB"/>
    <w:rsid w:val="008B52B4"/>
    <w:rsid w:val="008B53DD"/>
    <w:rsid w:val="008B5A94"/>
    <w:rsid w:val="008B6937"/>
    <w:rsid w:val="008B6CFC"/>
    <w:rsid w:val="008B779D"/>
    <w:rsid w:val="008B78B3"/>
    <w:rsid w:val="008B7F4B"/>
    <w:rsid w:val="008C044C"/>
    <w:rsid w:val="008C1C36"/>
    <w:rsid w:val="008C2395"/>
    <w:rsid w:val="008C388F"/>
    <w:rsid w:val="008C42D7"/>
    <w:rsid w:val="008C4C9A"/>
    <w:rsid w:val="008C5875"/>
    <w:rsid w:val="008C5B14"/>
    <w:rsid w:val="008C5F06"/>
    <w:rsid w:val="008C6A28"/>
    <w:rsid w:val="008C6C27"/>
    <w:rsid w:val="008C7921"/>
    <w:rsid w:val="008C7A7C"/>
    <w:rsid w:val="008C7BCD"/>
    <w:rsid w:val="008C7D19"/>
    <w:rsid w:val="008C7EF7"/>
    <w:rsid w:val="008D1590"/>
    <w:rsid w:val="008D20DA"/>
    <w:rsid w:val="008D2155"/>
    <w:rsid w:val="008D2357"/>
    <w:rsid w:val="008D38C3"/>
    <w:rsid w:val="008D392E"/>
    <w:rsid w:val="008D3A39"/>
    <w:rsid w:val="008D3D9A"/>
    <w:rsid w:val="008D4865"/>
    <w:rsid w:val="008D4E55"/>
    <w:rsid w:val="008D5F37"/>
    <w:rsid w:val="008E0016"/>
    <w:rsid w:val="008E0C32"/>
    <w:rsid w:val="008E0C69"/>
    <w:rsid w:val="008E0F2E"/>
    <w:rsid w:val="008E14B2"/>
    <w:rsid w:val="008E2310"/>
    <w:rsid w:val="008E24C9"/>
    <w:rsid w:val="008E2B11"/>
    <w:rsid w:val="008E3E5D"/>
    <w:rsid w:val="008E44B0"/>
    <w:rsid w:val="008E4DB9"/>
    <w:rsid w:val="008E5349"/>
    <w:rsid w:val="008E66AF"/>
    <w:rsid w:val="008E74D6"/>
    <w:rsid w:val="008E7630"/>
    <w:rsid w:val="008F0A1E"/>
    <w:rsid w:val="008F291F"/>
    <w:rsid w:val="008F4FD4"/>
    <w:rsid w:val="008F526B"/>
    <w:rsid w:val="008F5F55"/>
    <w:rsid w:val="008F7209"/>
    <w:rsid w:val="008F776A"/>
    <w:rsid w:val="008F7E58"/>
    <w:rsid w:val="009006A3"/>
    <w:rsid w:val="00900F54"/>
    <w:rsid w:val="0090134E"/>
    <w:rsid w:val="00901689"/>
    <w:rsid w:val="009023C4"/>
    <w:rsid w:val="00902546"/>
    <w:rsid w:val="00903C5A"/>
    <w:rsid w:val="00903D9C"/>
    <w:rsid w:val="00904360"/>
    <w:rsid w:val="00905170"/>
    <w:rsid w:val="009053E3"/>
    <w:rsid w:val="00906383"/>
    <w:rsid w:val="00906749"/>
    <w:rsid w:val="00907681"/>
    <w:rsid w:val="009079FC"/>
    <w:rsid w:val="00910060"/>
    <w:rsid w:val="00910280"/>
    <w:rsid w:val="009115CB"/>
    <w:rsid w:val="00913A64"/>
    <w:rsid w:val="00913BFB"/>
    <w:rsid w:val="00914680"/>
    <w:rsid w:val="00914EDC"/>
    <w:rsid w:val="00915B2A"/>
    <w:rsid w:val="00916235"/>
    <w:rsid w:val="00916CD1"/>
    <w:rsid w:val="00917695"/>
    <w:rsid w:val="009176A5"/>
    <w:rsid w:val="0091782F"/>
    <w:rsid w:val="00920992"/>
    <w:rsid w:val="00920D55"/>
    <w:rsid w:val="009213B2"/>
    <w:rsid w:val="00921719"/>
    <w:rsid w:val="00921A86"/>
    <w:rsid w:val="0092212A"/>
    <w:rsid w:val="00923155"/>
    <w:rsid w:val="00923819"/>
    <w:rsid w:val="00924831"/>
    <w:rsid w:val="0092566F"/>
    <w:rsid w:val="009257D4"/>
    <w:rsid w:val="009259BC"/>
    <w:rsid w:val="00926010"/>
    <w:rsid w:val="009270BC"/>
    <w:rsid w:val="009275ED"/>
    <w:rsid w:val="00930F94"/>
    <w:rsid w:val="009315AC"/>
    <w:rsid w:val="00931FF5"/>
    <w:rsid w:val="00932376"/>
    <w:rsid w:val="00933070"/>
    <w:rsid w:val="009332B0"/>
    <w:rsid w:val="00933851"/>
    <w:rsid w:val="009338B6"/>
    <w:rsid w:val="00933DD3"/>
    <w:rsid w:val="00934334"/>
    <w:rsid w:val="009348A1"/>
    <w:rsid w:val="0093646D"/>
    <w:rsid w:val="0094068B"/>
    <w:rsid w:val="009409FD"/>
    <w:rsid w:val="009415BC"/>
    <w:rsid w:val="00941B2A"/>
    <w:rsid w:val="00943EB3"/>
    <w:rsid w:val="00944B1E"/>
    <w:rsid w:val="009455BD"/>
    <w:rsid w:val="00946899"/>
    <w:rsid w:val="009468C1"/>
    <w:rsid w:val="00947255"/>
    <w:rsid w:val="00947773"/>
    <w:rsid w:val="00947889"/>
    <w:rsid w:val="009506A1"/>
    <w:rsid w:val="00950805"/>
    <w:rsid w:val="009549CE"/>
    <w:rsid w:val="00954D23"/>
    <w:rsid w:val="00954D83"/>
    <w:rsid w:val="00957141"/>
    <w:rsid w:val="00957533"/>
    <w:rsid w:val="0096265E"/>
    <w:rsid w:val="00962B4F"/>
    <w:rsid w:val="009647CF"/>
    <w:rsid w:val="00965989"/>
    <w:rsid w:val="00965D65"/>
    <w:rsid w:val="00966430"/>
    <w:rsid w:val="009671F0"/>
    <w:rsid w:val="009675A3"/>
    <w:rsid w:val="00967CF0"/>
    <w:rsid w:val="00970001"/>
    <w:rsid w:val="00970158"/>
    <w:rsid w:val="00970CEA"/>
    <w:rsid w:val="00970FB8"/>
    <w:rsid w:val="00971A68"/>
    <w:rsid w:val="00971A73"/>
    <w:rsid w:val="00972184"/>
    <w:rsid w:val="00972B55"/>
    <w:rsid w:val="00974EA7"/>
    <w:rsid w:val="00975187"/>
    <w:rsid w:val="009756FD"/>
    <w:rsid w:val="00977423"/>
    <w:rsid w:val="00977B2D"/>
    <w:rsid w:val="00977D18"/>
    <w:rsid w:val="00980275"/>
    <w:rsid w:val="009809D7"/>
    <w:rsid w:val="009814F0"/>
    <w:rsid w:val="00982083"/>
    <w:rsid w:val="00982242"/>
    <w:rsid w:val="00982B7F"/>
    <w:rsid w:val="00983776"/>
    <w:rsid w:val="00983D55"/>
    <w:rsid w:val="00983F30"/>
    <w:rsid w:val="0098537F"/>
    <w:rsid w:val="00985383"/>
    <w:rsid w:val="00985976"/>
    <w:rsid w:val="00985A55"/>
    <w:rsid w:val="009865E1"/>
    <w:rsid w:val="009866E6"/>
    <w:rsid w:val="00986A93"/>
    <w:rsid w:val="00987AC7"/>
    <w:rsid w:val="00990250"/>
    <w:rsid w:val="00990E57"/>
    <w:rsid w:val="009914EC"/>
    <w:rsid w:val="00991E78"/>
    <w:rsid w:val="00992046"/>
    <w:rsid w:val="00992509"/>
    <w:rsid w:val="0099347E"/>
    <w:rsid w:val="0099466E"/>
    <w:rsid w:val="0099514E"/>
    <w:rsid w:val="00995174"/>
    <w:rsid w:val="00995214"/>
    <w:rsid w:val="009956CF"/>
    <w:rsid w:val="00995E4B"/>
    <w:rsid w:val="009975E1"/>
    <w:rsid w:val="009A0121"/>
    <w:rsid w:val="009A045E"/>
    <w:rsid w:val="009A1A42"/>
    <w:rsid w:val="009A2635"/>
    <w:rsid w:val="009A3844"/>
    <w:rsid w:val="009A4C74"/>
    <w:rsid w:val="009A5649"/>
    <w:rsid w:val="009B017A"/>
    <w:rsid w:val="009B0AFD"/>
    <w:rsid w:val="009B0E80"/>
    <w:rsid w:val="009B1A48"/>
    <w:rsid w:val="009B1BAF"/>
    <w:rsid w:val="009B4495"/>
    <w:rsid w:val="009B4585"/>
    <w:rsid w:val="009B48ED"/>
    <w:rsid w:val="009B59F5"/>
    <w:rsid w:val="009B5DA2"/>
    <w:rsid w:val="009B62D6"/>
    <w:rsid w:val="009B6732"/>
    <w:rsid w:val="009B706B"/>
    <w:rsid w:val="009B7137"/>
    <w:rsid w:val="009B7ABC"/>
    <w:rsid w:val="009C0214"/>
    <w:rsid w:val="009C0DD2"/>
    <w:rsid w:val="009C10DB"/>
    <w:rsid w:val="009C1228"/>
    <w:rsid w:val="009C2282"/>
    <w:rsid w:val="009C2396"/>
    <w:rsid w:val="009C43F4"/>
    <w:rsid w:val="009C46EB"/>
    <w:rsid w:val="009C4A3A"/>
    <w:rsid w:val="009C55AB"/>
    <w:rsid w:val="009C5E33"/>
    <w:rsid w:val="009C6F32"/>
    <w:rsid w:val="009C6F6F"/>
    <w:rsid w:val="009C7171"/>
    <w:rsid w:val="009C7380"/>
    <w:rsid w:val="009C77BA"/>
    <w:rsid w:val="009D0835"/>
    <w:rsid w:val="009D17F2"/>
    <w:rsid w:val="009D21C6"/>
    <w:rsid w:val="009D313F"/>
    <w:rsid w:val="009D32FC"/>
    <w:rsid w:val="009D3431"/>
    <w:rsid w:val="009D39B3"/>
    <w:rsid w:val="009D48FF"/>
    <w:rsid w:val="009D4C0F"/>
    <w:rsid w:val="009D5864"/>
    <w:rsid w:val="009D5A1C"/>
    <w:rsid w:val="009D5F79"/>
    <w:rsid w:val="009D634E"/>
    <w:rsid w:val="009D7B44"/>
    <w:rsid w:val="009D7F7B"/>
    <w:rsid w:val="009E12CC"/>
    <w:rsid w:val="009E2599"/>
    <w:rsid w:val="009E30F6"/>
    <w:rsid w:val="009E3C41"/>
    <w:rsid w:val="009E3E03"/>
    <w:rsid w:val="009E3E27"/>
    <w:rsid w:val="009E4349"/>
    <w:rsid w:val="009E44A2"/>
    <w:rsid w:val="009E4637"/>
    <w:rsid w:val="009E49FD"/>
    <w:rsid w:val="009E4B3B"/>
    <w:rsid w:val="009E5678"/>
    <w:rsid w:val="009E5BED"/>
    <w:rsid w:val="009E7B13"/>
    <w:rsid w:val="009E7F74"/>
    <w:rsid w:val="009F0EF0"/>
    <w:rsid w:val="009F1C36"/>
    <w:rsid w:val="009F204E"/>
    <w:rsid w:val="009F25CA"/>
    <w:rsid w:val="009F3F7E"/>
    <w:rsid w:val="009F5D4A"/>
    <w:rsid w:val="009F5FDC"/>
    <w:rsid w:val="009F609C"/>
    <w:rsid w:val="009F6331"/>
    <w:rsid w:val="009F726D"/>
    <w:rsid w:val="009F78CD"/>
    <w:rsid w:val="00A0007B"/>
    <w:rsid w:val="00A00134"/>
    <w:rsid w:val="00A007CF"/>
    <w:rsid w:val="00A00F04"/>
    <w:rsid w:val="00A02326"/>
    <w:rsid w:val="00A03454"/>
    <w:rsid w:val="00A040E0"/>
    <w:rsid w:val="00A041E6"/>
    <w:rsid w:val="00A04DCE"/>
    <w:rsid w:val="00A05215"/>
    <w:rsid w:val="00A05FCD"/>
    <w:rsid w:val="00A063FD"/>
    <w:rsid w:val="00A07796"/>
    <w:rsid w:val="00A10344"/>
    <w:rsid w:val="00A10892"/>
    <w:rsid w:val="00A122A9"/>
    <w:rsid w:val="00A126FF"/>
    <w:rsid w:val="00A12D6F"/>
    <w:rsid w:val="00A1302D"/>
    <w:rsid w:val="00A13185"/>
    <w:rsid w:val="00A132AD"/>
    <w:rsid w:val="00A13DBD"/>
    <w:rsid w:val="00A147E1"/>
    <w:rsid w:val="00A15ECE"/>
    <w:rsid w:val="00A16E14"/>
    <w:rsid w:val="00A178C7"/>
    <w:rsid w:val="00A17FD1"/>
    <w:rsid w:val="00A20054"/>
    <w:rsid w:val="00A2065F"/>
    <w:rsid w:val="00A20AA9"/>
    <w:rsid w:val="00A20C36"/>
    <w:rsid w:val="00A21232"/>
    <w:rsid w:val="00A24EB8"/>
    <w:rsid w:val="00A24F86"/>
    <w:rsid w:val="00A25343"/>
    <w:rsid w:val="00A26337"/>
    <w:rsid w:val="00A26E6D"/>
    <w:rsid w:val="00A27128"/>
    <w:rsid w:val="00A27B20"/>
    <w:rsid w:val="00A309DE"/>
    <w:rsid w:val="00A30D58"/>
    <w:rsid w:val="00A30EA6"/>
    <w:rsid w:val="00A31525"/>
    <w:rsid w:val="00A315E9"/>
    <w:rsid w:val="00A3198F"/>
    <w:rsid w:val="00A32618"/>
    <w:rsid w:val="00A328B4"/>
    <w:rsid w:val="00A3292C"/>
    <w:rsid w:val="00A32EC7"/>
    <w:rsid w:val="00A32F2D"/>
    <w:rsid w:val="00A32FE5"/>
    <w:rsid w:val="00A33E85"/>
    <w:rsid w:val="00A34592"/>
    <w:rsid w:val="00A3544C"/>
    <w:rsid w:val="00A357B0"/>
    <w:rsid w:val="00A35AF4"/>
    <w:rsid w:val="00A35C7B"/>
    <w:rsid w:val="00A362D8"/>
    <w:rsid w:val="00A36632"/>
    <w:rsid w:val="00A409CE"/>
    <w:rsid w:val="00A40D61"/>
    <w:rsid w:val="00A40FA3"/>
    <w:rsid w:val="00A4166F"/>
    <w:rsid w:val="00A416AB"/>
    <w:rsid w:val="00A41723"/>
    <w:rsid w:val="00A41F78"/>
    <w:rsid w:val="00A43168"/>
    <w:rsid w:val="00A43726"/>
    <w:rsid w:val="00A43A20"/>
    <w:rsid w:val="00A44C6D"/>
    <w:rsid w:val="00A450C5"/>
    <w:rsid w:val="00A478A4"/>
    <w:rsid w:val="00A503C0"/>
    <w:rsid w:val="00A509B6"/>
    <w:rsid w:val="00A51073"/>
    <w:rsid w:val="00A516C5"/>
    <w:rsid w:val="00A51DD0"/>
    <w:rsid w:val="00A52C3C"/>
    <w:rsid w:val="00A53724"/>
    <w:rsid w:val="00A53B9B"/>
    <w:rsid w:val="00A547BD"/>
    <w:rsid w:val="00A54F00"/>
    <w:rsid w:val="00A5585F"/>
    <w:rsid w:val="00A5627C"/>
    <w:rsid w:val="00A609BD"/>
    <w:rsid w:val="00A616B0"/>
    <w:rsid w:val="00A623A0"/>
    <w:rsid w:val="00A62CCA"/>
    <w:rsid w:val="00A64C7B"/>
    <w:rsid w:val="00A65CE8"/>
    <w:rsid w:val="00A65FB0"/>
    <w:rsid w:val="00A667E0"/>
    <w:rsid w:val="00A66D34"/>
    <w:rsid w:val="00A66ECC"/>
    <w:rsid w:val="00A675E1"/>
    <w:rsid w:val="00A701B3"/>
    <w:rsid w:val="00A716C8"/>
    <w:rsid w:val="00A72125"/>
    <w:rsid w:val="00A72290"/>
    <w:rsid w:val="00A7237A"/>
    <w:rsid w:val="00A72434"/>
    <w:rsid w:val="00A737DA"/>
    <w:rsid w:val="00A739EC"/>
    <w:rsid w:val="00A73B8E"/>
    <w:rsid w:val="00A73EC0"/>
    <w:rsid w:val="00A741DF"/>
    <w:rsid w:val="00A742C5"/>
    <w:rsid w:val="00A75D4C"/>
    <w:rsid w:val="00A764FB"/>
    <w:rsid w:val="00A767F9"/>
    <w:rsid w:val="00A7680B"/>
    <w:rsid w:val="00A76D92"/>
    <w:rsid w:val="00A80716"/>
    <w:rsid w:val="00A817B1"/>
    <w:rsid w:val="00A8201B"/>
    <w:rsid w:val="00A828C9"/>
    <w:rsid w:val="00A831EA"/>
    <w:rsid w:val="00A84425"/>
    <w:rsid w:val="00A8707E"/>
    <w:rsid w:val="00A8709E"/>
    <w:rsid w:val="00A87140"/>
    <w:rsid w:val="00A87BE3"/>
    <w:rsid w:val="00A91906"/>
    <w:rsid w:val="00A91989"/>
    <w:rsid w:val="00A924C6"/>
    <w:rsid w:val="00A934B3"/>
    <w:rsid w:val="00A93CDF"/>
    <w:rsid w:val="00A93D8B"/>
    <w:rsid w:val="00A96189"/>
    <w:rsid w:val="00A967C9"/>
    <w:rsid w:val="00A971CD"/>
    <w:rsid w:val="00A9722F"/>
    <w:rsid w:val="00A97E32"/>
    <w:rsid w:val="00AA0731"/>
    <w:rsid w:val="00AA153B"/>
    <w:rsid w:val="00AA1571"/>
    <w:rsid w:val="00AA47C1"/>
    <w:rsid w:val="00AA481B"/>
    <w:rsid w:val="00AA497D"/>
    <w:rsid w:val="00AA7783"/>
    <w:rsid w:val="00AB147A"/>
    <w:rsid w:val="00AB16A1"/>
    <w:rsid w:val="00AB3139"/>
    <w:rsid w:val="00AB31AA"/>
    <w:rsid w:val="00AB3C62"/>
    <w:rsid w:val="00AB4332"/>
    <w:rsid w:val="00AB6518"/>
    <w:rsid w:val="00AB6FDA"/>
    <w:rsid w:val="00AB798F"/>
    <w:rsid w:val="00AB7F26"/>
    <w:rsid w:val="00AC014E"/>
    <w:rsid w:val="00AC143E"/>
    <w:rsid w:val="00AC2005"/>
    <w:rsid w:val="00AC22BB"/>
    <w:rsid w:val="00AC235A"/>
    <w:rsid w:val="00AC36D1"/>
    <w:rsid w:val="00AC3B41"/>
    <w:rsid w:val="00AC3CBE"/>
    <w:rsid w:val="00AC3F0F"/>
    <w:rsid w:val="00AC4DB0"/>
    <w:rsid w:val="00AC51F3"/>
    <w:rsid w:val="00AC56C5"/>
    <w:rsid w:val="00AC6288"/>
    <w:rsid w:val="00AC65DB"/>
    <w:rsid w:val="00AC70FA"/>
    <w:rsid w:val="00AD00C6"/>
    <w:rsid w:val="00AD01FE"/>
    <w:rsid w:val="00AD0C5B"/>
    <w:rsid w:val="00AD15A3"/>
    <w:rsid w:val="00AD1F18"/>
    <w:rsid w:val="00AD40E0"/>
    <w:rsid w:val="00AD57B6"/>
    <w:rsid w:val="00AD59E7"/>
    <w:rsid w:val="00AD6151"/>
    <w:rsid w:val="00AD62C8"/>
    <w:rsid w:val="00AD64C5"/>
    <w:rsid w:val="00AD6706"/>
    <w:rsid w:val="00AD6C82"/>
    <w:rsid w:val="00AD74FA"/>
    <w:rsid w:val="00AD7871"/>
    <w:rsid w:val="00AE17CA"/>
    <w:rsid w:val="00AE1E4C"/>
    <w:rsid w:val="00AE1ED2"/>
    <w:rsid w:val="00AE23A5"/>
    <w:rsid w:val="00AE245B"/>
    <w:rsid w:val="00AE4562"/>
    <w:rsid w:val="00AE5411"/>
    <w:rsid w:val="00AE5B57"/>
    <w:rsid w:val="00AE5E43"/>
    <w:rsid w:val="00AE5FC1"/>
    <w:rsid w:val="00AE6F90"/>
    <w:rsid w:val="00AE7021"/>
    <w:rsid w:val="00AF1000"/>
    <w:rsid w:val="00AF1818"/>
    <w:rsid w:val="00AF1D9E"/>
    <w:rsid w:val="00AF211D"/>
    <w:rsid w:val="00AF2838"/>
    <w:rsid w:val="00AF2970"/>
    <w:rsid w:val="00AF2EA6"/>
    <w:rsid w:val="00AF3058"/>
    <w:rsid w:val="00AF3C21"/>
    <w:rsid w:val="00AF3D58"/>
    <w:rsid w:val="00AF4963"/>
    <w:rsid w:val="00AF5753"/>
    <w:rsid w:val="00AF5C2A"/>
    <w:rsid w:val="00AF5C8C"/>
    <w:rsid w:val="00AF6810"/>
    <w:rsid w:val="00AF7716"/>
    <w:rsid w:val="00AF7A3E"/>
    <w:rsid w:val="00AF7B08"/>
    <w:rsid w:val="00B00155"/>
    <w:rsid w:val="00B0039E"/>
    <w:rsid w:val="00B007DD"/>
    <w:rsid w:val="00B01984"/>
    <w:rsid w:val="00B01CAE"/>
    <w:rsid w:val="00B02512"/>
    <w:rsid w:val="00B02829"/>
    <w:rsid w:val="00B02C84"/>
    <w:rsid w:val="00B0310D"/>
    <w:rsid w:val="00B035E8"/>
    <w:rsid w:val="00B04897"/>
    <w:rsid w:val="00B04E5F"/>
    <w:rsid w:val="00B0513E"/>
    <w:rsid w:val="00B052DF"/>
    <w:rsid w:val="00B060FF"/>
    <w:rsid w:val="00B063DC"/>
    <w:rsid w:val="00B07221"/>
    <w:rsid w:val="00B07BCE"/>
    <w:rsid w:val="00B1042A"/>
    <w:rsid w:val="00B1182A"/>
    <w:rsid w:val="00B11F98"/>
    <w:rsid w:val="00B125EE"/>
    <w:rsid w:val="00B13298"/>
    <w:rsid w:val="00B13E2C"/>
    <w:rsid w:val="00B144FA"/>
    <w:rsid w:val="00B15232"/>
    <w:rsid w:val="00B155AB"/>
    <w:rsid w:val="00B16DAE"/>
    <w:rsid w:val="00B1763B"/>
    <w:rsid w:val="00B17CD9"/>
    <w:rsid w:val="00B201E6"/>
    <w:rsid w:val="00B20E19"/>
    <w:rsid w:val="00B210DD"/>
    <w:rsid w:val="00B21EF4"/>
    <w:rsid w:val="00B21EFD"/>
    <w:rsid w:val="00B2266A"/>
    <w:rsid w:val="00B22AEF"/>
    <w:rsid w:val="00B2463D"/>
    <w:rsid w:val="00B2467A"/>
    <w:rsid w:val="00B24828"/>
    <w:rsid w:val="00B250D8"/>
    <w:rsid w:val="00B25A41"/>
    <w:rsid w:val="00B25E84"/>
    <w:rsid w:val="00B26D34"/>
    <w:rsid w:val="00B2701C"/>
    <w:rsid w:val="00B3026A"/>
    <w:rsid w:val="00B30CC6"/>
    <w:rsid w:val="00B31D9E"/>
    <w:rsid w:val="00B3402B"/>
    <w:rsid w:val="00B3404D"/>
    <w:rsid w:val="00B342EB"/>
    <w:rsid w:val="00B34B9C"/>
    <w:rsid w:val="00B36B32"/>
    <w:rsid w:val="00B37481"/>
    <w:rsid w:val="00B40B5B"/>
    <w:rsid w:val="00B414AB"/>
    <w:rsid w:val="00B424FF"/>
    <w:rsid w:val="00B42A5D"/>
    <w:rsid w:val="00B43384"/>
    <w:rsid w:val="00B43AB3"/>
    <w:rsid w:val="00B44011"/>
    <w:rsid w:val="00B443D4"/>
    <w:rsid w:val="00B446FB"/>
    <w:rsid w:val="00B44DEA"/>
    <w:rsid w:val="00B45A47"/>
    <w:rsid w:val="00B46187"/>
    <w:rsid w:val="00B468B9"/>
    <w:rsid w:val="00B475D2"/>
    <w:rsid w:val="00B47D91"/>
    <w:rsid w:val="00B50E62"/>
    <w:rsid w:val="00B52096"/>
    <w:rsid w:val="00B52855"/>
    <w:rsid w:val="00B52949"/>
    <w:rsid w:val="00B533A5"/>
    <w:rsid w:val="00B53CAA"/>
    <w:rsid w:val="00B54750"/>
    <w:rsid w:val="00B549FE"/>
    <w:rsid w:val="00B54AEF"/>
    <w:rsid w:val="00B55630"/>
    <w:rsid w:val="00B55FDC"/>
    <w:rsid w:val="00B56B5C"/>
    <w:rsid w:val="00B56FC8"/>
    <w:rsid w:val="00B57879"/>
    <w:rsid w:val="00B57946"/>
    <w:rsid w:val="00B6093D"/>
    <w:rsid w:val="00B60977"/>
    <w:rsid w:val="00B6189C"/>
    <w:rsid w:val="00B621FC"/>
    <w:rsid w:val="00B626A7"/>
    <w:rsid w:val="00B632A0"/>
    <w:rsid w:val="00B64A89"/>
    <w:rsid w:val="00B64D7B"/>
    <w:rsid w:val="00B65B11"/>
    <w:rsid w:val="00B6611A"/>
    <w:rsid w:val="00B6669C"/>
    <w:rsid w:val="00B67431"/>
    <w:rsid w:val="00B6746A"/>
    <w:rsid w:val="00B6768E"/>
    <w:rsid w:val="00B677E8"/>
    <w:rsid w:val="00B72311"/>
    <w:rsid w:val="00B7270C"/>
    <w:rsid w:val="00B72FBE"/>
    <w:rsid w:val="00B7426C"/>
    <w:rsid w:val="00B756AE"/>
    <w:rsid w:val="00B75AB9"/>
    <w:rsid w:val="00B75D90"/>
    <w:rsid w:val="00B7605D"/>
    <w:rsid w:val="00B76180"/>
    <w:rsid w:val="00B777F0"/>
    <w:rsid w:val="00B803E7"/>
    <w:rsid w:val="00B811A0"/>
    <w:rsid w:val="00B81719"/>
    <w:rsid w:val="00B81A48"/>
    <w:rsid w:val="00B81E09"/>
    <w:rsid w:val="00B82D5A"/>
    <w:rsid w:val="00B83133"/>
    <w:rsid w:val="00B83283"/>
    <w:rsid w:val="00B83B5F"/>
    <w:rsid w:val="00B84447"/>
    <w:rsid w:val="00B84B6D"/>
    <w:rsid w:val="00B8511F"/>
    <w:rsid w:val="00B856AB"/>
    <w:rsid w:val="00B85973"/>
    <w:rsid w:val="00B863F3"/>
    <w:rsid w:val="00B86692"/>
    <w:rsid w:val="00B87494"/>
    <w:rsid w:val="00B87F5A"/>
    <w:rsid w:val="00B9020A"/>
    <w:rsid w:val="00B908C3"/>
    <w:rsid w:val="00B90BA4"/>
    <w:rsid w:val="00B90BB8"/>
    <w:rsid w:val="00B9147C"/>
    <w:rsid w:val="00B9215B"/>
    <w:rsid w:val="00B92195"/>
    <w:rsid w:val="00B92738"/>
    <w:rsid w:val="00B92AA3"/>
    <w:rsid w:val="00B92F08"/>
    <w:rsid w:val="00B935FD"/>
    <w:rsid w:val="00B93CBB"/>
    <w:rsid w:val="00B949D1"/>
    <w:rsid w:val="00B95389"/>
    <w:rsid w:val="00B956D6"/>
    <w:rsid w:val="00B96138"/>
    <w:rsid w:val="00B968BE"/>
    <w:rsid w:val="00B970CB"/>
    <w:rsid w:val="00BA0AA7"/>
    <w:rsid w:val="00BA14C8"/>
    <w:rsid w:val="00BA211E"/>
    <w:rsid w:val="00BA2A41"/>
    <w:rsid w:val="00BA326E"/>
    <w:rsid w:val="00BA5090"/>
    <w:rsid w:val="00BA53C6"/>
    <w:rsid w:val="00BA556E"/>
    <w:rsid w:val="00BA78B0"/>
    <w:rsid w:val="00BB05E2"/>
    <w:rsid w:val="00BB12D2"/>
    <w:rsid w:val="00BB1808"/>
    <w:rsid w:val="00BB2573"/>
    <w:rsid w:val="00BB3487"/>
    <w:rsid w:val="00BB3B12"/>
    <w:rsid w:val="00BB3FD0"/>
    <w:rsid w:val="00BB44CB"/>
    <w:rsid w:val="00BB45B9"/>
    <w:rsid w:val="00BB6DF6"/>
    <w:rsid w:val="00BB75DA"/>
    <w:rsid w:val="00BC1AA8"/>
    <w:rsid w:val="00BC21BC"/>
    <w:rsid w:val="00BC261D"/>
    <w:rsid w:val="00BC2CA3"/>
    <w:rsid w:val="00BC41D8"/>
    <w:rsid w:val="00BC4C38"/>
    <w:rsid w:val="00BC55E3"/>
    <w:rsid w:val="00BC5628"/>
    <w:rsid w:val="00BC5973"/>
    <w:rsid w:val="00BC59DF"/>
    <w:rsid w:val="00BC613F"/>
    <w:rsid w:val="00BC6405"/>
    <w:rsid w:val="00BC7750"/>
    <w:rsid w:val="00BC7757"/>
    <w:rsid w:val="00BC79B5"/>
    <w:rsid w:val="00BD23AF"/>
    <w:rsid w:val="00BD23CD"/>
    <w:rsid w:val="00BD268D"/>
    <w:rsid w:val="00BD2E24"/>
    <w:rsid w:val="00BD3E67"/>
    <w:rsid w:val="00BD40E7"/>
    <w:rsid w:val="00BD57F4"/>
    <w:rsid w:val="00BD632C"/>
    <w:rsid w:val="00BD64D3"/>
    <w:rsid w:val="00BD6A9B"/>
    <w:rsid w:val="00BD7198"/>
    <w:rsid w:val="00BD7230"/>
    <w:rsid w:val="00BD7E35"/>
    <w:rsid w:val="00BE02F2"/>
    <w:rsid w:val="00BE07C6"/>
    <w:rsid w:val="00BE1439"/>
    <w:rsid w:val="00BE2498"/>
    <w:rsid w:val="00BE373E"/>
    <w:rsid w:val="00BE5441"/>
    <w:rsid w:val="00BE5B69"/>
    <w:rsid w:val="00BE7477"/>
    <w:rsid w:val="00BE78BA"/>
    <w:rsid w:val="00BF1971"/>
    <w:rsid w:val="00BF1AF2"/>
    <w:rsid w:val="00BF2F91"/>
    <w:rsid w:val="00BF33A8"/>
    <w:rsid w:val="00BF3B9C"/>
    <w:rsid w:val="00BF433B"/>
    <w:rsid w:val="00BF5B4A"/>
    <w:rsid w:val="00BF5DF7"/>
    <w:rsid w:val="00BF6289"/>
    <w:rsid w:val="00BF6A37"/>
    <w:rsid w:val="00BF6EC9"/>
    <w:rsid w:val="00BF6FFB"/>
    <w:rsid w:val="00BF74B6"/>
    <w:rsid w:val="00BF74DA"/>
    <w:rsid w:val="00BF75EA"/>
    <w:rsid w:val="00C00483"/>
    <w:rsid w:val="00C00764"/>
    <w:rsid w:val="00C0105C"/>
    <w:rsid w:val="00C04468"/>
    <w:rsid w:val="00C0484D"/>
    <w:rsid w:val="00C05218"/>
    <w:rsid w:val="00C05554"/>
    <w:rsid w:val="00C057C6"/>
    <w:rsid w:val="00C05818"/>
    <w:rsid w:val="00C05862"/>
    <w:rsid w:val="00C07998"/>
    <w:rsid w:val="00C11773"/>
    <w:rsid w:val="00C11798"/>
    <w:rsid w:val="00C11E9E"/>
    <w:rsid w:val="00C12153"/>
    <w:rsid w:val="00C123EF"/>
    <w:rsid w:val="00C12537"/>
    <w:rsid w:val="00C12E2E"/>
    <w:rsid w:val="00C13CFE"/>
    <w:rsid w:val="00C14B02"/>
    <w:rsid w:val="00C16406"/>
    <w:rsid w:val="00C17A11"/>
    <w:rsid w:val="00C2233C"/>
    <w:rsid w:val="00C229F8"/>
    <w:rsid w:val="00C23644"/>
    <w:rsid w:val="00C23993"/>
    <w:rsid w:val="00C25544"/>
    <w:rsid w:val="00C2588D"/>
    <w:rsid w:val="00C26B5C"/>
    <w:rsid w:val="00C27665"/>
    <w:rsid w:val="00C27B2B"/>
    <w:rsid w:val="00C27BCF"/>
    <w:rsid w:val="00C306F3"/>
    <w:rsid w:val="00C320B7"/>
    <w:rsid w:val="00C330D0"/>
    <w:rsid w:val="00C33321"/>
    <w:rsid w:val="00C34154"/>
    <w:rsid w:val="00C35952"/>
    <w:rsid w:val="00C360BA"/>
    <w:rsid w:val="00C369F1"/>
    <w:rsid w:val="00C37238"/>
    <w:rsid w:val="00C374C1"/>
    <w:rsid w:val="00C37F21"/>
    <w:rsid w:val="00C402F4"/>
    <w:rsid w:val="00C422C2"/>
    <w:rsid w:val="00C42900"/>
    <w:rsid w:val="00C43032"/>
    <w:rsid w:val="00C4366F"/>
    <w:rsid w:val="00C44D37"/>
    <w:rsid w:val="00C45BCB"/>
    <w:rsid w:val="00C4624F"/>
    <w:rsid w:val="00C464AE"/>
    <w:rsid w:val="00C46BA8"/>
    <w:rsid w:val="00C475F1"/>
    <w:rsid w:val="00C511E6"/>
    <w:rsid w:val="00C517B2"/>
    <w:rsid w:val="00C529B8"/>
    <w:rsid w:val="00C52B09"/>
    <w:rsid w:val="00C52D75"/>
    <w:rsid w:val="00C53174"/>
    <w:rsid w:val="00C53623"/>
    <w:rsid w:val="00C5431C"/>
    <w:rsid w:val="00C54F46"/>
    <w:rsid w:val="00C558D9"/>
    <w:rsid w:val="00C5625E"/>
    <w:rsid w:val="00C56A13"/>
    <w:rsid w:val="00C56AE5"/>
    <w:rsid w:val="00C600CF"/>
    <w:rsid w:val="00C612FF"/>
    <w:rsid w:val="00C62061"/>
    <w:rsid w:val="00C620E1"/>
    <w:rsid w:val="00C62C31"/>
    <w:rsid w:val="00C63B57"/>
    <w:rsid w:val="00C63B93"/>
    <w:rsid w:val="00C63E6E"/>
    <w:rsid w:val="00C64032"/>
    <w:rsid w:val="00C641C3"/>
    <w:rsid w:val="00C66891"/>
    <w:rsid w:val="00C67715"/>
    <w:rsid w:val="00C67849"/>
    <w:rsid w:val="00C67EB4"/>
    <w:rsid w:val="00C7072D"/>
    <w:rsid w:val="00C718A2"/>
    <w:rsid w:val="00C71F7A"/>
    <w:rsid w:val="00C7275C"/>
    <w:rsid w:val="00C73261"/>
    <w:rsid w:val="00C73689"/>
    <w:rsid w:val="00C738B9"/>
    <w:rsid w:val="00C73BF8"/>
    <w:rsid w:val="00C74A38"/>
    <w:rsid w:val="00C74DAA"/>
    <w:rsid w:val="00C7503C"/>
    <w:rsid w:val="00C7548F"/>
    <w:rsid w:val="00C754D6"/>
    <w:rsid w:val="00C7558D"/>
    <w:rsid w:val="00C7615D"/>
    <w:rsid w:val="00C76BE9"/>
    <w:rsid w:val="00C76E9E"/>
    <w:rsid w:val="00C80113"/>
    <w:rsid w:val="00C80FF5"/>
    <w:rsid w:val="00C81367"/>
    <w:rsid w:val="00C81D42"/>
    <w:rsid w:val="00C81EFF"/>
    <w:rsid w:val="00C82C0F"/>
    <w:rsid w:val="00C831C7"/>
    <w:rsid w:val="00C833E7"/>
    <w:rsid w:val="00C842E1"/>
    <w:rsid w:val="00C850FD"/>
    <w:rsid w:val="00C85476"/>
    <w:rsid w:val="00C8599B"/>
    <w:rsid w:val="00C859AB"/>
    <w:rsid w:val="00C85BFA"/>
    <w:rsid w:val="00C85C01"/>
    <w:rsid w:val="00C85CE3"/>
    <w:rsid w:val="00C86073"/>
    <w:rsid w:val="00C868FB"/>
    <w:rsid w:val="00C871F5"/>
    <w:rsid w:val="00C90F36"/>
    <w:rsid w:val="00C910D9"/>
    <w:rsid w:val="00C91929"/>
    <w:rsid w:val="00C9271A"/>
    <w:rsid w:val="00C93528"/>
    <w:rsid w:val="00C944D4"/>
    <w:rsid w:val="00C948FC"/>
    <w:rsid w:val="00C95577"/>
    <w:rsid w:val="00C96544"/>
    <w:rsid w:val="00C976AB"/>
    <w:rsid w:val="00CA034D"/>
    <w:rsid w:val="00CA0978"/>
    <w:rsid w:val="00CA0AB5"/>
    <w:rsid w:val="00CA0C4E"/>
    <w:rsid w:val="00CA1001"/>
    <w:rsid w:val="00CA2F12"/>
    <w:rsid w:val="00CA3107"/>
    <w:rsid w:val="00CA4F72"/>
    <w:rsid w:val="00CA5679"/>
    <w:rsid w:val="00CA5758"/>
    <w:rsid w:val="00CA5FB3"/>
    <w:rsid w:val="00CA6839"/>
    <w:rsid w:val="00CA7290"/>
    <w:rsid w:val="00CB0CB1"/>
    <w:rsid w:val="00CB25ED"/>
    <w:rsid w:val="00CB3B85"/>
    <w:rsid w:val="00CB3EBA"/>
    <w:rsid w:val="00CB3FF0"/>
    <w:rsid w:val="00CB47FA"/>
    <w:rsid w:val="00CB4E8A"/>
    <w:rsid w:val="00CB576C"/>
    <w:rsid w:val="00CB6660"/>
    <w:rsid w:val="00CB713F"/>
    <w:rsid w:val="00CB7162"/>
    <w:rsid w:val="00CB71F7"/>
    <w:rsid w:val="00CC0089"/>
    <w:rsid w:val="00CC0485"/>
    <w:rsid w:val="00CC18AF"/>
    <w:rsid w:val="00CC1C8B"/>
    <w:rsid w:val="00CC225B"/>
    <w:rsid w:val="00CC287A"/>
    <w:rsid w:val="00CC2C14"/>
    <w:rsid w:val="00CC3BB3"/>
    <w:rsid w:val="00CC3BE9"/>
    <w:rsid w:val="00CC47FC"/>
    <w:rsid w:val="00CC499F"/>
    <w:rsid w:val="00CC5469"/>
    <w:rsid w:val="00CC5963"/>
    <w:rsid w:val="00CC6D1D"/>
    <w:rsid w:val="00CC7521"/>
    <w:rsid w:val="00CC7C46"/>
    <w:rsid w:val="00CD17A3"/>
    <w:rsid w:val="00CD1960"/>
    <w:rsid w:val="00CD234D"/>
    <w:rsid w:val="00CD2468"/>
    <w:rsid w:val="00CD26AB"/>
    <w:rsid w:val="00CD35D5"/>
    <w:rsid w:val="00CD3B79"/>
    <w:rsid w:val="00CD43B7"/>
    <w:rsid w:val="00CD6909"/>
    <w:rsid w:val="00CD7C10"/>
    <w:rsid w:val="00CE00CA"/>
    <w:rsid w:val="00CE0270"/>
    <w:rsid w:val="00CE207D"/>
    <w:rsid w:val="00CE2BE9"/>
    <w:rsid w:val="00CE3801"/>
    <w:rsid w:val="00CE4655"/>
    <w:rsid w:val="00CE48D1"/>
    <w:rsid w:val="00CE58D1"/>
    <w:rsid w:val="00CE6A5E"/>
    <w:rsid w:val="00CE6EEC"/>
    <w:rsid w:val="00CE75C5"/>
    <w:rsid w:val="00CE78D8"/>
    <w:rsid w:val="00CE7D52"/>
    <w:rsid w:val="00CF0262"/>
    <w:rsid w:val="00CF0D6B"/>
    <w:rsid w:val="00CF1059"/>
    <w:rsid w:val="00CF28D5"/>
    <w:rsid w:val="00CF3647"/>
    <w:rsid w:val="00CF3810"/>
    <w:rsid w:val="00CF5487"/>
    <w:rsid w:val="00CF564C"/>
    <w:rsid w:val="00CF5AEF"/>
    <w:rsid w:val="00CF7237"/>
    <w:rsid w:val="00CF7F7A"/>
    <w:rsid w:val="00D00778"/>
    <w:rsid w:val="00D00874"/>
    <w:rsid w:val="00D00D6E"/>
    <w:rsid w:val="00D00E9A"/>
    <w:rsid w:val="00D0220B"/>
    <w:rsid w:val="00D0288F"/>
    <w:rsid w:val="00D0324F"/>
    <w:rsid w:val="00D05440"/>
    <w:rsid w:val="00D05742"/>
    <w:rsid w:val="00D06A04"/>
    <w:rsid w:val="00D077CF"/>
    <w:rsid w:val="00D07905"/>
    <w:rsid w:val="00D107F0"/>
    <w:rsid w:val="00D1132F"/>
    <w:rsid w:val="00D11725"/>
    <w:rsid w:val="00D11864"/>
    <w:rsid w:val="00D12AB5"/>
    <w:rsid w:val="00D14582"/>
    <w:rsid w:val="00D145CF"/>
    <w:rsid w:val="00D15027"/>
    <w:rsid w:val="00D15950"/>
    <w:rsid w:val="00D15A65"/>
    <w:rsid w:val="00D16EF2"/>
    <w:rsid w:val="00D1742A"/>
    <w:rsid w:val="00D17C4B"/>
    <w:rsid w:val="00D20DB8"/>
    <w:rsid w:val="00D21073"/>
    <w:rsid w:val="00D21140"/>
    <w:rsid w:val="00D2123B"/>
    <w:rsid w:val="00D225B5"/>
    <w:rsid w:val="00D22B02"/>
    <w:rsid w:val="00D22CC5"/>
    <w:rsid w:val="00D23642"/>
    <w:rsid w:val="00D24153"/>
    <w:rsid w:val="00D25A88"/>
    <w:rsid w:val="00D25ABD"/>
    <w:rsid w:val="00D2642F"/>
    <w:rsid w:val="00D26D1C"/>
    <w:rsid w:val="00D27009"/>
    <w:rsid w:val="00D272E8"/>
    <w:rsid w:val="00D27586"/>
    <w:rsid w:val="00D27B4A"/>
    <w:rsid w:val="00D30162"/>
    <w:rsid w:val="00D302BD"/>
    <w:rsid w:val="00D30D61"/>
    <w:rsid w:val="00D30E91"/>
    <w:rsid w:val="00D3182D"/>
    <w:rsid w:val="00D326F8"/>
    <w:rsid w:val="00D33AB4"/>
    <w:rsid w:val="00D33E59"/>
    <w:rsid w:val="00D33F32"/>
    <w:rsid w:val="00D34A82"/>
    <w:rsid w:val="00D34BBD"/>
    <w:rsid w:val="00D34FD7"/>
    <w:rsid w:val="00D35409"/>
    <w:rsid w:val="00D356C9"/>
    <w:rsid w:val="00D366DD"/>
    <w:rsid w:val="00D3677F"/>
    <w:rsid w:val="00D3709D"/>
    <w:rsid w:val="00D3755D"/>
    <w:rsid w:val="00D37DD2"/>
    <w:rsid w:val="00D40520"/>
    <w:rsid w:val="00D40A01"/>
    <w:rsid w:val="00D40F2E"/>
    <w:rsid w:val="00D420CF"/>
    <w:rsid w:val="00D4218C"/>
    <w:rsid w:val="00D422E6"/>
    <w:rsid w:val="00D430EE"/>
    <w:rsid w:val="00D43852"/>
    <w:rsid w:val="00D439DE"/>
    <w:rsid w:val="00D43D48"/>
    <w:rsid w:val="00D44441"/>
    <w:rsid w:val="00D444E1"/>
    <w:rsid w:val="00D45EDF"/>
    <w:rsid w:val="00D469A9"/>
    <w:rsid w:val="00D46D3B"/>
    <w:rsid w:val="00D471F4"/>
    <w:rsid w:val="00D516B1"/>
    <w:rsid w:val="00D5285F"/>
    <w:rsid w:val="00D5328F"/>
    <w:rsid w:val="00D54434"/>
    <w:rsid w:val="00D55142"/>
    <w:rsid w:val="00D55BEA"/>
    <w:rsid w:val="00D55C83"/>
    <w:rsid w:val="00D562F1"/>
    <w:rsid w:val="00D602EF"/>
    <w:rsid w:val="00D6049D"/>
    <w:rsid w:val="00D608B8"/>
    <w:rsid w:val="00D60B90"/>
    <w:rsid w:val="00D60BC1"/>
    <w:rsid w:val="00D60EA1"/>
    <w:rsid w:val="00D61393"/>
    <w:rsid w:val="00D616DB"/>
    <w:rsid w:val="00D61D41"/>
    <w:rsid w:val="00D62996"/>
    <w:rsid w:val="00D62B4D"/>
    <w:rsid w:val="00D62C8C"/>
    <w:rsid w:val="00D62E59"/>
    <w:rsid w:val="00D62F67"/>
    <w:rsid w:val="00D64C4D"/>
    <w:rsid w:val="00D64D8E"/>
    <w:rsid w:val="00D65804"/>
    <w:rsid w:val="00D6672A"/>
    <w:rsid w:val="00D67E54"/>
    <w:rsid w:val="00D7016B"/>
    <w:rsid w:val="00D71351"/>
    <w:rsid w:val="00D720E2"/>
    <w:rsid w:val="00D73000"/>
    <w:rsid w:val="00D7411C"/>
    <w:rsid w:val="00D74462"/>
    <w:rsid w:val="00D75FD0"/>
    <w:rsid w:val="00D7696B"/>
    <w:rsid w:val="00D773D2"/>
    <w:rsid w:val="00D774B7"/>
    <w:rsid w:val="00D80436"/>
    <w:rsid w:val="00D80EE1"/>
    <w:rsid w:val="00D80F3B"/>
    <w:rsid w:val="00D81349"/>
    <w:rsid w:val="00D83591"/>
    <w:rsid w:val="00D83CFF"/>
    <w:rsid w:val="00D84B39"/>
    <w:rsid w:val="00D84D08"/>
    <w:rsid w:val="00D86CD8"/>
    <w:rsid w:val="00D87286"/>
    <w:rsid w:val="00D873B8"/>
    <w:rsid w:val="00D879F9"/>
    <w:rsid w:val="00D9003B"/>
    <w:rsid w:val="00D90E24"/>
    <w:rsid w:val="00D9127F"/>
    <w:rsid w:val="00D91344"/>
    <w:rsid w:val="00D91CF9"/>
    <w:rsid w:val="00D92276"/>
    <w:rsid w:val="00D93D98"/>
    <w:rsid w:val="00D93EE1"/>
    <w:rsid w:val="00D9501E"/>
    <w:rsid w:val="00D9542B"/>
    <w:rsid w:val="00D96435"/>
    <w:rsid w:val="00D967CB"/>
    <w:rsid w:val="00D97988"/>
    <w:rsid w:val="00D97E00"/>
    <w:rsid w:val="00DA0220"/>
    <w:rsid w:val="00DA06CC"/>
    <w:rsid w:val="00DA0AEF"/>
    <w:rsid w:val="00DA0E13"/>
    <w:rsid w:val="00DA0EB6"/>
    <w:rsid w:val="00DA1B01"/>
    <w:rsid w:val="00DA25C0"/>
    <w:rsid w:val="00DA3CC1"/>
    <w:rsid w:val="00DA5161"/>
    <w:rsid w:val="00DA52EF"/>
    <w:rsid w:val="00DA536F"/>
    <w:rsid w:val="00DA6C8F"/>
    <w:rsid w:val="00DA79C1"/>
    <w:rsid w:val="00DA7D30"/>
    <w:rsid w:val="00DB0297"/>
    <w:rsid w:val="00DB052A"/>
    <w:rsid w:val="00DB0785"/>
    <w:rsid w:val="00DB07D2"/>
    <w:rsid w:val="00DB14D9"/>
    <w:rsid w:val="00DB2F76"/>
    <w:rsid w:val="00DB2FD9"/>
    <w:rsid w:val="00DB36FE"/>
    <w:rsid w:val="00DB483F"/>
    <w:rsid w:val="00DB4F7C"/>
    <w:rsid w:val="00DB5245"/>
    <w:rsid w:val="00DB67A3"/>
    <w:rsid w:val="00DB6F47"/>
    <w:rsid w:val="00DC02A1"/>
    <w:rsid w:val="00DC080F"/>
    <w:rsid w:val="00DC2B4B"/>
    <w:rsid w:val="00DC2B86"/>
    <w:rsid w:val="00DC318F"/>
    <w:rsid w:val="00DC35EA"/>
    <w:rsid w:val="00DC363C"/>
    <w:rsid w:val="00DC3CD0"/>
    <w:rsid w:val="00DC3FB7"/>
    <w:rsid w:val="00DC450B"/>
    <w:rsid w:val="00DC45C8"/>
    <w:rsid w:val="00DC4890"/>
    <w:rsid w:val="00DC4B39"/>
    <w:rsid w:val="00DC5237"/>
    <w:rsid w:val="00DC54CC"/>
    <w:rsid w:val="00DC6D19"/>
    <w:rsid w:val="00DC6E72"/>
    <w:rsid w:val="00DC7095"/>
    <w:rsid w:val="00DD012B"/>
    <w:rsid w:val="00DD035A"/>
    <w:rsid w:val="00DD0A55"/>
    <w:rsid w:val="00DD10A6"/>
    <w:rsid w:val="00DD11A3"/>
    <w:rsid w:val="00DD140C"/>
    <w:rsid w:val="00DD1CBF"/>
    <w:rsid w:val="00DD26C4"/>
    <w:rsid w:val="00DD2E35"/>
    <w:rsid w:val="00DD313B"/>
    <w:rsid w:val="00DD44A7"/>
    <w:rsid w:val="00DD5662"/>
    <w:rsid w:val="00DD6784"/>
    <w:rsid w:val="00DD6974"/>
    <w:rsid w:val="00DD733E"/>
    <w:rsid w:val="00DD73B8"/>
    <w:rsid w:val="00DD760B"/>
    <w:rsid w:val="00DD7E35"/>
    <w:rsid w:val="00DE1258"/>
    <w:rsid w:val="00DE18F3"/>
    <w:rsid w:val="00DE2625"/>
    <w:rsid w:val="00DE41AA"/>
    <w:rsid w:val="00DE4B16"/>
    <w:rsid w:val="00DE4F3B"/>
    <w:rsid w:val="00DE5178"/>
    <w:rsid w:val="00DE6367"/>
    <w:rsid w:val="00DF0876"/>
    <w:rsid w:val="00DF230A"/>
    <w:rsid w:val="00DF30D1"/>
    <w:rsid w:val="00DF3768"/>
    <w:rsid w:val="00DF3F01"/>
    <w:rsid w:val="00DF465F"/>
    <w:rsid w:val="00DF4BF4"/>
    <w:rsid w:val="00DF4E17"/>
    <w:rsid w:val="00DF5165"/>
    <w:rsid w:val="00DF5AF6"/>
    <w:rsid w:val="00DF5B8A"/>
    <w:rsid w:val="00DF68C1"/>
    <w:rsid w:val="00DF77F7"/>
    <w:rsid w:val="00E02FBE"/>
    <w:rsid w:val="00E03024"/>
    <w:rsid w:val="00E03565"/>
    <w:rsid w:val="00E035A1"/>
    <w:rsid w:val="00E035A2"/>
    <w:rsid w:val="00E03F38"/>
    <w:rsid w:val="00E04A1B"/>
    <w:rsid w:val="00E05132"/>
    <w:rsid w:val="00E054DB"/>
    <w:rsid w:val="00E06120"/>
    <w:rsid w:val="00E06D00"/>
    <w:rsid w:val="00E07076"/>
    <w:rsid w:val="00E0758F"/>
    <w:rsid w:val="00E079E6"/>
    <w:rsid w:val="00E07F67"/>
    <w:rsid w:val="00E10383"/>
    <w:rsid w:val="00E119E6"/>
    <w:rsid w:val="00E13F34"/>
    <w:rsid w:val="00E176E2"/>
    <w:rsid w:val="00E202F4"/>
    <w:rsid w:val="00E208BC"/>
    <w:rsid w:val="00E21383"/>
    <w:rsid w:val="00E215A0"/>
    <w:rsid w:val="00E26147"/>
    <w:rsid w:val="00E27470"/>
    <w:rsid w:val="00E27BCE"/>
    <w:rsid w:val="00E30AE8"/>
    <w:rsid w:val="00E31804"/>
    <w:rsid w:val="00E31A4B"/>
    <w:rsid w:val="00E32232"/>
    <w:rsid w:val="00E336B8"/>
    <w:rsid w:val="00E33A84"/>
    <w:rsid w:val="00E33B01"/>
    <w:rsid w:val="00E33BD7"/>
    <w:rsid w:val="00E34420"/>
    <w:rsid w:val="00E35482"/>
    <w:rsid w:val="00E35A60"/>
    <w:rsid w:val="00E35F07"/>
    <w:rsid w:val="00E371B9"/>
    <w:rsid w:val="00E40318"/>
    <w:rsid w:val="00E40C7F"/>
    <w:rsid w:val="00E42962"/>
    <w:rsid w:val="00E42ADB"/>
    <w:rsid w:val="00E43A72"/>
    <w:rsid w:val="00E45343"/>
    <w:rsid w:val="00E461FB"/>
    <w:rsid w:val="00E4684E"/>
    <w:rsid w:val="00E47596"/>
    <w:rsid w:val="00E50640"/>
    <w:rsid w:val="00E52D3B"/>
    <w:rsid w:val="00E533C3"/>
    <w:rsid w:val="00E536FB"/>
    <w:rsid w:val="00E543BA"/>
    <w:rsid w:val="00E54E1C"/>
    <w:rsid w:val="00E5561F"/>
    <w:rsid w:val="00E56498"/>
    <w:rsid w:val="00E56A8D"/>
    <w:rsid w:val="00E57990"/>
    <w:rsid w:val="00E6099B"/>
    <w:rsid w:val="00E609FA"/>
    <w:rsid w:val="00E60A5A"/>
    <w:rsid w:val="00E61116"/>
    <w:rsid w:val="00E62A42"/>
    <w:rsid w:val="00E634D1"/>
    <w:rsid w:val="00E63A60"/>
    <w:rsid w:val="00E64523"/>
    <w:rsid w:val="00E649C7"/>
    <w:rsid w:val="00E67383"/>
    <w:rsid w:val="00E673F5"/>
    <w:rsid w:val="00E679C2"/>
    <w:rsid w:val="00E67D60"/>
    <w:rsid w:val="00E67D74"/>
    <w:rsid w:val="00E67EF0"/>
    <w:rsid w:val="00E70258"/>
    <w:rsid w:val="00E70479"/>
    <w:rsid w:val="00E71500"/>
    <w:rsid w:val="00E7152D"/>
    <w:rsid w:val="00E71FA3"/>
    <w:rsid w:val="00E72A15"/>
    <w:rsid w:val="00E73533"/>
    <w:rsid w:val="00E74086"/>
    <w:rsid w:val="00E7476C"/>
    <w:rsid w:val="00E748B2"/>
    <w:rsid w:val="00E74D86"/>
    <w:rsid w:val="00E75300"/>
    <w:rsid w:val="00E75A18"/>
    <w:rsid w:val="00E75BD7"/>
    <w:rsid w:val="00E76F58"/>
    <w:rsid w:val="00E77543"/>
    <w:rsid w:val="00E77F88"/>
    <w:rsid w:val="00E802B4"/>
    <w:rsid w:val="00E80D24"/>
    <w:rsid w:val="00E80E96"/>
    <w:rsid w:val="00E81E80"/>
    <w:rsid w:val="00E83EB1"/>
    <w:rsid w:val="00E8411D"/>
    <w:rsid w:val="00E8551B"/>
    <w:rsid w:val="00E865F6"/>
    <w:rsid w:val="00E875A8"/>
    <w:rsid w:val="00E91BE8"/>
    <w:rsid w:val="00E91C21"/>
    <w:rsid w:val="00E91CBA"/>
    <w:rsid w:val="00E91F08"/>
    <w:rsid w:val="00E920C4"/>
    <w:rsid w:val="00E935DD"/>
    <w:rsid w:val="00E93955"/>
    <w:rsid w:val="00E93F15"/>
    <w:rsid w:val="00E94645"/>
    <w:rsid w:val="00E94B86"/>
    <w:rsid w:val="00E94E11"/>
    <w:rsid w:val="00E94EA2"/>
    <w:rsid w:val="00E95330"/>
    <w:rsid w:val="00E959B0"/>
    <w:rsid w:val="00E96124"/>
    <w:rsid w:val="00E96633"/>
    <w:rsid w:val="00EA0579"/>
    <w:rsid w:val="00EA09E6"/>
    <w:rsid w:val="00EA0BEB"/>
    <w:rsid w:val="00EA0F16"/>
    <w:rsid w:val="00EA1443"/>
    <w:rsid w:val="00EA182E"/>
    <w:rsid w:val="00EA190E"/>
    <w:rsid w:val="00EA1F12"/>
    <w:rsid w:val="00EA2141"/>
    <w:rsid w:val="00EA2EEB"/>
    <w:rsid w:val="00EA31C2"/>
    <w:rsid w:val="00EA354F"/>
    <w:rsid w:val="00EA3A2B"/>
    <w:rsid w:val="00EA402B"/>
    <w:rsid w:val="00EA5389"/>
    <w:rsid w:val="00EA72F7"/>
    <w:rsid w:val="00EA7F72"/>
    <w:rsid w:val="00EB0614"/>
    <w:rsid w:val="00EB314C"/>
    <w:rsid w:val="00EB3C6B"/>
    <w:rsid w:val="00EB55A6"/>
    <w:rsid w:val="00EB561F"/>
    <w:rsid w:val="00EB6033"/>
    <w:rsid w:val="00EB60E7"/>
    <w:rsid w:val="00EB6204"/>
    <w:rsid w:val="00EB71BB"/>
    <w:rsid w:val="00EB7C97"/>
    <w:rsid w:val="00EC1384"/>
    <w:rsid w:val="00EC1DE6"/>
    <w:rsid w:val="00EC1FD8"/>
    <w:rsid w:val="00EC2A3A"/>
    <w:rsid w:val="00EC379A"/>
    <w:rsid w:val="00EC3AD8"/>
    <w:rsid w:val="00EC4803"/>
    <w:rsid w:val="00EC5DFB"/>
    <w:rsid w:val="00EC6205"/>
    <w:rsid w:val="00EC6A76"/>
    <w:rsid w:val="00EC7D09"/>
    <w:rsid w:val="00EC7EE3"/>
    <w:rsid w:val="00ED1F4F"/>
    <w:rsid w:val="00ED296E"/>
    <w:rsid w:val="00ED461D"/>
    <w:rsid w:val="00ED478C"/>
    <w:rsid w:val="00ED4873"/>
    <w:rsid w:val="00ED7296"/>
    <w:rsid w:val="00EE05FE"/>
    <w:rsid w:val="00EE06AE"/>
    <w:rsid w:val="00EE08B6"/>
    <w:rsid w:val="00EE09E6"/>
    <w:rsid w:val="00EE0BA3"/>
    <w:rsid w:val="00EE0D05"/>
    <w:rsid w:val="00EE1BD4"/>
    <w:rsid w:val="00EE27E5"/>
    <w:rsid w:val="00EE2E65"/>
    <w:rsid w:val="00EE3207"/>
    <w:rsid w:val="00EE45AD"/>
    <w:rsid w:val="00EE523A"/>
    <w:rsid w:val="00EE58FC"/>
    <w:rsid w:val="00EE5CC7"/>
    <w:rsid w:val="00EE654F"/>
    <w:rsid w:val="00EE6F82"/>
    <w:rsid w:val="00EE7241"/>
    <w:rsid w:val="00EE7AD3"/>
    <w:rsid w:val="00EF0735"/>
    <w:rsid w:val="00EF0BD9"/>
    <w:rsid w:val="00EF0FE0"/>
    <w:rsid w:val="00EF17FE"/>
    <w:rsid w:val="00EF1C2D"/>
    <w:rsid w:val="00EF1C47"/>
    <w:rsid w:val="00EF322A"/>
    <w:rsid w:val="00EF3268"/>
    <w:rsid w:val="00EF4305"/>
    <w:rsid w:val="00EF43B9"/>
    <w:rsid w:val="00EF4D49"/>
    <w:rsid w:val="00EF547A"/>
    <w:rsid w:val="00EF5714"/>
    <w:rsid w:val="00EF571D"/>
    <w:rsid w:val="00EF5782"/>
    <w:rsid w:val="00EF6579"/>
    <w:rsid w:val="00EF668B"/>
    <w:rsid w:val="00EF696E"/>
    <w:rsid w:val="00EF7346"/>
    <w:rsid w:val="00EF7484"/>
    <w:rsid w:val="00F00F74"/>
    <w:rsid w:val="00F011C1"/>
    <w:rsid w:val="00F0407E"/>
    <w:rsid w:val="00F04C8C"/>
    <w:rsid w:val="00F07A4D"/>
    <w:rsid w:val="00F10478"/>
    <w:rsid w:val="00F10516"/>
    <w:rsid w:val="00F11EA4"/>
    <w:rsid w:val="00F13E32"/>
    <w:rsid w:val="00F1415E"/>
    <w:rsid w:val="00F14468"/>
    <w:rsid w:val="00F163AD"/>
    <w:rsid w:val="00F167BD"/>
    <w:rsid w:val="00F17462"/>
    <w:rsid w:val="00F2187E"/>
    <w:rsid w:val="00F21BC2"/>
    <w:rsid w:val="00F22897"/>
    <w:rsid w:val="00F22914"/>
    <w:rsid w:val="00F22DEF"/>
    <w:rsid w:val="00F2456E"/>
    <w:rsid w:val="00F248C0"/>
    <w:rsid w:val="00F25DE0"/>
    <w:rsid w:val="00F26397"/>
    <w:rsid w:val="00F26825"/>
    <w:rsid w:val="00F26F6D"/>
    <w:rsid w:val="00F272B8"/>
    <w:rsid w:val="00F27BA0"/>
    <w:rsid w:val="00F30DB1"/>
    <w:rsid w:val="00F31F9F"/>
    <w:rsid w:val="00F327F3"/>
    <w:rsid w:val="00F32D0A"/>
    <w:rsid w:val="00F33B3A"/>
    <w:rsid w:val="00F346F6"/>
    <w:rsid w:val="00F34718"/>
    <w:rsid w:val="00F358CC"/>
    <w:rsid w:val="00F36908"/>
    <w:rsid w:val="00F40A42"/>
    <w:rsid w:val="00F411BC"/>
    <w:rsid w:val="00F422A1"/>
    <w:rsid w:val="00F42C0B"/>
    <w:rsid w:val="00F43B0E"/>
    <w:rsid w:val="00F44C31"/>
    <w:rsid w:val="00F46F53"/>
    <w:rsid w:val="00F473A9"/>
    <w:rsid w:val="00F50033"/>
    <w:rsid w:val="00F50462"/>
    <w:rsid w:val="00F5144A"/>
    <w:rsid w:val="00F52013"/>
    <w:rsid w:val="00F52805"/>
    <w:rsid w:val="00F53506"/>
    <w:rsid w:val="00F536C5"/>
    <w:rsid w:val="00F5503E"/>
    <w:rsid w:val="00F5658D"/>
    <w:rsid w:val="00F57737"/>
    <w:rsid w:val="00F605E4"/>
    <w:rsid w:val="00F617FC"/>
    <w:rsid w:val="00F61DCF"/>
    <w:rsid w:val="00F62F14"/>
    <w:rsid w:val="00F636CB"/>
    <w:rsid w:val="00F64328"/>
    <w:rsid w:val="00F64707"/>
    <w:rsid w:val="00F65055"/>
    <w:rsid w:val="00F651E2"/>
    <w:rsid w:val="00F65C3D"/>
    <w:rsid w:val="00F66242"/>
    <w:rsid w:val="00F66D64"/>
    <w:rsid w:val="00F67D61"/>
    <w:rsid w:val="00F70644"/>
    <w:rsid w:val="00F70D9D"/>
    <w:rsid w:val="00F70DEB"/>
    <w:rsid w:val="00F72B6A"/>
    <w:rsid w:val="00F72DB1"/>
    <w:rsid w:val="00F73876"/>
    <w:rsid w:val="00F73943"/>
    <w:rsid w:val="00F74825"/>
    <w:rsid w:val="00F7491B"/>
    <w:rsid w:val="00F754F6"/>
    <w:rsid w:val="00F75BA6"/>
    <w:rsid w:val="00F76AEE"/>
    <w:rsid w:val="00F77AEC"/>
    <w:rsid w:val="00F807F8"/>
    <w:rsid w:val="00F80B1F"/>
    <w:rsid w:val="00F80FAE"/>
    <w:rsid w:val="00F817AB"/>
    <w:rsid w:val="00F81E7C"/>
    <w:rsid w:val="00F8424B"/>
    <w:rsid w:val="00F8441F"/>
    <w:rsid w:val="00F8481F"/>
    <w:rsid w:val="00F84E5C"/>
    <w:rsid w:val="00F8537F"/>
    <w:rsid w:val="00F87B68"/>
    <w:rsid w:val="00F9134E"/>
    <w:rsid w:val="00F91B13"/>
    <w:rsid w:val="00F9359E"/>
    <w:rsid w:val="00F939B0"/>
    <w:rsid w:val="00F93AFB"/>
    <w:rsid w:val="00F94617"/>
    <w:rsid w:val="00F959B3"/>
    <w:rsid w:val="00F965C3"/>
    <w:rsid w:val="00FA1791"/>
    <w:rsid w:val="00FA1A63"/>
    <w:rsid w:val="00FA2EC7"/>
    <w:rsid w:val="00FA3E0E"/>
    <w:rsid w:val="00FA43C1"/>
    <w:rsid w:val="00FA486B"/>
    <w:rsid w:val="00FA59BD"/>
    <w:rsid w:val="00FA5AD6"/>
    <w:rsid w:val="00FA654C"/>
    <w:rsid w:val="00FA6BCC"/>
    <w:rsid w:val="00FA77A6"/>
    <w:rsid w:val="00FA7CEE"/>
    <w:rsid w:val="00FB0473"/>
    <w:rsid w:val="00FB2F3B"/>
    <w:rsid w:val="00FB2F52"/>
    <w:rsid w:val="00FB3D18"/>
    <w:rsid w:val="00FB3FB8"/>
    <w:rsid w:val="00FB51AD"/>
    <w:rsid w:val="00FB5354"/>
    <w:rsid w:val="00FB5B93"/>
    <w:rsid w:val="00FB5CA9"/>
    <w:rsid w:val="00FB6843"/>
    <w:rsid w:val="00FB6BFE"/>
    <w:rsid w:val="00FB7561"/>
    <w:rsid w:val="00FC0A5F"/>
    <w:rsid w:val="00FC2FF7"/>
    <w:rsid w:val="00FC32C1"/>
    <w:rsid w:val="00FC4C95"/>
    <w:rsid w:val="00FC4CCC"/>
    <w:rsid w:val="00FC55AB"/>
    <w:rsid w:val="00FC7334"/>
    <w:rsid w:val="00FC78E5"/>
    <w:rsid w:val="00FD13F0"/>
    <w:rsid w:val="00FD17FB"/>
    <w:rsid w:val="00FD20DF"/>
    <w:rsid w:val="00FD26A5"/>
    <w:rsid w:val="00FD2D3A"/>
    <w:rsid w:val="00FD2D78"/>
    <w:rsid w:val="00FD3629"/>
    <w:rsid w:val="00FD4679"/>
    <w:rsid w:val="00FD5274"/>
    <w:rsid w:val="00FD52E9"/>
    <w:rsid w:val="00FD717D"/>
    <w:rsid w:val="00FD7FA2"/>
    <w:rsid w:val="00FE0194"/>
    <w:rsid w:val="00FE01E0"/>
    <w:rsid w:val="00FE0EB0"/>
    <w:rsid w:val="00FE12A8"/>
    <w:rsid w:val="00FE194F"/>
    <w:rsid w:val="00FE1972"/>
    <w:rsid w:val="00FE4B90"/>
    <w:rsid w:val="00FE5814"/>
    <w:rsid w:val="00FE5F88"/>
    <w:rsid w:val="00FF07A7"/>
    <w:rsid w:val="00FF16F9"/>
    <w:rsid w:val="00FF1A0A"/>
    <w:rsid w:val="00FF39C0"/>
    <w:rsid w:val="00FF3B1E"/>
    <w:rsid w:val="00FF416C"/>
    <w:rsid w:val="00FF48C4"/>
    <w:rsid w:val="00FF514E"/>
    <w:rsid w:val="00FF561E"/>
    <w:rsid w:val="00FF573B"/>
    <w:rsid w:val="00FF585B"/>
    <w:rsid w:val="00FF6374"/>
    <w:rsid w:val="00FF7171"/>
    <w:rsid w:val="00FF7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04150D"/>
  <w15:docId w15:val="{CC82DCAC-8EBA-4B84-AF40-F7659CA2A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3EF"/>
    <w:pPr>
      <w:spacing w:after="360" w:line="276" w:lineRule="auto"/>
    </w:pPr>
    <w:rPr>
      <w:rFonts w:ascii="Adobe Caslon Pro" w:hAnsi="Adobe Caslon Pro"/>
      <w:sz w:val="24"/>
      <w:szCs w:val="24"/>
    </w:rPr>
  </w:style>
  <w:style w:type="paragraph" w:styleId="Heading1">
    <w:name w:val="heading 1"/>
    <w:basedOn w:val="Normal"/>
    <w:next w:val="Normal"/>
    <w:link w:val="Heading1Char"/>
    <w:autoRedefine/>
    <w:qFormat/>
    <w:rsid w:val="0063071E"/>
    <w:pPr>
      <w:keepNext/>
      <w:spacing w:before="120" w:after="240" w:line="240" w:lineRule="auto"/>
      <w:outlineLvl w:val="0"/>
    </w:pPr>
    <w:rPr>
      <w:b/>
      <w:bCs/>
      <w:color w:val="00788C"/>
      <w:sz w:val="28"/>
      <w:lang w:eastAsia="x-none"/>
    </w:rPr>
  </w:style>
  <w:style w:type="paragraph" w:styleId="Heading2">
    <w:name w:val="heading 2"/>
    <w:basedOn w:val="Normal"/>
    <w:next w:val="Normal"/>
    <w:link w:val="Heading2Char"/>
    <w:autoRedefine/>
    <w:qFormat/>
    <w:rsid w:val="0063071E"/>
    <w:pPr>
      <w:keepNext/>
      <w:spacing w:before="480" w:after="240"/>
      <w:outlineLvl w:val="1"/>
    </w:pPr>
    <w:rPr>
      <w:rFonts w:ascii="Adobe Caslon Pro Bold" w:hAnsi="Adobe Caslon Pro Bold"/>
      <w:b/>
      <w:color w:val="009BA4"/>
      <w:spacing w:val="20"/>
    </w:rPr>
  </w:style>
  <w:style w:type="paragraph" w:styleId="Heading3">
    <w:name w:val="heading 3"/>
    <w:basedOn w:val="FootnoteText"/>
    <w:next w:val="Normal"/>
    <w:link w:val="Heading3Char"/>
    <w:autoRedefine/>
    <w:unhideWhenUsed/>
    <w:qFormat/>
    <w:rsid w:val="0010161F"/>
    <w:pPr>
      <w:keepNext/>
      <w:spacing w:before="240" w:after="120"/>
      <w:outlineLvl w:val="2"/>
    </w:pPr>
    <w:rPr>
      <w:b/>
      <w:i/>
      <w:sz w:val="24"/>
      <w:szCs w:val="28"/>
    </w:rPr>
  </w:style>
  <w:style w:type="paragraph" w:styleId="Heading4">
    <w:name w:val="heading 4"/>
    <w:basedOn w:val="FootnoteText"/>
    <w:next w:val="Normal"/>
    <w:link w:val="Heading4Char"/>
    <w:autoRedefine/>
    <w:unhideWhenUsed/>
    <w:qFormat/>
    <w:rsid w:val="0063071E"/>
    <w:pPr>
      <w:keepNext/>
      <w:spacing w:before="240" w:after="0"/>
      <w:outlineLvl w:val="3"/>
    </w:pPr>
    <w:rPr>
      <w:sz w:val="24"/>
      <w:szCs w:val="24"/>
      <w:u w:val="single"/>
    </w:rPr>
  </w:style>
  <w:style w:type="paragraph" w:styleId="Heading5">
    <w:name w:val="heading 5"/>
    <w:basedOn w:val="Normal"/>
    <w:next w:val="Normal"/>
    <w:link w:val="Heading5Char"/>
    <w:autoRedefine/>
    <w:unhideWhenUsed/>
    <w:qFormat/>
    <w:rsid w:val="0063071E"/>
    <w:pPr>
      <w:keepNext/>
      <w:keepLines/>
      <w:spacing w:before="240" w:after="40" w:line="360" w:lineRule="auto"/>
      <w:outlineLvl w:val="4"/>
    </w:pPr>
    <w:rPr>
      <w:rFonts w:asciiTheme="majorHAnsi" w:eastAsiaTheme="majorEastAsia" w:hAnsiTheme="majorHAnsi" w:cstheme="majorBidi"/>
      <w:i/>
    </w:rPr>
  </w:style>
  <w:style w:type="paragraph" w:styleId="Heading6">
    <w:name w:val="heading 6"/>
    <w:basedOn w:val="Normal"/>
    <w:next w:val="Normal"/>
    <w:link w:val="Heading6Char"/>
    <w:unhideWhenUsed/>
    <w:qFormat/>
    <w:rsid w:val="007F591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20DE7"/>
    <w:pPr>
      <w:tabs>
        <w:tab w:val="center" w:pos="4320"/>
        <w:tab w:val="right" w:pos="8640"/>
      </w:tabs>
    </w:pPr>
  </w:style>
  <w:style w:type="paragraph" w:styleId="Footer">
    <w:name w:val="footer"/>
    <w:basedOn w:val="Normal"/>
    <w:link w:val="FooterChar"/>
    <w:uiPriority w:val="99"/>
    <w:rsid w:val="00120DE7"/>
    <w:pPr>
      <w:tabs>
        <w:tab w:val="center" w:pos="4320"/>
        <w:tab w:val="right" w:pos="8640"/>
      </w:tabs>
    </w:pPr>
    <w:rPr>
      <w:lang w:val="x-none" w:eastAsia="x-none"/>
    </w:rPr>
  </w:style>
  <w:style w:type="paragraph" w:styleId="DocumentMap">
    <w:name w:val="Document Map"/>
    <w:basedOn w:val="Normal"/>
    <w:link w:val="DocumentMapChar"/>
    <w:semiHidden/>
    <w:rsid w:val="00120DE7"/>
    <w:pPr>
      <w:shd w:val="clear" w:color="auto" w:fill="000080"/>
    </w:pPr>
    <w:rPr>
      <w:rFonts w:ascii="Tahoma" w:hAnsi="Tahoma" w:cs="Tahoma"/>
      <w:sz w:val="20"/>
      <w:szCs w:val="20"/>
    </w:rPr>
  </w:style>
  <w:style w:type="character" w:styleId="HTMLCite">
    <w:name w:val="HTML Cite"/>
    <w:rsid w:val="00D66AA1"/>
    <w:rPr>
      <w:i/>
      <w:iCs/>
    </w:rPr>
  </w:style>
  <w:style w:type="paragraph" w:styleId="TOC1">
    <w:name w:val="toc 1"/>
    <w:basedOn w:val="Normal"/>
    <w:next w:val="Normal"/>
    <w:autoRedefine/>
    <w:uiPriority w:val="39"/>
    <w:qFormat/>
    <w:rsid w:val="0054384D"/>
    <w:pPr>
      <w:tabs>
        <w:tab w:val="right" w:leader="dot" w:pos="9350"/>
      </w:tabs>
      <w:spacing w:before="120" w:after="120"/>
      <w:jc w:val="center"/>
    </w:pPr>
    <w:rPr>
      <w:rFonts w:asciiTheme="majorHAnsi" w:hAnsiTheme="majorHAnsi"/>
      <w:b/>
      <w:bCs/>
      <w:caps/>
      <w:noProof/>
    </w:rPr>
  </w:style>
  <w:style w:type="paragraph" w:styleId="TOC2">
    <w:name w:val="toc 2"/>
    <w:basedOn w:val="Normal"/>
    <w:next w:val="Normal"/>
    <w:autoRedefine/>
    <w:uiPriority w:val="39"/>
    <w:qFormat/>
    <w:rsid w:val="003477EB"/>
    <w:pPr>
      <w:tabs>
        <w:tab w:val="right" w:leader="dot" w:pos="9350"/>
      </w:tabs>
      <w:spacing w:after="120"/>
      <w:ind w:left="245"/>
    </w:pPr>
    <w:rPr>
      <w:smallCaps/>
      <w:noProof/>
      <w:sz w:val="20"/>
      <w:szCs w:val="20"/>
    </w:rPr>
  </w:style>
  <w:style w:type="character" w:styleId="Hyperlink">
    <w:name w:val="Hyperlink"/>
    <w:uiPriority w:val="99"/>
    <w:rsid w:val="006B404A"/>
    <w:rPr>
      <w:color w:val="0000FF"/>
      <w:u w:val="single"/>
    </w:rPr>
  </w:style>
  <w:style w:type="character" w:styleId="CommentReference">
    <w:name w:val="annotation reference"/>
    <w:rsid w:val="001303DA"/>
    <w:rPr>
      <w:sz w:val="16"/>
      <w:szCs w:val="16"/>
    </w:rPr>
  </w:style>
  <w:style w:type="paragraph" w:styleId="CommentText">
    <w:name w:val="annotation text"/>
    <w:basedOn w:val="Normal"/>
    <w:link w:val="CommentTextChar"/>
    <w:rsid w:val="001303DA"/>
    <w:rPr>
      <w:sz w:val="20"/>
      <w:szCs w:val="20"/>
    </w:rPr>
  </w:style>
  <w:style w:type="paragraph" w:styleId="CommentSubject">
    <w:name w:val="annotation subject"/>
    <w:basedOn w:val="CommentText"/>
    <w:next w:val="CommentText"/>
    <w:link w:val="CommentSubjectChar"/>
    <w:rsid w:val="001303DA"/>
    <w:rPr>
      <w:b/>
      <w:bCs/>
    </w:rPr>
  </w:style>
  <w:style w:type="paragraph" w:styleId="BalloonText">
    <w:name w:val="Balloon Text"/>
    <w:basedOn w:val="Normal"/>
    <w:link w:val="BalloonTextChar"/>
    <w:rsid w:val="001303DA"/>
    <w:rPr>
      <w:rFonts w:ascii="Tahoma" w:hAnsi="Tahoma" w:cs="Tahoma"/>
      <w:sz w:val="16"/>
      <w:szCs w:val="16"/>
    </w:rPr>
  </w:style>
  <w:style w:type="paragraph" w:styleId="EndnoteText">
    <w:name w:val="endnote text"/>
    <w:basedOn w:val="Normal"/>
    <w:link w:val="EndnoteTextChar"/>
    <w:rsid w:val="00170EAE"/>
    <w:rPr>
      <w:sz w:val="20"/>
      <w:szCs w:val="20"/>
    </w:rPr>
  </w:style>
  <w:style w:type="character" w:styleId="EndnoteReference">
    <w:name w:val="endnote reference"/>
    <w:rsid w:val="00170EAE"/>
    <w:rPr>
      <w:vertAlign w:val="superscript"/>
    </w:rPr>
  </w:style>
  <w:style w:type="paragraph" w:styleId="TOC3">
    <w:name w:val="toc 3"/>
    <w:basedOn w:val="Normal"/>
    <w:next w:val="Normal"/>
    <w:autoRedefine/>
    <w:uiPriority w:val="39"/>
    <w:qFormat/>
    <w:rsid w:val="008D607C"/>
    <w:pPr>
      <w:ind w:left="480"/>
    </w:pPr>
    <w:rPr>
      <w:rFonts w:asciiTheme="minorHAnsi" w:hAnsiTheme="minorHAnsi"/>
      <w:i/>
      <w:iCs/>
      <w:sz w:val="20"/>
      <w:szCs w:val="20"/>
    </w:rPr>
  </w:style>
  <w:style w:type="paragraph" w:styleId="BodyText3">
    <w:name w:val="Body Text 3"/>
    <w:basedOn w:val="Normal"/>
    <w:link w:val="BodyText3Char"/>
    <w:rsid w:val="00CA577E"/>
    <w:pPr>
      <w:spacing w:after="120"/>
    </w:pPr>
    <w:rPr>
      <w:sz w:val="16"/>
      <w:szCs w:val="16"/>
    </w:rPr>
  </w:style>
  <w:style w:type="paragraph" w:customStyle="1" w:styleId="ColorfulShading-Accent31">
    <w:name w:val="Colorful Shading - Accent 31"/>
    <w:basedOn w:val="Normal"/>
    <w:uiPriority w:val="34"/>
    <w:qFormat/>
    <w:rsid w:val="00331871"/>
    <w:pPr>
      <w:ind w:left="720"/>
    </w:pPr>
    <w:rPr>
      <w:rFonts w:eastAsia="Calibri"/>
    </w:rPr>
  </w:style>
  <w:style w:type="character" w:styleId="FollowedHyperlink">
    <w:name w:val="FollowedHyperlink"/>
    <w:rsid w:val="009317DB"/>
    <w:rPr>
      <w:color w:val="800080"/>
      <w:u w:val="single"/>
    </w:rPr>
  </w:style>
  <w:style w:type="character" w:customStyle="1" w:styleId="Heading2Char">
    <w:name w:val="Heading 2 Char"/>
    <w:link w:val="Heading2"/>
    <w:rsid w:val="0063071E"/>
    <w:rPr>
      <w:rFonts w:ascii="Adobe Caslon Pro Bold" w:hAnsi="Adobe Caslon Pro Bold"/>
      <w:b/>
      <w:color w:val="009BA4"/>
      <w:spacing w:val="20"/>
      <w:sz w:val="24"/>
      <w:szCs w:val="24"/>
    </w:rPr>
  </w:style>
  <w:style w:type="paragraph" w:styleId="FootnoteText">
    <w:name w:val="footnote text"/>
    <w:basedOn w:val="Normal"/>
    <w:link w:val="FootnoteTextChar"/>
    <w:rsid w:val="00290DB4"/>
    <w:rPr>
      <w:sz w:val="20"/>
      <w:szCs w:val="20"/>
    </w:rPr>
  </w:style>
  <w:style w:type="character" w:customStyle="1" w:styleId="FootnoteTextChar">
    <w:name w:val="Footnote Text Char"/>
    <w:basedOn w:val="DefaultParagraphFont"/>
    <w:link w:val="FootnoteText"/>
    <w:rsid w:val="00290DB4"/>
  </w:style>
  <w:style w:type="character" w:customStyle="1" w:styleId="Heading1Char">
    <w:name w:val="Heading 1 Char"/>
    <w:link w:val="Heading1"/>
    <w:rsid w:val="0063071E"/>
    <w:rPr>
      <w:rFonts w:ascii="Adobe Caslon Pro" w:hAnsi="Adobe Caslon Pro"/>
      <w:b/>
      <w:bCs/>
      <w:color w:val="00788C"/>
      <w:sz w:val="28"/>
      <w:szCs w:val="24"/>
      <w:lang w:eastAsia="x-none"/>
    </w:rPr>
  </w:style>
  <w:style w:type="character" w:customStyle="1" w:styleId="FooterChar">
    <w:name w:val="Footer Char"/>
    <w:link w:val="Footer"/>
    <w:uiPriority w:val="99"/>
    <w:rsid w:val="00BF2252"/>
    <w:rPr>
      <w:sz w:val="24"/>
      <w:szCs w:val="24"/>
    </w:rPr>
  </w:style>
  <w:style w:type="paragraph" w:customStyle="1" w:styleId="CAUBodyText">
    <w:name w:val="CAU Body Text"/>
    <w:basedOn w:val="BodyText"/>
    <w:link w:val="CAUBodyTextChar"/>
    <w:rsid w:val="00D66697"/>
    <w:pPr>
      <w:spacing w:after="240"/>
      <w:ind w:firstLine="720"/>
    </w:pPr>
    <w:rPr>
      <w:szCs w:val="20"/>
    </w:rPr>
  </w:style>
  <w:style w:type="character" w:customStyle="1" w:styleId="CAUBodyTextChar">
    <w:name w:val="CAU Body Text Char"/>
    <w:link w:val="CAUBodyText"/>
    <w:rsid w:val="00D66697"/>
    <w:rPr>
      <w:sz w:val="24"/>
    </w:rPr>
  </w:style>
  <w:style w:type="paragraph" w:styleId="BodyText">
    <w:name w:val="Body Text"/>
    <w:basedOn w:val="Normal"/>
    <w:link w:val="BodyTextChar"/>
    <w:rsid w:val="00D66697"/>
    <w:pPr>
      <w:spacing w:after="120"/>
    </w:pPr>
    <w:rPr>
      <w:lang w:val="x-none" w:eastAsia="x-none"/>
    </w:rPr>
  </w:style>
  <w:style w:type="character" w:customStyle="1" w:styleId="BodyTextChar">
    <w:name w:val="Body Text Char"/>
    <w:link w:val="BodyText"/>
    <w:rsid w:val="00D66697"/>
    <w:rPr>
      <w:sz w:val="24"/>
      <w:szCs w:val="24"/>
    </w:rPr>
  </w:style>
  <w:style w:type="paragraph" w:styleId="NormalWeb">
    <w:name w:val="Normal (Web)"/>
    <w:basedOn w:val="Normal"/>
    <w:uiPriority w:val="99"/>
    <w:unhideWhenUsed/>
    <w:rsid w:val="005D3AA0"/>
    <w:pPr>
      <w:spacing w:after="300"/>
    </w:pPr>
  </w:style>
  <w:style w:type="paragraph" w:customStyle="1" w:styleId="Default">
    <w:name w:val="Default"/>
    <w:rsid w:val="00A77B84"/>
    <w:pPr>
      <w:autoSpaceDE w:val="0"/>
      <w:autoSpaceDN w:val="0"/>
      <w:adjustRightInd w:val="0"/>
    </w:pPr>
    <w:rPr>
      <w:rFonts w:ascii="EJOCHJ+TimesNewRoman,Italic" w:hAnsi="EJOCHJ+TimesNewRoman,Italic" w:cs="EJOCHJ+TimesNewRoman,Italic"/>
      <w:color w:val="000000"/>
      <w:sz w:val="24"/>
      <w:szCs w:val="24"/>
    </w:rPr>
  </w:style>
  <w:style w:type="character" w:customStyle="1" w:styleId="DPH">
    <w:name w:val="DPH"/>
    <w:semiHidden/>
    <w:rsid w:val="00291C7D"/>
    <w:rPr>
      <w:rFonts w:ascii="Arial" w:hAnsi="Arial" w:cs="Arial"/>
      <w:color w:val="auto"/>
      <w:sz w:val="20"/>
      <w:szCs w:val="20"/>
    </w:rPr>
  </w:style>
  <w:style w:type="table" w:styleId="TableGrid">
    <w:name w:val="Table Grid"/>
    <w:basedOn w:val="TableNormal"/>
    <w:uiPriority w:val="59"/>
    <w:rsid w:val="000D7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26A5"/>
    <w:rPr>
      <w:i/>
      <w:iCs/>
    </w:rPr>
  </w:style>
  <w:style w:type="character" w:customStyle="1" w:styleId="EndnoteTextChar">
    <w:name w:val="Endnote Text Char"/>
    <w:link w:val="EndnoteText"/>
    <w:rsid w:val="00613D2D"/>
  </w:style>
  <w:style w:type="character" w:customStyle="1" w:styleId="HeaderChar">
    <w:name w:val="Header Char"/>
    <w:link w:val="Header"/>
    <w:rsid w:val="00613D2D"/>
    <w:rPr>
      <w:sz w:val="24"/>
      <w:szCs w:val="24"/>
    </w:rPr>
  </w:style>
  <w:style w:type="character" w:customStyle="1" w:styleId="BalloonTextChar">
    <w:name w:val="Balloon Text Char"/>
    <w:link w:val="BalloonText"/>
    <w:rsid w:val="00613D2D"/>
    <w:rPr>
      <w:rFonts w:ascii="Tahoma" w:hAnsi="Tahoma" w:cs="Tahoma"/>
      <w:sz w:val="16"/>
      <w:szCs w:val="16"/>
    </w:rPr>
  </w:style>
  <w:style w:type="character" w:customStyle="1" w:styleId="CommentTextChar">
    <w:name w:val="Comment Text Char"/>
    <w:link w:val="CommentText"/>
    <w:rsid w:val="00613D2D"/>
  </w:style>
  <w:style w:type="character" w:customStyle="1" w:styleId="CommentSubjectChar">
    <w:name w:val="Comment Subject Char"/>
    <w:link w:val="CommentSubject"/>
    <w:rsid w:val="00613D2D"/>
    <w:rPr>
      <w:b/>
      <w:bCs/>
    </w:rPr>
  </w:style>
  <w:style w:type="paragraph" w:styleId="ListParagraph">
    <w:name w:val="List Paragraph"/>
    <w:basedOn w:val="Normal"/>
    <w:uiPriority w:val="34"/>
    <w:qFormat/>
    <w:rsid w:val="00613D2D"/>
    <w:pPr>
      <w:ind w:left="720"/>
      <w:contextualSpacing/>
    </w:pPr>
  </w:style>
  <w:style w:type="paragraph" w:styleId="TOCHeading">
    <w:name w:val="TOC Heading"/>
    <w:basedOn w:val="Heading1"/>
    <w:next w:val="Normal"/>
    <w:uiPriority w:val="39"/>
    <w:unhideWhenUsed/>
    <w:qFormat/>
    <w:rsid w:val="001F0BD3"/>
    <w:pPr>
      <w:keepLines/>
      <w:outlineLvl w:val="9"/>
    </w:pPr>
    <w:rPr>
      <w:rFonts w:eastAsiaTheme="majorEastAsia" w:cstheme="majorBidi"/>
      <w:color w:val="365F91" w:themeColor="accent1" w:themeShade="BF"/>
      <w:szCs w:val="28"/>
      <w:lang w:eastAsia="ja-JP"/>
    </w:rPr>
  </w:style>
  <w:style w:type="paragraph" w:styleId="Revision">
    <w:name w:val="Revision"/>
    <w:hidden/>
    <w:uiPriority w:val="99"/>
    <w:semiHidden/>
    <w:rsid w:val="00982083"/>
    <w:rPr>
      <w:sz w:val="24"/>
      <w:szCs w:val="24"/>
    </w:rPr>
  </w:style>
  <w:style w:type="character" w:customStyle="1" w:styleId="Heading3Char">
    <w:name w:val="Heading 3 Char"/>
    <w:basedOn w:val="DefaultParagraphFont"/>
    <w:link w:val="Heading3"/>
    <w:rsid w:val="0010161F"/>
    <w:rPr>
      <w:rFonts w:ascii="Adobe Caslon Pro" w:hAnsi="Adobe Caslon Pro"/>
      <w:b/>
      <w:i/>
      <w:sz w:val="24"/>
      <w:szCs w:val="28"/>
    </w:rPr>
  </w:style>
  <w:style w:type="character" w:customStyle="1" w:styleId="Heading4Char">
    <w:name w:val="Heading 4 Char"/>
    <w:basedOn w:val="DefaultParagraphFont"/>
    <w:link w:val="Heading4"/>
    <w:rsid w:val="0063071E"/>
    <w:rPr>
      <w:rFonts w:ascii="Adobe Caslon Pro" w:hAnsi="Adobe Caslon Pro"/>
      <w:sz w:val="24"/>
      <w:szCs w:val="24"/>
      <w:u w:val="single"/>
    </w:rPr>
  </w:style>
  <w:style w:type="paragraph" w:customStyle="1" w:styleId="References">
    <w:name w:val="References"/>
    <w:basedOn w:val="Normal"/>
    <w:autoRedefine/>
    <w:qFormat/>
    <w:rsid w:val="00113E51"/>
    <w:pPr>
      <w:widowControl w:val="0"/>
      <w:autoSpaceDE w:val="0"/>
      <w:autoSpaceDN w:val="0"/>
      <w:adjustRightInd w:val="0"/>
      <w:spacing w:after="240" w:line="240" w:lineRule="auto"/>
      <w:ind w:left="720" w:hanging="720"/>
    </w:pPr>
  </w:style>
  <w:style w:type="character" w:customStyle="1" w:styleId="UnresolvedMention1">
    <w:name w:val="Unresolved Mention1"/>
    <w:basedOn w:val="DefaultParagraphFont"/>
    <w:uiPriority w:val="99"/>
    <w:semiHidden/>
    <w:unhideWhenUsed/>
    <w:rsid w:val="005C7D8F"/>
    <w:rPr>
      <w:color w:val="605E5C"/>
      <w:shd w:val="clear" w:color="auto" w:fill="E1DFDD"/>
    </w:rPr>
  </w:style>
  <w:style w:type="table" w:customStyle="1" w:styleId="TableGrid1">
    <w:name w:val="Table Grid1"/>
    <w:basedOn w:val="TableNormal"/>
    <w:next w:val="TableGrid"/>
    <w:uiPriority w:val="59"/>
    <w:rsid w:val="006235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D6049D"/>
    <w:rPr>
      <w:color w:val="605E5C"/>
      <w:shd w:val="clear" w:color="auto" w:fill="E1DFDD"/>
    </w:rPr>
  </w:style>
  <w:style w:type="paragraph" w:styleId="NoSpacing">
    <w:name w:val="No Spacing"/>
    <w:uiPriority w:val="1"/>
    <w:qFormat/>
    <w:rsid w:val="00595F22"/>
    <w:rPr>
      <w:rFonts w:ascii="Cambria" w:hAnsi="Cambria"/>
      <w:sz w:val="24"/>
      <w:szCs w:val="24"/>
    </w:rPr>
  </w:style>
  <w:style w:type="table" w:styleId="Table3Deffects1">
    <w:name w:val="Table 3D effects 1"/>
    <w:basedOn w:val="TableNormal"/>
    <w:rsid w:val="000A5B56"/>
    <w:pPr>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FootnoteReference">
    <w:name w:val="footnote reference"/>
    <w:basedOn w:val="DefaultParagraphFont"/>
    <w:rsid w:val="00030C2E"/>
    <w:rPr>
      <w:vertAlign w:val="superscript"/>
    </w:rPr>
  </w:style>
  <w:style w:type="character" w:customStyle="1" w:styleId="Heading5Char">
    <w:name w:val="Heading 5 Char"/>
    <w:basedOn w:val="DefaultParagraphFont"/>
    <w:link w:val="Heading5"/>
    <w:rsid w:val="0063071E"/>
    <w:rPr>
      <w:rFonts w:asciiTheme="majorHAnsi" w:eastAsiaTheme="majorEastAsia" w:hAnsiTheme="majorHAnsi" w:cstheme="majorBidi"/>
      <w:i/>
      <w:sz w:val="24"/>
      <w:szCs w:val="24"/>
    </w:rPr>
  </w:style>
  <w:style w:type="character" w:customStyle="1" w:styleId="DocumentMapChar">
    <w:name w:val="Document Map Char"/>
    <w:basedOn w:val="DefaultParagraphFont"/>
    <w:link w:val="DocumentMap"/>
    <w:semiHidden/>
    <w:rsid w:val="004D728F"/>
    <w:rPr>
      <w:rFonts w:ascii="Tahoma" w:hAnsi="Tahoma" w:cs="Tahoma"/>
      <w:shd w:val="clear" w:color="auto" w:fill="000080"/>
    </w:rPr>
  </w:style>
  <w:style w:type="character" w:customStyle="1" w:styleId="BodyText3Char">
    <w:name w:val="Body Text 3 Char"/>
    <w:basedOn w:val="DefaultParagraphFont"/>
    <w:link w:val="BodyText3"/>
    <w:rsid w:val="004D728F"/>
    <w:rPr>
      <w:rFonts w:ascii="Cambria" w:hAnsi="Cambria"/>
      <w:sz w:val="16"/>
      <w:szCs w:val="16"/>
    </w:rPr>
  </w:style>
  <w:style w:type="character" w:customStyle="1" w:styleId="html-render">
    <w:name w:val="html-render"/>
    <w:basedOn w:val="DefaultParagraphFont"/>
    <w:rsid w:val="002C5565"/>
  </w:style>
  <w:style w:type="paragraph" w:styleId="Caption">
    <w:name w:val="caption"/>
    <w:basedOn w:val="Normal"/>
    <w:next w:val="Normal"/>
    <w:unhideWhenUsed/>
    <w:qFormat/>
    <w:rsid w:val="00A76D92"/>
    <w:pPr>
      <w:spacing w:after="200" w:line="240" w:lineRule="auto"/>
    </w:pPr>
    <w:rPr>
      <w:bCs/>
      <w:szCs w:val="18"/>
    </w:rPr>
  </w:style>
  <w:style w:type="paragraph" w:styleId="TOC4">
    <w:name w:val="toc 4"/>
    <w:basedOn w:val="Normal"/>
    <w:next w:val="Normal"/>
    <w:autoRedefine/>
    <w:rsid w:val="008124C3"/>
    <w:pPr>
      <w:ind w:left="720"/>
    </w:pPr>
    <w:rPr>
      <w:rFonts w:asciiTheme="minorHAnsi" w:hAnsiTheme="minorHAnsi"/>
      <w:sz w:val="18"/>
      <w:szCs w:val="18"/>
    </w:rPr>
  </w:style>
  <w:style w:type="paragraph" w:styleId="TOC5">
    <w:name w:val="toc 5"/>
    <w:basedOn w:val="Normal"/>
    <w:next w:val="Normal"/>
    <w:autoRedefine/>
    <w:rsid w:val="008124C3"/>
    <w:pPr>
      <w:ind w:left="960"/>
    </w:pPr>
    <w:rPr>
      <w:rFonts w:asciiTheme="minorHAnsi" w:hAnsiTheme="minorHAnsi"/>
      <w:sz w:val="18"/>
      <w:szCs w:val="18"/>
    </w:rPr>
  </w:style>
  <w:style w:type="paragraph" w:styleId="TOC6">
    <w:name w:val="toc 6"/>
    <w:basedOn w:val="Normal"/>
    <w:next w:val="Normal"/>
    <w:autoRedefine/>
    <w:rsid w:val="008124C3"/>
    <w:pPr>
      <w:ind w:left="1200"/>
    </w:pPr>
    <w:rPr>
      <w:rFonts w:asciiTheme="minorHAnsi" w:hAnsiTheme="minorHAnsi"/>
      <w:sz w:val="18"/>
      <w:szCs w:val="18"/>
    </w:rPr>
  </w:style>
  <w:style w:type="paragraph" w:styleId="TOC7">
    <w:name w:val="toc 7"/>
    <w:basedOn w:val="Normal"/>
    <w:next w:val="Normal"/>
    <w:autoRedefine/>
    <w:rsid w:val="008124C3"/>
    <w:pPr>
      <w:ind w:left="1440"/>
    </w:pPr>
    <w:rPr>
      <w:rFonts w:asciiTheme="minorHAnsi" w:hAnsiTheme="minorHAnsi"/>
      <w:sz w:val="18"/>
      <w:szCs w:val="18"/>
    </w:rPr>
  </w:style>
  <w:style w:type="paragraph" w:styleId="TOC8">
    <w:name w:val="toc 8"/>
    <w:basedOn w:val="Normal"/>
    <w:next w:val="Normal"/>
    <w:autoRedefine/>
    <w:rsid w:val="008124C3"/>
    <w:pPr>
      <w:ind w:left="1680"/>
    </w:pPr>
    <w:rPr>
      <w:rFonts w:asciiTheme="minorHAnsi" w:hAnsiTheme="minorHAnsi"/>
      <w:sz w:val="18"/>
      <w:szCs w:val="18"/>
    </w:rPr>
  </w:style>
  <w:style w:type="paragraph" w:styleId="TOC9">
    <w:name w:val="toc 9"/>
    <w:basedOn w:val="Normal"/>
    <w:next w:val="Normal"/>
    <w:autoRedefine/>
    <w:rsid w:val="008124C3"/>
    <w:pPr>
      <w:ind w:left="1920"/>
    </w:pPr>
    <w:rPr>
      <w:rFonts w:asciiTheme="minorHAnsi" w:hAnsiTheme="minorHAnsi"/>
      <w:sz w:val="18"/>
      <w:szCs w:val="18"/>
    </w:rPr>
  </w:style>
  <w:style w:type="paragraph" w:styleId="TableofFigures">
    <w:name w:val="table of figures"/>
    <w:basedOn w:val="Normal"/>
    <w:next w:val="Normal"/>
    <w:uiPriority w:val="99"/>
    <w:rsid w:val="00FF48C4"/>
    <w:pPr>
      <w:spacing w:after="240" w:line="240" w:lineRule="auto"/>
    </w:pPr>
    <w:rPr>
      <w:rFonts w:asciiTheme="majorHAnsi" w:hAnsiTheme="majorHAnsi"/>
      <w:iCs/>
      <w:szCs w:val="20"/>
    </w:rPr>
  </w:style>
  <w:style w:type="character" w:styleId="PageNumber">
    <w:name w:val="page number"/>
    <w:basedOn w:val="DefaultParagraphFont"/>
    <w:rsid w:val="003B78E7"/>
  </w:style>
  <w:style w:type="character" w:customStyle="1" w:styleId="bkciteavail">
    <w:name w:val="bk_cite_avail"/>
    <w:basedOn w:val="DefaultParagraphFont"/>
    <w:rsid w:val="00983F30"/>
  </w:style>
  <w:style w:type="paragraph" w:customStyle="1" w:styleId="Coverpgtitle">
    <w:name w:val="Cover pg title"/>
    <w:basedOn w:val="Normal"/>
    <w:qFormat/>
    <w:rsid w:val="001D5355"/>
    <w:pPr>
      <w:jc w:val="center"/>
    </w:pPr>
    <w:rPr>
      <w:rFonts w:ascii="Book Antiqua" w:hAnsi="Book Antiqua"/>
      <w:b/>
      <w:sz w:val="36"/>
      <w:szCs w:val="36"/>
    </w:rPr>
  </w:style>
  <w:style w:type="paragraph" w:customStyle="1" w:styleId="Coverpagetext">
    <w:name w:val="Cover page text"/>
    <w:basedOn w:val="Normal"/>
    <w:autoRedefine/>
    <w:qFormat/>
    <w:rsid w:val="00AF2838"/>
    <w:pPr>
      <w:spacing w:after="0"/>
      <w:jc w:val="center"/>
    </w:pPr>
    <w:rPr>
      <w:sz w:val="20"/>
    </w:rPr>
  </w:style>
  <w:style w:type="paragraph" w:customStyle="1" w:styleId="Tableheaders">
    <w:name w:val="Table headers"/>
    <w:basedOn w:val="Normal"/>
    <w:autoRedefine/>
    <w:qFormat/>
    <w:rsid w:val="006312FD"/>
    <w:pPr>
      <w:tabs>
        <w:tab w:val="left" w:pos="2520"/>
      </w:tabs>
      <w:spacing w:after="0" w:line="240" w:lineRule="auto"/>
      <w:ind w:left="-36" w:right="-120"/>
    </w:pPr>
    <w:rPr>
      <w:rFonts w:asciiTheme="minorHAnsi" w:eastAsiaTheme="minorHAnsi" w:hAnsiTheme="minorHAnsi" w:cstheme="minorBidi"/>
      <w:b/>
    </w:rPr>
  </w:style>
  <w:style w:type="paragraph" w:customStyle="1" w:styleId="Tablebody">
    <w:name w:val="Table body"/>
    <w:basedOn w:val="Normal"/>
    <w:autoRedefine/>
    <w:qFormat/>
    <w:rsid w:val="005B69ED"/>
    <w:pPr>
      <w:tabs>
        <w:tab w:val="left" w:pos="2520"/>
      </w:tabs>
      <w:spacing w:after="0" w:line="240" w:lineRule="auto"/>
      <w:ind w:right="-120"/>
    </w:pPr>
    <w:rPr>
      <w:rFonts w:asciiTheme="minorHAnsi" w:eastAsiaTheme="minorHAnsi" w:hAnsiTheme="minorHAnsi" w:cs="Arial"/>
      <w:sz w:val="21"/>
      <w:szCs w:val="21"/>
    </w:rPr>
  </w:style>
  <w:style w:type="character" w:styleId="Strong">
    <w:name w:val="Strong"/>
    <w:basedOn w:val="DefaultParagraphFont"/>
    <w:uiPriority w:val="22"/>
    <w:qFormat/>
    <w:rsid w:val="00314DCE"/>
    <w:rPr>
      <w:b/>
      <w:bCs/>
    </w:rPr>
  </w:style>
  <w:style w:type="character" w:styleId="LineNumber">
    <w:name w:val="line number"/>
    <w:basedOn w:val="DefaultParagraphFont"/>
    <w:semiHidden/>
    <w:unhideWhenUsed/>
    <w:rsid w:val="00EE0D05"/>
  </w:style>
  <w:style w:type="paragraph" w:customStyle="1" w:styleId="Level1">
    <w:name w:val="Level 1"/>
    <w:basedOn w:val="Normal"/>
    <w:rsid w:val="00602C8B"/>
    <w:pPr>
      <w:widowControl w:val="0"/>
      <w:numPr>
        <w:numId w:val="38"/>
      </w:numPr>
      <w:tabs>
        <w:tab w:val="num" w:pos="360"/>
      </w:tabs>
      <w:autoSpaceDE w:val="0"/>
      <w:autoSpaceDN w:val="0"/>
      <w:adjustRightInd w:val="0"/>
      <w:spacing w:after="0" w:line="240" w:lineRule="auto"/>
      <w:outlineLvl w:val="0"/>
    </w:pPr>
    <w:rPr>
      <w:rFonts w:ascii="Courier" w:hAnsi="Courier"/>
    </w:rPr>
  </w:style>
  <w:style w:type="character" w:customStyle="1" w:styleId="Heading6Char">
    <w:name w:val="Heading 6 Char"/>
    <w:basedOn w:val="DefaultParagraphFont"/>
    <w:link w:val="Heading6"/>
    <w:rsid w:val="007F591E"/>
    <w:rPr>
      <w:rFonts w:asciiTheme="majorHAnsi" w:eastAsiaTheme="majorEastAsia" w:hAnsiTheme="majorHAnsi" w:cstheme="majorBidi"/>
      <w:i/>
      <w:iCs/>
      <w:color w:val="243F60" w:themeColor="accent1" w:themeShade="7F"/>
      <w:sz w:val="24"/>
      <w:szCs w:val="24"/>
    </w:rPr>
  </w:style>
  <w:style w:type="paragraph" w:customStyle="1" w:styleId="Tablebodyindented">
    <w:name w:val="Table body indented"/>
    <w:basedOn w:val="Tablebody"/>
    <w:qFormat/>
    <w:rsid w:val="003733B6"/>
    <w:pPr>
      <w:ind w:left="720"/>
    </w:pPr>
  </w:style>
  <w:style w:type="paragraph" w:customStyle="1" w:styleId="Tablebodybold">
    <w:name w:val="Table body bold"/>
    <w:basedOn w:val="Tablebody"/>
    <w:qFormat/>
    <w:rsid w:val="003733B6"/>
    <w:rPr>
      <w:b/>
    </w:rPr>
  </w:style>
  <w:style w:type="paragraph" w:styleId="Subtitle">
    <w:name w:val="Subtitle"/>
    <w:basedOn w:val="Normal"/>
    <w:next w:val="Normal"/>
    <w:link w:val="SubtitleChar"/>
    <w:qFormat/>
    <w:rsid w:val="008875F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875FA"/>
    <w:rPr>
      <w:rFonts w:asciiTheme="majorHAnsi" w:eastAsiaTheme="majorEastAsia" w:hAnsiTheme="majorHAnsi" w:cstheme="majorBidi"/>
      <w:i/>
      <w:iCs/>
      <w:color w:val="4F81BD" w:themeColor="accent1"/>
      <w:spacing w:val="15"/>
      <w:sz w:val="24"/>
      <w:szCs w:val="24"/>
    </w:rPr>
  </w:style>
  <w:style w:type="character" w:customStyle="1" w:styleId="UnresolvedMention2">
    <w:name w:val="Unresolved Mention2"/>
    <w:basedOn w:val="DefaultParagraphFont"/>
    <w:uiPriority w:val="99"/>
    <w:semiHidden/>
    <w:unhideWhenUsed/>
    <w:rsid w:val="000511BC"/>
    <w:rPr>
      <w:color w:val="605E5C"/>
      <w:shd w:val="clear" w:color="auto" w:fill="E1DFDD"/>
    </w:rPr>
  </w:style>
  <w:style w:type="paragraph" w:customStyle="1" w:styleId="StyleAfter6ptLinespacingsingle">
    <w:name w:val="Style After:  6 pt Line spacing:  single"/>
    <w:basedOn w:val="Normal"/>
    <w:rsid w:val="0040594E"/>
    <w:pPr>
      <w:spacing w:after="120" w:line="240" w:lineRule="auto"/>
    </w:pPr>
    <w:rPr>
      <w:szCs w:val="20"/>
    </w:rPr>
  </w:style>
  <w:style w:type="paragraph" w:customStyle="1" w:styleId="StyleHeading2Italic">
    <w:name w:val="Style Heading 2 + Italic"/>
    <w:basedOn w:val="Heading2"/>
    <w:rsid w:val="0063071E"/>
    <w:rPr>
      <w:bCs/>
      <w:i/>
      <w:iCs/>
    </w:rPr>
  </w:style>
  <w:style w:type="paragraph" w:customStyle="1" w:styleId="StyleHeading4Linespacingsingle">
    <w:name w:val="Style Heading 4 + Line spacing:  single"/>
    <w:basedOn w:val="Heading4"/>
    <w:rsid w:val="0063071E"/>
    <w:pPr>
      <w:spacing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189">
      <w:bodyDiv w:val="1"/>
      <w:marLeft w:val="0"/>
      <w:marRight w:val="0"/>
      <w:marTop w:val="0"/>
      <w:marBottom w:val="0"/>
      <w:divBdr>
        <w:top w:val="none" w:sz="0" w:space="0" w:color="auto"/>
        <w:left w:val="none" w:sz="0" w:space="0" w:color="auto"/>
        <w:bottom w:val="none" w:sz="0" w:space="0" w:color="auto"/>
        <w:right w:val="none" w:sz="0" w:space="0" w:color="auto"/>
      </w:divBdr>
      <w:divsChild>
        <w:div w:id="334307290">
          <w:marLeft w:val="0"/>
          <w:marRight w:val="150"/>
          <w:marTop w:val="0"/>
          <w:marBottom w:val="0"/>
          <w:divBdr>
            <w:top w:val="none" w:sz="0" w:space="0" w:color="auto"/>
            <w:left w:val="none" w:sz="0" w:space="0" w:color="auto"/>
            <w:bottom w:val="none" w:sz="0" w:space="0" w:color="auto"/>
            <w:right w:val="none" w:sz="0" w:space="0" w:color="auto"/>
          </w:divBdr>
          <w:divsChild>
            <w:div w:id="1597472644">
              <w:marLeft w:val="0"/>
              <w:marRight w:val="0"/>
              <w:marTop w:val="0"/>
              <w:marBottom w:val="0"/>
              <w:divBdr>
                <w:top w:val="none" w:sz="0" w:space="0" w:color="auto"/>
                <w:left w:val="none" w:sz="0" w:space="0" w:color="auto"/>
                <w:bottom w:val="none" w:sz="0" w:space="0" w:color="auto"/>
                <w:right w:val="none" w:sz="0" w:space="0" w:color="auto"/>
              </w:divBdr>
              <w:divsChild>
                <w:div w:id="1569921692">
                  <w:marLeft w:val="0"/>
                  <w:marRight w:val="0"/>
                  <w:marTop w:val="0"/>
                  <w:marBottom w:val="0"/>
                  <w:divBdr>
                    <w:top w:val="none" w:sz="0" w:space="0" w:color="auto"/>
                    <w:left w:val="none" w:sz="0" w:space="0" w:color="auto"/>
                    <w:bottom w:val="none" w:sz="0" w:space="0" w:color="auto"/>
                    <w:right w:val="none" w:sz="0" w:space="0" w:color="auto"/>
                  </w:divBdr>
                  <w:divsChild>
                    <w:div w:id="2960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8328">
      <w:bodyDiv w:val="1"/>
      <w:marLeft w:val="0"/>
      <w:marRight w:val="0"/>
      <w:marTop w:val="0"/>
      <w:marBottom w:val="0"/>
      <w:divBdr>
        <w:top w:val="none" w:sz="0" w:space="0" w:color="auto"/>
        <w:left w:val="none" w:sz="0" w:space="0" w:color="auto"/>
        <w:bottom w:val="none" w:sz="0" w:space="0" w:color="auto"/>
        <w:right w:val="none" w:sz="0" w:space="0" w:color="auto"/>
      </w:divBdr>
      <w:divsChild>
        <w:div w:id="704327329">
          <w:marLeft w:val="0"/>
          <w:marRight w:val="0"/>
          <w:marTop w:val="0"/>
          <w:marBottom w:val="0"/>
          <w:divBdr>
            <w:top w:val="none" w:sz="0" w:space="0" w:color="auto"/>
            <w:left w:val="none" w:sz="0" w:space="0" w:color="auto"/>
            <w:bottom w:val="none" w:sz="0" w:space="0" w:color="auto"/>
            <w:right w:val="none" w:sz="0" w:space="0" w:color="auto"/>
          </w:divBdr>
          <w:divsChild>
            <w:div w:id="746880444">
              <w:marLeft w:val="0"/>
              <w:marRight w:val="0"/>
              <w:marTop w:val="0"/>
              <w:marBottom w:val="0"/>
              <w:divBdr>
                <w:top w:val="none" w:sz="0" w:space="0" w:color="auto"/>
                <w:left w:val="none" w:sz="0" w:space="0" w:color="auto"/>
                <w:bottom w:val="none" w:sz="0" w:space="0" w:color="auto"/>
                <w:right w:val="none" w:sz="0" w:space="0" w:color="auto"/>
              </w:divBdr>
              <w:divsChild>
                <w:div w:id="858390959">
                  <w:marLeft w:val="0"/>
                  <w:marRight w:val="0"/>
                  <w:marTop w:val="0"/>
                  <w:marBottom w:val="0"/>
                  <w:divBdr>
                    <w:top w:val="none" w:sz="0" w:space="0" w:color="auto"/>
                    <w:left w:val="none" w:sz="0" w:space="0" w:color="auto"/>
                    <w:bottom w:val="none" w:sz="0" w:space="0" w:color="auto"/>
                    <w:right w:val="none" w:sz="0" w:space="0" w:color="auto"/>
                  </w:divBdr>
                  <w:divsChild>
                    <w:div w:id="2094356422">
                      <w:marLeft w:val="0"/>
                      <w:marRight w:val="0"/>
                      <w:marTop w:val="0"/>
                      <w:marBottom w:val="0"/>
                      <w:divBdr>
                        <w:top w:val="none" w:sz="0" w:space="0" w:color="auto"/>
                        <w:left w:val="none" w:sz="0" w:space="0" w:color="auto"/>
                        <w:bottom w:val="none" w:sz="0" w:space="0" w:color="auto"/>
                        <w:right w:val="none" w:sz="0" w:space="0" w:color="auto"/>
                      </w:divBdr>
                    </w:div>
                    <w:div w:id="172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1244">
              <w:marLeft w:val="0"/>
              <w:marRight w:val="0"/>
              <w:marTop w:val="0"/>
              <w:marBottom w:val="0"/>
              <w:divBdr>
                <w:top w:val="none" w:sz="0" w:space="0" w:color="auto"/>
                <w:left w:val="none" w:sz="0" w:space="0" w:color="auto"/>
                <w:bottom w:val="none" w:sz="0" w:space="0" w:color="auto"/>
                <w:right w:val="none" w:sz="0" w:space="0" w:color="auto"/>
              </w:divBdr>
              <w:divsChild>
                <w:div w:id="1972006851">
                  <w:marLeft w:val="0"/>
                  <w:marRight w:val="0"/>
                  <w:marTop w:val="0"/>
                  <w:marBottom w:val="0"/>
                  <w:divBdr>
                    <w:top w:val="none" w:sz="0" w:space="0" w:color="auto"/>
                    <w:left w:val="none" w:sz="0" w:space="0" w:color="auto"/>
                    <w:bottom w:val="none" w:sz="0" w:space="0" w:color="auto"/>
                    <w:right w:val="none" w:sz="0" w:space="0" w:color="auto"/>
                  </w:divBdr>
                  <w:divsChild>
                    <w:div w:id="944455982">
                      <w:marLeft w:val="0"/>
                      <w:marRight w:val="0"/>
                      <w:marTop w:val="0"/>
                      <w:marBottom w:val="0"/>
                      <w:divBdr>
                        <w:top w:val="none" w:sz="0" w:space="0" w:color="auto"/>
                        <w:left w:val="none" w:sz="0" w:space="0" w:color="auto"/>
                        <w:bottom w:val="none" w:sz="0" w:space="0" w:color="auto"/>
                        <w:right w:val="none" w:sz="0" w:space="0" w:color="auto"/>
                      </w:divBdr>
                    </w:div>
                    <w:div w:id="4369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5915">
              <w:marLeft w:val="0"/>
              <w:marRight w:val="0"/>
              <w:marTop w:val="0"/>
              <w:marBottom w:val="0"/>
              <w:divBdr>
                <w:top w:val="none" w:sz="0" w:space="0" w:color="auto"/>
                <w:left w:val="none" w:sz="0" w:space="0" w:color="auto"/>
                <w:bottom w:val="none" w:sz="0" w:space="0" w:color="auto"/>
                <w:right w:val="none" w:sz="0" w:space="0" w:color="auto"/>
              </w:divBdr>
            </w:div>
          </w:divsChild>
        </w:div>
        <w:div w:id="1923639407">
          <w:marLeft w:val="0"/>
          <w:marRight w:val="0"/>
          <w:marTop w:val="0"/>
          <w:marBottom w:val="0"/>
          <w:divBdr>
            <w:top w:val="none" w:sz="0" w:space="0" w:color="auto"/>
            <w:left w:val="none" w:sz="0" w:space="0" w:color="auto"/>
            <w:bottom w:val="none" w:sz="0" w:space="0" w:color="auto"/>
            <w:right w:val="none" w:sz="0" w:space="0" w:color="auto"/>
          </w:divBdr>
          <w:divsChild>
            <w:div w:id="20809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8231">
      <w:bodyDiv w:val="1"/>
      <w:marLeft w:val="0"/>
      <w:marRight w:val="0"/>
      <w:marTop w:val="0"/>
      <w:marBottom w:val="0"/>
      <w:divBdr>
        <w:top w:val="none" w:sz="0" w:space="0" w:color="auto"/>
        <w:left w:val="none" w:sz="0" w:space="0" w:color="auto"/>
        <w:bottom w:val="none" w:sz="0" w:space="0" w:color="auto"/>
        <w:right w:val="none" w:sz="0" w:space="0" w:color="auto"/>
      </w:divBdr>
      <w:divsChild>
        <w:div w:id="143354344">
          <w:marLeft w:val="0"/>
          <w:marRight w:val="150"/>
          <w:marTop w:val="0"/>
          <w:marBottom w:val="0"/>
          <w:divBdr>
            <w:top w:val="none" w:sz="0" w:space="0" w:color="auto"/>
            <w:left w:val="none" w:sz="0" w:space="0" w:color="auto"/>
            <w:bottom w:val="none" w:sz="0" w:space="0" w:color="auto"/>
            <w:right w:val="none" w:sz="0" w:space="0" w:color="auto"/>
          </w:divBdr>
          <w:divsChild>
            <w:div w:id="154105681">
              <w:marLeft w:val="0"/>
              <w:marRight w:val="0"/>
              <w:marTop w:val="0"/>
              <w:marBottom w:val="0"/>
              <w:divBdr>
                <w:top w:val="none" w:sz="0" w:space="0" w:color="auto"/>
                <w:left w:val="none" w:sz="0" w:space="0" w:color="auto"/>
                <w:bottom w:val="none" w:sz="0" w:space="0" w:color="auto"/>
                <w:right w:val="none" w:sz="0" w:space="0" w:color="auto"/>
              </w:divBdr>
              <w:divsChild>
                <w:div w:id="1029985082">
                  <w:marLeft w:val="0"/>
                  <w:marRight w:val="0"/>
                  <w:marTop w:val="0"/>
                  <w:marBottom w:val="0"/>
                  <w:divBdr>
                    <w:top w:val="none" w:sz="0" w:space="0" w:color="auto"/>
                    <w:left w:val="none" w:sz="0" w:space="0" w:color="auto"/>
                    <w:bottom w:val="none" w:sz="0" w:space="0" w:color="auto"/>
                    <w:right w:val="none" w:sz="0" w:space="0" w:color="auto"/>
                  </w:divBdr>
                  <w:divsChild>
                    <w:div w:id="12134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8474">
      <w:bodyDiv w:val="1"/>
      <w:marLeft w:val="0"/>
      <w:marRight w:val="0"/>
      <w:marTop w:val="0"/>
      <w:marBottom w:val="0"/>
      <w:divBdr>
        <w:top w:val="none" w:sz="0" w:space="0" w:color="auto"/>
        <w:left w:val="none" w:sz="0" w:space="0" w:color="auto"/>
        <w:bottom w:val="none" w:sz="0" w:space="0" w:color="auto"/>
        <w:right w:val="none" w:sz="0" w:space="0" w:color="auto"/>
      </w:divBdr>
    </w:div>
    <w:div w:id="240869479">
      <w:bodyDiv w:val="1"/>
      <w:marLeft w:val="0"/>
      <w:marRight w:val="0"/>
      <w:marTop w:val="0"/>
      <w:marBottom w:val="0"/>
      <w:divBdr>
        <w:top w:val="none" w:sz="0" w:space="0" w:color="auto"/>
        <w:left w:val="none" w:sz="0" w:space="0" w:color="auto"/>
        <w:bottom w:val="none" w:sz="0" w:space="0" w:color="auto"/>
        <w:right w:val="none" w:sz="0" w:space="0" w:color="auto"/>
      </w:divBdr>
      <w:divsChild>
        <w:div w:id="1727486033">
          <w:marLeft w:val="0"/>
          <w:marRight w:val="0"/>
          <w:marTop w:val="0"/>
          <w:marBottom w:val="0"/>
          <w:divBdr>
            <w:top w:val="none" w:sz="0" w:space="0" w:color="auto"/>
            <w:left w:val="none" w:sz="0" w:space="0" w:color="auto"/>
            <w:bottom w:val="none" w:sz="0" w:space="0" w:color="auto"/>
            <w:right w:val="none" w:sz="0" w:space="0" w:color="auto"/>
          </w:divBdr>
        </w:div>
        <w:div w:id="1021853126">
          <w:marLeft w:val="0"/>
          <w:marRight w:val="0"/>
          <w:marTop w:val="0"/>
          <w:marBottom w:val="0"/>
          <w:divBdr>
            <w:top w:val="none" w:sz="0" w:space="0" w:color="auto"/>
            <w:left w:val="none" w:sz="0" w:space="0" w:color="auto"/>
            <w:bottom w:val="none" w:sz="0" w:space="0" w:color="auto"/>
            <w:right w:val="none" w:sz="0" w:space="0" w:color="auto"/>
          </w:divBdr>
        </w:div>
        <w:div w:id="2068414417">
          <w:marLeft w:val="0"/>
          <w:marRight w:val="0"/>
          <w:marTop w:val="0"/>
          <w:marBottom w:val="0"/>
          <w:divBdr>
            <w:top w:val="none" w:sz="0" w:space="0" w:color="auto"/>
            <w:left w:val="none" w:sz="0" w:space="0" w:color="auto"/>
            <w:bottom w:val="none" w:sz="0" w:space="0" w:color="auto"/>
            <w:right w:val="none" w:sz="0" w:space="0" w:color="auto"/>
          </w:divBdr>
        </w:div>
        <w:div w:id="729421508">
          <w:marLeft w:val="0"/>
          <w:marRight w:val="0"/>
          <w:marTop w:val="0"/>
          <w:marBottom w:val="0"/>
          <w:divBdr>
            <w:top w:val="none" w:sz="0" w:space="0" w:color="auto"/>
            <w:left w:val="none" w:sz="0" w:space="0" w:color="auto"/>
            <w:bottom w:val="none" w:sz="0" w:space="0" w:color="auto"/>
            <w:right w:val="none" w:sz="0" w:space="0" w:color="auto"/>
          </w:divBdr>
        </w:div>
        <w:div w:id="1817065095">
          <w:marLeft w:val="0"/>
          <w:marRight w:val="0"/>
          <w:marTop w:val="0"/>
          <w:marBottom w:val="0"/>
          <w:divBdr>
            <w:top w:val="none" w:sz="0" w:space="0" w:color="auto"/>
            <w:left w:val="none" w:sz="0" w:space="0" w:color="auto"/>
            <w:bottom w:val="none" w:sz="0" w:space="0" w:color="auto"/>
            <w:right w:val="none" w:sz="0" w:space="0" w:color="auto"/>
          </w:divBdr>
        </w:div>
        <w:div w:id="1585146417">
          <w:marLeft w:val="0"/>
          <w:marRight w:val="0"/>
          <w:marTop w:val="0"/>
          <w:marBottom w:val="0"/>
          <w:divBdr>
            <w:top w:val="none" w:sz="0" w:space="0" w:color="auto"/>
            <w:left w:val="none" w:sz="0" w:space="0" w:color="auto"/>
            <w:bottom w:val="none" w:sz="0" w:space="0" w:color="auto"/>
            <w:right w:val="none" w:sz="0" w:space="0" w:color="auto"/>
          </w:divBdr>
        </w:div>
      </w:divsChild>
    </w:div>
    <w:div w:id="302201484">
      <w:bodyDiv w:val="1"/>
      <w:marLeft w:val="0"/>
      <w:marRight w:val="0"/>
      <w:marTop w:val="0"/>
      <w:marBottom w:val="0"/>
      <w:divBdr>
        <w:top w:val="none" w:sz="0" w:space="0" w:color="auto"/>
        <w:left w:val="none" w:sz="0" w:space="0" w:color="auto"/>
        <w:bottom w:val="none" w:sz="0" w:space="0" w:color="auto"/>
        <w:right w:val="none" w:sz="0" w:space="0" w:color="auto"/>
      </w:divBdr>
      <w:divsChild>
        <w:div w:id="1029136444">
          <w:marLeft w:val="0"/>
          <w:marRight w:val="0"/>
          <w:marTop w:val="0"/>
          <w:marBottom w:val="0"/>
          <w:divBdr>
            <w:top w:val="none" w:sz="0" w:space="0" w:color="auto"/>
            <w:left w:val="none" w:sz="0" w:space="0" w:color="auto"/>
            <w:bottom w:val="none" w:sz="0" w:space="0" w:color="auto"/>
            <w:right w:val="none" w:sz="0" w:space="0" w:color="auto"/>
          </w:divBdr>
          <w:divsChild>
            <w:div w:id="1571034108">
              <w:marLeft w:val="0"/>
              <w:marRight w:val="0"/>
              <w:marTop w:val="0"/>
              <w:marBottom w:val="0"/>
              <w:divBdr>
                <w:top w:val="none" w:sz="0" w:space="0" w:color="auto"/>
                <w:left w:val="none" w:sz="0" w:space="0" w:color="auto"/>
                <w:bottom w:val="none" w:sz="0" w:space="0" w:color="auto"/>
                <w:right w:val="none" w:sz="0" w:space="0" w:color="auto"/>
              </w:divBdr>
              <w:divsChild>
                <w:div w:id="498040169">
                  <w:marLeft w:val="0"/>
                  <w:marRight w:val="0"/>
                  <w:marTop w:val="0"/>
                  <w:marBottom w:val="0"/>
                  <w:divBdr>
                    <w:top w:val="none" w:sz="0" w:space="0" w:color="auto"/>
                    <w:left w:val="none" w:sz="0" w:space="0" w:color="auto"/>
                    <w:bottom w:val="none" w:sz="0" w:space="0" w:color="auto"/>
                    <w:right w:val="none" w:sz="0" w:space="0" w:color="auto"/>
                  </w:divBdr>
                  <w:divsChild>
                    <w:div w:id="35274984">
                      <w:marLeft w:val="0"/>
                      <w:marRight w:val="0"/>
                      <w:marTop w:val="0"/>
                      <w:marBottom w:val="0"/>
                      <w:divBdr>
                        <w:top w:val="none" w:sz="0" w:space="0" w:color="auto"/>
                        <w:left w:val="none" w:sz="0" w:space="0" w:color="auto"/>
                        <w:bottom w:val="none" w:sz="0" w:space="0" w:color="auto"/>
                        <w:right w:val="none" w:sz="0" w:space="0" w:color="auto"/>
                      </w:divBdr>
                      <w:divsChild>
                        <w:div w:id="1023094140">
                          <w:marLeft w:val="0"/>
                          <w:marRight w:val="0"/>
                          <w:marTop w:val="0"/>
                          <w:marBottom w:val="0"/>
                          <w:divBdr>
                            <w:top w:val="none" w:sz="0" w:space="0" w:color="auto"/>
                            <w:left w:val="none" w:sz="0" w:space="0" w:color="auto"/>
                            <w:bottom w:val="none" w:sz="0" w:space="0" w:color="auto"/>
                            <w:right w:val="none" w:sz="0" w:space="0" w:color="auto"/>
                          </w:divBdr>
                          <w:divsChild>
                            <w:div w:id="1623733947">
                              <w:marLeft w:val="0"/>
                              <w:marRight w:val="0"/>
                              <w:marTop w:val="0"/>
                              <w:marBottom w:val="0"/>
                              <w:divBdr>
                                <w:top w:val="none" w:sz="0" w:space="0" w:color="auto"/>
                                <w:left w:val="none" w:sz="0" w:space="0" w:color="auto"/>
                                <w:bottom w:val="none" w:sz="0" w:space="0" w:color="auto"/>
                                <w:right w:val="none" w:sz="0" w:space="0" w:color="auto"/>
                              </w:divBdr>
                              <w:divsChild>
                                <w:div w:id="419790799">
                                  <w:marLeft w:val="0"/>
                                  <w:marRight w:val="0"/>
                                  <w:marTop w:val="0"/>
                                  <w:marBottom w:val="0"/>
                                  <w:divBdr>
                                    <w:top w:val="none" w:sz="0" w:space="0" w:color="auto"/>
                                    <w:left w:val="none" w:sz="0" w:space="0" w:color="auto"/>
                                    <w:bottom w:val="none" w:sz="0" w:space="0" w:color="auto"/>
                                    <w:right w:val="none" w:sz="0" w:space="0" w:color="auto"/>
                                  </w:divBdr>
                                  <w:divsChild>
                                    <w:div w:id="20109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281505">
      <w:bodyDiv w:val="1"/>
      <w:marLeft w:val="0"/>
      <w:marRight w:val="0"/>
      <w:marTop w:val="0"/>
      <w:marBottom w:val="0"/>
      <w:divBdr>
        <w:top w:val="none" w:sz="0" w:space="0" w:color="auto"/>
        <w:left w:val="none" w:sz="0" w:space="0" w:color="auto"/>
        <w:bottom w:val="none" w:sz="0" w:space="0" w:color="auto"/>
        <w:right w:val="none" w:sz="0" w:space="0" w:color="auto"/>
      </w:divBdr>
    </w:div>
    <w:div w:id="367340352">
      <w:bodyDiv w:val="1"/>
      <w:marLeft w:val="0"/>
      <w:marRight w:val="0"/>
      <w:marTop w:val="0"/>
      <w:marBottom w:val="0"/>
      <w:divBdr>
        <w:top w:val="none" w:sz="0" w:space="0" w:color="auto"/>
        <w:left w:val="none" w:sz="0" w:space="0" w:color="auto"/>
        <w:bottom w:val="none" w:sz="0" w:space="0" w:color="auto"/>
        <w:right w:val="none" w:sz="0" w:space="0" w:color="auto"/>
      </w:divBdr>
      <w:divsChild>
        <w:div w:id="573972546">
          <w:marLeft w:val="0"/>
          <w:marRight w:val="150"/>
          <w:marTop w:val="0"/>
          <w:marBottom w:val="0"/>
          <w:divBdr>
            <w:top w:val="none" w:sz="0" w:space="0" w:color="auto"/>
            <w:left w:val="none" w:sz="0" w:space="0" w:color="auto"/>
            <w:bottom w:val="none" w:sz="0" w:space="0" w:color="auto"/>
            <w:right w:val="none" w:sz="0" w:space="0" w:color="auto"/>
          </w:divBdr>
          <w:divsChild>
            <w:div w:id="680082013">
              <w:marLeft w:val="0"/>
              <w:marRight w:val="0"/>
              <w:marTop w:val="0"/>
              <w:marBottom w:val="0"/>
              <w:divBdr>
                <w:top w:val="none" w:sz="0" w:space="0" w:color="auto"/>
                <w:left w:val="none" w:sz="0" w:space="0" w:color="auto"/>
                <w:bottom w:val="none" w:sz="0" w:space="0" w:color="auto"/>
                <w:right w:val="none" w:sz="0" w:space="0" w:color="auto"/>
              </w:divBdr>
              <w:divsChild>
                <w:div w:id="2009284330">
                  <w:marLeft w:val="0"/>
                  <w:marRight w:val="0"/>
                  <w:marTop w:val="0"/>
                  <w:marBottom w:val="0"/>
                  <w:divBdr>
                    <w:top w:val="none" w:sz="0" w:space="0" w:color="auto"/>
                    <w:left w:val="none" w:sz="0" w:space="0" w:color="auto"/>
                    <w:bottom w:val="none" w:sz="0" w:space="0" w:color="auto"/>
                    <w:right w:val="none" w:sz="0" w:space="0" w:color="auto"/>
                  </w:divBdr>
                  <w:divsChild>
                    <w:div w:id="6137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29989">
      <w:bodyDiv w:val="1"/>
      <w:marLeft w:val="0"/>
      <w:marRight w:val="0"/>
      <w:marTop w:val="0"/>
      <w:marBottom w:val="0"/>
      <w:divBdr>
        <w:top w:val="none" w:sz="0" w:space="0" w:color="auto"/>
        <w:left w:val="none" w:sz="0" w:space="0" w:color="auto"/>
        <w:bottom w:val="none" w:sz="0" w:space="0" w:color="auto"/>
        <w:right w:val="none" w:sz="0" w:space="0" w:color="auto"/>
      </w:divBdr>
      <w:divsChild>
        <w:div w:id="968778529">
          <w:marLeft w:val="0"/>
          <w:marRight w:val="150"/>
          <w:marTop w:val="0"/>
          <w:marBottom w:val="0"/>
          <w:divBdr>
            <w:top w:val="none" w:sz="0" w:space="0" w:color="auto"/>
            <w:left w:val="none" w:sz="0" w:space="0" w:color="auto"/>
            <w:bottom w:val="none" w:sz="0" w:space="0" w:color="auto"/>
            <w:right w:val="none" w:sz="0" w:space="0" w:color="auto"/>
          </w:divBdr>
          <w:divsChild>
            <w:div w:id="76678189">
              <w:marLeft w:val="0"/>
              <w:marRight w:val="0"/>
              <w:marTop w:val="0"/>
              <w:marBottom w:val="0"/>
              <w:divBdr>
                <w:top w:val="none" w:sz="0" w:space="0" w:color="auto"/>
                <w:left w:val="none" w:sz="0" w:space="0" w:color="auto"/>
                <w:bottom w:val="none" w:sz="0" w:space="0" w:color="auto"/>
                <w:right w:val="none" w:sz="0" w:space="0" w:color="auto"/>
              </w:divBdr>
              <w:divsChild>
                <w:div w:id="849027118">
                  <w:marLeft w:val="0"/>
                  <w:marRight w:val="0"/>
                  <w:marTop w:val="0"/>
                  <w:marBottom w:val="0"/>
                  <w:divBdr>
                    <w:top w:val="none" w:sz="0" w:space="0" w:color="auto"/>
                    <w:left w:val="none" w:sz="0" w:space="0" w:color="auto"/>
                    <w:bottom w:val="none" w:sz="0" w:space="0" w:color="auto"/>
                    <w:right w:val="none" w:sz="0" w:space="0" w:color="auto"/>
                  </w:divBdr>
                  <w:divsChild>
                    <w:div w:id="7489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5877">
      <w:bodyDiv w:val="1"/>
      <w:marLeft w:val="0"/>
      <w:marRight w:val="0"/>
      <w:marTop w:val="0"/>
      <w:marBottom w:val="0"/>
      <w:divBdr>
        <w:top w:val="none" w:sz="0" w:space="0" w:color="auto"/>
        <w:left w:val="none" w:sz="0" w:space="0" w:color="auto"/>
        <w:bottom w:val="none" w:sz="0" w:space="0" w:color="auto"/>
        <w:right w:val="none" w:sz="0" w:space="0" w:color="auto"/>
      </w:divBdr>
      <w:divsChild>
        <w:div w:id="551304814">
          <w:marLeft w:val="0"/>
          <w:marRight w:val="150"/>
          <w:marTop w:val="0"/>
          <w:marBottom w:val="0"/>
          <w:divBdr>
            <w:top w:val="none" w:sz="0" w:space="0" w:color="auto"/>
            <w:left w:val="none" w:sz="0" w:space="0" w:color="auto"/>
            <w:bottom w:val="none" w:sz="0" w:space="0" w:color="auto"/>
            <w:right w:val="none" w:sz="0" w:space="0" w:color="auto"/>
          </w:divBdr>
          <w:divsChild>
            <w:div w:id="1972595547">
              <w:marLeft w:val="0"/>
              <w:marRight w:val="0"/>
              <w:marTop w:val="0"/>
              <w:marBottom w:val="0"/>
              <w:divBdr>
                <w:top w:val="none" w:sz="0" w:space="0" w:color="auto"/>
                <w:left w:val="none" w:sz="0" w:space="0" w:color="auto"/>
                <w:bottom w:val="none" w:sz="0" w:space="0" w:color="auto"/>
                <w:right w:val="none" w:sz="0" w:space="0" w:color="auto"/>
              </w:divBdr>
              <w:divsChild>
                <w:div w:id="894894954">
                  <w:marLeft w:val="0"/>
                  <w:marRight w:val="0"/>
                  <w:marTop w:val="0"/>
                  <w:marBottom w:val="0"/>
                  <w:divBdr>
                    <w:top w:val="none" w:sz="0" w:space="0" w:color="auto"/>
                    <w:left w:val="none" w:sz="0" w:space="0" w:color="auto"/>
                    <w:bottom w:val="none" w:sz="0" w:space="0" w:color="auto"/>
                    <w:right w:val="none" w:sz="0" w:space="0" w:color="auto"/>
                  </w:divBdr>
                  <w:divsChild>
                    <w:div w:id="2670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02148">
      <w:bodyDiv w:val="1"/>
      <w:marLeft w:val="0"/>
      <w:marRight w:val="0"/>
      <w:marTop w:val="0"/>
      <w:marBottom w:val="0"/>
      <w:divBdr>
        <w:top w:val="none" w:sz="0" w:space="0" w:color="auto"/>
        <w:left w:val="none" w:sz="0" w:space="0" w:color="auto"/>
        <w:bottom w:val="none" w:sz="0" w:space="0" w:color="auto"/>
        <w:right w:val="none" w:sz="0" w:space="0" w:color="auto"/>
      </w:divBdr>
      <w:divsChild>
        <w:div w:id="396587810">
          <w:marLeft w:val="0"/>
          <w:marRight w:val="150"/>
          <w:marTop w:val="0"/>
          <w:marBottom w:val="0"/>
          <w:divBdr>
            <w:top w:val="none" w:sz="0" w:space="0" w:color="auto"/>
            <w:left w:val="none" w:sz="0" w:space="0" w:color="auto"/>
            <w:bottom w:val="none" w:sz="0" w:space="0" w:color="auto"/>
            <w:right w:val="none" w:sz="0" w:space="0" w:color="auto"/>
          </w:divBdr>
          <w:divsChild>
            <w:div w:id="954602651">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sChild>
                    <w:div w:id="8275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704426">
      <w:bodyDiv w:val="1"/>
      <w:marLeft w:val="0"/>
      <w:marRight w:val="5"/>
      <w:marTop w:val="0"/>
      <w:marBottom w:val="600"/>
      <w:divBdr>
        <w:top w:val="none" w:sz="0" w:space="0" w:color="auto"/>
        <w:left w:val="none" w:sz="0" w:space="0" w:color="auto"/>
        <w:bottom w:val="none" w:sz="0" w:space="0" w:color="auto"/>
        <w:right w:val="none" w:sz="0" w:space="0" w:color="auto"/>
      </w:divBdr>
      <w:divsChild>
        <w:div w:id="161312796">
          <w:marLeft w:val="2265"/>
          <w:marRight w:val="0"/>
          <w:marTop w:val="450"/>
          <w:marBottom w:val="300"/>
          <w:divBdr>
            <w:top w:val="none" w:sz="0" w:space="0" w:color="auto"/>
            <w:left w:val="none" w:sz="0" w:space="0" w:color="auto"/>
            <w:bottom w:val="none" w:sz="0" w:space="0" w:color="auto"/>
            <w:right w:val="none" w:sz="0" w:space="0" w:color="auto"/>
          </w:divBdr>
        </w:div>
      </w:divsChild>
    </w:div>
    <w:div w:id="470368201">
      <w:bodyDiv w:val="1"/>
      <w:marLeft w:val="0"/>
      <w:marRight w:val="0"/>
      <w:marTop w:val="0"/>
      <w:marBottom w:val="0"/>
      <w:divBdr>
        <w:top w:val="none" w:sz="0" w:space="0" w:color="auto"/>
        <w:left w:val="none" w:sz="0" w:space="0" w:color="auto"/>
        <w:bottom w:val="none" w:sz="0" w:space="0" w:color="auto"/>
        <w:right w:val="none" w:sz="0" w:space="0" w:color="auto"/>
      </w:divBdr>
    </w:div>
    <w:div w:id="511648218">
      <w:bodyDiv w:val="1"/>
      <w:marLeft w:val="0"/>
      <w:marRight w:val="0"/>
      <w:marTop w:val="0"/>
      <w:marBottom w:val="0"/>
      <w:divBdr>
        <w:top w:val="none" w:sz="0" w:space="0" w:color="auto"/>
        <w:left w:val="none" w:sz="0" w:space="0" w:color="auto"/>
        <w:bottom w:val="none" w:sz="0" w:space="0" w:color="auto"/>
        <w:right w:val="none" w:sz="0" w:space="0" w:color="auto"/>
      </w:divBdr>
    </w:div>
    <w:div w:id="555317807">
      <w:bodyDiv w:val="1"/>
      <w:marLeft w:val="0"/>
      <w:marRight w:val="5"/>
      <w:marTop w:val="0"/>
      <w:marBottom w:val="600"/>
      <w:divBdr>
        <w:top w:val="none" w:sz="0" w:space="0" w:color="auto"/>
        <w:left w:val="none" w:sz="0" w:space="0" w:color="auto"/>
        <w:bottom w:val="none" w:sz="0" w:space="0" w:color="auto"/>
        <w:right w:val="none" w:sz="0" w:space="0" w:color="auto"/>
      </w:divBdr>
      <w:divsChild>
        <w:div w:id="1267928686">
          <w:marLeft w:val="2265"/>
          <w:marRight w:val="0"/>
          <w:marTop w:val="450"/>
          <w:marBottom w:val="300"/>
          <w:divBdr>
            <w:top w:val="none" w:sz="0" w:space="0" w:color="auto"/>
            <w:left w:val="none" w:sz="0" w:space="0" w:color="auto"/>
            <w:bottom w:val="none" w:sz="0" w:space="0" w:color="auto"/>
            <w:right w:val="none" w:sz="0" w:space="0" w:color="auto"/>
          </w:divBdr>
        </w:div>
      </w:divsChild>
    </w:div>
    <w:div w:id="589854997">
      <w:bodyDiv w:val="1"/>
      <w:marLeft w:val="0"/>
      <w:marRight w:val="0"/>
      <w:marTop w:val="0"/>
      <w:marBottom w:val="0"/>
      <w:divBdr>
        <w:top w:val="none" w:sz="0" w:space="0" w:color="auto"/>
        <w:left w:val="none" w:sz="0" w:space="0" w:color="auto"/>
        <w:bottom w:val="none" w:sz="0" w:space="0" w:color="auto"/>
        <w:right w:val="none" w:sz="0" w:space="0" w:color="auto"/>
      </w:divBdr>
      <w:divsChild>
        <w:div w:id="1004282293">
          <w:marLeft w:val="0"/>
          <w:marRight w:val="150"/>
          <w:marTop w:val="0"/>
          <w:marBottom w:val="0"/>
          <w:divBdr>
            <w:top w:val="none" w:sz="0" w:space="0" w:color="auto"/>
            <w:left w:val="none" w:sz="0" w:space="0" w:color="auto"/>
            <w:bottom w:val="none" w:sz="0" w:space="0" w:color="auto"/>
            <w:right w:val="none" w:sz="0" w:space="0" w:color="auto"/>
          </w:divBdr>
          <w:divsChild>
            <w:div w:id="161118111">
              <w:marLeft w:val="0"/>
              <w:marRight w:val="0"/>
              <w:marTop w:val="0"/>
              <w:marBottom w:val="0"/>
              <w:divBdr>
                <w:top w:val="none" w:sz="0" w:space="0" w:color="auto"/>
                <w:left w:val="none" w:sz="0" w:space="0" w:color="auto"/>
                <w:bottom w:val="none" w:sz="0" w:space="0" w:color="auto"/>
                <w:right w:val="none" w:sz="0" w:space="0" w:color="auto"/>
              </w:divBdr>
              <w:divsChild>
                <w:div w:id="698969252">
                  <w:marLeft w:val="0"/>
                  <w:marRight w:val="0"/>
                  <w:marTop w:val="0"/>
                  <w:marBottom w:val="0"/>
                  <w:divBdr>
                    <w:top w:val="none" w:sz="0" w:space="0" w:color="auto"/>
                    <w:left w:val="none" w:sz="0" w:space="0" w:color="auto"/>
                    <w:bottom w:val="none" w:sz="0" w:space="0" w:color="auto"/>
                    <w:right w:val="none" w:sz="0" w:space="0" w:color="auto"/>
                  </w:divBdr>
                  <w:divsChild>
                    <w:div w:id="4477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2581">
      <w:bodyDiv w:val="1"/>
      <w:marLeft w:val="0"/>
      <w:marRight w:val="0"/>
      <w:marTop w:val="0"/>
      <w:marBottom w:val="0"/>
      <w:divBdr>
        <w:top w:val="none" w:sz="0" w:space="0" w:color="auto"/>
        <w:left w:val="none" w:sz="0" w:space="0" w:color="auto"/>
        <w:bottom w:val="none" w:sz="0" w:space="0" w:color="auto"/>
        <w:right w:val="none" w:sz="0" w:space="0" w:color="auto"/>
      </w:divBdr>
      <w:divsChild>
        <w:div w:id="763496223">
          <w:marLeft w:val="0"/>
          <w:marRight w:val="150"/>
          <w:marTop w:val="0"/>
          <w:marBottom w:val="0"/>
          <w:divBdr>
            <w:top w:val="none" w:sz="0" w:space="0" w:color="auto"/>
            <w:left w:val="none" w:sz="0" w:space="0" w:color="auto"/>
            <w:bottom w:val="none" w:sz="0" w:space="0" w:color="auto"/>
            <w:right w:val="none" w:sz="0" w:space="0" w:color="auto"/>
          </w:divBdr>
          <w:divsChild>
            <w:div w:id="477766970">
              <w:marLeft w:val="0"/>
              <w:marRight w:val="0"/>
              <w:marTop w:val="0"/>
              <w:marBottom w:val="0"/>
              <w:divBdr>
                <w:top w:val="none" w:sz="0" w:space="0" w:color="auto"/>
                <w:left w:val="none" w:sz="0" w:space="0" w:color="auto"/>
                <w:bottom w:val="none" w:sz="0" w:space="0" w:color="auto"/>
                <w:right w:val="none" w:sz="0" w:space="0" w:color="auto"/>
              </w:divBdr>
              <w:divsChild>
                <w:div w:id="1678077957">
                  <w:marLeft w:val="0"/>
                  <w:marRight w:val="0"/>
                  <w:marTop w:val="0"/>
                  <w:marBottom w:val="0"/>
                  <w:divBdr>
                    <w:top w:val="none" w:sz="0" w:space="0" w:color="auto"/>
                    <w:left w:val="none" w:sz="0" w:space="0" w:color="auto"/>
                    <w:bottom w:val="none" w:sz="0" w:space="0" w:color="auto"/>
                    <w:right w:val="none" w:sz="0" w:space="0" w:color="auto"/>
                  </w:divBdr>
                  <w:divsChild>
                    <w:div w:id="1730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387608">
      <w:bodyDiv w:val="1"/>
      <w:marLeft w:val="0"/>
      <w:marRight w:val="0"/>
      <w:marTop w:val="0"/>
      <w:marBottom w:val="0"/>
      <w:divBdr>
        <w:top w:val="none" w:sz="0" w:space="0" w:color="auto"/>
        <w:left w:val="none" w:sz="0" w:space="0" w:color="auto"/>
        <w:bottom w:val="none" w:sz="0" w:space="0" w:color="auto"/>
        <w:right w:val="none" w:sz="0" w:space="0" w:color="auto"/>
      </w:divBdr>
    </w:div>
    <w:div w:id="812328474">
      <w:bodyDiv w:val="1"/>
      <w:marLeft w:val="0"/>
      <w:marRight w:val="0"/>
      <w:marTop w:val="0"/>
      <w:marBottom w:val="0"/>
      <w:divBdr>
        <w:top w:val="none" w:sz="0" w:space="0" w:color="auto"/>
        <w:left w:val="none" w:sz="0" w:space="0" w:color="auto"/>
        <w:bottom w:val="none" w:sz="0" w:space="0" w:color="auto"/>
        <w:right w:val="none" w:sz="0" w:space="0" w:color="auto"/>
      </w:divBdr>
    </w:div>
    <w:div w:id="849836228">
      <w:bodyDiv w:val="1"/>
      <w:marLeft w:val="0"/>
      <w:marRight w:val="0"/>
      <w:marTop w:val="0"/>
      <w:marBottom w:val="0"/>
      <w:divBdr>
        <w:top w:val="none" w:sz="0" w:space="0" w:color="auto"/>
        <w:left w:val="none" w:sz="0" w:space="0" w:color="auto"/>
        <w:bottom w:val="none" w:sz="0" w:space="0" w:color="auto"/>
        <w:right w:val="none" w:sz="0" w:space="0" w:color="auto"/>
      </w:divBdr>
    </w:div>
    <w:div w:id="892934904">
      <w:bodyDiv w:val="1"/>
      <w:marLeft w:val="0"/>
      <w:marRight w:val="0"/>
      <w:marTop w:val="0"/>
      <w:marBottom w:val="0"/>
      <w:divBdr>
        <w:top w:val="none" w:sz="0" w:space="0" w:color="auto"/>
        <w:left w:val="none" w:sz="0" w:space="0" w:color="auto"/>
        <w:bottom w:val="none" w:sz="0" w:space="0" w:color="auto"/>
        <w:right w:val="none" w:sz="0" w:space="0" w:color="auto"/>
      </w:divBdr>
    </w:div>
    <w:div w:id="895121572">
      <w:bodyDiv w:val="1"/>
      <w:marLeft w:val="0"/>
      <w:marRight w:val="0"/>
      <w:marTop w:val="0"/>
      <w:marBottom w:val="0"/>
      <w:divBdr>
        <w:top w:val="none" w:sz="0" w:space="0" w:color="auto"/>
        <w:left w:val="none" w:sz="0" w:space="0" w:color="auto"/>
        <w:bottom w:val="none" w:sz="0" w:space="0" w:color="auto"/>
        <w:right w:val="none" w:sz="0" w:space="0" w:color="auto"/>
      </w:divBdr>
    </w:div>
    <w:div w:id="898520974">
      <w:bodyDiv w:val="1"/>
      <w:marLeft w:val="0"/>
      <w:marRight w:val="0"/>
      <w:marTop w:val="0"/>
      <w:marBottom w:val="0"/>
      <w:divBdr>
        <w:top w:val="none" w:sz="0" w:space="0" w:color="auto"/>
        <w:left w:val="none" w:sz="0" w:space="0" w:color="auto"/>
        <w:bottom w:val="none" w:sz="0" w:space="0" w:color="auto"/>
        <w:right w:val="none" w:sz="0" w:space="0" w:color="auto"/>
      </w:divBdr>
      <w:divsChild>
        <w:div w:id="1678380424">
          <w:marLeft w:val="0"/>
          <w:marRight w:val="0"/>
          <w:marTop w:val="0"/>
          <w:marBottom w:val="0"/>
          <w:divBdr>
            <w:top w:val="none" w:sz="0" w:space="0" w:color="auto"/>
            <w:left w:val="none" w:sz="0" w:space="0" w:color="auto"/>
            <w:bottom w:val="none" w:sz="0" w:space="0" w:color="auto"/>
            <w:right w:val="none" w:sz="0" w:space="0" w:color="auto"/>
          </w:divBdr>
        </w:div>
        <w:div w:id="461457247">
          <w:marLeft w:val="0"/>
          <w:marRight w:val="0"/>
          <w:marTop w:val="0"/>
          <w:marBottom w:val="0"/>
          <w:divBdr>
            <w:top w:val="none" w:sz="0" w:space="0" w:color="auto"/>
            <w:left w:val="none" w:sz="0" w:space="0" w:color="auto"/>
            <w:bottom w:val="none" w:sz="0" w:space="0" w:color="auto"/>
            <w:right w:val="none" w:sz="0" w:space="0" w:color="auto"/>
          </w:divBdr>
        </w:div>
      </w:divsChild>
    </w:div>
    <w:div w:id="975990181">
      <w:bodyDiv w:val="1"/>
      <w:marLeft w:val="0"/>
      <w:marRight w:val="0"/>
      <w:marTop w:val="0"/>
      <w:marBottom w:val="0"/>
      <w:divBdr>
        <w:top w:val="none" w:sz="0" w:space="0" w:color="auto"/>
        <w:left w:val="none" w:sz="0" w:space="0" w:color="auto"/>
        <w:bottom w:val="none" w:sz="0" w:space="0" w:color="auto"/>
        <w:right w:val="none" w:sz="0" w:space="0" w:color="auto"/>
      </w:divBdr>
      <w:divsChild>
        <w:div w:id="1217932433">
          <w:marLeft w:val="0"/>
          <w:marRight w:val="150"/>
          <w:marTop w:val="0"/>
          <w:marBottom w:val="0"/>
          <w:divBdr>
            <w:top w:val="none" w:sz="0" w:space="0" w:color="auto"/>
            <w:left w:val="none" w:sz="0" w:space="0" w:color="auto"/>
            <w:bottom w:val="none" w:sz="0" w:space="0" w:color="auto"/>
            <w:right w:val="none" w:sz="0" w:space="0" w:color="auto"/>
          </w:divBdr>
          <w:divsChild>
            <w:div w:id="2117016189">
              <w:marLeft w:val="0"/>
              <w:marRight w:val="0"/>
              <w:marTop w:val="0"/>
              <w:marBottom w:val="0"/>
              <w:divBdr>
                <w:top w:val="none" w:sz="0" w:space="0" w:color="auto"/>
                <w:left w:val="none" w:sz="0" w:space="0" w:color="auto"/>
                <w:bottom w:val="none" w:sz="0" w:space="0" w:color="auto"/>
                <w:right w:val="none" w:sz="0" w:space="0" w:color="auto"/>
              </w:divBdr>
              <w:divsChild>
                <w:div w:id="2122727935">
                  <w:marLeft w:val="0"/>
                  <w:marRight w:val="0"/>
                  <w:marTop w:val="0"/>
                  <w:marBottom w:val="0"/>
                  <w:divBdr>
                    <w:top w:val="none" w:sz="0" w:space="0" w:color="auto"/>
                    <w:left w:val="none" w:sz="0" w:space="0" w:color="auto"/>
                    <w:bottom w:val="none" w:sz="0" w:space="0" w:color="auto"/>
                    <w:right w:val="none" w:sz="0" w:space="0" w:color="auto"/>
                  </w:divBdr>
                  <w:divsChild>
                    <w:div w:id="208155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0343">
      <w:bodyDiv w:val="1"/>
      <w:marLeft w:val="0"/>
      <w:marRight w:val="0"/>
      <w:marTop w:val="0"/>
      <w:marBottom w:val="0"/>
      <w:divBdr>
        <w:top w:val="none" w:sz="0" w:space="0" w:color="auto"/>
        <w:left w:val="none" w:sz="0" w:space="0" w:color="auto"/>
        <w:bottom w:val="none" w:sz="0" w:space="0" w:color="auto"/>
        <w:right w:val="none" w:sz="0" w:space="0" w:color="auto"/>
      </w:divBdr>
      <w:divsChild>
        <w:div w:id="1068725321">
          <w:marLeft w:val="0"/>
          <w:marRight w:val="150"/>
          <w:marTop w:val="0"/>
          <w:marBottom w:val="0"/>
          <w:divBdr>
            <w:top w:val="none" w:sz="0" w:space="0" w:color="auto"/>
            <w:left w:val="none" w:sz="0" w:space="0" w:color="auto"/>
            <w:bottom w:val="none" w:sz="0" w:space="0" w:color="auto"/>
            <w:right w:val="none" w:sz="0" w:space="0" w:color="auto"/>
          </w:divBdr>
          <w:divsChild>
            <w:div w:id="2065450871">
              <w:marLeft w:val="0"/>
              <w:marRight w:val="0"/>
              <w:marTop w:val="0"/>
              <w:marBottom w:val="0"/>
              <w:divBdr>
                <w:top w:val="none" w:sz="0" w:space="0" w:color="auto"/>
                <w:left w:val="none" w:sz="0" w:space="0" w:color="auto"/>
                <w:bottom w:val="none" w:sz="0" w:space="0" w:color="auto"/>
                <w:right w:val="none" w:sz="0" w:space="0" w:color="auto"/>
              </w:divBdr>
              <w:divsChild>
                <w:div w:id="2094934018">
                  <w:marLeft w:val="0"/>
                  <w:marRight w:val="0"/>
                  <w:marTop w:val="0"/>
                  <w:marBottom w:val="0"/>
                  <w:divBdr>
                    <w:top w:val="none" w:sz="0" w:space="0" w:color="auto"/>
                    <w:left w:val="none" w:sz="0" w:space="0" w:color="auto"/>
                    <w:bottom w:val="none" w:sz="0" w:space="0" w:color="auto"/>
                    <w:right w:val="none" w:sz="0" w:space="0" w:color="auto"/>
                  </w:divBdr>
                  <w:divsChild>
                    <w:div w:id="6009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84561">
      <w:bodyDiv w:val="1"/>
      <w:marLeft w:val="0"/>
      <w:marRight w:val="0"/>
      <w:marTop w:val="0"/>
      <w:marBottom w:val="0"/>
      <w:divBdr>
        <w:top w:val="none" w:sz="0" w:space="0" w:color="auto"/>
        <w:left w:val="none" w:sz="0" w:space="0" w:color="auto"/>
        <w:bottom w:val="none" w:sz="0" w:space="0" w:color="auto"/>
        <w:right w:val="none" w:sz="0" w:space="0" w:color="auto"/>
      </w:divBdr>
      <w:divsChild>
        <w:div w:id="36204557">
          <w:marLeft w:val="0"/>
          <w:marRight w:val="150"/>
          <w:marTop w:val="0"/>
          <w:marBottom w:val="0"/>
          <w:divBdr>
            <w:top w:val="none" w:sz="0" w:space="0" w:color="auto"/>
            <w:left w:val="none" w:sz="0" w:space="0" w:color="auto"/>
            <w:bottom w:val="none" w:sz="0" w:space="0" w:color="auto"/>
            <w:right w:val="none" w:sz="0" w:space="0" w:color="auto"/>
          </w:divBdr>
          <w:divsChild>
            <w:div w:id="785202163">
              <w:marLeft w:val="0"/>
              <w:marRight w:val="0"/>
              <w:marTop w:val="0"/>
              <w:marBottom w:val="0"/>
              <w:divBdr>
                <w:top w:val="none" w:sz="0" w:space="0" w:color="auto"/>
                <w:left w:val="none" w:sz="0" w:space="0" w:color="auto"/>
                <w:bottom w:val="none" w:sz="0" w:space="0" w:color="auto"/>
                <w:right w:val="none" w:sz="0" w:space="0" w:color="auto"/>
              </w:divBdr>
              <w:divsChild>
                <w:div w:id="1934430100">
                  <w:marLeft w:val="0"/>
                  <w:marRight w:val="0"/>
                  <w:marTop w:val="0"/>
                  <w:marBottom w:val="0"/>
                  <w:divBdr>
                    <w:top w:val="none" w:sz="0" w:space="0" w:color="auto"/>
                    <w:left w:val="none" w:sz="0" w:space="0" w:color="auto"/>
                    <w:bottom w:val="none" w:sz="0" w:space="0" w:color="auto"/>
                    <w:right w:val="none" w:sz="0" w:space="0" w:color="auto"/>
                  </w:divBdr>
                  <w:divsChild>
                    <w:div w:id="1782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10358">
      <w:bodyDiv w:val="1"/>
      <w:marLeft w:val="0"/>
      <w:marRight w:val="0"/>
      <w:marTop w:val="0"/>
      <w:marBottom w:val="0"/>
      <w:divBdr>
        <w:top w:val="none" w:sz="0" w:space="0" w:color="auto"/>
        <w:left w:val="none" w:sz="0" w:space="0" w:color="auto"/>
        <w:bottom w:val="none" w:sz="0" w:space="0" w:color="auto"/>
        <w:right w:val="none" w:sz="0" w:space="0" w:color="auto"/>
      </w:divBdr>
    </w:div>
    <w:div w:id="1122072104">
      <w:bodyDiv w:val="1"/>
      <w:marLeft w:val="0"/>
      <w:marRight w:val="0"/>
      <w:marTop w:val="0"/>
      <w:marBottom w:val="0"/>
      <w:divBdr>
        <w:top w:val="none" w:sz="0" w:space="0" w:color="auto"/>
        <w:left w:val="none" w:sz="0" w:space="0" w:color="auto"/>
        <w:bottom w:val="none" w:sz="0" w:space="0" w:color="auto"/>
        <w:right w:val="none" w:sz="0" w:space="0" w:color="auto"/>
      </w:divBdr>
    </w:div>
    <w:div w:id="1193153364">
      <w:bodyDiv w:val="1"/>
      <w:marLeft w:val="0"/>
      <w:marRight w:val="5"/>
      <w:marTop w:val="0"/>
      <w:marBottom w:val="600"/>
      <w:divBdr>
        <w:top w:val="none" w:sz="0" w:space="0" w:color="auto"/>
        <w:left w:val="none" w:sz="0" w:space="0" w:color="auto"/>
        <w:bottom w:val="none" w:sz="0" w:space="0" w:color="auto"/>
        <w:right w:val="none" w:sz="0" w:space="0" w:color="auto"/>
      </w:divBdr>
      <w:divsChild>
        <w:div w:id="1329015553">
          <w:marLeft w:val="2265"/>
          <w:marRight w:val="0"/>
          <w:marTop w:val="450"/>
          <w:marBottom w:val="300"/>
          <w:divBdr>
            <w:top w:val="none" w:sz="0" w:space="0" w:color="auto"/>
            <w:left w:val="none" w:sz="0" w:space="0" w:color="auto"/>
            <w:bottom w:val="none" w:sz="0" w:space="0" w:color="auto"/>
            <w:right w:val="none" w:sz="0" w:space="0" w:color="auto"/>
          </w:divBdr>
        </w:div>
      </w:divsChild>
    </w:div>
    <w:div w:id="1255044503">
      <w:bodyDiv w:val="1"/>
      <w:marLeft w:val="0"/>
      <w:marRight w:val="0"/>
      <w:marTop w:val="0"/>
      <w:marBottom w:val="0"/>
      <w:divBdr>
        <w:top w:val="none" w:sz="0" w:space="0" w:color="auto"/>
        <w:left w:val="none" w:sz="0" w:space="0" w:color="auto"/>
        <w:bottom w:val="none" w:sz="0" w:space="0" w:color="auto"/>
        <w:right w:val="none" w:sz="0" w:space="0" w:color="auto"/>
      </w:divBdr>
      <w:divsChild>
        <w:div w:id="2136096357">
          <w:marLeft w:val="0"/>
          <w:marRight w:val="0"/>
          <w:marTop w:val="0"/>
          <w:marBottom w:val="0"/>
          <w:divBdr>
            <w:top w:val="none" w:sz="0" w:space="0" w:color="auto"/>
            <w:left w:val="none" w:sz="0" w:space="0" w:color="auto"/>
            <w:bottom w:val="none" w:sz="0" w:space="0" w:color="auto"/>
            <w:right w:val="none" w:sz="0" w:space="0" w:color="auto"/>
          </w:divBdr>
          <w:divsChild>
            <w:div w:id="215162228">
              <w:marLeft w:val="0"/>
              <w:marRight w:val="0"/>
              <w:marTop w:val="0"/>
              <w:marBottom w:val="0"/>
              <w:divBdr>
                <w:top w:val="none" w:sz="0" w:space="0" w:color="auto"/>
                <w:left w:val="none" w:sz="0" w:space="0" w:color="auto"/>
                <w:bottom w:val="none" w:sz="0" w:space="0" w:color="auto"/>
                <w:right w:val="none" w:sz="0" w:space="0" w:color="auto"/>
              </w:divBdr>
              <w:divsChild>
                <w:div w:id="1217274572">
                  <w:marLeft w:val="0"/>
                  <w:marRight w:val="0"/>
                  <w:marTop w:val="0"/>
                  <w:marBottom w:val="0"/>
                  <w:divBdr>
                    <w:top w:val="none" w:sz="0" w:space="0" w:color="auto"/>
                    <w:left w:val="none" w:sz="0" w:space="0" w:color="auto"/>
                    <w:bottom w:val="none" w:sz="0" w:space="0" w:color="auto"/>
                    <w:right w:val="none" w:sz="0" w:space="0" w:color="auto"/>
                  </w:divBdr>
                  <w:divsChild>
                    <w:div w:id="1881093265">
                      <w:marLeft w:val="0"/>
                      <w:marRight w:val="0"/>
                      <w:marTop w:val="0"/>
                      <w:marBottom w:val="0"/>
                      <w:divBdr>
                        <w:top w:val="none" w:sz="0" w:space="0" w:color="auto"/>
                        <w:left w:val="none" w:sz="0" w:space="0" w:color="auto"/>
                        <w:bottom w:val="none" w:sz="0" w:space="0" w:color="auto"/>
                        <w:right w:val="none" w:sz="0" w:space="0" w:color="auto"/>
                      </w:divBdr>
                      <w:divsChild>
                        <w:div w:id="20084947">
                          <w:marLeft w:val="0"/>
                          <w:marRight w:val="0"/>
                          <w:marTop w:val="0"/>
                          <w:marBottom w:val="0"/>
                          <w:divBdr>
                            <w:top w:val="none" w:sz="0" w:space="0" w:color="auto"/>
                            <w:left w:val="none" w:sz="0" w:space="0" w:color="auto"/>
                            <w:bottom w:val="none" w:sz="0" w:space="0" w:color="auto"/>
                            <w:right w:val="none" w:sz="0" w:space="0" w:color="auto"/>
                          </w:divBdr>
                          <w:divsChild>
                            <w:div w:id="1835758323">
                              <w:marLeft w:val="0"/>
                              <w:marRight w:val="0"/>
                              <w:marTop w:val="0"/>
                              <w:marBottom w:val="0"/>
                              <w:divBdr>
                                <w:top w:val="none" w:sz="0" w:space="0" w:color="auto"/>
                                <w:left w:val="none" w:sz="0" w:space="0" w:color="auto"/>
                                <w:bottom w:val="none" w:sz="0" w:space="0" w:color="auto"/>
                                <w:right w:val="none" w:sz="0" w:space="0" w:color="auto"/>
                              </w:divBdr>
                              <w:divsChild>
                                <w:div w:id="1251424940">
                                  <w:marLeft w:val="0"/>
                                  <w:marRight w:val="0"/>
                                  <w:marTop w:val="0"/>
                                  <w:marBottom w:val="0"/>
                                  <w:divBdr>
                                    <w:top w:val="none" w:sz="0" w:space="0" w:color="auto"/>
                                    <w:left w:val="none" w:sz="0" w:space="0" w:color="auto"/>
                                    <w:bottom w:val="none" w:sz="0" w:space="0" w:color="auto"/>
                                    <w:right w:val="none" w:sz="0" w:space="0" w:color="auto"/>
                                  </w:divBdr>
                                  <w:divsChild>
                                    <w:div w:id="1042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406364">
      <w:bodyDiv w:val="1"/>
      <w:marLeft w:val="0"/>
      <w:marRight w:val="0"/>
      <w:marTop w:val="0"/>
      <w:marBottom w:val="0"/>
      <w:divBdr>
        <w:top w:val="none" w:sz="0" w:space="0" w:color="auto"/>
        <w:left w:val="none" w:sz="0" w:space="0" w:color="auto"/>
        <w:bottom w:val="none" w:sz="0" w:space="0" w:color="auto"/>
        <w:right w:val="none" w:sz="0" w:space="0" w:color="auto"/>
      </w:divBdr>
    </w:div>
    <w:div w:id="1295453973">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5">
          <w:marLeft w:val="0"/>
          <w:marRight w:val="150"/>
          <w:marTop w:val="0"/>
          <w:marBottom w:val="0"/>
          <w:divBdr>
            <w:top w:val="none" w:sz="0" w:space="0" w:color="auto"/>
            <w:left w:val="none" w:sz="0" w:space="0" w:color="auto"/>
            <w:bottom w:val="none" w:sz="0" w:space="0" w:color="auto"/>
            <w:right w:val="none" w:sz="0" w:space="0" w:color="auto"/>
          </w:divBdr>
          <w:divsChild>
            <w:div w:id="693388578">
              <w:marLeft w:val="0"/>
              <w:marRight w:val="0"/>
              <w:marTop w:val="0"/>
              <w:marBottom w:val="0"/>
              <w:divBdr>
                <w:top w:val="none" w:sz="0" w:space="0" w:color="auto"/>
                <w:left w:val="none" w:sz="0" w:space="0" w:color="auto"/>
                <w:bottom w:val="none" w:sz="0" w:space="0" w:color="auto"/>
                <w:right w:val="none" w:sz="0" w:space="0" w:color="auto"/>
              </w:divBdr>
              <w:divsChild>
                <w:div w:id="780034259">
                  <w:marLeft w:val="0"/>
                  <w:marRight w:val="0"/>
                  <w:marTop w:val="0"/>
                  <w:marBottom w:val="0"/>
                  <w:divBdr>
                    <w:top w:val="none" w:sz="0" w:space="0" w:color="auto"/>
                    <w:left w:val="none" w:sz="0" w:space="0" w:color="auto"/>
                    <w:bottom w:val="none" w:sz="0" w:space="0" w:color="auto"/>
                    <w:right w:val="none" w:sz="0" w:space="0" w:color="auto"/>
                  </w:divBdr>
                  <w:divsChild>
                    <w:div w:id="196446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27120">
      <w:bodyDiv w:val="1"/>
      <w:marLeft w:val="0"/>
      <w:marRight w:val="0"/>
      <w:marTop w:val="0"/>
      <w:marBottom w:val="0"/>
      <w:divBdr>
        <w:top w:val="none" w:sz="0" w:space="0" w:color="auto"/>
        <w:left w:val="none" w:sz="0" w:space="0" w:color="auto"/>
        <w:bottom w:val="none" w:sz="0" w:space="0" w:color="auto"/>
        <w:right w:val="none" w:sz="0" w:space="0" w:color="auto"/>
      </w:divBdr>
    </w:div>
    <w:div w:id="1360396606">
      <w:bodyDiv w:val="1"/>
      <w:marLeft w:val="0"/>
      <w:marRight w:val="0"/>
      <w:marTop w:val="0"/>
      <w:marBottom w:val="0"/>
      <w:divBdr>
        <w:top w:val="none" w:sz="0" w:space="0" w:color="auto"/>
        <w:left w:val="none" w:sz="0" w:space="0" w:color="auto"/>
        <w:bottom w:val="none" w:sz="0" w:space="0" w:color="auto"/>
        <w:right w:val="none" w:sz="0" w:space="0" w:color="auto"/>
      </w:divBdr>
    </w:div>
    <w:div w:id="1398044275">
      <w:bodyDiv w:val="1"/>
      <w:marLeft w:val="0"/>
      <w:marRight w:val="0"/>
      <w:marTop w:val="0"/>
      <w:marBottom w:val="0"/>
      <w:divBdr>
        <w:top w:val="none" w:sz="0" w:space="0" w:color="auto"/>
        <w:left w:val="none" w:sz="0" w:space="0" w:color="auto"/>
        <w:bottom w:val="none" w:sz="0" w:space="0" w:color="auto"/>
        <w:right w:val="none" w:sz="0" w:space="0" w:color="auto"/>
      </w:divBdr>
      <w:divsChild>
        <w:div w:id="1934166312">
          <w:marLeft w:val="0"/>
          <w:marRight w:val="0"/>
          <w:marTop w:val="0"/>
          <w:marBottom w:val="0"/>
          <w:divBdr>
            <w:top w:val="none" w:sz="0" w:space="0" w:color="auto"/>
            <w:left w:val="none" w:sz="0" w:space="0" w:color="auto"/>
            <w:bottom w:val="none" w:sz="0" w:space="0" w:color="auto"/>
            <w:right w:val="none" w:sz="0" w:space="0" w:color="auto"/>
          </w:divBdr>
        </w:div>
        <w:div w:id="1029448331">
          <w:marLeft w:val="0"/>
          <w:marRight w:val="0"/>
          <w:marTop w:val="0"/>
          <w:marBottom w:val="0"/>
          <w:divBdr>
            <w:top w:val="none" w:sz="0" w:space="0" w:color="auto"/>
            <w:left w:val="none" w:sz="0" w:space="0" w:color="auto"/>
            <w:bottom w:val="none" w:sz="0" w:space="0" w:color="auto"/>
            <w:right w:val="none" w:sz="0" w:space="0" w:color="auto"/>
          </w:divBdr>
        </w:div>
      </w:divsChild>
    </w:div>
    <w:div w:id="1424448808">
      <w:bodyDiv w:val="1"/>
      <w:marLeft w:val="0"/>
      <w:marRight w:val="0"/>
      <w:marTop w:val="0"/>
      <w:marBottom w:val="0"/>
      <w:divBdr>
        <w:top w:val="none" w:sz="0" w:space="0" w:color="auto"/>
        <w:left w:val="none" w:sz="0" w:space="0" w:color="auto"/>
        <w:bottom w:val="none" w:sz="0" w:space="0" w:color="auto"/>
        <w:right w:val="none" w:sz="0" w:space="0" w:color="auto"/>
      </w:divBdr>
      <w:divsChild>
        <w:div w:id="1056857807">
          <w:marLeft w:val="0"/>
          <w:marRight w:val="150"/>
          <w:marTop w:val="0"/>
          <w:marBottom w:val="0"/>
          <w:divBdr>
            <w:top w:val="none" w:sz="0" w:space="0" w:color="auto"/>
            <w:left w:val="none" w:sz="0" w:space="0" w:color="auto"/>
            <w:bottom w:val="none" w:sz="0" w:space="0" w:color="auto"/>
            <w:right w:val="none" w:sz="0" w:space="0" w:color="auto"/>
          </w:divBdr>
          <w:divsChild>
            <w:div w:id="1106190613">
              <w:marLeft w:val="0"/>
              <w:marRight w:val="0"/>
              <w:marTop w:val="0"/>
              <w:marBottom w:val="0"/>
              <w:divBdr>
                <w:top w:val="none" w:sz="0" w:space="0" w:color="auto"/>
                <w:left w:val="none" w:sz="0" w:space="0" w:color="auto"/>
                <w:bottom w:val="none" w:sz="0" w:space="0" w:color="auto"/>
                <w:right w:val="none" w:sz="0" w:space="0" w:color="auto"/>
              </w:divBdr>
              <w:divsChild>
                <w:div w:id="1865942265">
                  <w:marLeft w:val="0"/>
                  <w:marRight w:val="0"/>
                  <w:marTop w:val="0"/>
                  <w:marBottom w:val="0"/>
                  <w:divBdr>
                    <w:top w:val="none" w:sz="0" w:space="0" w:color="auto"/>
                    <w:left w:val="none" w:sz="0" w:space="0" w:color="auto"/>
                    <w:bottom w:val="none" w:sz="0" w:space="0" w:color="auto"/>
                    <w:right w:val="none" w:sz="0" w:space="0" w:color="auto"/>
                  </w:divBdr>
                  <w:divsChild>
                    <w:div w:id="17770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10385">
      <w:bodyDiv w:val="1"/>
      <w:marLeft w:val="0"/>
      <w:marRight w:val="0"/>
      <w:marTop w:val="0"/>
      <w:marBottom w:val="0"/>
      <w:divBdr>
        <w:top w:val="none" w:sz="0" w:space="0" w:color="auto"/>
        <w:left w:val="none" w:sz="0" w:space="0" w:color="auto"/>
        <w:bottom w:val="none" w:sz="0" w:space="0" w:color="auto"/>
        <w:right w:val="none" w:sz="0" w:space="0" w:color="auto"/>
      </w:divBdr>
    </w:div>
    <w:div w:id="1549487036">
      <w:bodyDiv w:val="1"/>
      <w:marLeft w:val="0"/>
      <w:marRight w:val="0"/>
      <w:marTop w:val="0"/>
      <w:marBottom w:val="0"/>
      <w:divBdr>
        <w:top w:val="none" w:sz="0" w:space="0" w:color="auto"/>
        <w:left w:val="none" w:sz="0" w:space="0" w:color="auto"/>
        <w:bottom w:val="none" w:sz="0" w:space="0" w:color="auto"/>
        <w:right w:val="none" w:sz="0" w:space="0" w:color="auto"/>
      </w:divBdr>
      <w:divsChild>
        <w:div w:id="825437550">
          <w:marLeft w:val="0"/>
          <w:marRight w:val="150"/>
          <w:marTop w:val="0"/>
          <w:marBottom w:val="0"/>
          <w:divBdr>
            <w:top w:val="none" w:sz="0" w:space="0" w:color="auto"/>
            <w:left w:val="none" w:sz="0" w:space="0" w:color="auto"/>
            <w:bottom w:val="none" w:sz="0" w:space="0" w:color="auto"/>
            <w:right w:val="none" w:sz="0" w:space="0" w:color="auto"/>
          </w:divBdr>
          <w:divsChild>
            <w:div w:id="1540586412">
              <w:marLeft w:val="0"/>
              <w:marRight w:val="0"/>
              <w:marTop w:val="0"/>
              <w:marBottom w:val="0"/>
              <w:divBdr>
                <w:top w:val="none" w:sz="0" w:space="0" w:color="auto"/>
                <w:left w:val="none" w:sz="0" w:space="0" w:color="auto"/>
                <w:bottom w:val="none" w:sz="0" w:space="0" w:color="auto"/>
                <w:right w:val="none" w:sz="0" w:space="0" w:color="auto"/>
              </w:divBdr>
              <w:divsChild>
                <w:div w:id="1452044155">
                  <w:marLeft w:val="0"/>
                  <w:marRight w:val="0"/>
                  <w:marTop w:val="0"/>
                  <w:marBottom w:val="0"/>
                  <w:divBdr>
                    <w:top w:val="none" w:sz="0" w:space="0" w:color="auto"/>
                    <w:left w:val="none" w:sz="0" w:space="0" w:color="auto"/>
                    <w:bottom w:val="none" w:sz="0" w:space="0" w:color="auto"/>
                    <w:right w:val="none" w:sz="0" w:space="0" w:color="auto"/>
                  </w:divBdr>
                  <w:divsChild>
                    <w:div w:id="15102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12025">
      <w:bodyDiv w:val="1"/>
      <w:marLeft w:val="0"/>
      <w:marRight w:val="0"/>
      <w:marTop w:val="0"/>
      <w:marBottom w:val="0"/>
      <w:divBdr>
        <w:top w:val="none" w:sz="0" w:space="0" w:color="auto"/>
        <w:left w:val="none" w:sz="0" w:space="0" w:color="auto"/>
        <w:bottom w:val="none" w:sz="0" w:space="0" w:color="auto"/>
        <w:right w:val="none" w:sz="0" w:space="0" w:color="auto"/>
      </w:divBdr>
      <w:divsChild>
        <w:div w:id="1832594501">
          <w:marLeft w:val="0"/>
          <w:marRight w:val="150"/>
          <w:marTop w:val="0"/>
          <w:marBottom w:val="0"/>
          <w:divBdr>
            <w:top w:val="none" w:sz="0" w:space="0" w:color="auto"/>
            <w:left w:val="none" w:sz="0" w:space="0" w:color="auto"/>
            <w:bottom w:val="none" w:sz="0" w:space="0" w:color="auto"/>
            <w:right w:val="none" w:sz="0" w:space="0" w:color="auto"/>
          </w:divBdr>
          <w:divsChild>
            <w:div w:id="1772779878">
              <w:marLeft w:val="0"/>
              <w:marRight w:val="0"/>
              <w:marTop w:val="0"/>
              <w:marBottom w:val="0"/>
              <w:divBdr>
                <w:top w:val="none" w:sz="0" w:space="0" w:color="auto"/>
                <w:left w:val="none" w:sz="0" w:space="0" w:color="auto"/>
                <w:bottom w:val="none" w:sz="0" w:space="0" w:color="auto"/>
                <w:right w:val="none" w:sz="0" w:space="0" w:color="auto"/>
              </w:divBdr>
              <w:divsChild>
                <w:div w:id="690567488">
                  <w:marLeft w:val="0"/>
                  <w:marRight w:val="0"/>
                  <w:marTop w:val="0"/>
                  <w:marBottom w:val="0"/>
                  <w:divBdr>
                    <w:top w:val="none" w:sz="0" w:space="0" w:color="auto"/>
                    <w:left w:val="none" w:sz="0" w:space="0" w:color="auto"/>
                    <w:bottom w:val="none" w:sz="0" w:space="0" w:color="auto"/>
                    <w:right w:val="none" w:sz="0" w:space="0" w:color="auto"/>
                  </w:divBdr>
                  <w:divsChild>
                    <w:div w:id="14840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2385">
      <w:bodyDiv w:val="1"/>
      <w:marLeft w:val="0"/>
      <w:marRight w:val="0"/>
      <w:marTop w:val="0"/>
      <w:marBottom w:val="0"/>
      <w:divBdr>
        <w:top w:val="none" w:sz="0" w:space="0" w:color="auto"/>
        <w:left w:val="none" w:sz="0" w:space="0" w:color="auto"/>
        <w:bottom w:val="none" w:sz="0" w:space="0" w:color="auto"/>
        <w:right w:val="none" w:sz="0" w:space="0" w:color="auto"/>
      </w:divBdr>
    </w:div>
    <w:div w:id="1624118588">
      <w:bodyDiv w:val="1"/>
      <w:marLeft w:val="0"/>
      <w:marRight w:val="0"/>
      <w:marTop w:val="0"/>
      <w:marBottom w:val="0"/>
      <w:divBdr>
        <w:top w:val="none" w:sz="0" w:space="0" w:color="auto"/>
        <w:left w:val="none" w:sz="0" w:space="0" w:color="auto"/>
        <w:bottom w:val="none" w:sz="0" w:space="0" w:color="auto"/>
        <w:right w:val="none" w:sz="0" w:space="0" w:color="auto"/>
      </w:divBdr>
    </w:div>
    <w:div w:id="1669094283">
      <w:bodyDiv w:val="1"/>
      <w:marLeft w:val="0"/>
      <w:marRight w:val="0"/>
      <w:marTop w:val="0"/>
      <w:marBottom w:val="0"/>
      <w:divBdr>
        <w:top w:val="none" w:sz="0" w:space="0" w:color="auto"/>
        <w:left w:val="none" w:sz="0" w:space="0" w:color="auto"/>
        <w:bottom w:val="none" w:sz="0" w:space="0" w:color="auto"/>
        <w:right w:val="none" w:sz="0" w:space="0" w:color="auto"/>
      </w:divBdr>
    </w:div>
    <w:div w:id="1675768101">
      <w:bodyDiv w:val="1"/>
      <w:marLeft w:val="0"/>
      <w:marRight w:val="0"/>
      <w:marTop w:val="0"/>
      <w:marBottom w:val="0"/>
      <w:divBdr>
        <w:top w:val="none" w:sz="0" w:space="0" w:color="auto"/>
        <w:left w:val="none" w:sz="0" w:space="0" w:color="auto"/>
        <w:bottom w:val="none" w:sz="0" w:space="0" w:color="auto"/>
        <w:right w:val="none" w:sz="0" w:space="0" w:color="auto"/>
      </w:divBdr>
      <w:divsChild>
        <w:div w:id="1918709856">
          <w:marLeft w:val="0"/>
          <w:marRight w:val="150"/>
          <w:marTop w:val="0"/>
          <w:marBottom w:val="0"/>
          <w:divBdr>
            <w:top w:val="none" w:sz="0" w:space="0" w:color="auto"/>
            <w:left w:val="none" w:sz="0" w:space="0" w:color="auto"/>
            <w:bottom w:val="none" w:sz="0" w:space="0" w:color="auto"/>
            <w:right w:val="none" w:sz="0" w:space="0" w:color="auto"/>
          </w:divBdr>
          <w:divsChild>
            <w:div w:id="2074115063">
              <w:marLeft w:val="0"/>
              <w:marRight w:val="0"/>
              <w:marTop w:val="0"/>
              <w:marBottom w:val="0"/>
              <w:divBdr>
                <w:top w:val="none" w:sz="0" w:space="0" w:color="auto"/>
                <w:left w:val="none" w:sz="0" w:space="0" w:color="auto"/>
                <w:bottom w:val="none" w:sz="0" w:space="0" w:color="auto"/>
                <w:right w:val="none" w:sz="0" w:space="0" w:color="auto"/>
              </w:divBdr>
              <w:divsChild>
                <w:div w:id="98259720">
                  <w:marLeft w:val="0"/>
                  <w:marRight w:val="0"/>
                  <w:marTop w:val="0"/>
                  <w:marBottom w:val="0"/>
                  <w:divBdr>
                    <w:top w:val="none" w:sz="0" w:space="0" w:color="auto"/>
                    <w:left w:val="none" w:sz="0" w:space="0" w:color="auto"/>
                    <w:bottom w:val="none" w:sz="0" w:space="0" w:color="auto"/>
                    <w:right w:val="none" w:sz="0" w:space="0" w:color="auto"/>
                  </w:divBdr>
                  <w:divsChild>
                    <w:div w:id="8756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051993">
      <w:bodyDiv w:val="1"/>
      <w:marLeft w:val="0"/>
      <w:marRight w:val="0"/>
      <w:marTop w:val="0"/>
      <w:marBottom w:val="0"/>
      <w:divBdr>
        <w:top w:val="none" w:sz="0" w:space="0" w:color="auto"/>
        <w:left w:val="none" w:sz="0" w:space="0" w:color="auto"/>
        <w:bottom w:val="none" w:sz="0" w:space="0" w:color="auto"/>
        <w:right w:val="none" w:sz="0" w:space="0" w:color="auto"/>
      </w:divBdr>
    </w:div>
    <w:div w:id="1743066665">
      <w:bodyDiv w:val="1"/>
      <w:marLeft w:val="0"/>
      <w:marRight w:val="0"/>
      <w:marTop w:val="0"/>
      <w:marBottom w:val="0"/>
      <w:divBdr>
        <w:top w:val="none" w:sz="0" w:space="0" w:color="auto"/>
        <w:left w:val="none" w:sz="0" w:space="0" w:color="auto"/>
        <w:bottom w:val="none" w:sz="0" w:space="0" w:color="auto"/>
        <w:right w:val="none" w:sz="0" w:space="0" w:color="auto"/>
      </w:divBdr>
      <w:divsChild>
        <w:div w:id="1331979544">
          <w:marLeft w:val="0"/>
          <w:marRight w:val="0"/>
          <w:marTop w:val="0"/>
          <w:marBottom w:val="0"/>
          <w:divBdr>
            <w:top w:val="none" w:sz="0" w:space="0" w:color="auto"/>
            <w:left w:val="none" w:sz="0" w:space="0" w:color="auto"/>
            <w:bottom w:val="none" w:sz="0" w:space="0" w:color="auto"/>
            <w:right w:val="none" w:sz="0" w:space="0" w:color="auto"/>
          </w:divBdr>
          <w:divsChild>
            <w:div w:id="1486360510">
              <w:marLeft w:val="0"/>
              <w:marRight w:val="0"/>
              <w:marTop w:val="0"/>
              <w:marBottom w:val="0"/>
              <w:divBdr>
                <w:top w:val="none" w:sz="0" w:space="0" w:color="auto"/>
                <w:left w:val="none" w:sz="0" w:space="0" w:color="auto"/>
                <w:bottom w:val="none" w:sz="0" w:space="0" w:color="auto"/>
                <w:right w:val="none" w:sz="0" w:space="0" w:color="auto"/>
              </w:divBdr>
              <w:divsChild>
                <w:div w:id="1071347519">
                  <w:marLeft w:val="0"/>
                  <w:marRight w:val="0"/>
                  <w:marTop w:val="0"/>
                  <w:marBottom w:val="0"/>
                  <w:divBdr>
                    <w:top w:val="none" w:sz="0" w:space="0" w:color="auto"/>
                    <w:left w:val="none" w:sz="0" w:space="0" w:color="auto"/>
                    <w:bottom w:val="none" w:sz="0" w:space="0" w:color="auto"/>
                    <w:right w:val="none" w:sz="0" w:space="0" w:color="auto"/>
                  </w:divBdr>
                  <w:divsChild>
                    <w:div w:id="1654488765">
                      <w:marLeft w:val="0"/>
                      <w:marRight w:val="0"/>
                      <w:marTop w:val="0"/>
                      <w:marBottom w:val="0"/>
                      <w:divBdr>
                        <w:top w:val="none" w:sz="0" w:space="0" w:color="auto"/>
                        <w:left w:val="none" w:sz="0" w:space="0" w:color="auto"/>
                        <w:bottom w:val="none" w:sz="0" w:space="0" w:color="auto"/>
                        <w:right w:val="none" w:sz="0" w:space="0" w:color="auto"/>
                      </w:divBdr>
                      <w:divsChild>
                        <w:div w:id="1349332735">
                          <w:marLeft w:val="0"/>
                          <w:marRight w:val="0"/>
                          <w:marTop w:val="0"/>
                          <w:marBottom w:val="0"/>
                          <w:divBdr>
                            <w:top w:val="none" w:sz="0" w:space="0" w:color="auto"/>
                            <w:left w:val="none" w:sz="0" w:space="0" w:color="auto"/>
                            <w:bottom w:val="none" w:sz="0" w:space="0" w:color="auto"/>
                            <w:right w:val="none" w:sz="0" w:space="0" w:color="auto"/>
                          </w:divBdr>
                          <w:divsChild>
                            <w:div w:id="714963118">
                              <w:marLeft w:val="105"/>
                              <w:marRight w:val="105"/>
                              <w:marTop w:val="105"/>
                              <w:marBottom w:val="105"/>
                              <w:divBdr>
                                <w:top w:val="none" w:sz="0" w:space="0" w:color="auto"/>
                                <w:left w:val="none" w:sz="0" w:space="0" w:color="auto"/>
                                <w:bottom w:val="none" w:sz="0" w:space="0" w:color="auto"/>
                                <w:right w:val="none" w:sz="0" w:space="0" w:color="auto"/>
                              </w:divBdr>
                              <w:divsChild>
                                <w:div w:id="1570722920">
                                  <w:marLeft w:val="0"/>
                                  <w:marRight w:val="0"/>
                                  <w:marTop w:val="0"/>
                                  <w:marBottom w:val="0"/>
                                  <w:divBdr>
                                    <w:top w:val="none" w:sz="0" w:space="0" w:color="auto"/>
                                    <w:left w:val="none" w:sz="0" w:space="0" w:color="auto"/>
                                    <w:bottom w:val="none" w:sz="0" w:space="0" w:color="auto"/>
                                    <w:right w:val="none" w:sz="0" w:space="0" w:color="auto"/>
                                  </w:divBdr>
                                  <w:divsChild>
                                    <w:div w:id="985471223">
                                      <w:marLeft w:val="0"/>
                                      <w:marRight w:val="0"/>
                                      <w:marTop w:val="0"/>
                                      <w:marBottom w:val="0"/>
                                      <w:divBdr>
                                        <w:top w:val="none" w:sz="0" w:space="0" w:color="auto"/>
                                        <w:left w:val="none" w:sz="0" w:space="0" w:color="auto"/>
                                        <w:bottom w:val="none" w:sz="0" w:space="0" w:color="auto"/>
                                        <w:right w:val="none" w:sz="0" w:space="0" w:color="auto"/>
                                      </w:divBdr>
                                      <w:divsChild>
                                        <w:div w:id="1392733410">
                                          <w:marLeft w:val="0"/>
                                          <w:marRight w:val="0"/>
                                          <w:marTop w:val="0"/>
                                          <w:marBottom w:val="0"/>
                                          <w:divBdr>
                                            <w:top w:val="none" w:sz="0" w:space="0" w:color="auto"/>
                                            <w:left w:val="none" w:sz="0" w:space="0" w:color="auto"/>
                                            <w:bottom w:val="none" w:sz="0" w:space="0" w:color="auto"/>
                                            <w:right w:val="none" w:sz="0" w:space="0" w:color="auto"/>
                                          </w:divBdr>
                                          <w:divsChild>
                                            <w:div w:id="5096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9803916">
      <w:bodyDiv w:val="1"/>
      <w:marLeft w:val="0"/>
      <w:marRight w:val="0"/>
      <w:marTop w:val="0"/>
      <w:marBottom w:val="0"/>
      <w:divBdr>
        <w:top w:val="none" w:sz="0" w:space="0" w:color="auto"/>
        <w:left w:val="none" w:sz="0" w:space="0" w:color="auto"/>
        <w:bottom w:val="none" w:sz="0" w:space="0" w:color="auto"/>
        <w:right w:val="none" w:sz="0" w:space="0" w:color="auto"/>
      </w:divBdr>
    </w:div>
    <w:div w:id="1854613402">
      <w:bodyDiv w:val="1"/>
      <w:marLeft w:val="0"/>
      <w:marRight w:val="0"/>
      <w:marTop w:val="0"/>
      <w:marBottom w:val="0"/>
      <w:divBdr>
        <w:top w:val="none" w:sz="0" w:space="0" w:color="auto"/>
        <w:left w:val="none" w:sz="0" w:space="0" w:color="auto"/>
        <w:bottom w:val="none" w:sz="0" w:space="0" w:color="auto"/>
        <w:right w:val="none" w:sz="0" w:space="0" w:color="auto"/>
      </w:divBdr>
      <w:divsChild>
        <w:div w:id="1847942620">
          <w:marLeft w:val="0"/>
          <w:marRight w:val="150"/>
          <w:marTop w:val="0"/>
          <w:marBottom w:val="0"/>
          <w:divBdr>
            <w:top w:val="none" w:sz="0" w:space="0" w:color="auto"/>
            <w:left w:val="none" w:sz="0" w:space="0" w:color="auto"/>
            <w:bottom w:val="none" w:sz="0" w:space="0" w:color="auto"/>
            <w:right w:val="none" w:sz="0" w:space="0" w:color="auto"/>
          </w:divBdr>
          <w:divsChild>
            <w:div w:id="1341859539">
              <w:marLeft w:val="0"/>
              <w:marRight w:val="0"/>
              <w:marTop w:val="0"/>
              <w:marBottom w:val="0"/>
              <w:divBdr>
                <w:top w:val="none" w:sz="0" w:space="0" w:color="auto"/>
                <w:left w:val="none" w:sz="0" w:space="0" w:color="auto"/>
                <w:bottom w:val="none" w:sz="0" w:space="0" w:color="auto"/>
                <w:right w:val="none" w:sz="0" w:space="0" w:color="auto"/>
              </w:divBdr>
              <w:divsChild>
                <w:div w:id="1023897443">
                  <w:marLeft w:val="0"/>
                  <w:marRight w:val="0"/>
                  <w:marTop w:val="0"/>
                  <w:marBottom w:val="0"/>
                  <w:divBdr>
                    <w:top w:val="none" w:sz="0" w:space="0" w:color="auto"/>
                    <w:left w:val="none" w:sz="0" w:space="0" w:color="auto"/>
                    <w:bottom w:val="none" w:sz="0" w:space="0" w:color="auto"/>
                    <w:right w:val="none" w:sz="0" w:space="0" w:color="auto"/>
                  </w:divBdr>
                  <w:divsChild>
                    <w:div w:id="15211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5596">
      <w:bodyDiv w:val="1"/>
      <w:marLeft w:val="0"/>
      <w:marRight w:val="0"/>
      <w:marTop w:val="0"/>
      <w:marBottom w:val="0"/>
      <w:divBdr>
        <w:top w:val="none" w:sz="0" w:space="0" w:color="auto"/>
        <w:left w:val="none" w:sz="0" w:space="0" w:color="auto"/>
        <w:bottom w:val="none" w:sz="0" w:space="0" w:color="auto"/>
        <w:right w:val="none" w:sz="0" w:space="0" w:color="auto"/>
      </w:divBdr>
      <w:divsChild>
        <w:div w:id="390352040">
          <w:marLeft w:val="0"/>
          <w:marRight w:val="150"/>
          <w:marTop w:val="0"/>
          <w:marBottom w:val="0"/>
          <w:divBdr>
            <w:top w:val="none" w:sz="0" w:space="0" w:color="auto"/>
            <w:left w:val="none" w:sz="0" w:space="0" w:color="auto"/>
            <w:bottom w:val="none" w:sz="0" w:space="0" w:color="auto"/>
            <w:right w:val="none" w:sz="0" w:space="0" w:color="auto"/>
          </w:divBdr>
          <w:divsChild>
            <w:div w:id="1506552068">
              <w:marLeft w:val="0"/>
              <w:marRight w:val="0"/>
              <w:marTop w:val="0"/>
              <w:marBottom w:val="0"/>
              <w:divBdr>
                <w:top w:val="none" w:sz="0" w:space="0" w:color="auto"/>
                <w:left w:val="none" w:sz="0" w:space="0" w:color="auto"/>
                <w:bottom w:val="none" w:sz="0" w:space="0" w:color="auto"/>
                <w:right w:val="none" w:sz="0" w:space="0" w:color="auto"/>
              </w:divBdr>
              <w:divsChild>
                <w:div w:id="1496458789">
                  <w:marLeft w:val="0"/>
                  <w:marRight w:val="0"/>
                  <w:marTop w:val="0"/>
                  <w:marBottom w:val="0"/>
                  <w:divBdr>
                    <w:top w:val="none" w:sz="0" w:space="0" w:color="auto"/>
                    <w:left w:val="none" w:sz="0" w:space="0" w:color="auto"/>
                    <w:bottom w:val="none" w:sz="0" w:space="0" w:color="auto"/>
                    <w:right w:val="none" w:sz="0" w:space="0" w:color="auto"/>
                  </w:divBdr>
                  <w:divsChild>
                    <w:div w:id="13300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553327">
      <w:bodyDiv w:val="1"/>
      <w:marLeft w:val="0"/>
      <w:marRight w:val="5"/>
      <w:marTop w:val="0"/>
      <w:marBottom w:val="600"/>
      <w:divBdr>
        <w:top w:val="none" w:sz="0" w:space="0" w:color="auto"/>
        <w:left w:val="none" w:sz="0" w:space="0" w:color="auto"/>
        <w:bottom w:val="none" w:sz="0" w:space="0" w:color="auto"/>
        <w:right w:val="none" w:sz="0" w:space="0" w:color="auto"/>
      </w:divBdr>
      <w:divsChild>
        <w:div w:id="335615597">
          <w:marLeft w:val="2265"/>
          <w:marRight w:val="0"/>
          <w:marTop w:val="450"/>
          <w:marBottom w:val="300"/>
          <w:divBdr>
            <w:top w:val="none" w:sz="0" w:space="0" w:color="auto"/>
            <w:left w:val="none" w:sz="0" w:space="0" w:color="auto"/>
            <w:bottom w:val="none" w:sz="0" w:space="0" w:color="auto"/>
            <w:right w:val="none" w:sz="0" w:space="0" w:color="auto"/>
          </w:divBdr>
        </w:div>
      </w:divsChild>
    </w:div>
    <w:div w:id="1935429598">
      <w:bodyDiv w:val="1"/>
      <w:marLeft w:val="0"/>
      <w:marRight w:val="0"/>
      <w:marTop w:val="0"/>
      <w:marBottom w:val="0"/>
      <w:divBdr>
        <w:top w:val="none" w:sz="0" w:space="0" w:color="auto"/>
        <w:left w:val="none" w:sz="0" w:space="0" w:color="auto"/>
        <w:bottom w:val="none" w:sz="0" w:space="0" w:color="auto"/>
        <w:right w:val="none" w:sz="0" w:space="0" w:color="auto"/>
      </w:divBdr>
      <w:divsChild>
        <w:div w:id="1238593126">
          <w:marLeft w:val="0"/>
          <w:marRight w:val="150"/>
          <w:marTop w:val="0"/>
          <w:marBottom w:val="0"/>
          <w:divBdr>
            <w:top w:val="none" w:sz="0" w:space="0" w:color="auto"/>
            <w:left w:val="none" w:sz="0" w:space="0" w:color="auto"/>
            <w:bottom w:val="none" w:sz="0" w:space="0" w:color="auto"/>
            <w:right w:val="none" w:sz="0" w:space="0" w:color="auto"/>
          </w:divBdr>
          <w:divsChild>
            <w:div w:id="353192300">
              <w:marLeft w:val="0"/>
              <w:marRight w:val="0"/>
              <w:marTop w:val="0"/>
              <w:marBottom w:val="0"/>
              <w:divBdr>
                <w:top w:val="none" w:sz="0" w:space="0" w:color="auto"/>
                <w:left w:val="none" w:sz="0" w:space="0" w:color="auto"/>
                <w:bottom w:val="none" w:sz="0" w:space="0" w:color="auto"/>
                <w:right w:val="none" w:sz="0" w:space="0" w:color="auto"/>
              </w:divBdr>
              <w:divsChild>
                <w:div w:id="347997168">
                  <w:marLeft w:val="0"/>
                  <w:marRight w:val="0"/>
                  <w:marTop w:val="0"/>
                  <w:marBottom w:val="0"/>
                  <w:divBdr>
                    <w:top w:val="none" w:sz="0" w:space="0" w:color="auto"/>
                    <w:left w:val="none" w:sz="0" w:space="0" w:color="auto"/>
                    <w:bottom w:val="none" w:sz="0" w:space="0" w:color="auto"/>
                    <w:right w:val="none" w:sz="0" w:space="0" w:color="auto"/>
                  </w:divBdr>
                  <w:divsChild>
                    <w:div w:id="9759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8248">
      <w:bodyDiv w:val="1"/>
      <w:marLeft w:val="0"/>
      <w:marRight w:val="0"/>
      <w:marTop w:val="0"/>
      <w:marBottom w:val="0"/>
      <w:divBdr>
        <w:top w:val="none" w:sz="0" w:space="0" w:color="auto"/>
        <w:left w:val="none" w:sz="0" w:space="0" w:color="auto"/>
        <w:bottom w:val="none" w:sz="0" w:space="0" w:color="auto"/>
        <w:right w:val="none" w:sz="0" w:space="0" w:color="auto"/>
      </w:divBdr>
      <w:divsChild>
        <w:div w:id="1844738086">
          <w:marLeft w:val="0"/>
          <w:marRight w:val="150"/>
          <w:marTop w:val="0"/>
          <w:marBottom w:val="0"/>
          <w:divBdr>
            <w:top w:val="none" w:sz="0" w:space="0" w:color="auto"/>
            <w:left w:val="none" w:sz="0" w:space="0" w:color="auto"/>
            <w:bottom w:val="none" w:sz="0" w:space="0" w:color="auto"/>
            <w:right w:val="none" w:sz="0" w:space="0" w:color="auto"/>
          </w:divBdr>
          <w:divsChild>
            <w:div w:id="129565842">
              <w:marLeft w:val="0"/>
              <w:marRight w:val="0"/>
              <w:marTop w:val="0"/>
              <w:marBottom w:val="0"/>
              <w:divBdr>
                <w:top w:val="none" w:sz="0" w:space="0" w:color="auto"/>
                <w:left w:val="none" w:sz="0" w:space="0" w:color="auto"/>
                <w:bottom w:val="none" w:sz="0" w:space="0" w:color="auto"/>
                <w:right w:val="none" w:sz="0" w:space="0" w:color="auto"/>
              </w:divBdr>
              <w:divsChild>
                <w:div w:id="1638335231">
                  <w:marLeft w:val="0"/>
                  <w:marRight w:val="0"/>
                  <w:marTop w:val="0"/>
                  <w:marBottom w:val="0"/>
                  <w:divBdr>
                    <w:top w:val="none" w:sz="0" w:space="0" w:color="auto"/>
                    <w:left w:val="none" w:sz="0" w:space="0" w:color="auto"/>
                    <w:bottom w:val="none" w:sz="0" w:space="0" w:color="auto"/>
                    <w:right w:val="none" w:sz="0" w:space="0" w:color="auto"/>
                  </w:divBdr>
                  <w:divsChild>
                    <w:div w:id="2999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5989">
      <w:bodyDiv w:val="1"/>
      <w:marLeft w:val="0"/>
      <w:marRight w:val="0"/>
      <w:marTop w:val="0"/>
      <w:marBottom w:val="0"/>
      <w:divBdr>
        <w:top w:val="none" w:sz="0" w:space="0" w:color="auto"/>
        <w:left w:val="none" w:sz="0" w:space="0" w:color="auto"/>
        <w:bottom w:val="none" w:sz="0" w:space="0" w:color="auto"/>
        <w:right w:val="none" w:sz="0" w:space="0" w:color="auto"/>
      </w:divBdr>
      <w:divsChild>
        <w:div w:id="1667202016">
          <w:marLeft w:val="0"/>
          <w:marRight w:val="150"/>
          <w:marTop w:val="0"/>
          <w:marBottom w:val="0"/>
          <w:divBdr>
            <w:top w:val="none" w:sz="0" w:space="0" w:color="auto"/>
            <w:left w:val="none" w:sz="0" w:space="0" w:color="auto"/>
            <w:bottom w:val="none" w:sz="0" w:space="0" w:color="auto"/>
            <w:right w:val="none" w:sz="0" w:space="0" w:color="auto"/>
          </w:divBdr>
          <w:divsChild>
            <w:div w:id="990865491">
              <w:marLeft w:val="0"/>
              <w:marRight w:val="0"/>
              <w:marTop w:val="0"/>
              <w:marBottom w:val="0"/>
              <w:divBdr>
                <w:top w:val="none" w:sz="0" w:space="0" w:color="auto"/>
                <w:left w:val="none" w:sz="0" w:space="0" w:color="auto"/>
                <w:bottom w:val="none" w:sz="0" w:space="0" w:color="auto"/>
                <w:right w:val="none" w:sz="0" w:space="0" w:color="auto"/>
              </w:divBdr>
              <w:divsChild>
                <w:div w:id="1796292287">
                  <w:marLeft w:val="0"/>
                  <w:marRight w:val="0"/>
                  <w:marTop w:val="0"/>
                  <w:marBottom w:val="0"/>
                  <w:divBdr>
                    <w:top w:val="none" w:sz="0" w:space="0" w:color="auto"/>
                    <w:left w:val="none" w:sz="0" w:space="0" w:color="auto"/>
                    <w:bottom w:val="none" w:sz="0" w:space="0" w:color="auto"/>
                    <w:right w:val="none" w:sz="0" w:space="0" w:color="auto"/>
                  </w:divBdr>
                  <w:divsChild>
                    <w:div w:id="10876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chart" Target="charts/chart11.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chart" Target="charts/chart6.xml"/><Relationship Id="rId42" Type="http://schemas.openxmlformats.org/officeDocument/2006/relationships/footer" Target="footer10.xml"/><Relationship Id="rId47" Type="http://schemas.openxmlformats.org/officeDocument/2006/relationships/hyperlink" Target="https://doi.org/10.3109/10428194.2012.734613" TargetMode="External"/><Relationship Id="rId50" Type="http://schemas.openxmlformats.org/officeDocument/2006/relationships/hyperlink" Target="https://doi.org/10.1093/ije/dyh215"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footer" Target="footer7.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https://doi.org/10.1002/ijc.29631" TargetMode="External"/><Relationship Id="rId2" Type="http://schemas.openxmlformats.org/officeDocument/2006/relationships/customXml" Target="../customXml/item2.xml"/><Relationship Id="rId16" Type="http://schemas.openxmlformats.org/officeDocument/2006/relationships/hyperlink" Target="file:///C:\Users\jimfo\Desktop\Laurens%20Documents\WFH\Wilmington\Wilmington%20Draft%20Report_revised030420_CW070120_%20Working_updated-pm_forLauren_LGF%20Revised.docx" TargetMode="External"/><Relationship Id="rId20" Type="http://schemas.openxmlformats.org/officeDocument/2006/relationships/image" Target="media/image2.jpeg"/><Relationship Id="rId29" Type="http://schemas.openxmlformats.org/officeDocument/2006/relationships/image" Target="media/image6.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yperlink" Target="https://doi.org/10.1002/ijc.31073"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footer" Target="footer8.xml"/><Relationship Id="rId36" Type="http://schemas.openxmlformats.org/officeDocument/2006/relationships/chart" Target="charts/chart8.xml"/><Relationship Id="rId49" Type="http://schemas.openxmlformats.org/officeDocument/2006/relationships/hyperlink" Target="https://doi.org/10.1038/s41572-018-0003-x"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chart" Target="charts/chart3.xml"/><Relationship Id="rId44" Type="http://schemas.openxmlformats.org/officeDocument/2006/relationships/hyperlink" Target="https://www.cancer.org/research/cancer-facts-statistics/all-cancer-facts-figures/cancer-facts-figures-2014.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chart" Target="charts/chart7.xml"/><Relationship Id="rId43" Type="http://schemas.openxmlformats.org/officeDocument/2006/relationships/footer" Target="footer11.xml"/><Relationship Id="rId48" Type="http://schemas.openxmlformats.org/officeDocument/2006/relationships/hyperlink" Target="https://www.waterboards.ca.gov/drinking_water/certlic/drinkingwater/documents/notificationlevels/notification_levels_response_levels_overview.pdf" TargetMode="External"/><Relationship Id="rId8" Type="http://schemas.openxmlformats.org/officeDocument/2006/relationships/webSettings" Target="webSettings.xml"/><Relationship Id="rId51" Type="http://schemas.openxmlformats.org/officeDocument/2006/relationships/footer" Target="footer12.xml"/></Relationships>
</file>

<file path=word/charts/_rels/chart1.xml.rels><?xml version="1.0" encoding="UTF-8" standalone="yes"?>
<Relationships xmlns="http://schemas.openxmlformats.org/package/2006/relationships"><Relationship Id="rId1" Type="http://schemas.openxmlformats.org/officeDocument/2006/relationships/oleObject" Target="file:///\\DPH-FP-CO-121\dph3\Center%20for%20Environmental%20Health\Bureau%20for%20Environmental%20Health\Programs\CAP\Projects\Current\Active\Wilmington\Childhood%20Cancer\Cancer%20Analysis\1987-2000%20Diagnoses\Wilmington%20Dx_1987-2000.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H-FP-CO-121\dph3\Center%20for%20Environmental%20Health\Bureau%20for%20Environmental%20Health\Programs\Epidemiology\Wilmington\Childhood%20Cancer%20Study\Alicia's%20Shared%20Files\Graphs%20for%20review_all%20model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CO-121\dph3\Center%20for%20Environmental%20Health\Bureau%20for%20Environmental%20Health\Programs\Epidemiology\Wilmington\Childhood%20Cancer%20Study\Alicia's%20Shared%20Files\analysis\Model%20Results_uncertainty%20moms%20and%20kids%200725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CO-121\dph3\Center%20for%20Environmental%20Health\Bureau%20for%20Environmental%20Health\Programs\Epidemiology\Wilmington\Childhood%20Cancer%20Study\Alicia's%20Shared%20Files\analysis\Model%20Results_uncertainty%20ki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CO-122\users\afraser\Epi%20requests\Wilmington\Report\Final%20Tables%20&amp;%20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FP-CO-121\dph3\Center%20for%20Environmental%20Health\Bureau%20for%20Environmental%20Health\Programs\Epidemiology\Wilmington\Childhood%20Cancer%20Study\Alicia's%20Shared%20Files\analysis\median-basemodel_ndma%20histogram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CO-121\dph3\Center%20for%20Environmental%20Health\Bureau%20for%20Environmental%20Health\Programs\Epidemiology\Wilmington\Childhood%20Cancer%20Study\Alicia's%20Shared%20Files\analysis\median-basemodel_ndma%20histograms.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CO-121\dph3\Center%20for%20Environmental%20Health\Bureau%20for%20Environmental%20Health\Programs\Epidemiology\Wilmington\Childhood%20Cancer%20Study\Alicia's%20Shared%20Files\Graphs%20for%20review_all%20model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CO-121\dph3\Center%20for%20Environmental%20Health\Bureau%20for%20Environmental%20Health\Programs\Epidemiology\Wilmington\Childhood%20Cancer%20Study\Data%20analysis\SAS%20Files\Output%202018\median_tc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CO-121\dph3\Center%20for%20Environmental%20Health\Bureau%20for%20Environmental%20Health\Programs\Epidemiology\Wilmington\Childhood%20Cancer%20Study\Data%20analysis\SAS%20Files\Output%202018\median_tce.xls"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PH-FP-CO-121\dph3\Center%20for%20Environmental%20Health\Bureau%20for%20Environmental%20Health\Programs\Epidemiology\Wilmington\Childhood%20Cancer%20Study\Data%20analysis\SAS%20Files\Output%202018\median_tce.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14087454754425E-2"/>
          <c:y val="4.4359257724363402E-2"/>
          <c:w val="0.88442077093304516"/>
          <c:h val="0.82381007198661571"/>
        </c:manualLayout>
      </c:layout>
      <c:barChart>
        <c:barDir val="col"/>
        <c:grouping val="clustered"/>
        <c:varyColors val="0"/>
        <c:ser>
          <c:idx val="0"/>
          <c:order val="0"/>
          <c:tx>
            <c:strRef>
              <c:f>histogram_aggregate!$G$1</c:f>
              <c:strCache>
                <c:ptCount val="1"/>
                <c:pt idx="0">
                  <c:v>Count of Dx</c:v>
                </c:pt>
              </c:strCache>
            </c:strRef>
          </c:tx>
          <c:invertIfNegative val="0"/>
          <c:cat>
            <c:numRef>
              <c:f>histogram_aggregate!$F$2:$F$15</c:f>
              <c:numCache>
                <c:formatCode>General</c:formatCode>
                <c:ptCount val="14"/>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numCache>
            </c:numRef>
          </c:cat>
          <c:val>
            <c:numRef>
              <c:f>histogram_aggregate!$G$2:$G$15</c:f>
              <c:numCache>
                <c:formatCode>General</c:formatCode>
                <c:ptCount val="14"/>
                <c:pt idx="0">
                  <c:v>0</c:v>
                </c:pt>
                <c:pt idx="1">
                  <c:v>0</c:v>
                </c:pt>
                <c:pt idx="2">
                  <c:v>0</c:v>
                </c:pt>
                <c:pt idx="3">
                  <c:v>3</c:v>
                </c:pt>
                <c:pt idx="4">
                  <c:v>2</c:v>
                </c:pt>
                <c:pt idx="5">
                  <c:v>3</c:v>
                </c:pt>
                <c:pt idx="6">
                  <c:v>0</c:v>
                </c:pt>
                <c:pt idx="7">
                  <c:v>0</c:v>
                </c:pt>
                <c:pt idx="8">
                  <c:v>2</c:v>
                </c:pt>
                <c:pt idx="9">
                  <c:v>1</c:v>
                </c:pt>
                <c:pt idx="10">
                  <c:v>1</c:v>
                </c:pt>
                <c:pt idx="11">
                  <c:v>0</c:v>
                </c:pt>
                <c:pt idx="12">
                  <c:v>5</c:v>
                </c:pt>
                <c:pt idx="13">
                  <c:v>6</c:v>
                </c:pt>
              </c:numCache>
            </c:numRef>
          </c:val>
          <c:extLst>
            <c:ext xmlns:c16="http://schemas.microsoft.com/office/drawing/2014/chart" uri="{C3380CC4-5D6E-409C-BE32-E72D297353CC}">
              <c16:uniqueId val="{00000000-FEBE-40F1-98B7-7F36022CC1D6}"/>
            </c:ext>
          </c:extLst>
        </c:ser>
        <c:dLbls>
          <c:showLegendKey val="0"/>
          <c:showVal val="0"/>
          <c:showCatName val="0"/>
          <c:showSerName val="0"/>
          <c:showPercent val="0"/>
          <c:showBubbleSize val="0"/>
        </c:dLbls>
        <c:gapWidth val="150"/>
        <c:axId val="96551296"/>
        <c:axId val="96552832"/>
      </c:barChart>
      <c:catAx>
        <c:axId val="96551296"/>
        <c:scaling>
          <c:orientation val="minMax"/>
        </c:scaling>
        <c:delete val="0"/>
        <c:axPos val="b"/>
        <c:numFmt formatCode="General" sourceLinked="1"/>
        <c:majorTickMark val="out"/>
        <c:minorTickMark val="none"/>
        <c:tickLblPos val="nextTo"/>
        <c:txPr>
          <a:bodyPr rot="0" vert="horz"/>
          <a:lstStyle/>
          <a:p>
            <a:pPr>
              <a:defRPr sz="1050" b="0" i="0" u="none" strike="noStrike" baseline="0">
                <a:solidFill>
                  <a:srgbClr val="000000"/>
                </a:solidFill>
                <a:latin typeface="Calibri"/>
                <a:ea typeface="Calibri"/>
                <a:cs typeface="Calibri"/>
              </a:defRPr>
            </a:pPr>
            <a:endParaRPr lang="en-US"/>
          </a:p>
        </c:txPr>
        <c:crossAx val="96552832"/>
        <c:crosses val="autoZero"/>
        <c:auto val="1"/>
        <c:lblAlgn val="ctr"/>
        <c:lblOffset val="100"/>
        <c:noMultiLvlLbl val="0"/>
      </c:catAx>
      <c:valAx>
        <c:axId val="96552832"/>
        <c:scaling>
          <c:orientation val="minMax"/>
        </c:scaling>
        <c:delete val="0"/>
        <c:axPos val="l"/>
        <c:majorGridlines/>
        <c:title>
          <c:tx>
            <c:rich>
              <a:bodyPr rot="-5400000" vert="horz"/>
              <a:lstStyle/>
              <a:p>
                <a:pPr>
                  <a:defRPr sz="1050"/>
                </a:pPr>
                <a:r>
                  <a:rPr lang="en-US" sz="1050"/>
                  <a:t>Number of Cases</a:t>
                </a:r>
                <a:r>
                  <a:rPr lang="en-US" sz="1050" baseline="0"/>
                  <a:t> </a:t>
                </a:r>
                <a:r>
                  <a:rPr lang="en-US" sz="1050"/>
                  <a:t>Diagnosed</a:t>
                </a:r>
              </a:p>
            </c:rich>
          </c:tx>
          <c:overlay val="0"/>
        </c:title>
        <c:numFmt formatCode="General" sourceLinked="1"/>
        <c:majorTickMark val="out"/>
        <c:minorTickMark val="none"/>
        <c:tickLblPos val="nextTo"/>
        <c:txPr>
          <a:bodyPr rot="0" vert="horz"/>
          <a:lstStyle/>
          <a:p>
            <a:pPr>
              <a:defRPr sz="1050" b="0" i="0" u="none" strike="noStrike" baseline="0">
                <a:solidFill>
                  <a:srgbClr val="000000"/>
                </a:solidFill>
                <a:latin typeface="Calibri"/>
                <a:ea typeface="Calibri"/>
                <a:cs typeface="Calibri"/>
              </a:defRPr>
            </a:pPr>
            <a:endParaRPr lang="en-US"/>
          </a:p>
        </c:txPr>
        <c:crossAx val="96551296"/>
        <c:crosses val="autoZero"/>
        <c:crossBetween val="between"/>
      </c:valAx>
    </c:plotArea>
    <c:plotVisOnly val="1"/>
    <c:dispBlanksAs val="gap"/>
    <c:showDLblsOverMax val="0"/>
  </c:chart>
  <c:txPr>
    <a:bodyPr/>
    <a:lstStyle/>
    <a:p>
      <a:pPr>
        <a:spcAft>
          <a:spcPts val="0"/>
        </a:spcAft>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81222608772232"/>
          <c:y val="4.5245750990388314E-2"/>
          <c:w val="0.81328840250900836"/>
          <c:h val="0.83337607799288582"/>
        </c:manualLayout>
      </c:layout>
      <c:lineChart>
        <c:grouping val="standard"/>
        <c:varyColors val="0"/>
        <c:ser>
          <c:idx val="0"/>
          <c:order val="0"/>
          <c:tx>
            <c:v>Monthly Ave Kids</c:v>
          </c:tx>
          <c:spPr>
            <a:ln>
              <a:noFill/>
            </a:ln>
          </c:spPr>
          <c:marker>
            <c:symbol val="circle"/>
            <c:size val="9"/>
            <c:spPr>
              <a:solidFill>
                <a:schemeClr val="tx2"/>
              </a:solidFill>
            </c:spPr>
          </c:marker>
          <c:dPt>
            <c:idx val="3"/>
            <c:marker>
              <c:spPr>
                <a:solidFill>
                  <a:schemeClr val="tx2">
                    <a:lumMod val="40000"/>
                    <a:lumOff val="60000"/>
                  </a:schemeClr>
                </a:solidFill>
              </c:spPr>
            </c:marker>
            <c:bubble3D val="0"/>
            <c:extLst>
              <c:ext xmlns:c16="http://schemas.microsoft.com/office/drawing/2014/chart" uri="{C3380CC4-5D6E-409C-BE32-E72D297353CC}">
                <c16:uniqueId val="{00000000-0B8C-4567-BFDA-C21807292868}"/>
              </c:ext>
            </c:extLst>
          </c:dPt>
          <c:dPt>
            <c:idx val="4"/>
            <c:marker>
              <c:spPr>
                <a:solidFill>
                  <a:schemeClr val="tx2">
                    <a:lumMod val="40000"/>
                    <a:lumOff val="60000"/>
                  </a:schemeClr>
                </a:solidFill>
              </c:spPr>
            </c:marker>
            <c:bubble3D val="0"/>
            <c:extLst>
              <c:ext xmlns:c16="http://schemas.microsoft.com/office/drawing/2014/chart" uri="{C3380CC4-5D6E-409C-BE32-E72D297353CC}">
                <c16:uniqueId val="{00000001-0B8C-4567-BFDA-C21807292868}"/>
              </c:ext>
            </c:extLst>
          </c:dPt>
          <c:dPt>
            <c:idx val="5"/>
            <c:marker>
              <c:spPr>
                <a:solidFill>
                  <a:schemeClr val="tx2">
                    <a:lumMod val="40000"/>
                    <a:lumOff val="60000"/>
                  </a:schemeClr>
                </a:solidFill>
              </c:spPr>
            </c:marker>
            <c:bubble3D val="0"/>
            <c:extLst>
              <c:ext xmlns:c16="http://schemas.microsoft.com/office/drawing/2014/chart" uri="{C3380CC4-5D6E-409C-BE32-E72D297353CC}">
                <c16:uniqueId val="{00000002-0B8C-4567-BFDA-C21807292868}"/>
              </c:ext>
            </c:extLst>
          </c:dPt>
          <c:dPt>
            <c:idx val="6"/>
            <c:bubble3D val="0"/>
            <c:extLst>
              <c:ext xmlns:c16="http://schemas.microsoft.com/office/drawing/2014/chart" uri="{C3380CC4-5D6E-409C-BE32-E72D297353CC}">
                <c16:uniqueId val="{00000003-0B8C-4567-BFDA-C21807292868}"/>
              </c:ext>
            </c:extLst>
          </c:dPt>
          <c:dPt>
            <c:idx val="7"/>
            <c:bubble3D val="0"/>
            <c:extLst>
              <c:ext xmlns:c16="http://schemas.microsoft.com/office/drawing/2014/chart" uri="{C3380CC4-5D6E-409C-BE32-E72D297353CC}">
                <c16:uniqueId val="{00000004-0B8C-4567-BFDA-C21807292868}"/>
              </c:ext>
            </c:extLst>
          </c:dPt>
          <c:dPt>
            <c:idx val="8"/>
            <c:bubble3D val="0"/>
            <c:extLst>
              <c:ext xmlns:c16="http://schemas.microsoft.com/office/drawing/2014/chart" uri="{C3380CC4-5D6E-409C-BE32-E72D297353CC}">
                <c16:uniqueId val="{00000005-0B8C-4567-BFDA-C21807292868}"/>
              </c:ext>
            </c:extLst>
          </c:dPt>
          <c:dPt>
            <c:idx val="9"/>
            <c:marker>
              <c:spPr>
                <a:solidFill>
                  <a:schemeClr val="tx2">
                    <a:lumMod val="40000"/>
                    <a:lumOff val="60000"/>
                  </a:schemeClr>
                </a:solidFill>
              </c:spPr>
            </c:marker>
            <c:bubble3D val="0"/>
            <c:extLst>
              <c:ext xmlns:c16="http://schemas.microsoft.com/office/drawing/2014/chart" uri="{C3380CC4-5D6E-409C-BE32-E72D297353CC}">
                <c16:uniqueId val="{00000006-0B8C-4567-BFDA-C21807292868}"/>
              </c:ext>
            </c:extLst>
          </c:dPt>
          <c:dPt>
            <c:idx val="10"/>
            <c:marker>
              <c:spPr>
                <a:solidFill>
                  <a:schemeClr val="tx2">
                    <a:lumMod val="40000"/>
                    <a:lumOff val="60000"/>
                  </a:schemeClr>
                </a:solidFill>
              </c:spPr>
            </c:marker>
            <c:bubble3D val="0"/>
            <c:extLst>
              <c:ext xmlns:c16="http://schemas.microsoft.com/office/drawing/2014/chart" uri="{C3380CC4-5D6E-409C-BE32-E72D297353CC}">
                <c16:uniqueId val="{00000007-0B8C-4567-BFDA-C21807292868}"/>
              </c:ext>
            </c:extLst>
          </c:dPt>
          <c:dPt>
            <c:idx val="11"/>
            <c:marker>
              <c:spPr>
                <a:solidFill>
                  <a:schemeClr val="tx2">
                    <a:lumMod val="40000"/>
                    <a:lumOff val="60000"/>
                  </a:schemeClr>
                </a:solidFill>
              </c:spPr>
            </c:marker>
            <c:bubble3D val="0"/>
            <c:extLst>
              <c:ext xmlns:c16="http://schemas.microsoft.com/office/drawing/2014/chart" uri="{C3380CC4-5D6E-409C-BE32-E72D297353CC}">
                <c16:uniqueId val="{00000008-0B8C-4567-BFDA-C21807292868}"/>
              </c:ext>
            </c:extLst>
          </c:dPt>
          <c:dLbls>
            <c:dLbl>
              <c:idx val="1"/>
              <c:layout>
                <c:manualLayout>
                  <c:x val="-7.5329566854990581E-3"/>
                  <c:y val="-2.31481481481481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8C-4567-BFDA-C21807292868}"/>
                </c:ext>
              </c:extLst>
            </c:dLbl>
            <c:dLbl>
              <c:idx val="2"/>
              <c:layout>
                <c:manualLayout>
                  <c:x val="-5.6497175141242938E-3"/>
                  <c:y val="-6.9444444444444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8C-4567-BFDA-C21807292868}"/>
                </c:ext>
              </c:extLst>
            </c:dLbl>
            <c:dLbl>
              <c:idx val="4"/>
              <c:layout>
                <c:manualLayout>
                  <c:x val="-6.3492063492063492E-3"/>
                  <c:y val="-8.6160459269168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8C-4567-BFDA-C21807292868}"/>
                </c:ext>
              </c:extLst>
            </c:dLbl>
            <c:numFmt formatCode="#,##0.0" sourceLinked="0"/>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'2019_bott ave'!$K$14:$K$25</c:f>
                <c:numCache>
                  <c:formatCode>General</c:formatCode>
                  <c:ptCount val="12"/>
                  <c:pt idx="0">
                    <c:v>0</c:v>
                  </c:pt>
                  <c:pt idx="1">
                    <c:v>4.1270000000000007</c:v>
                  </c:pt>
                  <c:pt idx="2">
                    <c:v>4.3540000000000001</c:v>
                  </c:pt>
                  <c:pt idx="3">
                    <c:v>0</c:v>
                  </c:pt>
                  <c:pt idx="4">
                    <c:v>13.318000000000001</c:v>
                  </c:pt>
                  <c:pt idx="5">
                    <c:v>4.2249999999999996</c:v>
                  </c:pt>
                  <c:pt idx="6">
                    <c:v>0</c:v>
                  </c:pt>
                  <c:pt idx="7">
                    <c:v>7.6</c:v>
                  </c:pt>
                  <c:pt idx="8">
                    <c:v>6.4039999999999999</c:v>
                  </c:pt>
                  <c:pt idx="9">
                    <c:v>0</c:v>
                  </c:pt>
                  <c:pt idx="10">
                    <c:v>20.644000000000002</c:v>
                  </c:pt>
                  <c:pt idx="11">
                    <c:v>8.077</c:v>
                  </c:pt>
                </c:numCache>
              </c:numRef>
            </c:plus>
            <c:minus>
              <c:numRef>
                <c:f>'2019_bott ave'!$J$14:$J$25</c:f>
                <c:numCache>
                  <c:formatCode>General</c:formatCode>
                  <c:ptCount val="12"/>
                  <c:pt idx="0">
                    <c:v>0</c:v>
                  </c:pt>
                  <c:pt idx="1">
                    <c:v>0.78200000000000003</c:v>
                  </c:pt>
                  <c:pt idx="2">
                    <c:v>0.89400000000000002</c:v>
                  </c:pt>
                  <c:pt idx="3">
                    <c:v>0</c:v>
                  </c:pt>
                  <c:pt idx="4">
                    <c:v>3.298</c:v>
                  </c:pt>
                  <c:pt idx="5">
                    <c:v>0.80600000000000005</c:v>
                  </c:pt>
                  <c:pt idx="6">
                    <c:v>0</c:v>
                  </c:pt>
                  <c:pt idx="7">
                    <c:v>1.3340000000000001</c:v>
                  </c:pt>
                  <c:pt idx="8">
                    <c:v>0.73699999999999999</c:v>
                  </c:pt>
                  <c:pt idx="9">
                    <c:v>0</c:v>
                  </c:pt>
                  <c:pt idx="10">
                    <c:v>4.0190000000000001</c:v>
                  </c:pt>
                  <c:pt idx="11">
                    <c:v>1.3859999999999999</c:v>
                  </c:pt>
                </c:numCache>
              </c:numRef>
            </c:minus>
          </c:errBars>
          <c:cat>
            <c:strRef>
              <c:f>'2019_bott ave'!$O$14:$Z$14</c:f>
              <c:strCache>
                <c:ptCount val="12"/>
                <c:pt idx="0">
                  <c:v>No</c:v>
                </c:pt>
                <c:pt idx="1">
                  <c:v>Low</c:v>
                </c:pt>
                <c:pt idx="2">
                  <c:v>High</c:v>
                </c:pt>
                <c:pt idx="3">
                  <c:v>No</c:v>
                </c:pt>
                <c:pt idx="4">
                  <c:v>Low</c:v>
                </c:pt>
                <c:pt idx="5">
                  <c:v>High</c:v>
                </c:pt>
                <c:pt idx="6">
                  <c:v>No</c:v>
                </c:pt>
                <c:pt idx="7">
                  <c:v>Low</c:v>
                </c:pt>
                <c:pt idx="8">
                  <c:v>High</c:v>
                </c:pt>
                <c:pt idx="9">
                  <c:v>No</c:v>
                </c:pt>
                <c:pt idx="10">
                  <c:v>Low</c:v>
                </c:pt>
                <c:pt idx="11">
                  <c:v>High</c:v>
                </c:pt>
              </c:strCache>
            </c:strRef>
          </c:cat>
          <c:val>
            <c:numRef>
              <c:f>('2019_bott ave'!$G$13,'2019_bott ave'!$I$4,'2019_bott ave'!$O$4,'2019_bott ave'!$G$13,'2019_bott ave'!$I$5,'2019_bott ave'!$O$5,'2019_bott ave'!$G$13,'2019_bott ave'!$I$7,'2019_bott ave'!$O$7,'2019_bott ave'!$G$13,'2019_bott ave'!$I$8,'2019_bott ave'!$O$8)</c:f>
              <c:numCache>
                <c:formatCode>0.00</c:formatCode>
                <c:ptCount val="12"/>
                <c:pt idx="0" formatCode="General">
                  <c:v>1</c:v>
                </c:pt>
                <c:pt idx="1">
                  <c:v>0.96399999999999997</c:v>
                </c:pt>
                <c:pt idx="2">
                  <c:v>1.125</c:v>
                </c:pt>
                <c:pt idx="3" formatCode="General">
                  <c:v>1</c:v>
                </c:pt>
                <c:pt idx="4">
                  <c:v>4.383</c:v>
                </c:pt>
                <c:pt idx="5">
                  <c:v>0.996</c:v>
                </c:pt>
                <c:pt idx="6" formatCode="General">
                  <c:v>1</c:v>
                </c:pt>
                <c:pt idx="7">
                  <c:v>1.6180000000000001</c:v>
                </c:pt>
                <c:pt idx="8">
                  <c:v>0.83299999999999996</c:v>
                </c:pt>
                <c:pt idx="9" formatCode="General">
                  <c:v>1</c:v>
                </c:pt>
                <c:pt idx="10">
                  <c:v>4.9909999999999997</c:v>
                </c:pt>
                <c:pt idx="11">
                  <c:v>1.6739999999999999</c:v>
                </c:pt>
              </c:numCache>
            </c:numRef>
          </c:val>
          <c:smooth val="0"/>
          <c:extLst>
            <c:ext xmlns:c16="http://schemas.microsoft.com/office/drawing/2014/chart" uri="{C3380CC4-5D6E-409C-BE32-E72D297353CC}">
              <c16:uniqueId val="{0000000B-0B8C-4567-BFDA-C21807292868}"/>
            </c:ext>
          </c:extLst>
        </c:ser>
        <c:dLbls>
          <c:showLegendKey val="0"/>
          <c:showVal val="0"/>
          <c:showCatName val="0"/>
          <c:showSerName val="0"/>
          <c:showPercent val="0"/>
          <c:showBubbleSize val="0"/>
        </c:dLbls>
        <c:marker val="1"/>
        <c:smooth val="0"/>
        <c:axId val="98894976"/>
        <c:axId val="98896512"/>
      </c:lineChart>
      <c:catAx>
        <c:axId val="98894976"/>
        <c:scaling>
          <c:orientation val="minMax"/>
        </c:scaling>
        <c:delete val="0"/>
        <c:axPos val="b"/>
        <c:numFmt formatCode="General" sourceLinked="0"/>
        <c:majorTickMark val="none"/>
        <c:minorTickMark val="none"/>
        <c:tickLblPos val="low"/>
        <c:spPr>
          <a:noFill/>
          <a:ln w="12700">
            <a:solidFill>
              <a:schemeClr val="tx1"/>
            </a:solidFill>
          </a:ln>
        </c:spPr>
        <c:txPr>
          <a:bodyPr rot="0" anchor="ctr" anchorCtr="1"/>
          <a:lstStyle/>
          <a:p>
            <a:pPr>
              <a:defRPr sz="1050"/>
            </a:pPr>
            <a:endParaRPr lang="en-US"/>
          </a:p>
        </c:txPr>
        <c:crossAx val="98896512"/>
        <c:crossesAt val="1"/>
        <c:auto val="1"/>
        <c:lblAlgn val="ctr"/>
        <c:lblOffset val="10"/>
        <c:noMultiLvlLbl val="0"/>
      </c:catAx>
      <c:valAx>
        <c:axId val="98896512"/>
        <c:scaling>
          <c:logBase val="2.7"/>
          <c:orientation val="minMax"/>
          <c:min val="1.8816764231589195E-2"/>
        </c:scaling>
        <c:delete val="0"/>
        <c:axPos val="l"/>
        <c:majorGridlines/>
        <c:title>
          <c:tx>
            <c:rich>
              <a:bodyPr rot="-5400000" vert="horz"/>
              <a:lstStyle/>
              <a:p>
                <a:pPr>
                  <a:defRPr/>
                </a:pPr>
                <a:r>
                  <a:rPr lang="en-US"/>
                  <a:t>Odds ratio</a:t>
                </a:r>
              </a:p>
            </c:rich>
          </c:tx>
          <c:overlay val="0"/>
        </c:title>
        <c:numFmt formatCode="0.00" sourceLinked="0"/>
        <c:majorTickMark val="out"/>
        <c:minorTickMark val="none"/>
        <c:tickLblPos val="nextTo"/>
        <c:spPr>
          <a:noFill/>
          <a:ln w="15875">
            <a:noFill/>
          </a:ln>
        </c:spPr>
        <c:txPr>
          <a:bodyPr/>
          <a:lstStyle/>
          <a:p>
            <a:pPr>
              <a:defRPr sz="1050"/>
            </a:pPr>
            <a:endParaRPr lang="en-US"/>
          </a:p>
        </c:txPr>
        <c:crossAx val="98894976"/>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91432801669022"/>
          <c:y val="4.317526612887175E-2"/>
          <c:w val="0.6088655023891244"/>
          <c:h val="0.86393670178982729"/>
        </c:manualLayout>
      </c:layout>
      <c:lineChart>
        <c:grouping val="standard"/>
        <c:varyColors val="0"/>
        <c:ser>
          <c:idx val="0"/>
          <c:order val="0"/>
          <c:tx>
            <c:v>NDMA Arrival -5 yrs‡</c:v>
          </c:tx>
          <c:cat>
            <c:strRef>
              <c:f>'ZERO-LOW-HIGH'!$G$12:$I$12</c:f>
              <c:strCache>
                <c:ptCount val="3"/>
                <c:pt idx="0">
                  <c:v>No</c:v>
                </c:pt>
                <c:pt idx="1">
                  <c:v>Low</c:v>
                </c:pt>
                <c:pt idx="2">
                  <c:v>High</c:v>
                </c:pt>
              </c:strCache>
            </c:strRef>
          </c:cat>
          <c:val>
            <c:numRef>
              <c:f>('ZERO-LOW-HIGH'!$D$12,'ZERO-LOW-HIGH'!$G$4,'ZERO-LOW-HIGH'!$M$4)</c:f>
              <c:numCache>
                <c:formatCode>0.0</c:formatCode>
                <c:ptCount val="3"/>
                <c:pt idx="0" formatCode="General">
                  <c:v>1</c:v>
                </c:pt>
                <c:pt idx="1">
                  <c:v>0.76100000000000001</c:v>
                </c:pt>
                <c:pt idx="2">
                  <c:v>3.415</c:v>
                </c:pt>
              </c:numCache>
            </c:numRef>
          </c:val>
          <c:smooth val="0"/>
          <c:extLst>
            <c:ext xmlns:c16="http://schemas.microsoft.com/office/drawing/2014/chart" uri="{C3380CC4-5D6E-409C-BE32-E72D297353CC}">
              <c16:uniqueId val="{00000000-26AE-441F-BBC9-B90B7B25A419}"/>
            </c:ext>
          </c:extLst>
        </c:ser>
        <c:ser>
          <c:idx val="1"/>
          <c:order val="1"/>
          <c:tx>
            <c:v>NDMA Arrival +5 yrs‡</c:v>
          </c:tx>
          <c:cat>
            <c:strRef>
              <c:f>'ZERO-LOW-HIGH'!$G$12:$I$12</c:f>
              <c:strCache>
                <c:ptCount val="3"/>
                <c:pt idx="0">
                  <c:v>No</c:v>
                </c:pt>
                <c:pt idx="1">
                  <c:v>Low</c:v>
                </c:pt>
                <c:pt idx="2">
                  <c:v>High</c:v>
                </c:pt>
              </c:strCache>
            </c:strRef>
          </c:cat>
          <c:val>
            <c:numRef>
              <c:f>('ZERO-LOW-HIGH'!$D$12,'ZERO-LOW-HIGH'!$G$5,'ZERO-LOW-HIGH'!$M$5)</c:f>
              <c:numCache>
                <c:formatCode>0.0</c:formatCode>
                <c:ptCount val="3"/>
                <c:pt idx="0" formatCode="General">
                  <c:v>1</c:v>
                </c:pt>
                <c:pt idx="1">
                  <c:v>0.87</c:v>
                </c:pt>
                <c:pt idx="2">
                  <c:v>4.91</c:v>
                </c:pt>
              </c:numCache>
            </c:numRef>
          </c:val>
          <c:smooth val="0"/>
          <c:extLst>
            <c:ext xmlns:c16="http://schemas.microsoft.com/office/drawing/2014/chart" uri="{C3380CC4-5D6E-409C-BE32-E72D297353CC}">
              <c16:uniqueId val="{00000001-26AE-441F-BBC9-B90B7B25A419}"/>
            </c:ext>
          </c:extLst>
        </c:ser>
        <c:ser>
          <c:idx val="2"/>
          <c:order val="2"/>
          <c:tx>
            <c:v>Pumping -20%†</c:v>
          </c:tx>
          <c:cat>
            <c:strRef>
              <c:f>'ZERO-LOW-HIGH'!$G$12:$I$12</c:f>
              <c:strCache>
                <c:ptCount val="3"/>
                <c:pt idx="0">
                  <c:v>No</c:v>
                </c:pt>
                <c:pt idx="1">
                  <c:v>Low</c:v>
                </c:pt>
                <c:pt idx="2">
                  <c:v>High</c:v>
                </c:pt>
              </c:strCache>
            </c:strRef>
          </c:cat>
          <c:val>
            <c:numRef>
              <c:f>('ZERO-LOW-HIGH'!$D$12,'ZERO-LOW-HIGH'!$G$6,'ZERO-LOW-HIGH'!$M$6)</c:f>
              <c:numCache>
                <c:formatCode>0.0</c:formatCode>
                <c:ptCount val="3"/>
                <c:pt idx="0" formatCode="General">
                  <c:v>1</c:v>
                </c:pt>
                <c:pt idx="1">
                  <c:v>1.292</c:v>
                </c:pt>
                <c:pt idx="2">
                  <c:v>2.9870000000000001</c:v>
                </c:pt>
              </c:numCache>
            </c:numRef>
          </c:val>
          <c:smooth val="0"/>
          <c:extLst>
            <c:ext xmlns:c16="http://schemas.microsoft.com/office/drawing/2014/chart" uri="{C3380CC4-5D6E-409C-BE32-E72D297353CC}">
              <c16:uniqueId val="{00000002-26AE-441F-BBC9-B90B7B25A419}"/>
            </c:ext>
          </c:extLst>
        </c:ser>
        <c:ser>
          <c:idx val="3"/>
          <c:order val="3"/>
          <c:tx>
            <c:v>Pumping +20%†</c:v>
          </c:tx>
          <c:cat>
            <c:strRef>
              <c:f>'ZERO-LOW-HIGH'!$G$12:$I$12</c:f>
              <c:strCache>
                <c:ptCount val="3"/>
                <c:pt idx="0">
                  <c:v>No</c:v>
                </c:pt>
                <c:pt idx="1">
                  <c:v>Low</c:v>
                </c:pt>
                <c:pt idx="2">
                  <c:v>High</c:v>
                </c:pt>
              </c:strCache>
            </c:strRef>
          </c:cat>
          <c:val>
            <c:numRef>
              <c:f>('ZERO-LOW-HIGH'!$D$12,'ZERO-LOW-HIGH'!$G$7,'ZERO-LOW-HIGH'!$M$7)</c:f>
              <c:numCache>
                <c:formatCode>0.0</c:formatCode>
                <c:ptCount val="3"/>
                <c:pt idx="0" formatCode="General">
                  <c:v>1</c:v>
                </c:pt>
                <c:pt idx="1">
                  <c:v>0.58299999999999996</c:v>
                </c:pt>
                <c:pt idx="2">
                  <c:v>3.1749999999999998</c:v>
                </c:pt>
              </c:numCache>
            </c:numRef>
          </c:val>
          <c:smooth val="0"/>
          <c:extLst>
            <c:ext xmlns:c16="http://schemas.microsoft.com/office/drawing/2014/chart" uri="{C3380CC4-5D6E-409C-BE32-E72D297353CC}">
              <c16:uniqueId val="{00000003-26AE-441F-BBC9-B90B7B25A419}"/>
            </c:ext>
          </c:extLst>
        </c:ser>
        <c:ser>
          <c:idx val="4"/>
          <c:order val="4"/>
          <c:tx>
            <c:v>NDMA Arrival -5 yrs, Pumping -20%‡</c:v>
          </c:tx>
          <c:cat>
            <c:strRef>
              <c:f>'ZERO-LOW-HIGH'!$G$12:$I$12</c:f>
              <c:strCache>
                <c:ptCount val="3"/>
                <c:pt idx="0">
                  <c:v>No</c:v>
                </c:pt>
                <c:pt idx="1">
                  <c:v>Low</c:v>
                </c:pt>
                <c:pt idx="2">
                  <c:v>High</c:v>
                </c:pt>
              </c:strCache>
            </c:strRef>
          </c:cat>
          <c:val>
            <c:numRef>
              <c:f>('ZERO-LOW-HIGH'!$D$12,'ZERO-LOW-HIGH'!$G$8,'ZERO-LOW-HIGH'!$M$8)</c:f>
              <c:numCache>
                <c:formatCode>0.0</c:formatCode>
                <c:ptCount val="3"/>
                <c:pt idx="0" formatCode="General">
                  <c:v>1</c:v>
                </c:pt>
                <c:pt idx="1">
                  <c:v>0.76100000000000001</c:v>
                </c:pt>
                <c:pt idx="2">
                  <c:v>3.415</c:v>
                </c:pt>
              </c:numCache>
            </c:numRef>
          </c:val>
          <c:smooth val="0"/>
          <c:extLst>
            <c:ext xmlns:c16="http://schemas.microsoft.com/office/drawing/2014/chart" uri="{C3380CC4-5D6E-409C-BE32-E72D297353CC}">
              <c16:uniqueId val="{00000004-26AE-441F-BBC9-B90B7B25A419}"/>
            </c:ext>
          </c:extLst>
        </c:ser>
        <c:ser>
          <c:idx val="5"/>
          <c:order val="5"/>
          <c:tx>
            <c:v>NDMA Arrival -5 yrs, Pumping +20%†</c:v>
          </c:tx>
          <c:cat>
            <c:strRef>
              <c:f>'ZERO-LOW-HIGH'!$G$12:$I$12</c:f>
              <c:strCache>
                <c:ptCount val="3"/>
                <c:pt idx="0">
                  <c:v>No</c:v>
                </c:pt>
                <c:pt idx="1">
                  <c:v>Low</c:v>
                </c:pt>
                <c:pt idx="2">
                  <c:v>High</c:v>
                </c:pt>
              </c:strCache>
            </c:strRef>
          </c:cat>
          <c:val>
            <c:numRef>
              <c:f>('ZERO-LOW-HIGH'!$D$12,'ZERO-LOW-HIGH'!$G$9,'ZERO-LOW-HIGH'!$M$9)</c:f>
              <c:numCache>
                <c:formatCode>0.0</c:formatCode>
                <c:ptCount val="3"/>
                <c:pt idx="0" formatCode="General">
                  <c:v>1</c:v>
                </c:pt>
                <c:pt idx="1">
                  <c:v>0.54500000000000004</c:v>
                </c:pt>
                <c:pt idx="2">
                  <c:v>2.9529999999999998</c:v>
                </c:pt>
              </c:numCache>
            </c:numRef>
          </c:val>
          <c:smooth val="0"/>
          <c:extLst>
            <c:ext xmlns:c16="http://schemas.microsoft.com/office/drawing/2014/chart" uri="{C3380CC4-5D6E-409C-BE32-E72D297353CC}">
              <c16:uniqueId val="{00000005-26AE-441F-BBC9-B90B7B25A419}"/>
            </c:ext>
          </c:extLst>
        </c:ser>
        <c:ser>
          <c:idx val="6"/>
          <c:order val="6"/>
          <c:tx>
            <c:v>NDMA Arrival +5 yrs, Pumping -20%‡</c:v>
          </c:tx>
          <c:cat>
            <c:strRef>
              <c:f>'ZERO-LOW-HIGH'!$G$12:$I$12</c:f>
              <c:strCache>
                <c:ptCount val="3"/>
                <c:pt idx="0">
                  <c:v>No</c:v>
                </c:pt>
                <c:pt idx="1">
                  <c:v>Low</c:v>
                </c:pt>
                <c:pt idx="2">
                  <c:v>High</c:v>
                </c:pt>
              </c:strCache>
            </c:strRef>
          </c:cat>
          <c:val>
            <c:numRef>
              <c:f>('ZERO-LOW-HIGH'!$D$12,'ZERO-LOW-HIGH'!$G$10,'ZERO-LOW-HIGH'!$M$10)</c:f>
              <c:numCache>
                <c:formatCode>0.0</c:formatCode>
                <c:ptCount val="3"/>
                <c:pt idx="0" formatCode="General">
                  <c:v>1</c:v>
                </c:pt>
                <c:pt idx="1">
                  <c:v>0.36399999999999999</c:v>
                </c:pt>
                <c:pt idx="2">
                  <c:v>4.4470000000000001</c:v>
                </c:pt>
              </c:numCache>
            </c:numRef>
          </c:val>
          <c:smooth val="0"/>
          <c:extLst>
            <c:ext xmlns:c16="http://schemas.microsoft.com/office/drawing/2014/chart" uri="{C3380CC4-5D6E-409C-BE32-E72D297353CC}">
              <c16:uniqueId val="{00000006-26AE-441F-BBC9-B90B7B25A419}"/>
            </c:ext>
          </c:extLst>
        </c:ser>
        <c:ser>
          <c:idx val="7"/>
          <c:order val="7"/>
          <c:tx>
            <c:v>NDMA Arrival +5 yrs, Pumping +20%†</c:v>
          </c:tx>
          <c:cat>
            <c:strRef>
              <c:f>'ZERO-LOW-HIGH'!$G$12:$I$12</c:f>
              <c:strCache>
                <c:ptCount val="3"/>
                <c:pt idx="0">
                  <c:v>No</c:v>
                </c:pt>
                <c:pt idx="1">
                  <c:v>Low</c:v>
                </c:pt>
                <c:pt idx="2">
                  <c:v>High</c:v>
                </c:pt>
              </c:strCache>
            </c:strRef>
          </c:cat>
          <c:val>
            <c:numRef>
              <c:f>('ZERO-LOW-HIGH'!$D$12,'ZERO-LOW-HIGH'!$G$11,'ZERO-LOW-HIGH'!$M$11)</c:f>
              <c:numCache>
                <c:formatCode>0.0</c:formatCode>
                <c:ptCount val="3"/>
                <c:pt idx="0" formatCode="General">
                  <c:v>1</c:v>
                </c:pt>
                <c:pt idx="1">
                  <c:v>0.59199999999999997</c:v>
                </c:pt>
                <c:pt idx="2">
                  <c:v>3.548</c:v>
                </c:pt>
              </c:numCache>
            </c:numRef>
          </c:val>
          <c:smooth val="0"/>
          <c:extLst>
            <c:ext xmlns:c16="http://schemas.microsoft.com/office/drawing/2014/chart" uri="{C3380CC4-5D6E-409C-BE32-E72D297353CC}">
              <c16:uniqueId val="{00000007-26AE-441F-BBC9-B90B7B25A419}"/>
            </c:ext>
          </c:extLst>
        </c:ser>
        <c:ser>
          <c:idx val="8"/>
          <c:order val="8"/>
          <c:tx>
            <c:v>Base Model†</c:v>
          </c:tx>
          <c:cat>
            <c:strRef>
              <c:f>'ZERO-LOW-HIGH'!$G$12:$I$12</c:f>
              <c:strCache>
                <c:ptCount val="3"/>
                <c:pt idx="0">
                  <c:v>No</c:v>
                </c:pt>
                <c:pt idx="1">
                  <c:v>Low</c:v>
                </c:pt>
                <c:pt idx="2">
                  <c:v>High</c:v>
                </c:pt>
              </c:strCache>
            </c:strRef>
          </c:cat>
          <c:val>
            <c:numRef>
              <c:f>('ZERO-LOW-HIGH'!$D$12,'ZERO-LOW-HIGH'!$G$13,'ZERO-LOW-HIGH'!$M$13)</c:f>
              <c:numCache>
                <c:formatCode>0.00</c:formatCode>
                <c:ptCount val="3"/>
                <c:pt idx="0" formatCode="General">
                  <c:v>1</c:v>
                </c:pt>
                <c:pt idx="1">
                  <c:v>1.3</c:v>
                </c:pt>
                <c:pt idx="2">
                  <c:v>3</c:v>
                </c:pt>
              </c:numCache>
            </c:numRef>
          </c:val>
          <c:smooth val="0"/>
          <c:extLst>
            <c:ext xmlns:c16="http://schemas.microsoft.com/office/drawing/2014/chart" uri="{C3380CC4-5D6E-409C-BE32-E72D297353CC}">
              <c16:uniqueId val="{00000008-26AE-441F-BBC9-B90B7B25A419}"/>
            </c:ext>
          </c:extLst>
        </c:ser>
        <c:dLbls>
          <c:showLegendKey val="0"/>
          <c:showVal val="0"/>
          <c:showCatName val="0"/>
          <c:showSerName val="0"/>
          <c:showPercent val="0"/>
          <c:showBubbleSize val="0"/>
        </c:dLbls>
        <c:marker val="1"/>
        <c:smooth val="0"/>
        <c:axId val="98813056"/>
        <c:axId val="98814592"/>
      </c:lineChart>
      <c:catAx>
        <c:axId val="98813056"/>
        <c:scaling>
          <c:orientation val="minMax"/>
        </c:scaling>
        <c:delete val="0"/>
        <c:axPos val="b"/>
        <c:numFmt formatCode="General" sourceLinked="0"/>
        <c:majorTickMark val="out"/>
        <c:minorTickMark val="none"/>
        <c:tickLblPos val="nextTo"/>
        <c:txPr>
          <a:bodyPr/>
          <a:lstStyle/>
          <a:p>
            <a:pPr>
              <a:defRPr sz="1050"/>
            </a:pPr>
            <a:endParaRPr lang="en-US"/>
          </a:p>
        </c:txPr>
        <c:crossAx val="98814592"/>
        <c:crosses val="autoZero"/>
        <c:auto val="1"/>
        <c:lblAlgn val="ctr"/>
        <c:lblOffset val="100"/>
        <c:noMultiLvlLbl val="0"/>
      </c:catAx>
      <c:valAx>
        <c:axId val="98814592"/>
        <c:scaling>
          <c:orientation val="minMax"/>
        </c:scaling>
        <c:delete val="0"/>
        <c:axPos val="l"/>
        <c:majorGridlines/>
        <c:title>
          <c:tx>
            <c:rich>
              <a:bodyPr rot="-5400000" vert="horz"/>
              <a:lstStyle/>
              <a:p>
                <a:pPr>
                  <a:defRPr sz="1050"/>
                </a:pPr>
                <a:r>
                  <a:rPr lang="en-US" sz="1050"/>
                  <a:t>Odds Ratios</a:t>
                </a:r>
              </a:p>
            </c:rich>
          </c:tx>
          <c:overlay val="0"/>
        </c:title>
        <c:numFmt formatCode="#,##0.00" sourceLinked="0"/>
        <c:majorTickMark val="out"/>
        <c:minorTickMark val="none"/>
        <c:tickLblPos val="nextTo"/>
        <c:txPr>
          <a:bodyPr/>
          <a:lstStyle/>
          <a:p>
            <a:pPr>
              <a:defRPr sz="1050"/>
            </a:pPr>
            <a:endParaRPr lang="en-US"/>
          </a:p>
        </c:txPr>
        <c:crossAx val="98813056"/>
        <c:crosses val="autoZero"/>
        <c:crossBetween val="between"/>
      </c:valAx>
    </c:plotArea>
    <c:legend>
      <c:legendPos val="r"/>
      <c:layout>
        <c:manualLayout>
          <c:xMode val="edge"/>
          <c:yMode val="edge"/>
          <c:x val="0.73219008681607112"/>
          <c:y val="5.4434012075021236E-2"/>
          <c:w val="0.25498940036341611"/>
          <c:h val="0.89113197584995751"/>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91432801669022"/>
          <c:y val="4.3158482740677823E-2"/>
          <c:w val="0.61954791708728718"/>
          <c:h val="0.85945899619690391"/>
        </c:manualLayout>
      </c:layout>
      <c:lineChart>
        <c:grouping val="standard"/>
        <c:varyColors val="0"/>
        <c:ser>
          <c:idx val="0"/>
          <c:order val="0"/>
          <c:tx>
            <c:v>NDMA Arrival -5 yrs</c:v>
          </c:tx>
          <c:cat>
            <c:strRef>
              <c:f>'ZERO-LOW-HIGH'!$G$12:$I$12</c:f>
              <c:strCache>
                <c:ptCount val="3"/>
                <c:pt idx="0">
                  <c:v>No</c:v>
                </c:pt>
                <c:pt idx="1">
                  <c:v>Low</c:v>
                </c:pt>
                <c:pt idx="2">
                  <c:v>High</c:v>
                </c:pt>
              </c:strCache>
            </c:strRef>
          </c:cat>
          <c:val>
            <c:numRef>
              <c:f>('ZERO-LOW-HIGH'!$D$46,'ZERO-LOW-HIGH'!$G$38,'ZERO-LOW-HIGH'!$M$38)</c:f>
              <c:numCache>
                <c:formatCode>0.00</c:formatCode>
                <c:ptCount val="3"/>
                <c:pt idx="0" formatCode="General">
                  <c:v>1</c:v>
                </c:pt>
                <c:pt idx="1">
                  <c:v>0.41799999999999998</c:v>
                </c:pt>
                <c:pt idx="2">
                  <c:v>0.88600000000000001</c:v>
                </c:pt>
              </c:numCache>
            </c:numRef>
          </c:val>
          <c:smooth val="0"/>
          <c:extLst>
            <c:ext xmlns:c16="http://schemas.microsoft.com/office/drawing/2014/chart" uri="{C3380CC4-5D6E-409C-BE32-E72D297353CC}">
              <c16:uniqueId val="{00000000-D092-4FB0-BB06-519178289AB5}"/>
            </c:ext>
          </c:extLst>
        </c:ser>
        <c:ser>
          <c:idx val="1"/>
          <c:order val="1"/>
          <c:tx>
            <c:v>NDMA Arrival +5 yrs</c:v>
          </c:tx>
          <c:cat>
            <c:strRef>
              <c:f>'ZERO-LOW-HIGH'!$G$12:$I$12</c:f>
              <c:strCache>
                <c:ptCount val="3"/>
                <c:pt idx="0">
                  <c:v>No</c:v>
                </c:pt>
                <c:pt idx="1">
                  <c:v>Low</c:v>
                </c:pt>
                <c:pt idx="2">
                  <c:v>High</c:v>
                </c:pt>
              </c:strCache>
            </c:strRef>
          </c:cat>
          <c:val>
            <c:numRef>
              <c:f>('ZERO-LOW-HIGH'!$D$46,'ZERO-LOW-HIGH'!$G$39,'ZERO-LOW-HIGH'!$M$39)</c:f>
              <c:numCache>
                <c:formatCode>0.00</c:formatCode>
                <c:ptCount val="3"/>
                <c:pt idx="0" formatCode="General">
                  <c:v>1</c:v>
                </c:pt>
                <c:pt idx="1">
                  <c:v>0.48</c:v>
                </c:pt>
                <c:pt idx="2">
                  <c:v>0.79200000000000004</c:v>
                </c:pt>
              </c:numCache>
            </c:numRef>
          </c:val>
          <c:smooth val="0"/>
          <c:extLst>
            <c:ext xmlns:c16="http://schemas.microsoft.com/office/drawing/2014/chart" uri="{C3380CC4-5D6E-409C-BE32-E72D297353CC}">
              <c16:uniqueId val="{00000001-D092-4FB0-BB06-519178289AB5}"/>
            </c:ext>
          </c:extLst>
        </c:ser>
        <c:ser>
          <c:idx val="2"/>
          <c:order val="2"/>
          <c:tx>
            <c:v>Pumping -20%</c:v>
          </c:tx>
          <c:cat>
            <c:strRef>
              <c:f>'ZERO-LOW-HIGH'!$G$12:$I$12</c:f>
              <c:strCache>
                <c:ptCount val="3"/>
                <c:pt idx="0">
                  <c:v>No</c:v>
                </c:pt>
                <c:pt idx="1">
                  <c:v>Low</c:v>
                </c:pt>
                <c:pt idx="2">
                  <c:v>High</c:v>
                </c:pt>
              </c:strCache>
            </c:strRef>
          </c:cat>
          <c:val>
            <c:numRef>
              <c:f>('ZERO-LOW-HIGH'!$D$46,'ZERO-LOW-HIGH'!$G$40,'ZERO-LOW-HIGH'!$M$40)</c:f>
              <c:numCache>
                <c:formatCode>0.00</c:formatCode>
                <c:ptCount val="3"/>
                <c:pt idx="0" formatCode="General">
                  <c:v>1</c:v>
                </c:pt>
                <c:pt idx="1">
                  <c:v>0.41799999999999998</c:v>
                </c:pt>
                <c:pt idx="2">
                  <c:v>0.88600000000000001</c:v>
                </c:pt>
              </c:numCache>
            </c:numRef>
          </c:val>
          <c:smooth val="0"/>
          <c:extLst>
            <c:ext xmlns:c16="http://schemas.microsoft.com/office/drawing/2014/chart" uri="{C3380CC4-5D6E-409C-BE32-E72D297353CC}">
              <c16:uniqueId val="{00000002-D092-4FB0-BB06-519178289AB5}"/>
            </c:ext>
          </c:extLst>
        </c:ser>
        <c:ser>
          <c:idx val="3"/>
          <c:order val="3"/>
          <c:tx>
            <c:v>Pumping +20%</c:v>
          </c:tx>
          <c:cat>
            <c:strRef>
              <c:f>'ZERO-LOW-HIGH'!$G$12:$I$12</c:f>
              <c:strCache>
                <c:ptCount val="3"/>
                <c:pt idx="0">
                  <c:v>No</c:v>
                </c:pt>
                <c:pt idx="1">
                  <c:v>Low</c:v>
                </c:pt>
                <c:pt idx="2">
                  <c:v>High</c:v>
                </c:pt>
              </c:strCache>
            </c:strRef>
          </c:cat>
          <c:val>
            <c:numRef>
              <c:f>('ZERO-LOW-HIGH'!$D$46,'ZERO-LOW-HIGH'!$G$41,'ZERO-LOW-HIGH'!$M$41)</c:f>
              <c:numCache>
                <c:formatCode>0.00</c:formatCode>
                <c:ptCount val="3"/>
                <c:pt idx="0" formatCode="General">
                  <c:v>1</c:v>
                </c:pt>
                <c:pt idx="1">
                  <c:v>0.41799999999999998</c:v>
                </c:pt>
                <c:pt idx="2">
                  <c:v>0.88600000000000001</c:v>
                </c:pt>
              </c:numCache>
            </c:numRef>
          </c:val>
          <c:smooth val="0"/>
          <c:extLst>
            <c:ext xmlns:c16="http://schemas.microsoft.com/office/drawing/2014/chart" uri="{C3380CC4-5D6E-409C-BE32-E72D297353CC}">
              <c16:uniqueId val="{00000003-D092-4FB0-BB06-519178289AB5}"/>
            </c:ext>
          </c:extLst>
        </c:ser>
        <c:ser>
          <c:idx val="4"/>
          <c:order val="4"/>
          <c:tx>
            <c:v>NDMA Arrival -5 yrs, Pumping -20%</c:v>
          </c:tx>
          <c:cat>
            <c:strRef>
              <c:f>'ZERO-LOW-HIGH'!$G$12:$I$12</c:f>
              <c:strCache>
                <c:ptCount val="3"/>
                <c:pt idx="0">
                  <c:v>No</c:v>
                </c:pt>
                <c:pt idx="1">
                  <c:v>Low</c:v>
                </c:pt>
                <c:pt idx="2">
                  <c:v>High</c:v>
                </c:pt>
              </c:strCache>
            </c:strRef>
          </c:cat>
          <c:val>
            <c:numRef>
              <c:f>('ZERO-LOW-HIGH'!$D$46,'ZERO-LOW-HIGH'!$G$42,'ZERO-LOW-HIGH'!$M$42)</c:f>
              <c:numCache>
                <c:formatCode>0.00</c:formatCode>
                <c:ptCount val="3"/>
                <c:pt idx="0" formatCode="General">
                  <c:v>1</c:v>
                </c:pt>
                <c:pt idx="1">
                  <c:v>0.41799999999999998</c:v>
                </c:pt>
                <c:pt idx="2">
                  <c:v>0.88600000000000001</c:v>
                </c:pt>
              </c:numCache>
            </c:numRef>
          </c:val>
          <c:smooth val="0"/>
          <c:extLst>
            <c:ext xmlns:c16="http://schemas.microsoft.com/office/drawing/2014/chart" uri="{C3380CC4-5D6E-409C-BE32-E72D297353CC}">
              <c16:uniqueId val="{00000004-D092-4FB0-BB06-519178289AB5}"/>
            </c:ext>
          </c:extLst>
        </c:ser>
        <c:ser>
          <c:idx val="5"/>
          <c:order val="5"/>
          <c:tx>
            <c:v>NDMA Arrival -5 yrs, Pumping +20%</c:v>
          </c:tx>
          <c:cat>
            <c:strRef>
              <c:f>'ZERO-LOW-HIGH'!$G$12:$I$12</c:f>
              <c:strCache>
                <c:ptCount val="3"/>
                <c:pt idx="0">
                  <c:v>No</c:v>
                </c:pt>
                <c:pt idx="1">
                  <c:v>Low</c:v>
                </c:pt>
                <c:pt idx="2">
                  <c:v>High</c:v>
                </c:pt>
              </c:strCache>
            </c:strRef>
          </c:cat>
          <c:val>
            <c:numRef>
              <c:f>('ZERO-LOW-HIGH'!$D$46,'ZERO-LOW-HIGH'!$G$43,'ZERO-LOW-HIGH'!$M$43)</c:f>
              <c:numCache>
                <c:formatCode>0.00</c:formatCode>
                <c:ptCount val="3"/>
                <c:pt idx="0" formatCode="General">
                  <c:v>1</c:v>
                </c:pt>
                <c:pt idx="1">
                  <c:v>0.41799999999999998</c:v>
                </c:pt>
                <c:pt idx="2">
                  <c:v>0.88600000000000001</c:v>
                </c:pt>
              </c:numCache>
            </c:numRef>
          </c:val>
          <c:smooth val="0"/>
          <c:extLst>
            <c:ext xmlns:c16="http://schemas.microsoft.com/office/drawing/2014/chart" uri="{C3380CC4-5D6E-409C-BE32-E72D297353CC}">
              <c16:uniqueId val="{00000005-D092-4FB0-BB06-519178289AB5}"/>
            </c:ext>
          </c:extLst>
        </c:ser>
        <c:ser>
          <c:idx val="6"/>
          <c:order val="6"/>
          <c:tx>
            <c:v>NDMA Arrival +5 yrs, Pumping -20%</c:v>
          </c:tx>
          <c:cat>
            <c:strRef>
              <c:f>'ZERO-LOW-HIGH'!$G$12:$I$12</c:f>
              <c:strCache>
                <c:ptCount val="3"/>
                <c:pt idx="0">
                  <c:v>No</c:v>
                </c:pt>
                <c:pt idx="1">
                  <c:v>Low</c:v>
                </c:pt>
                <c:pt idx="2">
                  <c:v>High</c:v>
                </c:pt>
              </c:strCache>
            </c:strRef>
          </c:cat>
          <c:val>
            <c:numRef>
              <c:f>('ZERO-LOW-HIGH'!$D$46,'ZERO-LOW-HIGH'!$G$44,'ZERO-LOW-HIGH'!$M$44)</c:f>
              <c:numCache>
                <c:formatCode>0.00</c:formatCode>
                <c:ptCount val="3"/>
                <c:pt idx="0" formatCode="General">
                  <c:v>1</c:v>
                </c:pt>
                <c:pt idx="1">
                  <c:v>0.38</c:v>
                </c:pt>
                <c:pt idx="2">
                  <c:v>0.90800000000000003</c:v>
                </c:pt>
              </c:numCache>
            </c:numRef>
          </c:val>
          <c:smooth val="0"/>
          <c:extLst>
            <c:ext xmlns:c16="http://schemas.microsoft.com/office/drawing/2014/chart" uri="{C3380CC4-5D6E-409C-BE32-E72D297353CC}">
              <c16:uniqueId val="{00000006-D092-4FB0-BB06-519178289AB5}"/>
            </c:ext>
          </c:extLst>
        </c:ser>
        <c:ser>
          <c:idx val="7"/>
          <c:order val="7"/>
          <c:tx>
            <c:v>NDMA Arrival +5 yrs, Pumping +20%</c:v>
          </c:tx>
          <c:cat>
            <c:strRef>
              <c:f>'ZERO-LOW-HIGH'!$G$12:$I$12</c:f>
              <c:strCache>
                <c:ptCount val="3"/>
                <c:pt idx="0">
                  <c:v>No</c:v>
                </c:pt>
                <c:pt idx="1">
                  <c:v>Low</c:v>
                </c:pt>
                <c:pt idx="2">
                  <c:v>High</c:v>
                </c:pt>
              </c:strCache>
            </c:strRef>
          </c:cat>
          <c:val>
            <c:numRef>
              <c:f>('ZERO-LOW-HIGH'!$D$46,'ZERO-LOW-HIGH'!$G$45,'ZERO-LOW-HIGH'!$M$45)</c:f>
              <c:numCache>
                <c:formatCode>0.00</c:formatCode>
                <c:ptCount val="3"/>
                <c:pt idx="0" formatCode="General">
                  <c:v>1</c:v>
                </c:pt>
                <c:pt idx="1">
                  <c:v>0.48</c:v>
                </c:pt>
                <c:pt idx="2">
                  <c:v>0.79200000000000004</c:v>
                </c:pt>
              </c:numCache>
            </c:numRef>
          </c:val>
          <c:smooth val="0"/>
          <c:extLst>
            <c:ext xmlns:c16="http://schemas.microsoft.com/office/drawing/2014/chart" uri="{C3380CC4-5D6E-409C-BE32-E72D297353CC}">
              <c16:uniqueId val="{00000007-D092-4FB0-BB06-519178289AB5}"/>
            </c:ext>
          </c:extLst>
        </c:ser>
        <c:ser>
          <c:idx val="8"/>
          <c:order val="8"/>
          <c:tx>
            <c:v>Base Model</c:v>
          </c:tx>
          <c:cat>
            <c:strRef>
              <c:f>'ZERO-LOW-HIGH'!$G$12:$I$12</c:f>
              <c:strCache>
                <c:ptCount val="3"/>
                <c:pt idx="0">
                  <c:v>No</c:v>
                </c:pt>
                <c:pt idx="1">
                  <c:v>Low</c:v>
                </c:pt>
                <c:pt idx="2">
                  <c:v>High</c:v>
                </c:pt>
              </c:strCache>
            </c:strRef>
          </c:cat>
          <c:val>
            <c:numRef>
              <c:f>('ZERO-LOW-HIGH'!$D$46,'ZERO-LOW-HIGH'!$G$47,'ZERO-LOW-HIGH'!$M$47)</c:f>
              <c:numCache>
                <c:formatCode>0.00</c:formatCode>
                <c:ptCount val="3"/>
                <c:pt idx="0" formatCode="General">
                  <c:v>1</c:v>
                </c:pt>
                <c:pt idx="1">
                  <c:v>0.4</c:v>
                </c:pt>
                <c:pt idx="2">
                  <c:v>0.9</c:v>
                </c:pt>
              </c:numCache>
            </c:numRef>
          </c:val>
          <c:smooth val="0"/>
          <c:extLst>
            <c:ext xmlns:c16="http://schemas.microsoft.com/office/drawing/2014/chart" uri="{C3380CC4-5D6E-409C-BE32-E72D297353CC}">
              <c16:uniqueId val="{00000008-D092-4FB0-BB06-519178289AB5}"/>
            </c:ext>
          </c:extLst>
        </c:ser>
        <c:dLbls>
          <c:showLegendKey val="0"/>
          <c:showVal val="0"/>
          <c:showCatName val="0"/>
          <c:showSerName val="0"/>
          <c:showPercent val="0"/>
          <c:showBubbleSize val="0"/>
        </c:dLbls>
        <c:marker val="1"/>
        <c:smooth val="0"/>
        <c:axId val="98861824"/>
        <c:axId val="98863360"/>
      </c:lineChart>
      <c:catAx>
        <c:axId val="98861824"/>
        <c:scaling>
          <c:orientation val="minMax"/>
        </c:scaling>
        <c:delete val="0"/>
        <c:axPos val="b"/>
        <c:numFmt formatCode="General" sourceLinked="0"/>
        <c:majorTickMark val="out"/>
        <c:minorTickMark val="none"/>
        <c:tickLblPos val="nextTo"/>
        <c:txPr>
          <a:bodyPr/>
          <a:lstStyle/>
          <a:p>
            <a:pPr>
              <a:defRPr sz="1050"/>
            </a:pPr>
            <a:endParaRPr lang="en-US"/>
          </a:p>
        </c:txPr>
        <c:crossAx val="98863360"/>
        <c:crosses val="autoZero"/>
        <c:auto val="1"/>
        <c:lblAlgn val="ctr"/>
        <c:lblOffset val="100"/>
        <c:noMultiLvlLbl val="0"/>
      </c:catAx>
      <c:valAx>
        <c:axId val="98863360"/>
        <c:scaling>
          <c:orientation val="minMax"/>
        </c:scaling>
        <c:delete val="0"/>
        <c:axPos val="l"/>
        <c:majorGridlines/>
        <c:title>
          <c:tx>
            <c:rich>
              <a:bodyPr rot="-5400000" vert="horz"/>
              <a:lstStyle/>
              <a:p>
                <a:pPr>
                  <a:defRPr sz="1050"/>
                </a:pPr>
                <a:r>
                  <a:rPr lang="en-US" sz="1050"/>
                  <a:t>Odds Ratios</a:t>
                </a:r>
              </a:p>
            </c:rich>
          </c:tx>
          <c:overlay val="0"/>
        </c:title>
        <c:numFmt formatCode="#,##0.00" sourceLinked="0"/>
        <c:majorTickMark val="out"/>
        <c:minorTickMark val="none"/>
        <c:tickLblPos val="nextTo"/>
        <c:txPr>
          <a:bodyPr/>
          <a:lstStyle/>
          <a:p>
            <a:pPr>
              <a:defRPr sz="1050"/>
            </a:pPr>
            <a:endParaRPr lang="en-US"/>
          </a:p>
        </c:txPr>
        <c:crossAx val="98861824"/>
        <c:crosses val="autoZero"/>
        <c:crossBetween val="between"/>
      </c:valAx>
    </c:plotArea>
    <c:legend>
      <c:legendPos val="r"/>
      <c:layout>
        <c:manualLayout>
          <c:xMode val="edge"/>
          <c:yMode val="edge"/>
          <c:x val="0.74287250151423379"/>
          <c:y val="5.4260741226129547E-2"/>
          <c:w val="0.24430698566525338"/>
          <c:h val="0.89147851754774088"/>
        </c:manualLayout>
      </c:layout>
      <c:overlay val="0"/>
      <c:txPr>
        <a:bodyPr/>
        <a:lstStyle/>
        <a:p>
          <a:pPr>
            <a:defRPr sz="105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General</c:formatCode>
                <c:ptCount val="15"/>
                <c:pt idx="0">
                  <c:v>0</c:v>
                </c:pt>
                <c:pt idx="1">
                  <c:v>2</c:v>
                </c:pt>
                <c:pt idx="2">
                  <c:v>0</c:v>
                </c:pt>
                <c:pt idx="3">
                  <c:v>0</c:v>
                </c:pt>
                <c:pt idx="4">
                  <c:v>2</c:v>
                </c:pt>
                <c:pt idx="5">
                  <c:v>1</c:v>
                </c:pt>
                <c:pt idx="6">
                  <c:v>0</c:v>
                </c:pt>
                <c:pt idx="7">
                  <c:v>0</c:v>
                </c:pt>
                <c:pt idx="8">
                  <c:v>1</c:v>
                </c:pt>
                <c:pt idx="9">
                  <c:v>0</c:v>
                </c:pt>
                <c:pt idx="10">
                  <c:v>2</c:v>
                </c:pt>
                <c:pt idx="11">
                  <c:v>2</c:v>
                </c:pt>
                <c:pt idx="12">
                  <c:v>1</c:v>
                </c:pt>
                <c:pt idx="13">
                  <c:v>1</c:v>
                </c:pt>
                <c:pt idx="14">
                  <c:v>0</c:v>
                </c:pt>
              </c:numCache>
            </c:numRef>
          </c:val>
          <c:extLst>
            <c:ext xmlns:c16="http://schemas.microsoft.com/office/drawing/2014/chart" uri="{C3380CC4-5D6E-409C-BE32-E72D297353CC}">
              <c16:uniqueId val="{00000000-BC69-473D-8FCC-6731A14B7BBC}"/>
            </c:ext>
          </c:extLst>
        </c:ser>
        <c:dLbls>
          <c:showLegendKey val="0"/>
          <c:showVal val="0"/>
          <c:showCatName val="0"/>
          <c:showSerName val="0"/>
          <c:showPercent val="0"/>
          <c:showBubbleSize val="0"/>
        </c:dLbls>
        <c:gapWidth val="150"/>
        <c:axId val="96571776"/>
        <c:axId val="96573312"/>
      </c:barChart>
      <c:catAx>
        <c:axId val="96571776"/>
        <c:scaling>
          <c:orientation val="minMax"/>
        </c:scaling>
        <c:delete val="0"/>
        <c:axPos val="b"/>
        <c:numFmt formatCode="General" sourceLinked="1"/>
        <c:majorTickMark val="out"/>
        <c:minorTickMark val="none"/>
        <c:tickLblPos val="nextTo"/>
        <c:txPr>
          <a:bodyPr/>
          <a:lstStyle/>
          <a:p>
            <a:pPr>
              <a:defRPr sz="1050"/>
            </a:pPr>
            <a:endParaRPr lang="en-US"/>
          </a:p>
        </c:txPr>
        <c:crossAx val="96573312"/>
        <c:crosses val="autoZero"/>
        <c:auto val="1"/>
        <c:lblAlgn val="ctr"/>
        <c:lblOffset val="100"/>
        <c:noMultiLvlLbl val="0"/>
      </c:catAx>
      <c:valAx>
        <c:axId val="96573312"/>
        <c:scaling>
          <c:orientation val="minMax"/>
          <c:max val="7"/>
        </c:scaling>
        <c:delete val="0"/>
        <c:axPos val="l"/>
        <c:majorGridlines/>
        <c:title>
          <c:tx>
            <c:rich>
              <a:bodyPr rot="-5400000" vert="horz"/>
              <a:lstStyle/>
              <a:p>
                <a:pPr>
                  <a:defRPr sz="1050"/>
                </a:pPr>
                <a:r>
                  <a:rPr lang="en-US" sz="1050" b="0"/>
                  <a:t>Number</a:t>
                </a:r>
                <a:r>
                  <a:rPr lang="en-US" sz="1050" b="0" baseline="0"/>
                  <a:t> of Cases Diagnosed</a:t>
                </a:r>
                <a:endParaRPr lang="en-US" sz="1050" b="0"/>
              </a:p>
            </c:rich>
          </c:tx>
          <c:overlay val="0"/>
        </c:title>
        <c:numFmt formatCode="General" sourceLinked="1"/>
        <c:majorTickMark val="out"/>
        <c:minorTickMark val="none"/>
        <c:tickLblPos val="nextTo"/>
        <c:txPr>
          <a:bodyPr/>
          <a:lstStyle/>
          <a:p>
            <a:pPr>
              <a:defRPr sz="1050"/>
            </a:pPr>
            <a:endParaRPr lang="en-US"/>
          </a:p>
        </c:txPr>
        <c:crossAx val="96571776"/>
        <c:crosses val="autoZero"/>
        <c:crossBetween val="between"/>
        <c:maj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40834153747092E-2"/>
          <c:y val="0.19290486517035191"/>
          <c:w val="0.88597503780074083"/>
          <c:h val="0.61197405502318525"/>
        </c:manualLayout>
      </c:layout>
      <c:barChart>
        <c:barDir val="col"/>
        <c:grouping val="clustered"/>
        <c:varyColors val="0"/>
        <c:ser>
          <c:idx val="1"/>
          <c:order val="0"/>
          <c:spPr>
            <a:solidFill>
              <a:srgbClr val="993366"/>
            </a:solidFill>
            <a:ln w="12700">
              <a:solidFill>
                <a:srgbClr val="000000"/>
              </a:solidFill>
              <a:prstDash val="solid"/>
            </a:ln>
          </c:spPr>
          <c:invertIfNegative val="0"/>
          <c:cat>
            <c:strRef>
              <c:f>'No. of Matched Controls'!$C$10:$C$13</c:f>
              <c:strCache>
                <c:ptCount val="4"/>
                <c:pt idx="0">
                  <c:v>1:3</c:v>
                </c:pt>
                <c:pt idx="1">
                  <c:v>1:4</c:v>
                </c:pt>
                <c:pt idx="2">
                  <c:v>1:5</c:v>
                </c:pt>
                <c:pt idx="3">
                  <c:v>1:6</c:v>
                </c:pt>
              </c:strCache>
            </c:strRef>
          </c:cat>
          <c:val>
            <c:numRef>
              <c:f>'No. of Matched Controls'!$E$10:$E$13</c:f>
              <c:numCache>
                <c:formatCode>General</c:formatCode>
                <c:ptCount val="4"/>
                <c:pt idx="0">
                  <c:v>3</c:v>
                </c:pt>
                <c:pt idx="1">
                  <c:v>11</c:v>
                </c:pt>
                <c:pt idx="2">
                  <c:v>3</c:v>
                </c:pt>
                <c:pt idx="3">
                  <c:v>1</c:v>
                </c:pt>
              </c:numCache>
            </c:numRef>
          </c:val>
          <c:extLst>
            <c:ext xmlns:c16="http://schemas.microsoft.com/office/drawing/2014/chart" uri="{C3380CC4-5D6E-409C-BE32-E72D297353CC}">
              <c16:uniqueId val="{00000000-4459-4C9E-A818-6CA9EB189E48}"/>
            </c:ext>
          </c:extLst>
        </c:ser>
        <c:dLbls>
          <c:showLegendKey val="0"/>
          <c:showVal val="0"/>
          <c:showCatName val="0"/>
          <c:showSerName val="0"/>
          <c:showPercent val="0"/>
          <c:showBubbleSize val="0"/>
        </c:dLbls>
        <c:gapWidth val="150"/>
        <c:axId val="96627712"/>
        <c:axId val="96654464"/>
      </c:barChart>
      <c:catAx>
        <c:axId val="96627712"/>
        <c:scaling>
          <c:orientation val="minMax"/>
        </c:scaling>
        <c:delete val="0"/>
        <c:axPos val="b"/>
        <c:title>
          <c:tx>
            <c:rich>
              <a:bodyPr/>
              <a:lstStyle/>
              <a:p>
                <a:pPr>
                  <a:defRPr sz="1050" b="1" i="0" u="none" strike="noStrike" baseline="0">
                    <a:solidFill>
                      <a:srgbClr val="000000"/>
                    </a:solidFill>
                    <a:latin typeface="+mn-lt"/>
                    <a:ea typeface="Arial"/>
                    <a:cs typeface="Arial"/>
                  </a:defRPr>
                </a:pPr>
                <a:r>
                  <a:rPr lang="en-US" sz="1050">
                    <a:latin typeface="+mn-lt"/>
                  </a:rPr>
                  <a:t>Case:Matched-Control Ratio</a:t>
                </a:r>
              </a:p>
            </c:rich>
          </c:tx>
          <c:layout>
            <c:manualLayout>
              <c:xMode val="edge"/>
              <c:yMode val="edge"/>
              <c:x val="0.38178224273689926"/>
              <c:y val="0.907291666666666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mn-lt"/>
                <a:ea typeface="Arial"/>
                <a:cs typeface="Arial"/>
              </a:defRPr>
            </a:pPr>
            <a:endParaRPr lang="en-US"/>
          </a:p>
        </c:txPr>
        <c:crossAx val="96654464"/>
        <c:crosses val="autoZero"/>
        <c:auto val="1"/>
        <c:lblAlgn val="ctr"/>
        <c:lblOffset val="100"/>
        <c:tickLblSkip val="1"/>
        <c:tickMarkSkip val="1"/>
        <c:noMultiLvlLbl val="0"/>
      </c:catAx>
      <c:valAx>
        <c:axId val="96654464"/>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mn-lt"/>
                    <a:ea typeface="Arial"/>
                    <a:cs typeface="Arial"/>
                  </a:defRPr>
                </a:pPr>
                <a:r>
                  <a:rPr lang="en-US" sz="1050">
                    <a:latin typeface="+mn-lt"/>
                  </a:rPr>
                  <a:t>Number of Cases</a:t>
                </a:r>
              </a:p>
            </c:rich>
          </c:tx>
          <c:layout>
            <c:manualLayout>
              <c:xMode val="edge"/>
              <c:yMode val="edge"/>
              <c:x val="2.1664770227420992E-2"/>
              <c:y val="0.3813750867348477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mn-lt"/>
                <a:ea typeface="Arial"/>
                <a:cs typeface="Arial"/>
              </a:defRPr>
            </a:pPr>
            <a:endParaRPr lang="en-US"/>
          </a:p>
        </c:txPr>
        <c:crossAx val="96627712"/>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8561141395788"/>
          <c:y val="4.4481248738138503E-2"/>
          <c:w val="0.87581011508176865"/>
          <c:h val="0.72129738289925294"/>
        </c:manualLayout>
      </c:layout>
      <c:barChart>
        <c:barDir val="col"/>
        <c:grouping val="clustered"/>
        <c:varyColors val="0"/>
        <c:ser>
          <c:idx val="0"/>
          <c:order val="0"/>
          <c:tx>
            <c:v>Frequency</c:v>
          </c:tx>
          <c:invertIfNegative val="0"/>
          <c:cat>
            <c:strRef>
              <c:f>ave_moms_histogram!$A$2:$A$10</c:f>
              <c:strCache>
                <c:ptCount val="9"/>
                <c:pt idx="0">
                  <c:v>0</c:v>
                </c:pt>
                <c:pt idx="1">
                  <c:v>&gt; 0 - 10</c:v>
                </c:pt>
                <c:pt idx="2">
                  <c:v>&gt;10 - 20</c:v>
                </c:pt>
                <c:pt idx="3">
                  <c:v>&gt;20 - 30</c:v>
                </c:pt>
                <c:pt idx="4">
                  <c:v>&gt;30 - 40</c:v>
                </c:pt>
                <c:pt idx="5">
                  <c:v>&gt;40 - 50</c:v>
                </c:pt>
                <c:pt idx="6">
                  <c:v>&gt;50 - 60</c:v>
                </c:pt>
                <c:pt idx="7">
                  <c:v>&gt;60 - 70</c:v>
                </c:pt>
                <c:pt idx="8">
                  <c:v>&gt;70 - 80</c:v>
                </c:pt>
              </c:strCache>
            </c:strRef>
          </c:cat>
          <c:val>
            <c:numRef>
              <c:f>ave_moms_histogram!$B$2:$B$10</c:f>
              <c:numCache>
                <c:formatCode>General</c:formatCode>
                <c:ptCount val="9"/>
                <c:pt idx="0">
                  <c:v>58</c:v>
                </c:pt>
                <c:pt idx="1">
                  <c:v>0</c:v>
                </c:pt>
                <c:pt idx="2">
                  <c:v>2</c:v>
                </c:pt>
                <c:pt idx="3">
                  <c:v>4</c:v>
                </c:pt>
                <c:pt idx="4">
                  <c:v>3</c:v>
                </c:pt>
                <c:pt idx="5">
                  <c:v>10</c:v>
                </c:pt>
                <c:pt idx="6">
                  <c:v>13</c:v>
                </c:pt>
                <c:pt idx="7">
                  <c:v>1</c:v>
                </c:pt>
                <c:pt idx="8">
                  <c:v>1</c:v>
                </c:pt>
              </c:numCache>
            </c:numRef>
          </c:val>
          <c:extLst>
            <c:ext xmlns:c16="http://schemas.microsoft.com/office/drawing/2014/chart" uri="{C3380CC4-5D6E-409C-BE32-E72D297353CC}">
              <c16:uniqueId val="{00000000-860D-407F-98E8-01FB0C25A56A}"/>
            </c:ext>
          </c:extLst>
        </c:ser>
        <c:dLbls>
          <c:showLegendKey val="0"/>
          <c:showVal val="0"/>
          <c:showCatName val="0"/>
          <c:showSerName val="0"/>
          <c:showPercent val="0"/>
          <c:showBubbleSize val="0"/>
        </c:dLbls>
        <c:gapWidth val="150"/>
        <c:axId val="96699136"/>
        <c:axId val="96701056"/>
      </c:barChart>
      <c:catAx>
        <c:axId val="96699136"/>
        <c:scaling>
          <c:orientation val="minMax"/>
        </c:scaling>
        <c:delete val="0"/>
        <c:axPos val="b"/>
        <c:title>
          <c:tx>
            <c:rich>
              <a:bodyPr/>
              <a:lstStyle/>
              <a:p>
                <a:pPr>
                  <a:defRPr sz="1050"/>
                </a:pPr>
                <a:r>
                  <a:rPr lang="en-US" sz="1050"/>
                  <a:t>Average NDMA concentration in drinking water</a:t>
                </a:r>
              </a:p>
              <a:p>
                <a:pPr>
                  <a:defRPr sz="1050"/>
                </a:pPr>
                <a:r>
                  <a:rPr lang="en-US" sz="1050" b="1" i="0" u="none" strike="noStrike" baseline="0">
                    <a:effectLst/>
                  </a:rPr>
                  <a:t>during the 12 months prior to birth</a:t>
                </a:r>
                <a:r>
                  <a:rPr lang="en-US" sz="1050"/>
                  <a:t>, ng/L</a:t>
                </a:r>
              </a:p>
            </c:rich>
          </c:tx>
          <c:layout>
            <c:manualLayout>
              <c:xMode val="edge"/>
              <c:yMode val="edge"/>
              <c:x val="0.32226759271340122"/>
              <c:y val="0.8637003457500505"/>
            </c:manualLayout>
          </c:layout>
          <c:overlay val="0"/>
        </c:title>
        <c:numFmt formatCode="General" sourceLinked="1"/>
        <c:majorTickMark val="out"/>
        <c:minorTickMark val="none"/>
        <c:tickLblPos val="nextTo"/>
        <c:txPr>
          <a:bodyPr/>
          <a:lstStyle/>
          <a:p>
            <a:pPr>
              <a:defRPr sz="1050"/>
            </a:pPr>
            <a:endParaRPr lang="en-US"/>
          </a:p>
        </c:txPr>
        <c:crossAx val="96701056"/>
        <c:crosses val="autoZero"/>
        <c:auto val="1"/>
        <c:lblAlgn val="ctr"/>
        <c:lblOffset val="100"/>
        <c:noMultiLvlLbl val="0"/>
      </c:catAx>
      <c:valAx>
        <c:axId val="96701056"/>
        <c:scaling>
          <c:orientation val="minMax"/>
        </c:scaling>
        <c:delete val="0"/>
        <c:axPos val="l"/>
        <c:title>
          <c:tx>
            <c:rich>
              <a:bodyPr/>
              <a:lstStyle/>
              <a:p>
                <a:pPr>
                  <a:defRPr sz="1050"/>
                </a:pPr>
                <a:r>
                  <a:rPr lang="en-US" sz="1050"/>
                  <a:t>Number</a:t>
                </a:r>
                <a:r>
                  <a:rPr lang="en-US" sz="1050" baseline="0"/>
                  <a:t> of study mothers</a:t>
                </a:r>
                <a:endParaRPr lang="en-US" sz="1050"/>
              </a:p>
            </c:rich>
          </c:tx>
          <c:overlay val="0"/>
        </c:title>
        <c:numFmt formatCode="General" sourceLinked="1"/>
        <c:majorTickMark val="out"/>
        <c:minorTickMark val="none"/>
        <c:tickLblPos val="nextTo"/>
        <c:txPr>
          <a:bodyPr/>
          <a:lstStyle/>
          <a:p>
            <a:pPr>
              <a:defRPr sz="1050"/>
            </a:pPr>
            <a:endParaRPr lang="en-US"/>
          </a:p>
        </c:txPr>
        <c:crossAx val="966991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12107140453604E-2"/>
          <c:y val="4.4481281945020039E-2"/>
          <c:w val="0.87581011508176865"/>
          <c:h val="0.72129738289925294"/>
        </c:manualLayout>
      </c:layout>
      <c:barChart>
        <c:barDir val="col"/>
        <c:grouping val="clustered"/>
        <c:varyColors val="0"/>
        <c:ser>
          <c:idx val="0"/>
          <c:order val="0"/>
          <c:tx>
            <c:v>Frequency</c:v>
          </c:tx>
          <c:invertIfNegative val="0"/>
          <c:cat>
            <c:strRef>
              <c:f>ave_kids_histogram!$A$2:$A$10</c:f>
              <c:strCache>
                <c:ptCount val="9"/>
                <c:pt idx="0">
                  <c:v>0</c:v>
                </c:pt>
                <c:pt idx="1">
                  <c:v>&gt; 0 - 10</c:v>
                </c:pt>
                <c:pt idx="2">
                  <c:v>&gt;10 - 20</c:v>
                </c:pt>
                <c:pt idx="3">
                  <c:v>&gt;20 - 30</c:v>
                </c:pt>
                <c:pt idx="4">
                  <c:v>&gt;30 - 40</c:v>
                </c:pt>
                <c:pt idx="5">
                  <c:v>&gt;40 - 50</c:v>
                </c:pt>
                <c:pt idx="6">
                  <c:v>&gt;50 - 60</c:v>
                </c:pt>
                <c:pt idx="7">
                  <c:v>&gt;60 - 70</c:v>
                </c:pt>
                <c:pt idx="8">
                  <c:v>&gt;70 - 80</c:v>
                </c:pt>
              </c:strCache>
            </c:strRef>
          </c:cat>
          <c:val>
            <c:numRef>
              <c:f>ave_kids_histogram!$B$2:$B$10</c:f>
              <c:numCache>
                <c:formatCode>General</c:formatCode>
                <c:ptCount val="9"/>
                <c:pt idx="0">
                  <c:v>16</c:v>
                </c:pt>
                <c:pt idx="1">
                  <c:v>3</c:v>
                </c:pt>
                <c:pt idx="2">
                  <c:v>11</c:v>
                </c:pt>
                <c:pt idx="3">
                  <c:v>11</c:v>
                </c:pt>
                <c:pt idx="4">
                  <c:v>12</c:v>
                </c:pt>
                <c:pt idx="5">
                  <c:v>17</c:v>
                </c:pt>
                <c:pt idx="6">
                  <c:v>16</c:v>
                </c:pt>
                <c:pt idx="7">
                  <c:v>3</c:v>
                </c:pt>
                <c:pt idx="8">
                  <c:v>3</c:v>
                </c:pt>
              </c:numCache>
            </c:numRef>
          </c:val>
          <c:extLst>
            <c:ext xmlns:c16="http://schemas.microsoft.com/office/drawing/2014/chart" uri="{C3380CC4-5D6E-409C-BE32-E72D297353CC}">
              <c16:uniqueId val="{00000000-0548-4634-93C2-4C0A73703C41}"/>
            </c:ext>
          </c:extLst>
        </c:ser>
        <c:dLbls>
          <c:showLegendKey val="0"/>
          <c:showVal val="0"/>
          <c:showCatName val="0"/>
          <c:showSerName val="0"/>
          <c:showPercent val="0"/>
          <c:showBubbleSize val="0"/>
        </c:dLbls>
        <c:gapWidth val="150"/>
        <c:axId val="96713344"/>
        <c:axId val="96719616"/>
      </c:barChart>
      <c:catAx>
        <c:axId val="96713344"/>
        <c:scaling>
          <c:orientation val="minMax"/>
        </c:scaling>
        <c:delete val="0"/>
        <c:axPos val="b"/>
        <c:title>
          <c:tx>
            <c:rich>
              <a:bodyPr/>
              <a:lstStyle/>
              <a:p>
                <a:pPr>
                  <a:defRPr sz="1050"/>
                </a:pPr>
                <a:r>
                  <a:rPr lang="en-US" sz="1050"/>
                  <a:t>Average NDMA concentration in drinking water</a:t>
                </a:r>
              </a:p>
              <a:p>
                <a:pPr>
                  <a:defRPr sz="1050"/>
                </a:pPr>
                <a:r>
                  <a:rPr lang="en-US" sz="1050" baseline="0"/>
                  <a:t> from birth to diagnosis/reference date</a:t>
                </a:r>
                <a:r>
                  <a:rPr lang="en-US" sz="1050"/>
                  <a:t>, ng/L</a:t>
                </a:r>
              </a:p>
            </c:rich>
          </c:tx>
          <c:overlay val="0"/>
        </c:title>
        <c:numFmt formatCode="General" sourceLinked="1"/>
        <c:majorTickMark val="out"/>
        <c:minorTickMark val="none"/>
        <c:tickLblPos val="nextTo"/>
        <c:txPr>
          <a:bodyPr/>
          <a:lstStyle/>
          <a:p>
            <a:pPr>
              <a:defRPr sz="1050"/>
            </a:pPr>
            <a:endParaRPr lang="en-US"/>
          </a:p>
        </c:txPr>
        <c:crossAx val="96719616"/>
        <c:crosses val="autoZero"/>
        <c:auto val="1"/>
        <c:lblAlgn val="ctr"/>
        <c:lblOffset val="100"/>
        <c:noMultiLvlLbl val="0"/>
      </c:catAx>
      <c:valAx>
        <c:axId val="96719616"/>
        <c:scaling>
          <c:orientation val="minMax"/>
          <c:max val="70"/>
        </c:scaling>
        <c:delete val="0"/>
        <c:axPos val="l"/>
        <c:title>
          <c:tx>
            <c:rich>
              <a:bodyPr/>
              <a:lstStyle/>
              <a:p>
                <a:pPr>
                  <a:defRPr sz="1050"/>
                </a:pPr>
                <a:r>
                  <a:rPr lang="en-US" sz="1050"/>
                  <a:t>Number of study participants</a:t>
                </a:r>
              </a:p>
            </c:rich>
          </c:tx>
          <c:overlay val="0"/>
        </c:title>
        <c:numFmt formatCode="General" sourceLinked="1"/>
        <c:majorTickMark val="out"/>
        <c:minorTickMark val="none"/>
        <c:tickLblPos val="nextTo"/>
        <c:txPr>
          <a:bodyPr/>
          <a:lstStyle/>
          <a:p>
            <a:pPr>
              <a:defRPr sz="1050"/>
            </a:pPr>
            <a:endParaRPr lang="en-US"/>
          </a:p>
        </c:txPr>
        <c:crossAx val="967133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81219508578377"/>
          <c:y val="4.047444590259551E-2"/>
          <c:w val="0.81328840250900836"/>
          <c:h val="0.83337607799288582"/>
        </c:manualLayout>
      </c:layout>
      <c:lineChart>
        <c:grouping val="standard"/>
        <c:varyColors val="0"/>
        <c:ser>
          <c:idx val="0"/>
          <c:order val="0"/>
          <c:tx>
            <c:v>Monthly Ave Kids</c:v>
          </c:tx>
          <c:spPr>
            <a:ln>
              <a:noFill/>
            </a:ln>
          </c:spPr>
          <c:marker>
            <c:symbol val="circle"/>
            <c:size val="9"/>
            <c:spPr>
              <a:solidFill>
                <a:schemeClr val="tx2"/>
              </a:solidFill>
            </c:spPr>
          </c:marker>
          <c:dPt>
            <c:idx val="3"/>
            <c:marker>
              <c:spPr>
                <a:solidFill>
                  <a:schemeClr val="tx2">
                    <a:lumMod val="40000"/>
                    <a:lumOff val="60000"/>
                  </a:schemeClr>
                </a:solidFill>
              </c:spPr>
            </c:marker>
            <c:bubble3D val="0"/>
            <c:extLst>
              <c:ext xmlns:c16="http://schemas.microsoft.com/office/drawing/2014/chart" uri="{C3380CC4-5D6E-409C-BE32-E72D297353CC}">
                <c16:uniqueId val="{00000000-1D23-4AD6-ACD2-CA08EEC5ED1E}"/>
              </c:ext>
            </c:extLst>
          </c:dPt>
          <c:dPt>
            <c:idx val="4"/>
            <c:marker>
              <c:spPr>
                <a:solidFill>
                  <a:schemeClr val="tx2">
                    <a:lumMod val="40000"/>
                    <a:lumOff val="60000"/>
                  </a:schemeClr>
                </a:solidFill>
              </c:spPr>
            </c:marker>
            <c:bubble3D val="0"/>
            <c:extLst>
              <c:ext xmlns:c16="http://schemas.microsoft.com/office/drawing/2014/chart" uri="{C3380CC4-5D6E-409C-BE32-E72D297353CC}">
                <c16:uniqueId val="{00000001-1D23-4AD6-ACD2-CA08EEC5ED1E}"/>
              </c:ext>
            </c:extLst>
          </c:dPt>
          <c:dPt>
            <c:idx val="5"/>
            <c:marker>
              <c:spPr>
                <a:solidFill>
                  <a:schemeClr val="tx2">
                    <a:lumMod val="40000"/>
                    <a:lumOff val="60000"/>
                  </a:schemeClr>
                </a:solidFill>
              </c:spPr>
            </c:marker>
            <c:bubble3D val="0"/>
            <c:extLst>
              <c:ext xmlns:c16="http://schemas.microsoft.com/office/drawing/2014/chart" uri="{C3380CC4-5D6E-409C-BE32-E72D297353CC}">
                <c16:uniqueId val="{00000002-1D23-4AD6-ACD2-CA08EEC5ED1E}"/>
              </c:ext>
            </c:extLst>
          </c:dPt>
          <c:dPt>
            <c:idx val="6"/>
            <c:bubble3D val="0"/>
            <c:extLst>
              <c:ext xmlns:c16="http://schemas.microsoft.com/office/drawing/2014/chart" uri="{C3380CC4-5D6E-409C-BE32-E72D297353CC}">
                <c16:uniqueId val="{00000003-1D23-4AD6-ACD2-CA08EEC5ED1E}"/>
              </c:ext>
            </c:extLst>
          </c:dPt>
          <c:dPt>
            <c:idx val="7"/>
            <c:bubble3D val="0"/>
            <c:extLst>
              <c:ext xmlns:c16="http://schemas.microsoft.com/office/drawing/2014/chart" uri="{C3380CC4-5D6E-409C-BE32-E72D297353CC}">
                <c16:uniqueId val="{00000004-1D23-4AD6-ACD2-CA08EEC5ED1E}"/>
              </c:ext>
            </c:extLst>
          </c:dPt>
          <c:dPt>
            <c:idx val="8"/>
            <c:bubble3D val="0"/>
            <c:extLst>
              <c:ext xmlns:c16="http://schemas.microsoft.com/office/drawing/2014/chart" uri="{C3380CC4-5D6E-409C-BE32-E72D297353CC}">
                <c16:uniqueId val="{00000005-1D23-4AD6-ACD2-CA08EEC5ED1E}"/>
              </c:ext>
            </c:extLst>
          </c:dPt>
          <c:dPt>
            <c:idx val="9"/>
            <c:marker>
              <c:spPr>
                <a:solidFill>
                  <a:schemeClr val="tx2">
                    <a:lumMod val="40000"/>
                    <a:lumOff val="60000"/>
                  </a:schemeClr>
                </a:solidFill>
              </c:spPr>
            </c:marker>
            <c:bubble3D val="0"/>
            <c:extLst>
              <c:ext xmlns:c16="http://schemas.microsoft.com/office/drawing/2014/chart" uri="{C3380CC4-5D6E-409C-BE32-E72D297353CC}">
                <c16:uniqueId val="{00000006-1D23-4AD6-ACD2-CA08EEC5ED1E}"/>
              </c:ext>
            </c:extLst>
          </c:dPt>
          <c:dPt>
            <c:idx val="10"/>
            <c:marker>
              <c:spPr>
                <a:solidFill>
                  <a:schemeClr val="tx2">
                    <a:lumMod val="40000"/>
                    <a:lumOff val="60000"/>
                  </a:schemeClr>
                </a:solidFill>
              </c:spPr>
            </c:marker>
            <c:bubble3D val="0"/>
            <c:extLst>
              <c:ext xmlns:c16="http://schemas.microsoft.com/office/drawing/2014/chart" uri="{C3380CC4-5D6E-409C-BE32-E72D297353CC}">
                <c16:uniqueId val="{00000007-1D23-4AD6-ACD2-CA08EEC5ED1E}"/>
              </c:ext>
            </c:extLst>
          </c:dPt>
          <c:dPt>
            <c:idx val="11"/>
            <c:marker>
              <c:spPr>
                <a:solidFill>
                  <a:schemeClr val="tx2">
                    <a:lumMod val="40000"/>
                    <a:lumOff val="60000"/>
                  </a:schemeClr>
                </a:solidFill>
              </c:spPr>
            </c:marker>
            <c:bubble3D val="0"/>
            <c:extLst>
              <c:ext xmlns:c16="http://schemas.microsoft.com/office/drawing/2014/chart" uri="{C3380CC4-5D6E-409C-BE32-E72D297353CC}">
                <c16:uniqueId val="{00000008-1D23-4AD6-ACD2-CA08EEC5ED1E}"/>
              </c:ext>
            </c:extLst>
          </c:dPt>
          <c:dLbls>
            <c:dLbl>
              <c:idx val="1"/>
              <c:layout>
                <c:manualLayout>
                  <c:x val="-7.5329566854990581E-3"/>
                  <c:y val="-2.31481481481481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23-4AD6-ACD2-CA08EEC5ED1E}"/>
                </c:ext>
              </c:extLst>
            </c:dLbl>
            <c:dLbl>
              <c:idx val="2"/>
              <c:layout>
                <c:manualLayout>
                  <c:x val="-5.6497175141242938E-3"/>
                  <c:y val="-6.9444444444444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23-4AD6-ACD2-CA08EEC5ED1E}"/>
                </c:ext>
              </c:extLst>
            </c:dLbl>
            <c:dLbl>
              <c:idx val="4"/>
              <c:layout>
                <c:manualLayout>
                  <c:x val="-6.3492063492063492E-3"/>
                  <c:y val="-8.6160459269168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23-4AD6-ACD2-CA08EEC5ED1E}"/>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'2019_ave results'!$K$14:$K$25</c:f>
                <c:numCache>
                  <c:formatCode>General</c:formatCode>
                  <c:ptCount val="12"/>
                  <c:pt idx="0">
                    <c:v>0</c:v>
                  </c:pt>
                  <c:pt idx="1">
                    <c:v>4.95</c:v>
                  </c:pt>
                  <c:pt idx="2">
                    <c:v>7.5739999999999998</c:v>
                  </c:pt>
                  <c:pt idx="3">
                    <c:v>0</c:v>
                  </c:pt>
                  <c:pt idx="4">
                    <c:v>1.532</c:v>
                  </c:pt>
                  <c:pt idx="5">
                    <c:v>2.5989999999999998</c:v>
                  </c:pt>
                  <c:pt idx="6">
                    <c:v>0</c:v>
                  </c:pt>
                  <c:pt idx="7">
                    <c:v>7.3490000000000002</c:v>
                  </c:pt>
                  <c:pt idx="8">
                    <c:v>18.850000000000001</c:v>
                  </c:pt>
                  <c:pt idx="9">
                    <c:v>0</c:v>
                  </c:pt>
                  <c:pt idx="10">
                    <c:v>2.0139999999999998</c:v>
                  </c:pt>
                  <c:pt idx="11">
                    <c:v>2.714</c:v>
                  </c:pt>
                </c:numCache>
              </c:numRef>
            </c:plus>
            <c:minus>
              <c:numRef>
                <c:f>'2019_ave results'!$J$14:$J$25</c:f>
                <c:numCache>
                  <c:formatCode>General</c:formatCode>
                  <c:ptCount val="12"/>
                  <c:pt idx="0">
                    <c:v>0</c:v>
                  </c:pt>
                  <c:pt idx="1">
                    <c:v>1.024</c:v>
                  </c:pt>
                  <c:pt idx="2">
                    <c:v>2.1420000000000003</c:v>
                  </c:pt>
                  <c:pt idx="3">
                    <c:v>0</c:v>
                  </c:pt>
                  <c:pt idx="4">
                    <c:v>0.32799999999999996</c:v>
                  </c:pt>
                  <c:pt idx="5">
                    <c:v>0.66100000000000003</c:v>
                  </c:pt>
                  <c:pt idx="6">
                    <c:v>0</c:v>
                  </c:pt>
                  <c:pt idx="7">
                    <c:v>1.1180000000000001</c:v>
                  </c:pt>
                  <c:pt idx="8">
                    <c:v>3.9219999999999997</c:v>
                  </c:pt>
                  <c:pt idx="9">
                    <c:v>0</c:v>
                  </c:pt>
                  <c:pt idx="10">
                    <c:v>0.27700000000000002</c:v>
                  </c:pt>
                  <c:pt idx="11">
                    <c:v>0.47699999999999998</c:v>
                  </c:pt>
                </c:numCache>
              </c:numRef>
            </c:minus>
          </c:errBars>
          <c:cat>
            <c:strRef>
              <c:f>'2019_ave results'!$O$14:$Z$14</c:f>
              <c:strCache>
                <c:ptCount val="12"/>
                <c:pt idx="0">
                  <c:v>No</c:v>
                </c:pt>
                <c:pt idx="1">
                  <c:v>Low</c:v>
                </c:pt>
                <c:pt idx="2">
                  <c:v>High</c:v>
                </c:pt>
                <c:pt idx="3">
                  <c:v>No</c:v>
                </c:pt>
                <c:pt idx="4">
                  <c:v>Low</c:v>
                </c:pt>
                <c:pt idx="5">
                  <c:v>High</c:v>
                </c:pt>
                <c:pt idx="6">
                  <c:v>No</c:v>
                </c:pt>
                <c:pt idx="7">
                  <c:v>Low</c:v>
                </c:pt>
                <c:pt idx="8">
                  <c:v>High</c:v>
                </c:pt>
                <c:pt idx="9">
                  <c:v>No</c:v>
                </c:pt>
                <c:pt idx="10">
                  <c:v>Low</c:v>
                </c:pt>
                <c:pt idx="11">
                  <c:v>High</c:v>
                </c:pt>
              </c:strCache>
            </c:strRef>
          </c:cat>
          <c:val>
            <c:numRef>
              <c:f>('2019_ave results'!$G$13,'2019_ave results'!$I$4,'2019_ave results'!$O$4,'2019_ave results'!$G$13,'2019_ave results'!$I$5,'2019_ave results'!$O$5,'2019_ave results'!$G$13,'2019_ave results'!$I$7,'2019_ave results'!$O$7,'2019_ave results'!$G$13,'2019_ave results'!$I$8,'2019_ave results'!$O$8)</c:f>
              <c:numCache>
                <c:formatCode>0.0</c:formatCode>
                <c:ptCount val="12"/>
                <c:pt idx="0" formatCode="General">
                  <c:v>1</c:v>
                </c:pt>
                <c:pt idx="1">
                  <c:v>1.292</c:v>
                </c:pt>
                <c:pt idx="2">
                  <c:v>2.9870000000000001</c:v>
                </c:pt>
                <c:pt idx="3" formatCode="General">
                  <c:v>1</c:v>
                </c:pt>
                <c:pt idx="4">
                  <c:v>0.41799999999999998</c:v>
                </c:pt>
                <c:pt idx="5">
                  <c:v>0.88600000000000001</c:v>
                </c:pt>
                <c:pt idx="6" formatCode="General">
                  <c:v>1</c:v>
                </c:pt>
                <c:pt idx="7">
                  <c:v>1.3180000000000001</c:v>
                </c:pt>
                <c:pt idx="8">
                  <c:v>4.952</c:v>
                </c:pt>
                <c:pt idx="9" formatCode="General">
                  <c:v>1</c:v>
                </c:pt>
                <c:pt idx="10">
                  <c:v>0.32100000000000001</c:v>
                </c:pt>
                <c:pt idx="11">
                  <c:v>0.57799999999999996</c:v>
                </c:pt>
              </c:numCache>
            </c:numRef>
          </c:val>
          <c:smooth val="0"/>
          <c:extLst>
            <c:ext xmlns:c16="http://schemas.microsoft.com/office/drawing/2014/chart" uri="{C3380CC4-5D6E-409C-BE32-E72D297353CC}">
              <c16:uniqueId val="{0000000B-1D23-4AD6-ACD2-CA08EEC5ED1E}"/>
            </c:ext>
          </c:extLst>
        </c:ser>
        <c:dLbls>
          <c:showLegendKey val="0"/>
          <c:showVal val="0"/>
          <c:showCatName val="0"/>
          <c:showSerName val="0"/>
          <c:showPercent val="0"/>
          <c:showBubbleSize val="0"/>
        </c:dLbls>
        <c:marker val="1"/>
        <c:smooth val="0"/>
        <c:axId val="98641792"/>
        <c:axId val="98643328"/>
      </c:lineChart>
      <c:catAx>
        <c:axId val="98641792"/>
        <c:scaling>
          <c:orientation val="minMax"/>
        </c:scaling>
        <c:delete val="0"/>
        <c:axPos val="b"/>
        <c:numFmt formatCode="General" sourceLinked="0"/>
        <c:majorTickMark val="none"/>
        <c:minorTickMark val="none"/>
        <c:tickLblPos val="low"/>
        <c:spPr>
          <a:noFill/>
          <a:ln w="12700">
            <a:solidFill>
              <a:schemeClr val="tx1"/>
            </a:solidFill>
          </a:ln>
        </c:spPr>
        <c:txPr>
          <a:bodyPr rot="0" anchor="ctr" anchorCtr="1"/>
          <a:lstStyle/>
          <a:p>
            <a:pPr>
              <a:defRPr sz="1050"/>
            </a:pPr>
            <a:endParaRPr lang="en-US"/>
          </a:p>
        </c:txPr>
        <c:crossAx val="98643328"/>
        <c:crossesAt val="1"/>
        <c:auto val="1"/>
        <c:lblAlgn val="ctr"/>
        <c:lblOffset val="10"/>
        <c:noMultiLvlLbl val="0"/>
      </c:catAx>
      <c:valAx>
        <c:axId val="98643328"/>
        <c:scaling>
          <c:logBase val="2.7"/>
          <c:orientation val="minMax"/>
        </c:scaling>
        <c:delete val="0"/>
        <c:axPos val="l"/>
        <c:majorGridlines/>
        <c:title>
          <c:tx>
            <c:rich>
              <a:bodyPr rot="-5400000" vert="horz"/>
              <a:lstStyle/>
              <a:p>
                <a:pPr>
                  <a:defRPr/>
                </a:pPr>
                <a:r>
                  <a:rPr lang="en-US" sz="1100"/>
                  <a:t>Odds ratio</a:t>
                </a:r>
              </a:p>
            </c:rich>
          </c:tx>
          <c:overlay val="0"/>
        </c:title>
        <c:numFmt formatCode="0.00" sourceLinked="0"/>
        <c:majorTickMark val="out"/>
        <c:minorTickMark val="none"/>
        <c:tickLblPos val="nextTo"/>
        <c:spPr>
          <a:noFill/>
          <a:ln w="15875">
            <a:noFill/>
          </a:ln>
        </c:spPr>
        <c:txPr>
          <a:bodyPr/>
          <a:lstStyle/>
          <a:p>
            <a:pPr>
              <a:defRPr sz="1050"/>
            </a:pPr>
            <a:endParaRPr lang="en-US"/>
          </a:p>
        </c:txPr>
        <c:crossAx val="98641792"/>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Frequency</c:v>
          </c:tx>
          <c:invertIfNegative val="0"/>
          <c:cat>
            <c:strRef>
              <c:f>Sheet4!$E$4:$E$14</c:f>
              <c:strCache>
                <c:ptCount val="11"/>
                <c:pt idx="0">
                  <c:v>0</c:v>
                </c:pt>
                <c:pt idx="1">
                  <c:v>&gt;0 - 2</c:v>
                </c:pt>
                <c:pt idx="2">
                  <c:v>&gt;2 - 4</c:v>
                </c:pt>
                <c:pt idx="3">
                  <c:v>&gt;4 - 6</c:v>
                </c:pt>
                <c:pt idx="4">
                  <c:v>&gt;6 - 8</c:v>
                </c:pt>
                <c:pt idx="5">
                  <c:v>&gt;8 - 10</c:v>
                </c:pt>
                <c:pt idx="6">
                  <c:v>&gt;10 - 12</c:v>
                </c:pt>
                <c:pt idx="7">
                  <c:v>&gt;12 - 14</c:v>
                </c:pt>
                <c:pt idx="8">
                  <c:v>&gt;14 - 16</c:v>
                </c:pt>
                <c:pt idx="9">
                  <c:v>&gt;16 - 18</c:v>
                </c:pt>
                <c:pt idx="10">
                  <c:v>&gt;18 - 20</c:v>
                </c:pt>
              </c:strCache>
            </c:strRef>
          </c:cat>
          <c:val>
            <c:numRef>
              <c:f>Sheet4!$F$4:$F$14</c:f>
              <c:numCache>
                <c:formatCode>General</c:formatCode>
                <c:ptCount val="11"/>
                <c:pt idx="0">
                  <c:v>54</c:v>
                </c:pt>
                <c:pt idx="1">
                  <c:v>11</c:v>
                </c:pt>
                <c:pt idx="2">
                  <c:v>0</c:v>
                </c:pt>
                <c:pt idx="3">
                  <c:v>1</c:v>
                </c:pt>
                <c:pt idx="4">
                  <c:v>2</c:v>
                </c:pt>
                <c:pt idx="5">
                  <c:v>0</c:v>
                </c:pt>
                <c:pt idx="6">
                  <c:v>1</c:v>
                </c:pt>
                <c:pt idx="7">
                  <c:v>1</c:v>
                </c:pt>
                <c:pt idx="8">
                  <c:v>1</c:v>
                </c:pt>
                <c:pt idx="9">
                  <c:v>1</c:v>
                </c:pt>
                <c:pt idx="10">
                  <c:v>1</c:v>
                </c:pt>
              </c:numCache>
            </c:numRef>
          </c:val>
          <c:extLst>
            <c:ext xmlns:c16="http://schemas.microsoft.com/office/drawing/2014/chart" uri="{C3380CC4-5D6E-409C-BE32-E72D297353CC}">
              <c16:uniqueId val="{00000000-3410-44DF-8DD4-79BDB11295AD}"/>
            </c:ext>
          </c:extLst>
        </c:ser>
        <c:dLbls>
          <c:showLegendKey val="0"/>
          <c:showVal val="0"/>
          <c:showCatName val="0"/>
          <c:showSerName val="0"/>
          <c:showPercent val="0"/>
          <c:showBubbleSize val="0"/>
        </c:dLbls>
        <c:gapWidth val="150"/>
        <c:axId val="98384896"/>
        <c:axId val="98391168"/>
      </c:barChart>
      <c:catAx>
        <c:axId val="98384896"/>
        <c:scaling>
          <c:orientation val="minMax"/>
        </c:scaling>
        <c:delete val="0"/>
        <c:axPos val="b"/>
        <c:title>
          <c:tx>
            <c:rich>
              <a:bodyPr/>
              <a:lstStyle/>
              <a:p>
                <a:pPr>
                  <a:defRPr sz="1050"/>
                </a:pPr>
                <a:r>
                  <a:rPr lang="en-US" sz="1050"/>
                  <a:t>Average TCE concentration </a:t>
                </a:r>
              </a:p>
              <a:p>
                <a:pPr>
                  <a:defRPr sz="1050"/>
                </a:pPr>
                <a:r>
                  <a:rPr lang="en-US" sz="1050" b="1" i="0" u="none" strike="noStrike" baseline="0">
                    <a:effectLst/>
                  </a:rPr>
                  <a:t>during the 12 months prior to birth</a:t>
                </a:r>
                <a:r>
                  <a:rPr lang="en-US" sz="1050"/>
                  <a:t>, µg/L</a:t>
                </a:r>
              </a:p>
            </c:rich>
          </c:tx>
          <c:overlay val="0"/>
        </c:title>
        <c:numFmt formatCode="General" sourceLinked="0"/>
        <c:majorTickMark val="out"/>
        <c:minorTickMark val="none"/>
        <c:tickLblPos val="nextTo"/>
        <c:txPr>
          <a:bodyPr rot="-2700000"/>
          <a:lstStyle/>
          <a:p>
            <a:pPr>
              <a:defRPr sz="1050"/>
            </a:pPr>
            <a:endParaRPr lang="en-US"/>
          </a:p>
        </c:txPr>
        <c:crossAx val="98391168"/>
        <c:crosses val="autoZero"/>
        <c:auto val="1"/>
        <c:lblAlgn val="ctr"/>
        <c:lblOffset val="100"/>
        <c:noMultiLvlLbl val="0"/>
      </c:catAx>
      <c:valAx>
        <c:axId val="98391168"/>
        <c:scaling>
          <c:orientation val="minMax"/>
        </c:scaling>
        <c:delete val="0"/>
        <c:axPos val="l"/>
        <c:title>
          <c:tx>
            <c:rich>
              <a:bodyPr/>
              <a:lstStyle/>
              <a:p>
                <a:pPr>
                  <a:defRPr sz="1050"/>
                </a:pPr>
                <a:r>
                  <a:rPr lang="en-US" sz="1050"/>
                  <a:t>Number of participants</a:t>
                </a:r>
              </a:p>
            </c:rich>
          </c:tx>
          <c:overlay val="0"/>
        </c:title>
        <c:numFmt formatCode="General" sourceLinked="1"/>
        <c:majorTickMark val="out"/>
        <c:minorTickMark val="none"/>
        <c:tickLblPos val="nextTo"/>
        <c:txPr>
          <a:bodyPr/>
          <a:lstStyle/>
          <a:p>
            <a:pPr>
              <a:defRPr sz="1050"/>
            </a:pPr>
            <a:endParaRPr lang="en-US"/>
          </a:p>
        </c:txPr>
        <c:crossAx val="9838489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Frequency</c:v>
          </c:tx>
          <c:invertIfNegative val="0"/>
          <c:cat>
            <c:strRef>
              <c:f>Sheet4!$Q$5:$Q$15</c:f>
              <c:strCache>
                <c:ptCount val="11"/>
                <c:pt idx="0">
                  <c:v>0</c:v>
                </c:pt>
                <c:pt idx="1">
                  <c:v>&gt;0 - 2</c:v>
                </c:pt>
                <c:pt idx="2">
                  <c:v>&gt;2 - 4</c:v>
                </c:pt>
                <c:pt idx="3">
                  <c:v>&gt;4 - 6</c:v>
                </c:pt>
                <c:pt idx="4">
                  <c:v>&gt;6 - 8</c:v>
                </c:pt>
                <c:pt idx="5">
                  <c:v>&gt;8 - 10</c:v>
                </c:pt>
                <c:pt idx="6">
                  <c:v>&gt;10 - 12</c:v>
                </c:pt>
                <c:pt idx="7">
                  <c:v>&gt;12 - 14</c:v>
                </c:pt>
                <c:pt idx="8">
                  <c:v>&gt;14 - 16</c:v>
                </c:pt>
                <c:pt idx="9">
                  <c:v>&gt;16 - 18</c:v>
                </c:pt>
                <c:pt idx="10">
                  <c:v>&gt;18 - 20</c:v>
                </c:pt>
              </c:strCache>
            </c:strRef>
          </c:cat>
          <c:val>
            <c:numRef>
              <c:f>Sheet4!$R$5:$R$15</c:f>
              <c:numCache>
                <c:formatCode>General</c:formatCode>
                <c:ptCount val="11"/>
                <c:pt idx="0">
                  <c:v>28</c:v>
                </c:pt>
                <c:pt idx="1">
                  <c:v>14</c:v>
                </c:pt>
                <c:pt idx="2">
                  <c:v>3</c:v>
                </c:pt>
                <c:pt idx="3">
                  <c:v>5</c:v>
                </c:pt>
                <c:pt idx="4">
                  <c:v>4</c:v>
                </c:pt>
                <c:pt idx="5">
                  <c:v>4</c:v>
                </c:pt>
                <c:pt idx="6">
                  <c:v>0</c:v>
                </c:pt>
                <c:pt idx="7">
                  <c:v>0</c:v>
                </c:pt>
                <c:pt idx="8">
                  <c:v>0</c:v>
                </c:pt>
                <c:pt idx="9">
                  <c:v>0</c:v>
                </c:pt>
                <c:pt idx="10">
                  <c:v>0</c:v>
                </c:pt>
              </c:numCache>
            </c:numRef>
          </c:val>
          <c:extLst>
            <c:ext xmlns:c16="http://schemas.microsoft.com/office/drawing/2014/chart" uri="{C3380CC4-5D6E-409C-BE32-E72D297353CC}">
              <c16:uniqueId val="{00000000-0857-4A2F-96A2-62F82B30C0DF}"/>
            </c:ext>
          </c:extLst>
        </c:ser>
        <c:dLbls>
          <c:showLegendKey val="0"/>
          <c:showVal val="0"/>
          <c:showCatName val="0"/>
          <c:showSerName val="0"/>
          <c:showPercent val="0"/>
          <c:showBubbleSize val="0"/>
        </c:dLbls>
        <c:gapWidth val="150"/>
        <c:axId val="98407936"/>
        <c:axId val="98409856"/>
      </c:barChart>
      <c:catAx>
        <c:axId val="98407936"/>
        <c:scaling>
          <c:orientation val="minMax"/>
        </c:scaling>
        <c:delete val="0"/>
        <c:axPos val="b"/>
        <c:title>
          <c:tx>
            <c:rich>
              <a:bodyPr/>
              <a:lstStyle/>
              <a:p>
                <a:pPr>
                  <a:defRPr sz="1050"/>
                </a:pPr>
                <a:r>
                  <a:rPr lang="en-US" sz="1050"/>
                  <a:t>Average TCE concentration</a:t>
                </a:r>
              </a:p>
              <a:p>
                <a:pPr>
                  <a:defRPr sz="1050"/>
                </a:pPr>
                <a:r>
                  <a:rPr lang="en-US" sz="1050"/>
                  <a:t>from</a:t>
                </a:r>
                <a:r>
                  <a:rPr lang="en-US" sz="1050" baseline="0"/>
                  <a:t> birth to diagnosis/reference date</a:t>
                </a:r>
                <a:r>
                  <a:rPr lang="en-US" sz="1050"/>
                  <a:t>, µg/L</a:t>
                </a:r>
              </a:p>
            </c:rich>
          </c:tx>
          <c:overlay val="0"/>
        </c:title>
        <c:numFmt formatCode="General" sourceLinked="0"/>
        <c:majorTickMark val="out"/>
        <c:minorTickMark val="none"/>
        <c:tickLblPos val="nextTo"/>
        <c:txPr>
          <a:bodyPr rot="-2700000"/>
          <a:lstStyle/>
          <a:p>
            <a:pPr>
              <a:defRPr sz="1050"/>
            </a:pPr>
            <a:endParaRPr lang="en-US"/>
          </a:p>
        </c:txPr>
        <c:crossAx val="98409856"/>
        <c:crosses val="autoZero"/>
        <c:auto val="1"/>
        <c:lblAlgn val="ctr"/>
        <c:lblOffset val="100"/>
        <c:noMultiLvlLbl val="0"/>
      </c:catAx>
      <c:valAx>
        <c:axId val="98409856"/>
        <c:scaling>
          <c:orientation val="minMax"/>
        </c:scaling>
        <c:delete val="0"/>
        <c:axPos val="l"/>
        <c:title>
          <c:tx>
            <c:rich>
              <a:bodyPr/>
              <a:lstStyle/>
              <a:p>
                <a:pPr>
                  <a:defRPr sz="1050"/>
                </a:pPr>
                <a:r>
                  <a:rPr lang="en-US" sz="1050"/>
                  <a:t>Number of Participants</a:t>
                </a:r>
              </a:p>
            </c:rich>
          </c:tx>
          <c:overlay val="0"/>
        </c:title>
        <c:numFmt formatCode="General" sourceLinked="1"/>
        <c:majorTickMark val="out"/>
        <c:minorTickMark val="none"/>
        <c:tickLblPos val="nextTo"/>
        <c:txPr>
          <a:bodyPr/>
          <a:lstStyle/>
          <a:p>
            <a:pPr>
              <a:defRPr sz="1050"/>
            </a:pPr>
            <a:endParaRPr lang="en-US"/>
          </a:p>
        </c:txPr>
        <c:crossAx val="9840793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Controls</c:v>
          </c:tx>
          <c:spPr>
            <a:ln w="28575">
              <a:noFill/>
            </a:ln>
          </c:spPr>
          <c:marker>
            <c:symbol val="circle"/>
            <c:size val="7"/>
            <c:spPr>
              <a:solidFill>
                <a:schemeClr val="tx2"/>
              </a:solidFill>
            </c:spPr>
          </c:marker>
          <c:trendline>
            <c:trendlineType val="log"/>
            <c:dispRSqr val="0"/>
            <c:dispEq val="1"/>
            <c:trendlineLbl>
              <c:numFmt formatCode="General" sourceLinked="0"/>
            </c:trendlineLbl>
          </c:trendline>
          <c:xVal>
            <c:numRef>
              <c:f>Sheet1!$B$2:$B$58</c:f>
              <c:numCache>
                <c:formatCode>General</c:formatCode>
                <c:ptCount val="57"/>
                <c:pt idx="0">
                  <c:v>0</c:v>
                </c:pt>
                <c:pt idx="1">
                  <c:v>52.983333333333327</c:v>
                </c:pt>
                <c:pt idx="2">
                  <c:v>0</c:v>
                </c:pt>
                <c:pt idx="3">
                  <c:v>0</c:v>
                </c:pt>
                <c:pt idx="4">
                  <c:v>47.033333333333331</c:v>
                </c:pt>
                <c:pt idx="5">
                  <c:v>0</c:v>
                </c:pt>
                <c:pt idx="6">
                  <c:v>0</c:v>
                </c:pt>
                <c:pt idx="7">
                  <c:v>0</c:v>
                </c:pt>
                <c:pt idx="8">
                  <c:v>0</c:v>
                </c:pt>
                <c:pt idx="9">
                  <c:v>42.466666666666669</c:v>
                </c:pt>
                <c:pt idx="10">
                  <c:v>51.625</c:v>
                </c:pt>
                <c:pt idx="11">
                  <c:v>48.041666666666664</c:v>
                </c:pt>
                <c:pt idx="12">
                  <c:v>0</c:v>
                </c:pt>
                <c:pt idx="13">
                  <c:v>0</c:v>
                </c:pt>
                <c:pt idx="14">
                  <c:v>0</c:v>
                </c:pt>
                <c:pt idx="15">
                  <c:v>0</c:v>
                </c:pt>
                <c:pt idx="16">
                  <c:v>37.825000000000003</c:v>
                </c:pt>
                <c:pt idx="17">
                  <c:v>42.611111111111114</c:v>
                </c:pt>
                <c:pt idx="18">
                  <c:v>0</c:v>
                </c:pt>
                <c:pt idx="19">
                  <c:v>0</c:v>
                </c:pt>
                <c:pt idx="20">
                  <c:v>72.875</c:v>
                </c:pt>
                <c:pt idx="21">
                  <c:v>0</c:v>
                </c:pt>
                <c:pt idx="22">
                  <c:v>0</c:v>
                </c:pt>
                <c:pt idx="23">
                  <c:v>0</c:v>
                </c:pt>
                <c:pt idx="24">
                  <c:v>0</c:v>
                </c:pt>
                <c:pt idx="25">
                  <c:v>49.900000000000006</c:v>
                </c:pt>
                <c:pt idx="26">
                  <c:v>57.558333333333337</c:v>
                </c:pt>
                <c:pt idx="27">
                  <c:v>0</c:v>
                </c:pt>
                <c:pt idx="28">
                  <c:v>41.358333333333327</c:v>
                </c:pt>
                <c:pt idx="29">
                  <c:v>0</c:v>
                </c:pt>
                <c:pt idx="30">
                  <c:v>53.275000000000006</c:v>
                </c:pt>
                <c:pt idx="31">
                  <c:v>12.25</c:v>
                </c:pt>
                <c:pt idx="32">
                  <c:v>0</c:v>
                </c:pt>
                <c:pt idx="33">
                  <c:v>52.099999999999994</c:v>
                </c:pt>
                <c:pt idx="34">
                  <c:v>0</c:v>
                </c:pt>
                <c:pt idx="35">
                  <c:v>31.708333333333332</c:v>
                </c:pt>
                <c:pt idx="36">
                  <c:v>18.75</c:v>
                </c:pt>
                <c:pt idx="37">
                  <c:v>0</c:v>
                </c:pt>
                <c:pt idx="38">
                  <c:v>0</c:v>
                </c:pt>
                <c:pt idx="39">
                  <c:v>0</c:v>
                </c:pt>
                <c:pt idx="40">
                  <c:v>58.6</c:v>
                </c:pt>
                <c:pt idx="41">
                  <c:v>0</c:v>
                </c:pt>
                <c:pt idx="42">
                  <c:v>0</c:v>
                </c:pt>
                <c:pt idx="43">
                  <c:v>0</c:v>
                </c:pt>
                <c:pt idx="44">
                  <c:v>28.641666666666666</c:v>
                </c:pt>
                <c:pt idx="45">
                  <c:v>46.75</c:v>
                </c:pt>
                <c:pt idx="46">
                  <c:v>0</c:v>
                </c:pt>
                <c:pt idx="47">
                  <c:v>56.591666666666669</c:v>
                </c:pt>
                <c:pt idx="48">
                  <c:v>40.940000000000005</c:v>
                </c:pt>
                <c:pt idx="49">
                  <c:v>34.900000000000006</c:v>
                </c:pt>
                <c:pt idx="50">
                  <c:v>25.325000000000003</c:v>
                </c:pt>
                <c:pt idx="51">
                  <c:v>42.25</c:v>
                </c:pt>
                <c:pt idx="52">
                  <c:v>0</c:v>
                </c:pt>
                <c:pt idx="53">
                  <c:v>0</c:v>
                </c:pt>
                <c:pt idx="54">
                  <c:v>0</c:v>
                </c:pt>
                <c:pt idx="55">
                  <c:v>0</c:v>
                </c:pt>
                <c:pt idx="56">
                  <c:v>0</c:v>
                </c:pt>
              </c:numCache>
            </c:numRef>
          </c:xVal>
          <c:yVal>
            <c:numRef>
              <c:f>Sheet1!$C$2:$C$58</c:f>
              <c:numCache>
                <c:formatCode>General</c:formatCode>
                <c:ptCount val="57"/>
                <c:pt idx="0">
                  <c:v>0</c:v>
                </c:pt>
                <c:pt idx="1">
                  <c:v>1.0322916666666666</c:v>
                </c:pt>
                <c:pt idx="2">
                  <c:v>0</c:v>
                </c:pt>
                <c:pt idx="3">
                  <c:v>0</c:v>
                </c:pt>
                <c:pt idx="4">
                  <c:v>0.125409836</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0.53959707022222236</c:v>
                </c:pt>
                <c:pt idx="29">
                  <c:v>0</c:v>
                </c:pt>
                <c:pt idx="30">
                  <c:v>0.24052287550000001</c:v>
                </c:pt>
                <c:pt idx="31">
                  <c:v>0.12775599133333335</c:v>
                </c:pt>
                <c:pt idx="32">
                  <c:v>0</c:v>
                </c:pt>
                <c:pt idx="33">
                  <c:v>0.13716143975</c:v>
                </c:pt>
                <c:pt idx="34">
                  <c:v>0</c:v>
                </c:pt>
                <c:pt idx="35">
                  <c:v>5.9955452666666666E-2</c:v>
                </c:pt>
                <c:pt idx="36">
                  <c:v>0.26227642275000002</c:v>
                </c:pt>
                <c:pt idx="37">
                  <c:v>0</c:v>
                </c:pt>
                <c:pt idx="38">
                  <c:v>0</c:v>
                </c:pt>
                <c:pt idx="39">
                  <c:v>0</c:v>
                </c:pt>
                <c:pt idx="40">
                  <c:v>5.8941314555000002</c:v>
                </c:pt>
                <c:pt idx="41">
                  <c:v>0</c:v>
                </c:pt>
                <c:pt idx="42">
                  <c:v>0</c:v>
                </c:pt>
                <c:pt idx="43">
                  <c:v>0</c:v>
                </c:pt>
                <c:pt idx="44">
                  <c:v>0</c:v>
                </c:pt>
                <c:pt idx="45">
                  <c:v>0</c:v>
                </c:pt>
                <c:pt idx="46">
                  <c:v>0</c:v>
                </c:pt>
                <c:pt idx="47">
                  <c:v>17.912435939166667</c:v>
                </c:pt>
                <c:pt idx="48">
                  <c:v>15.9097704934</c:v>
                </c:pt>
                <c:pt idx="49">
                  <c:v>13.382869209099999</c:v>
                </c:pt>
                <c:pt idx="50">
                  <c:v>6.4196693526250002</c:v>
                </c:pt>
                <c:pt idx="51">
                  <c:v>10.298135515833332</c:v>
                </c:pt>
                <c:pt idx="52">
                  <c:v>0</c:v>
                </c:pt>
                <c:pt idx="53">
                  <c:v>0</c:v>
                </c:pt>
                <c:pt idx="54">
                  <c:v>0</c:v>
                </c:pt>
                <c:pt idx="55">
                  <c:v>0</c:v>
                </c:pt>
                <c:pt idx="56">
                  <c:v>0</c:v>
                </c:pt>
              </c:numCache>
            </c:numRef>
          </c:yVal>
          <c:smooth val="0"/>
          <c:extLst>
            <c:ext xmlns:c16="http://schemas.microsoft.com/office/drawing/2014/chart" uri="{C3380CC4-5D6E-409C-BE32-E72D297353CC}">
              <c16:uniqueId val="{00000001-186A-4786-93F1-C24609C17764}"/>
            </c:ext>
          </c:extLst>
        </c:ser>
        <c:ser>
          <c:idx val="1"/>
          <c:order val="1"/>
          <c:tx>
            <c:v>Cases</c:v>
          </c:tx>
          <c:spPr>
            <a:ln w="28575">
              <a:noFill/>
            </a:ln>
          </c:spPr>
          <c:marker>
            <c:symbol val="circle"/>
            <c:size val="7"/>
          </c:marker>
          <c:xVal>
            <c:numRef>
              <c:f>Sheet1!$B$59:$B$74</c:f>
              <c:numCache>
                <c:formatCode>General</c:formatCode>
                <c:ptCount val="16"/>
                <c:pt idx="0">
                  <c:v>0</c:v>
                </c:pt>
                <c:pt idx="1">
                  <c:v>0</c:v>
                </c:pt>
                <c:pt idx="2">
                  <c:v>0</c:v>
                </c:pt>
                <c:pt idx="3">
                  <c:v>0</c:v>
                </c:pt>
                <c:pt idx="4">
                  <c:v>61.45</c:v>
                </c:pt>
                <c:pt idx="5">
                  <c:v>52.691666666666663</c:v>
                </c:pt>
                <c:pt idx="6">
                  <c:v>0</c:v>
                </c:pt>
                <c:pt idx="7">
                  <c:v>47.033333333333331</c:v>
                </c:pt>
                <c:pt idx="8">
                  <c:v>52.211111111111109</c:v>
                </c:pt>
                <c:pt idx="9">
                  <c:v>52.5</c:v>
                </c:pt>
                <c:pt idx="10">
                  <c:v>0</c:v>
                </c:pt>
                <c:pt idx="11">
                  <c:v>51.891666666666673</c:v>
                </c:pt>
                <c:pt idx="12">
                  <c:v>56.441666666666663</c:v>
                </c:pt>
                <c:pt idx="13">
                  <c:v>25.333333333333332</c:v>
                </c:pt>
                <c:pt idx="14">
                  <c:v>0</c:v>
                </c:pt>
                <c:pt idx="15">
                  <c:v>0</c:v>
                </c:pt>
              </c:numCache>
            </c:numRef>
          </c:xVal>
          <c:yVal>
            <c:numRef>
              <c:f>Sheet1!$C$59:$C$74</c:f>
              <c:numCache>
                <c:formatCode>General</c:formatCode>
                <c:ptCount val="16"/>
                <c:pt idx="0">
                  <c:v>0</c:v>
                </c:pt>
                <c:pt idx="1">
                  <c:v>0</c:v>
                </c:pt>
                <c:pt idx="2">
                  <c:v>0</c:v>
                </c:pt>
                <c:pt idx="3">
                  <c:v>0</c:v>
                </c:pt>
                <c:pt idx="4">
                  <c:v>0</c:v>
                </c:pt>
                <c:pt idx="5">
                  <c:v>0</c:v>
                </c:pt>
                <c:pt idx="6">
                  <c:v>0</c:v>
                </c:pt>
                <c:pt idx="7">
                  <c:v>0.12040983600000001</c:v>
                </c:pt>
                <c:pt idx="8">
                  <c:v>8.2215787499999998E-2</c:v>
                </c:pt>
                <c:pt idx="9">
                  <c:v>1</c:v>
                </c:pt>
                <c:pt idx="10">
                  <c:v>0</c:v>
                </c:pt>
                <c:pt idx="11">
                  <c:v>0</c:v>
                </c:pt>
                <c:pt idx="12">
                  <c:v>18.886297505833337</c:v>
                </c:pt>
                <c:pt idx="13">
                  <c:v>6.4196693526250002</c:v>
                </c:pt>
                <c:pt idx="14">
                  <c:v>0</c:v>
                </c:pt>
                <c:pt idx="15">
                  <c:v>0</c:v>
                </c:pt>
              </c:numCache>
            </c:numRef>
          </c:yVal>
          <c:smooth val="0"/>
          <c:extLst>
            <c:ext xmlns:c16="http://schemas.microsoft.com/office/drawing/2014/chart" uri="{C3380CC4-5D6E-409C-BE32-E72D297353CC}">
              <c16:uniqueId val="{00000002-186A-4786-93F1-C24609C17764}"/>
            </c:ext>
          </c:extLst>
        </c:ser>
        <c:dLbls>
          <c:showLegendKey val="0"/>
          <c:showVal val="0"/>
          <c:showCatName val="0"/>
          <c:showSerName val="0"/>
          <c:showPercent val="0"/>
          <c:showBubbleSize val="0"/>
        </c:dLbls>
        <c:axId val="98478720"/>
        <c:axId val="98484992"/>
      </c:scatterChart>
      <c:valAx>
        <c:axId val="98478720"/>
        <c:scaling>
          <c:orientation val="minMax"/>
        </c:scaling>
        <c:delete val="0"/>
        <c:axPos val="b"/>
        <c:title>
          <c:tx>
            <c:rich>
              <a:bodyPr/>
              <a:lstStyle/>
              <a:p>
                <a:pPr>
                  <a:defRPr sz="1200"/>
                </a:pPr>
                <a:r>
                  <a:rPr lang="en-US" sz="1200"/>
                  <a:t>Average NDMA Concentration, ng/L</a:t>
                </a:r>
              </a:p>
            </c:rich>
          </c:tx>
          <c:overlay val="0"/>
        </c:title>
        <c:numFmt formatCode="General" sourceLinked="1"/>
        <c:majorTickMark val="out"/>
        <c:minorTickMark val="none"/>
        <c:tickLblPos val="nextTo"/>
        <c:txPr>
          <a:bodyPr rot="0" vert="horz"/>
          <a:lstStyle/>
          <a:p>
            <a:pPr>
              <a:defRPr sz="1050" b="0" i="0" u="none" strike="noStrike" baseline="0">
                <a:solidFill>
                  <a:srgbClr val="000000"/>
                </a:solidFill>
                <a:latin typeface="Calibri"/>
                <a:ea typeface="Calibri"/>
                <a:cs typeface="Calibri"/>
              </a:defRPr>
            </a:pPr>
            <a:endParaRPr lang="en-US"/>
          </a:p>
        </c:txPr>
        <c:crossAx val="98484992"/>
        <c:crosses val="autoZero"/>
        <c:crossBetween val="midCat"/>
      </c:valAx>
      <c:valAx>
        <c:axId val="98484992"/>
        <c:scaling>
          <c:orientation val="minMax"/>
        </c:scaling>
        <c:delete val="0"/>
        <c:axPos val="l"/>
        <c:majorGridlines/>
        <c:title>
          <c:tx>
            <c:rich>
              <a:bodyPr rot="-5400000" vert="horz"/>
              <a:lstStyle/>
              <a:p>
                <a:pPr>
                  <a:defRPr sz="1200"/>
                </a:pPr>
                <a:r>
                  <a:rPr lang="en-US" sz="1200"/>
                  <a:t>Average TCE Concentration, µg/L</a:t>
                </a:r>
              </a:p>
            </c:rich>
          </c:tx>
          <c:overlay val="0"/>
        </c:title>
        <c:numFmt formatCode="General" sourceLinked="1"/>
        <c:majorTickMark val="out"/>
        <c:minorTickMark val="none"/>
        <c:tickLblPos val="nextTo"/>
        <c:txPr>
          <a:bodyPr/>
          <a:lstStyle/>
          <a:p>
            <a:pPr>
              <a:defRPr sz="1050"/>
            </a:pPr>
            <a:endParaRPr lang="en-US"/>
          </a:p>
        </c:txPr>
        <c:crossAx val="98478720"/>
        <c:crosses val="autoZero"/>
        <c:crossBetween val="midCat"/>
      </c:valAx>
    </c:plotArea>
    <c:legend>
      <c:legendPos val="r"/>
      <c:legendEntry>
        <c:idx val="2"/>
        <c:delete val="1"/>
      </c:legendEntry>
      <c:overlay val="0"/>
      <c:txPr>
        <a:bodyPr/>
        <a:lstStyle/>
        <a:p>
          <a:pPr>
            <a:defRPr sz="1050"/>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0.10444</cdr:x>
      <cdr:y>0.95417</cdr:y>
    </cdr:from>
    <cdr:to>
      <cdr:x>0.30116</cdr:x>
      <cdr:y>0.98751</cdr:y>
    </cdr:to>
    <cdr:sp macro="" textlink="">
      <cdr:nvSpPr>
        <cdr:cNvPr id="8" name="TextBox 4"/>
        <cdr:cNvSpPr txBox="1"/>
      </cdr:nvSpPr>
      <cdr:spPr>
        <a:xfrm xmlns:a="http://schemas.openxmlformats.org/drawingml/2006/main">
          <a:off x="709175" y="5079441"/>
          <a:ext cx="1335782" cy="17748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solidFill>
                <a:sysClr val="windowText" lastClr="000000"/>
              </a:solidFill>
            </a:rPr>
            <a:t>Maternal</a:t>
          </a:r>
        </a:p>
      </cdr:txBody>
    </cdr:sp>
  </cdr:relSizeAnchor>
  <cdr:relSizeAnchor xmlns:cdr="http://schemas.openxmlformats.org/drawingml/2006/chartDrawing">
    <cdr:from>
      <cdr:x>0.50738</cdr:x>
      <cdr:y>0.95417</cdr:y>
    </cdr:from>
    <cdr:to>
      <cdr:x>0.71207</cdr:x>
      <cdr:y>0.98751</cdr:y>
    </cdr:to>
    <cdr:sp macro="" textlink="">
      <cdr:nvSpPr>
        <cdr:cNvPr id="6" name="TextBox 4"/>
        <cdr:cNvSpPr txBox="1"/>
      </cdr:nvSpPr>
      <cdr:spPr>
        <a:xfrm xmlns:a="http://schemas.openxmlformats.org/drawingml/2006/main">
          <a:off x="3445246" y="5079441"/>
          <a:ext cx="1389899" cy="17748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solidFill>
                <a:sysClr val="windowText" lastClr="000000"/>
              </a:solidFill>
            </a:rPr>
            <a:t>Maternal</a:t>
          </a:r>
        </a:p>
      </cdr:txBody>
    </cdr:sp>
  </cdr:relSizeAnchor>
  <cdr:relSizeAnchor xmlns:cdr="http://schemas.openxmlformats.org/drawingml/2006/chartDrawing">
    <cdr:from>
      <cdr:x>0.31344</cdr:x>
      <cdr:y>0.9536</cdr:y>
    </cdr:from>
    <cdr:to>
      <cdr:x>0.5086</cdr:x>
      <cdr:y>0.98808</cdr:y>
    </cdr:to>
    <cdr:sp macro="" textlink="">
      <cdr:nvSpPr>
        <cdr:cNvPr id="9" name="TextBox 5"/>
        <cdr:cNvSpPr txBox="1"/>
      </cdr:nvSpPr>
      <cdr:spPr>
        <a:xfrm xmlns:a="http://schemas.openxmlformats.org/drawingml/2006/main">
          <a:off x="2128341" y="5076407"/>
          <a:ext cx="1325189" cy="18355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solidFill>
                <a:sysClr val="windowText" lastClr="000000"/>
              </a:solidFill>
            </a:rPr>
            <a:t>Childhood</a:t>
          </a:r>
        </a:p>
      </cdr:txBody>
    </cdr:sp>
  </cdr:relSizeAnchor>
  <cdr:relSizeAnchor xmlns:cdr="http://schemas.openxmlformats.org/drawingml/2006/chartDrawing">
    <cdr:from>
      <cdr:x>0.72289</cdr:x>
      <cdr:y>0.95417</cdr:y>
    </cdr:from>
    <cdr:to>
      <cdr:x>0.91514</cdr:x>
      <cdr:y>0.98751</cdr:y>
    </cdr:to>
    <cdr:sp macro="" textlink="">
      <cdr:nvSpPr>
        <cdr:cNvPr id="7" name="TextBox 5"/>
        <cdr:cNvSpPr txBox="1"/>
      </cdr:nvSpPr>
      <cdr:spPr>
        <a:xfrm xmlns:a="http://schemas.openxmlformats.org/drawingml/2006/main">
          <a:off x="4908616" y="5079441"/>
          <a:ext cx="1305429" cy="17748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solidFill>
                <a:sysClr val="windowText" lastClr="000000"/>
              </a:solidFill>
            </a:rPr>
            <a:t>Childhood</a:t>
          </a:r>
        </a:p>
      </cdr:txBody>
    </cdr:sp>
  </cdr:relSizeAnchor>
  <cdr:relSizeAnchor xmlns:cdr="http://schemas.openxmlformats.org/drawingml/2006/chartDrawing">
    <cdr:from>
      <cdr:x>0.13594</cdr:x>
      <cdr:y>0.77466</cdr:y>
    </cdr:from>
    <cdr:to>
      <cdr:x>0.47889</cdr:x>
      <cdr:y>0.85234</cdr:y>
    </cdr:to>
    <cdr:sp macro="" textlink="">
      <cdr:nvSpPr>
        <cdr:cNvPr id="10" name="Text Box 2"/>
        <cdr:cNvSpPr txBox="1">
          <a:spLocks xmlns:a="http://schemas.openxmlformats.org/drawingml/2006/main" noChangeArrowheads="1"/>
        </cdr:cNvSpPr>
      </cdr:nvSpPr>
      <cdr:spPr bwMode="auto">
        <a:xfrm xmlns:a="http://schemas.openxmlformats.org/drawingml/2006/main">
          <a:off x="807991" y="3609617"/>
          <a:ext cx="2038350" cy="3619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marL="0" marR="0" algn="ctr">
            <a:lnSpc>
              <a:spcPct val="150000"/>
            </a:lnSpc>
            <a:spcBef>
              <a:spcPts val="0"/>
            </a:spcBef>
            <a:spcAft>
              <a:spcPts val="1800"/>
            </a:spcAft>
          </a:pPr>
          <a:r>
            <a:rPr lang="en-US" sz="1200" b="1">
              <a:effectLst/>
              <a:latin typeface="Calibri" panose="020F0502020204030204" pitchFamily="34" charset="0"/>
              <a:ea typeface="Times New Roman" panose="02020603050405020304" pitchFamily="18" charset="0"/>
              <a:cs typeface="Times New Roman" panose="02020603050405020304" pitchFamily="18" charset="0"/>
            </a:rPr>
            <a:t>All Cancers</a:t>
          </a:r>
          <a:endParaRPr lang="en-US" sz="1200">
            <a:effectLst/>
            <a:latin typeface="Cambria" panose="02040503050406030204" pitchFamily="18"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0.54473</cdr:x>
      <cdr:y>0.77271</cdr:y>
    </cdr:from>
    <cdr:to>
      <cdr:x>0.87967</cdr:x>
      <cdr:y>0.85039</cdr:y>
    </cdr:to>
    <cdr:sp macro="" textlink="">
      <cdr:nvSpPr>
        <cdr:cNvPr id="11" name="Text Box 2"/>
        <cdr:cNvSpPr txBox="1">
          <a:spLocks xmlns:a="http://schemas.openxmlformats.org/drawingml/2006/main" noChangeArrowheads="1"/>
        </cdr:cNvSpPr>
      </cdr:nvSpPr>
      <cdr:spPr bwMode="auto">
        <a:xfrm xmlns:a="http://schemas.openxmlformats.org/drawingml/2006/main">
          <a:off x="3237652" y="3600564"/>
          <a:ext cx="1990725" cy="3619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marL="0" marR="0" algn="ctr">
            <a:lnSpc>
              <a:spcPct val="150000"/>
            </a:lnSpc>
            <a:spcBef>
              <a:spcPts val="0"/>
            </a:spcBef>
            <a:spcAft>
              <a:spcPts val="1800"/>
            </a:spcAft>
          </a:pPr>
          <a:r>
            <a:rPr lang="en-US" sz="1200" b="1">
              <a:effectLst/>
              <a:latin typeface="Calibri" panose="020F0502020204030204" pitchFamily="34" charset="0"/>
              <a:ea typeface="Times New Roman" panose="02020603050405020304" pitchFamily="18" charset="0"/>
              <a:cs typeface="Times New Roman" panose="02020603050405020304" pitchFamily="18" charset="0"/>
            </a:rPr>
            <a:t>Leukemia/Lymphoma</a:t>
          </a:r>
          <a:endParaRPr lang="en-US" sz="1200">
            <a:effectLst/>
            <a:latin typeface="Cambria" panose="02040503050406030204" pitchFamily="18"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0.1172</cdr:x>
      <cdr:y>0.82987</cdr:y>
    </cdr:from>
    <cdr:to>
      <cdr:x>0.1385</cdr:x>
      <cdr:y>0.85602</cdr:y>
    </cdr:to>
    <cdr:sp macro="" textlink="">
      <cdr:nvSpPr>
        <cdr:cNvPr id="2" name="Pie 1"/>
        <cdr:cNvSpPr/>
      </cdr:nvSpPr>
      <cdr:spPr>
        <a:xfrm xmlns:a="http://schemas.openxmlformats.org/drawingml/2006/main" rot="12437954">
          <a:off x="577603" y="3270362"/>
          <a:ext cx="104933" cy="103058"/>
        </a:xfrm>
        <a:prstGeom xmlns:a="http://schemas.openxmlformats.org/drawingml/2006/main" prst="pie">
          <a:avLst>
            <a:gd name="adj1" fmla="val 5400027"/>
            <a:gd name="adj2" fmla="val 16200000"/>
          </a:avLst>
        </a:prstGeom>
        <a:solidFill xmlns:a="http://schemas.openxmlformats.org/drawingml/2006/main">
          <a:schemeClr val="tx2"/>
        </a:solidFill>
        <a:ln xmlns:a="http://schemas.openxmlformats.org/drawingml/2006/main" w="952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grpSp>
      <cdr:nvGrpSpPr>
        <cdr:cNvPr id="3" name="Group 1"/>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0.22258</cdr:x>
      <cdr:y>0.80969</cdr:y>
    </cdr:from>
    <cdr:to>
      <cdr:x>0.37767</cdr:x>
      <cdr:y>0.87217</cdr:y>
    </cdr:to>
    <cdr:sp macro="" textlink="">
      <cdr:nvSpPr>
        <cdr:cNvPr id="4" name="TextBox 2"/>
        <cdr:cNvSpPr txBox="1"/>
      </cdr:nvSpPr>
      <cdr:spPr>
        <a:xfrm xmlns:a="http://schemas.openxmlformats.org/drawingml/2006/main">
          <a:off x="1325025" y="3555390"/>
          <a:ext cx="923290" cy="27432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p xmlns:a="http://schemas.openxmlformats.org/drawingml/2006/main">
          <a:pPr marL="0" marR="0" algn="ctr">
            <a:lnSpc>
              <a:spcPct val="150000"/>
            </a:lnSpc>
            <a:spcBef>
              <a:spcPts val="0"/>
            </a:spcBef>
            <a:spcAft>
              <a:spcPts val="0"/>
            </a:spcAft>
          </a:pPr>
          <a:r>
            <a:rPr lang="en-US" sz="1100" b="1">
              <a:effectLst/>
              <a:ea typeface="Times New Roman" panose="02020603050405020304" pitchFamily="18" charset="0"/>
              <a:cs typeface="Times New Roman" panose="02020603050405020304" pitchFamily="18" charset="0"/>
            </a:rPr>
            <a:t>All </a:t>
          </a:r>
          <a:r>
            <a:rPr lang="en-US" sz="1100" b="1">
              <a:solidFill>
                <a:srgbClr val="000000"/>
              </a:solidFill>
              <a:effectLst/>
              <a:ea typeface="Times New Roman" panose="02020603050405020304" pitchFamily="18" charset="0"/>
              <a:cs typeface="Times New Roman" panose="02020603050405020304" pitchFamily="18" charset="0"/>
            </a:rPr>
            <a:t>Cancers</a:t>
          </a:r>
          <a:endParaRPr lang="en-US" sz="1200">
            <a:effectLst/>
            <a:latin typeface="Cambria" panose="02040503050406030204" pitchFamily="18"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0.60505</cdr:x>
      <cdr:y>0.80351</cdr:y>
    </cdr:from>
    <cdr:to>
      <cdr:x>0.86617</cdr:x>
      <cdr:y>0.86598</cdr:y>
    </cdr:to>
    <cdr:sp macro="" textlink="">
      <cdr:nvSpPr>
        <cdr:cNvPr id="5" name="TextBox 3"/>
        <cdr:cNvSpPr txBox="1"/>
      </cdr:nvSpPr>
      <cdr:spPr>
        <a:xfrm xmlns:a="http://schemas.openxmlformats.org/drawingml/2006/main">
          <a:off x="3601940" y="3528230"/>
          <a:ext cx="1554480" cy="27432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p xmlns:a="http://schemas.openxmlformats.org/drawingml/2006/main">
          <a:pPr marL="0" marR="0" algn="ctr">
            <a:lnSpc>
              <a:spcPct val="150000"/>
            </a:lnSpc>
            <a:spcBef>
              <a:spcPts val="0"/>
            </a:spcBef>
            <a:spcAft>
              <a:spcPts val="1800"/>
            </a:spcAft>
          </a:pPr>
          <a:r>
            <a:rPr lang="en-US" sz="1100" b="1">
              <a:effectLst/>
              <a:ea typeface="Times New Roman" panose="02020603050405020304" pitchFamily="18" charset="0"/>
              <a:cs typeface="Times New Roman" panose="02020603050405020304" pitchFamily="18" charset="0"/>
            </a:rPr>
            <a:t>Leukemia/Lymphoma</a:t>
          </a:r>
          <a:endParaRPr lang="en-US" sz="1200">
            <a:effectLst/>
            <a:latin typeface="Cambria" panose="02040503050406030204" pitchFamily="18"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FEDB9F107C6446B43D25A543876226" ma:contentTypeVersion="2" ma:contentTypeDescription="Create a new document." ma:contentTypeScope="" ma:versionID="1d5b997b10f60859bd50c972de60b598">
  <xsd:schema xmlns:xsd="http://www.w3.org/2001/XMLSchema" xmlns:xs="http://www.w3.org/2001/XMLSchema" xmlns:p="http://schemas.microsoft.com/office/2006/metadata/properties" xmlns:ns2="c83123e5-9264-4e21-bc82-16d9e45b2f5e" targetNamespace="http://schemas.microsoft.com/office/2006/metadata/properties" ma:root="true" ma:fieldsID="9064c20683568ebcc1c2e9f75594fd0d" ns2:_="">
    <xsd:import namespace="c83123e5-9264-4e21-bc82-16d9e45b2f5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123e5-9264-4e21-bc82-16d9e45b2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EC9DE8-FA36-4966-AE8D-8390E8A9F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123e5-9264-4e21-bc82-16d9e45b2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7EB03A-03E1-4948-8454-4851BE699966}">
  <ds:schemaRefs>
    <ds:schemaRef ds:uri="http://schemas.openxmlformats.org/officeDocument/2006/bibliography"/>
  </ds:schemaRefs>
</ds:datastoreItem>
</file>

<file path=customXml/itemProps3.xml><?xml version="1.0" encoding="utf-8"?>
<ds:datastoreItem xmlns:ds="http://schemas.openxmlformats.org/officeDocument/2006/customXml" ds:itemID="{2FF0CF38-BFC0-48CA-9DD5-7C829FDD87F9}">
  <ds:schemaRefs>
    <ds:schemaRef ds:uri="http://schemas.microsoft.com/sharepoint/v3/contenttype/forms"/>
  </ds:schemaRefs>
</ds:datastoreItem>
</file>

<file path=customXml/itemProps4.xml><?xml version="1.0" encoding="utf-8"?>
<ds:datastoreItem xmlns:ds="http://schemas.openxmlformats.org/officeDocument/2006/customXml" ds:itemID="{5B134298-29BA-4298-9E3B-1D52B47811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146</Pages>
  <Words>46847</Words>
  <Characters>267034</Characters>
  <Application>Microsoft Office Word</Application>
  <DocSecurity>0</DocSecurity>
  <Lines>2225</Lines>
  <Paragraphs>626</Paragraphs>
  <ScaleCrop>false</ScaleCrop>
  <HeadingPairs>
    <vt:vector size="2" baseType="variant">
      <vt:variant>
        <vt:lpstr>Title</vt:lpstr>
      </vt:variant>
      <vt:variant>
        <vt:i4>1</vt:i4>
      </vt:variant>
    </vt:vector>
  </HeadingPairs>
  <TitlesOfParts>
    <vt:vector size="1" baseType="lpstr">
      <vt:lpstr>Methods</vt:lpstr>
    </vt:vector>
  </TitlesOfParts>
  <Company>DPH</Company>
  <LinksUpToDate>false</LinksUpToDate>
  <CharactersWithSpaces>313255</CharactersWithSpaces>
  <SharedDoc>false</SharedDoc>
  <HLinks>
    <vt:vector size="222" baseType="variant">
      <vt:variant>
        <vt:i4>5963805</vt:i4>
      </vt:variant>
      <vt:variant>
        <vt:i4>243</vt:i4>
      </vt:variant>
      <vt:variant>
        <vt:i4>0</vt:i4>
      </vt:variant>
      <vt:variant>
        <vt:i4>5</vt:i4>
      </vt:variant>
      <vt:variant>
        <vt:lpwstr>http://ephtracking.cdc.gov/showChildhoodCancer.action</vt:lpwstr>
      </vt:variant>
      <vt:variant>
        <vt:lpwstr/>
      </vt:variant>
      <vt:variant>
        <vt:i4>1310779</vt:i4>
      </vt:variant>
      <vt:variant>
        <vt:i4>212</vt:i4>
      </vt:variant>
      <vt:variant>
        <vt:i4>0</vt:i4>
      </vt:variant>
      <vt:variant>
        <vt:i4>5</vt:i4>
      </vt:variant>
      <vt:variant>
        <vt:lpwstr/>
      </vt:variant>
      <vt:variant>
        <vt:lpwstr>_Toc365640933</vt:lpwstr>
      </vt:variant>
      <vt:variant>
        <vt:i4>1310779</vt:i4>
      </vt:variant>
      <vt:variant>
        <vt:i4>206</vt:i4>
      </vt:variant>
      <vt:variant>
        <vt:i4>0</vt:i4>
      </vt:variant>
      <vt:variant>
        <vt:i4>5</vt:i4>
      </vt:variant>
      <vt:variant>
        <vt:lpwstr/>
      </vt:variant>
      <vt:variant>
        <vt:lpwstr>_Toc365640932</vt:lpwstr>
      </vt:variant>
      <vt:variant>
        <vt:i4>1310779</vt:i4>
      </vt:variant>
      <vt:variant>
        <vt:i4>200</vt:i4>
      </vt:variant>
      <vt:variant>
        <vt:i4>0</vt:i4>
      </vt:variant>
      <vt:variant>
        <vt:i4>5</vt:i4>
      </vt:variant>
      <vt:variant>
        <vt:lpwstr/>
      </vt:variant>
      <vt:variant>
        <vt:lpwstr>_Toc365640931</vt:lpwstr>
      </vt:variant>
      <vt:variant>
        <vt:i4>1310779</vt:i4>
      </vt:variant>
      <vt:variant>
        <vt:i4>194</vt:i4>
      </vt:variant>
      <vt:variant>
        <vt:i4>0</vt:i4>
      </vt:variant>
      <vt:variant>
        <vt:i4>5</vt:i4>
      </vt:variant>
      <vt:variant>
        <vt:lpwstr/>
      </vt:variant>
      <vt:variant>
        <vt:lpwstr>_Toc365640930</vt:lpwstr>
      </vt:variant>
      <vt:variant>
        <vt:i4>1376315</vt:i4>
      </vt:variant>
      <vt:variant>
        <vt:i4>188</vt:i4>
      </vt:variant>
      <vt:variant>
        <vt:i4>0</vt:i4>
      </vt:variant>
      <vt:variant>
        <vt:i4>5</vt:i4>
      </vt:variant>
      <vt:variant>
        <vt:lpwstr/>
      </vt:variant>
      <vt:variant>
        <vt:lpwstr>_Toc365640929</vt:lpwstr>
      </vt:variant>
      <vt:variant>
        <vt:i4>1376315</vt:i4>
      </vt:variant>
      <vt:variant>
        <vt:i4>182</vt:i4>
      </vt:variant>
      <vt:variant>
        <vt:i4>0</vt:i4>
      </vt:variant>
      <vt:variant>
        <vt:i4>5</vt:i4>
      </vt:variant>
      <vt:variant>
        <vt:lpwstr/>
      </vt:variant>
      <vt:variant>
        <vt:lpwstr>_Toc365640928</vt:lpwstr>
      </vt:variant>
      <vt:variant>
        <vt:i4>1376315</vt:i4>
      </vt:variant>
      <vt:variant>
        <vt:i4>176</vt:i4>
      </vt:variant>
      <vt:variant>
        <vt:i4>0</vt:i4>
      </vt:variant>
      <vt:variant>
        <vt:i4>5</vt:i4>
      </vt:variant>
      <vt:variant>
        <vt:lpwstr/>
      </vt:variant>
      <vt:variant>
        <vt:lpwstr>_Toc365640927</vt:lpwstr>
      </vt:variant>
      <vt:variant>
        <vt:i4>1376315</vt:i4>
      </vt:variant>
      <vt:variant>
        <vt:i4>170</vt:i4>
      </vt:variant>
      <vt:variant>
        <vt:i4>0</vt:i4>
      </vt:variant>
      <vt:variant>
        <vt:i4>5</vt:i4>
      </vt:variant>
      <vt:variant>
        <vt:lpwstr/>
      </vt:variant>
      <vt:variant>
        <vt:lpwstr>_Toc365640926</vt:lpwstr>
      </vt:variant>
      <vt:variant>
        <vt:i4>1376315</vt:i4>
      </vt:variant>
      <vt:variant>
        <vt:i4>164</vt:i4>
      </vt:variant>
      <vt:variant>
        <vt:i4>0</vt:i4>
      </vt:variant>
      <vt:variant>
        <vt:i4>5</vt:i4>
      </vt:variant>
      <vt:variant>
        <vt:lpwstr/>
      </vt:variant>
      <vt:variant>
        <vt:lpwstr>_Toc365640925</vt:lpwstr>
      </vt:variant>
      <vt:variant>
        <vt:i4>1376315</vt:i4>
      </vt:variant>
      <vt:variant>
        <vt:i4>158</vt:i4>
      </vt:variant>
      <vt:variant>
        <vt:i4>0</vt:i4>
      </vt:variant>
      <vt:variant>
        <vt:i4>5</vt:i4>
      </vt:variant>
      <vt:variant>
        <vt:lpwstr/>
      </vt:variant>
      <vt:variant>
        <vt:lpwstr>_Toc365640924</vt:lpwstr>
      </vt:variant>
      <vt:variant>
        <vt:i4>1376315</vt:i4>
      </vt:variant>
      <vt:variant>
        <vt:i4>152</vt:i4>
      </vt:variant>
      <vt:variant>
        <vt:i4>0</vt:i4>
      </vt:variant>
      <vt:variant>
        <vt:i4>5</vt:i4>
      </vt:variant>
      <vt:variant>
        <vt:lpwstr/>
      </vt:variant>
      <vt:variant>
        <vt:lpwstr>_Toc365640923</vt:lpwstr>
      </vt:variant>
      <vt:variant>
        <vt:i4>1376315</vt:i4>
      </vt:variant>
      <vt:variant>
        <vt:i4>146</vt:i4>
      </vt:variant>
      <vt:variant>
        <vt:i4>0</vt:i4>
      </vt:variant>
      <vt:variant>
        <vt:i4>5</vt:i4>
      </vt:variant>
      <vt:variant>
        <vt:lpwstr/>
      </vt:variant>
      <vt:variant>
        <vt:lpwstr>_Toc365640922</vt:lpwstr>
      </vt:variant>
      <vt:variant>
        <vt:i4>1376315</vt:i4>
      </vt:variant>
      <vt:variant>
        <vt:i4>140</vt:i4>
      </vt:variant>
      <vt:variant>
        <vt:i4>0</vt:i4>
      </vt:variant>
      <vt:variant>
        <vt:i4>5</vt:i4>
      </vt:variant>
      <vt:variant>
        <vt:lpwstr/>
      </vt:variant>
      <vt:variant>
        <vt:lpwstr>_Toc365640921</vt:lpwstr>
      </vt:variant>
      <vt:variant>
        <vt:i4>1376315</vt:i4>
      </vt:variant>
      <vt:variant>
        <vt:i4>134</vt:i4>
      </vt:variant>
      <vt:variant>
        <vt:i4>0</vt:i4>
      </vt:variant>
      <vt:variant>
        <vt:i4>5</vt:i4>
      </vt:variant>
      <vt:variant>
        <vt:lpwstr/>
      </vt:variant>
      <vt:variant>
        <vt:lpwstr>_Toc365640920</vt:lpwstr>
      </vt:variant>
      <vt:variant>
        <vt:i4>1441851</vt:i4>
      </vt:variant>
      <vt:variant>
        <vt:i4>128</vt:i4>
      </vt:variant>
      <vt:variant>
        <vt:i4>0</vt:i4>
      </vt:variant>
      <vt:variant>
        <vt:i4>5</vt:i4>
      </vt:variant>
      <vt:variant>
        <vt:lpwstr/>
      </vt:variant>
      <vt:variant>
        <vt:lpwstr>_Toc365640919</vt:lpwstr>
      </vt:variant>
      <vt:variant>
        <vt:i4>1441851</vt:i4>
      </vt:variant>
      <vt:variant>
        <vt:i4>122</vt:i4>
      </vt:variant>
      <vt:variant>
        <vt:i4>0</vt:i4>
      </vt:variant>
      <vt:variant>
        <vt:i4>5</vt:i4>
      </vt:variant>
      <vt:variant>
        <vt:lpwstr/>
      </vt:variant>
      <vt:variant>
        <vt:lpwstr>_Toc365640918</vt:lpwstr>
      </vt:variant>
      <vt:variant>
        <vt:i4>1441851</vt:i4>
      </vt:variant>
      <vt:variant>
        <vt:i4>116</vt:i4>
      </vt:variant>
      <vt:variant>
        <vt:i4>0</vt:i4>
      </vt:variant>
      <vt:variant>
        <vt:i4>5</vt:i4>
      </vt:variant>
      <vt:variant>
        <vt:lpwstr/>
      </vt:variant>
      <vt:variant>
        <vt:lpwstr>_Toc365640917</vt:lpwstr>
      </vt:variant>
      <vt:variant>
        <vt:i4>1441851</vt:i4>
      </vt:variant>
      <vt:variant>
        <vt:i4>110</vt:i4>
      </vt:variant>
      <vt:variant>
        <vt:i4>0</vt:i4>
      </vt:variant>
      <vt:variant>
        <vt:i4>5</vt:i4>
      </vt:variant>
      <vt:variant>
        <vt:lpwstr/>
      </vt:variant>
      <vt:variant>
        <vt:lpwstr>_Toc365640916</vt:lpwstr>
      </vt:variant>
      <vt:variant>
        <vt:i4>1441851</vt:i4>
      </vt:variant>
      <vt:variant>
        <vt:i4>104</vt:i4>
      </vt:variant>
      <vt:variant>
        <vt:i4>0</vt:i4>
      </vt:variant>
      <vt:variant>
        <vt:i4>5</vt:i4>
      </vt:variant>
      <vt:variant>
        <vt:lpwstr/>
      </vt:variant>
      <vt:variant>
        <vt:lpwstr>_Toc365640915</vt:lpwstr>
      </vt:variant>
      <vt:variant>
        <vt:i4>1441851</vt:i4>
      </vt:variant>
      <vt:variant>
        <vt:i4>98</vt:i4>
      </vt:variant>
      <vt:variant>
        <vt:i4>0</vt:i4>
      </vt:variant>
      <vt:variant>
        <vt:i4>5</vt:i4>
      </vt:variant>
      <vt:variant>
        <vt:lpwstr/>
      </vt:variant>
      <vt:variant>
        <vt:lpwstr>_Toc365640914</vt:lpwstr>
      </vt:variant>
      <vt:variant>
        <vt:i4>1441851</vt:i4>
      </vt:variant>
      <vt:variant>
        <vt:i4>92</vt:i4>
      </vt:variant>
      <vt:variant>
        <vt:i4>0</vt:i4>
      </vt:variant>
      <vt:variant>
        <vt:i4>5</vt:i4>
      </vt:variant>
      <vt:variant>
        <vt:lpwstr/>
      </vt:variant>
      <vt:variant>
        <vt:lpwstr>_Toc365640913</vt:lpwstr>
      </vt:variant>
      <vt:variant>
        <vt:i4>1441851</vt:i4>
      </vt:variant>
      <vt:variant>
        <vt:i4>86</vt:i4>
      </vt:variant>
      <vt:variant>
        <vt:i4>0</vt:i4>
      </vt:variant>
      <vt:variant>
        <vt:i4>5</vt:i4>
      </vt:variant>
      <vt:variant>
        <vt:lpwstr/>
      </vt:variant>
      <vt:variant>
        <vt:lpwstr>_Toc365640912</vt:lpwstr>
      </vt:variant>
      <vt:variant>
        <vt:i4>1441851</vt:i4>
      </vt:variant>
      <vt:variant>
        <vt:i4>80</vt:i4>
      </vt:variant>
      <vt:variant>
        <vt:i4>0</vt:i4>
      </vt:variant>
      <vt:variant>
        <vt:i4>5</vt:i4>
      </vt:variant>
      <vt:variant>
        <vt:lpwstr/>
      </vt:variant>
      <vt:variant>
        <vt:lpwstr>_Toc365640911</vt:lpwstr>
      </vt:variant>
      <vt:variant>
        <vt:i4>1441851</vt:i4>
      </vt:variant>
      <vt:variant>
        <vt:i4>74</vt:i4>
      </vt:variant>
      <vt:variant>
        <vt:i4>0</vt:i4>
      </vt:variant>
      <vt:variant>
        <vt:i4>5</vt:i4>
      </vt:variant>
      <vt:variant>
        <vt:lpwstr/>
      </vt:variant>
      <vt:variant>
        <vt:lpwstr>_Toc365640910</vt:lpwstr>
      </vt:variant>
      <vt:variant>
        <vt:i4>1507387</vt:i4>
      </vt:variant>
      <vt:variant>
        <vt:i4>68</vt:i4>
      </vt:variant>
      <vt:variant>
        <vt:i4>0</vt:i4>
      </vt:variant>
      <vt:variant>
        <vt:i4>5</vt:i4>
      </vt:variant>
      <vt:variant>
        <vt:lpwstr/>
      </vt:variant>
      <vt:variant>
        <vt:lpwstr>_Toc365640909</vt:lpwstr>
      </vt:variant>
      <vt:variant>
        <vt:i4>1507387</vt:i4>
      </vt:variant>
      <vt:variant>
        <vt:i4>62</vt:i4>
      </vt:variant>
      <vt:variant>
        <vt:i4>0</vt:i4>
      </vt:variant>
      <vt:variant>
        <vt:i4>5</vt:i4>
      </vt:variant>
      <vt:variant>
        <vt:lpwstr/>
      </vt:variant>
      <vt:variant>
        <vt:lpwstr>_Toc365640908</vt:lpwstr>
      </vt:variant>
      <vt:variant>
        <vt:i4>1507387</vt:i4>
      </vt:variant>
      <vt:variant>
        <vt:i4>56</vt:i4>
      </vt:variant>
      <vt:variant>
        <vt:i4>0</vt:i4>
      </vt:variant>
      <vt:variant>
        <vt:i4>5</vt:i4>
      </vt:variant>
      <vt:variant>
        <vt:lpwstr/>
      </vt:variant>
      <vt:variant>
        <vt:lpwstr>_Toc365640907</vt:lpwstr>
      </vt:variant>
      <vt:variant>
        <vt:i4>1507387</vt:i4>
      </vt:variant>
      <vt:variant>
        <vt:i4>50</vt:i4>
      </vt:variant>
      <vt:variant>
        <vt:i4>0</vt:i4>
      </vt:variant>
      <vt:variant>
        <vt:i4>5</vt:i4>
      </vt:variant>
      <vt:variant>
        <vt:lpwstr/>
      </vt:variant>
      <vt:variant>
        <vt:lpwstr>_Toc365640906</vt:lpwstr>
      </vt:variant>
      <vt:variant>
        <vt:i4>1507387</vt:i4>
      </vt:variant>
      <vt:variant>
        <vt:i4>44</vt:i4>
      </vt:variant>
      <vt:variant>
        <vt:i4>0</vt:i4>
      </vt:variant>
      <vt:variant>
        <vt:i4>5</vt:i4>
      </vt:variant>
      <vt:variant>
        <vt:lpwstr/>
      </vt:variant>
      <vt:variant>
        <vt:lpwstr>_Toc365640905</vt:lpwstr>
      </vt:variant>
      <vt:variant>
        <vt:i4>1507387</vt:i4>
      </vt:variant>
      <vt:variant>
        <vt:i4>38</vt:i4>
      </vt:variant>
      <vt:variant>
        <vt:i4>0</vt:i4>
      </vt:variant>
      <vt:variant>
        <vt:i4>5</vt:i4>
      </vt:variant>
      <vt:variant>
        <vt:lpwstr/>
      </vt:variant>
      <vt:variant>
        <vt:lpwstr>_Toc365640904</vt:lpwstr>
      </vt:variant>
      <vt:variant>
        <vt:i4>1507387</vt:i4>
      </vt:variant>
      <vt:variant>
        <vt:i4>32</vt:i4>
      </vt:variant>
      <vt:variant>
        <vt:i4>0</vt:i4>
      </vt:variant>
      <vt:variant>
        <vt:i4>5</vt:i4>
      </vt:variant>
      <vt:variant>
        <vt:lpwstr/>
      </vt:variant>
      <vt:variant>
        <vt:lpwstr>_Toc365640903</vt:lpwstr>
      </vt:variant>
      <vt:variant>
        <vt:i4>1507387</vt:i4>
      </vt:variant>
      <vt:variant>
        <vt:i4>26</vt:i4>
      </vt:variant>
      <vt:variant>
        <vt:i4>0</vt:i4>
      </vt:variant>
      <vt:variant>
        <vt:i4>5</vt:i4>
      </vt:variant>
      <vt:variant>
        <vt:lpwstr/>
      </vt:variant>
      <vt:variant>
        <vt:lpwstr>_Toc365640902</vt:lpwstr>
      </vt:variant>
      <vt:variant>
        <vt:i4>1507387</vt:i4>
      </vt:variant>
      <vt:variant>
        <vt:i4>20</vt:i4>
      </vt:variant>
      <vt:variant>
        <vt:i4>0</vt:i4>
      </vt:variant>
      <vt:variant>
        <vt:i4>5</vt:i4>
      </vt:variant>
      <vt:variant>
        <vt:lpwstr/>
      </vt:variant>
      <vt:variant>
        <vt:lpwstr>_Toc365640901</vt:lpwstr>
      </vt:variant>
      <vt:variant>
        <vt:i4>1507387</vt:i4>
      </vt:variant>
      <vt:variant>
        <vt:i4>14</vt:i4>
      </vt:variant>
      <vt:variant>
        <vt:i4>0</vt:i4>
      </vt:variant>
      <vt:variant>
        <vt:i4>5</vt:i4>
      </vt:variant>
      <vt:variant>
        <vt:lpwstr/>
      </vt:variant>
      <vt:variant>
        <vt:lpwstr>_Toc365640900</vt:lpwstr>
      </vt:variant>
      <vt:variant>
        <vt:i4>1966138</vt:i4>
      </vt:variant>
      <vt:variant>
        <vt:i4>8</vt:i4>
      </vt:variant>
      <vt:variant>
        <vt:i4>0</vt:i4>
      </vt:variant>
      <vt:variant>
        <vt:i4>5</vt:i4>
      </vt:variant>
      <vt:variant>
        <vt:lpwstr/>
      </vt:variant>
      <vt:variant>
        <vt:lpwstr>_Toc365640899</vt:lpwstr>
      </vt:variant>
      <vt:variant>
        <vt:i4>1966138</vt:i4>
      </vt:variant>
      <vt:variant>
        <vt:i4>2</vt:i4>
      </vt:variant>
      <vt:variant>
        <vt:i4>0</vt:i4>
      </vt:variant>
      <vt:variant>
        <vt:i4>5</vt:i4>
      </vt:variant>
      <vt:variant>
        <vt:lpwstr/>
      </vt:variant>
      <vt:variant>
        <vt:lpwstr>_Toc365640898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dc:title>
  <dc:creator>Fraser, Alicia (DPH);012920</dc:creator>
  <cp:lastModifiedBy>Fraser, Alicia (DPH)</cp:lastModifiedBy>
  <cp:revision>2</cp:revision>
  <cp:lastPrinted>2021-03-23T04:12:00Z</cp:lastPrinted>
  <dcterms:created xsi:type="dcterms:W3CDTF">2021-03-24T19:52:00Z</dcterms:created>
  <dcterms:modified xsi:type="dcterms:W3CDTF">2021-03-24T19:52:00Z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0x010100ABFEDB9F107C6446B43D25A543876226</vt:lpwstr>
  </property>
</Properties>
</file>