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04" w:rsidRPr="00317E33" w:rsidRDefault="00B15104" w:rsidP="00821D48">
      <w:pPr>
        <w:pStyle w:val="BodyText"/>
        <w:framePr w:w="8594" w:h="1685" w:hSpace="180" w:wrap="around" w:vAnchor="text" w:hAnchor="page" w:x="3022" w:y="-116"/>
        <w:rPr>
          <w:rFonts w:ascii="Diploma" w:hAnsi="Diploma"/>
        </w:rPr>
      </w:pPr>
      <w:smartTag w:uri="urn:schemas-microsoft-com:office:smarttags" w:element="place">
        <w:smartTag w:uri="urn:schemas-microsoft-com:office:smarttags" w:element="PlaceType">
          <w:r w:rsidRPr="00317E33">
            <w:rPr>
              <w:rFonts w:ascii="Diploma" w:hAnsi="Diploma"/>
              <w:sz w:val="32"/>
            </w:rPr>
            <w:t>Commonwealth</w:t>
          </w:r>
        </w:smartTag>
        <w:r w:rsidRPr="00317E33">
          <w:rPr>
            <w:rFonts w:ascii="Diploma" w:hAnsi="Diploma"/>
            <w:sz w:val="32"/>
          </w:rPr>
          <w:t xml:space="preserve"> of </w:t>
        </w:r>
        <w:smartTag w:uri="urn:schemas-microsoft-com:office:smarttags" w:element="PlaceName">
          <w:r w:rsidRPr="00317E33">
            <w:rPr>
              <w:rFonts w:ascii="Diploma" w:hAnsi="Diploma"/>
              <w:sz w:val="32"/>
            </w:rPr>
            <w:t>Massachusetts</w:t>
          </w:r>
        </w:smartTag>
      </w:smartTag>
    </w:p>
    <w:p w:rsidR="00B15104" w:rsidRDefault="00B15104" w:rsidP="00821D48">
      <w:pPr>
        <w:pStyle w:val="BodyText"/>
        <w:framePr w:w="8594" w:h="1685" w:hSpace="180" w:wrap="around" w:vAnchor="text" w:hAnchor="page" w:x="3022" w:y="-116"/>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B15104" w:rsidRDefault="00B15104" w:rsidP="00821D48">
      <w:pPr>
        <w:pStyle w:val="BodyText"/>
        <w:framePr w:w="8594" w:h="1685" w:hSpace="180" w:wrap="around" w:vAnchor="text" w:hAnchor="page" w:x="3022" w:y="-116"/>
        <w:spacing w:line="400" w:lineRule="exact"/>
        <w:rPr>
          <w:rFonts w:ascii="CG Times" w:hAnsi="CG Times"/>
        </w:rPr>
      </w:pPr>
      <w:r>
        <w:rPr>
          <w:rFonts w:ascii="CG Times" w:hAnsi="CG Times"/>
          <w:smallCaps/>
          <w:sz w:val="48"/>
        </w:rPr>
        <w:t>Community Development</w:t>
      </w:r>
    </w:p>
    <w:p w:rsidR="00B15104" w:rsidRPr="00821D48" w:rsidRDefault="00BF319E" w:rsidP="00821D48">
      <w:pPr>
        <w:pStyle w:val="Heading1"/>
        <w:framePr w:w="8594" w:h="1685" w:hSpace="180" w:wrap="around" w:vAnchor="text" w:hAnchor="page" w:x="3022" w:y="-116"/>
        <w:rPr>
          <w:color w:val="000080"/>
          <w:sz w:val="16"/>
          <w:szCs w:val="16"/>
        </w:rPr>
      </w:pPr>
      <w:r>
        <w:rPr>
          <w:rFonts w:ascii="CG Times" w:hAnsi="CG Times"/>
          <w:sz w:val="16"/>
          <w:szCs w:val="16"/>
        </w:rPr>
        <w:t xml:space="preserve">Charles D. Baker, Governor   </w:t>
      </w:r>
      <w:r>
        <w:rPr>
          <w:sz w:val="16"/>
          <w:szCs w:val="16"/>
        </w:rPr>
        <w:sym w:font="Wingdings" w:char="0075"/>
      </w:r>
      <w:r>
        <w:rPr>
          <w:rFonts w:ascii="CG Times" w:hAnsi="CG Times"/>
          <w:sz w:val="16"/>
          <w:szCs w:val="16"/>
        </w:rPr>
        <w:t xml:space="preserve">   Karyn Polito, Lieutenant Governo</w:t>
      </w:r>
      <w:r w:rsidR="00B01782">
        <w:rPr>
          <w:rFonts w:ascii="CG Times" w:hAnsi="CG Times"/>
          <w:sz w:val="16"/>
          <w:szCs w:val="16"/>
        </w:rPr>
        <w:t xml:space="preserve">r   </w:t>
      </w:r>
      <w:r w:rsidR="00B01782">
        <w:rPr>
          <w:sz w:val="16"/>
          <w:szCs w:val="16"/>
        </w:rPr>
        <w:sym w:font="Wingdings" w:char="F075"/>
      </w:r>
      <w:r w:rsidR="00240204">
        <w:rPr>
          <w:rFonts w:ascii="CG Times" w:hAnsi="CG Times"/>
          <w:sz w:val="16"/>
          <w:szCs w:val="16"/>
        </w:rPr>
        <w:t xml:space="preserve">   J</w:t>
      </w:r>
      <w:r w:rsidR="003A3372">
        <w:rPr>
          <w:rFonts w:ascii="CG Times" w:hAnsi="CG Times"/>
          <w:sz w:val="16"/>
          <w:szCs w:val="16"/>
        </w:rPr>
        <w:t>anelle Chan</w:t>
      </w:r>
      <w:r w:rsidR="00B01782">
        <w:rPr>
          <w:rFonts w:ascii="CG Times" w:hAnsi="CG Times"/>
          <w:sz w:val="16"/>
          <w:szCs w:val="16"/>
        </w:rPr>
        <w:t>, Undersecretary</w:t>
      </w:r>
    </w:p>
    <w:p w:rsidR="00B15104" w:rsidRPr="00CE2B74" w:rsidRDefault="007813A6">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rFonts w:ascii="CG Times" w:hAnsi="CG Times"/>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3" name="Picture 13"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HC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A31919" w:rsidRPr="00CE2B74">
            <w:rPr>
              <w:rFonts w:ascii="CG Times" w:hAnsi="CG Times" w:cs="Arial"/>
              <w:spacing w:val="-2"/>
              <w:sz w:val="18"/>
            </w:rPr>
            <w:t>100 Cambridge Street, Suite 300</w:t>
          </w:r>
        </w:smartTag>
      </w:smartTag>
      <w:r w:rsidR="00B15104" w:rsidRPr="00CE2B74">
        <w:rPr>
          <w:rFonts w:ascii="CG Times" w:hAnsi="CG Times" w:cs="Arial"/>
          <w:spacing w:val="-2"/>
          <w:sz w:val="18"/>
        </w:rPr>
        <w:tab/>
      </w:r>
      <w:r w:rsidR="00B15104" w:rsidRPr="00CE2B74">
        <w:rPr>
          <w:rFonts w:ascii="CG Times" w:hAnsi="CG Times" w:cs="Arial"/>
          <w:spacing w:val="-2"/>
          <w:sz w:val="18"/>
        </w:rPr>
        <w:tab/>
        <w:t>www.mass.gov/dhcd</w:t>
      </w:r>
    </w:p>
    <w:p w:rsidR="00B15104" w:rsidRPr="00CE2B74" w:rsidRDefault="00B15104">
      <w:pPr>
        <w:framePr w:w="10901" w:h="476" w:hSpace="245" w:vSpace="245" w:wrap="around" w:vAnchor="page" w:hAnchor="page" w:x="617" w:y="15065" w:anchorLock="1"/>
        <w:tabs>
          <w:tab w:val="left" w:pos="4680"/>
          <w:tab w:val="left" w:pos="8640"/>
        </w:tabs>
        <w:rPr>
          <w:rFonts w:ascii="CG Times" w:hAnsi="CG Times"/>
          <w:vanish/>
          <w:sz w:val="18"/>
        </w:rPr>
      </w:pPr>
      <w:r w:rsidRPr="00CE2B74">
        <w:rPr>
          <w:rFonts w:ascii="CG Times" w:hAnsi="CG Times"/>
          <w:sz w:val="18"/>
        </w:rPr>
        <w:t>Boston, Massachusetts</w:t>
      </w:r>
      <w:r w:rsidR="00A31919" w:rsidRPr="00CE2B74">
        <w:rPr>
          <w:rFonts w:ascii="CG Times" w:hAnsi="CG Times"/>
          <w:sz w:val="18"/>
        </w:rPr>
        <w:t xml:space="preserve">  02114</w:t>
      </w:r>
      <w:r w:rsidRPr="00CE2B74">
        <w:rPr>
          <w:rFonts w:ascii="CG Times" w:hAnsi="CG Times"/>
          <w:sz w:val="18"/>
        </w:rPr>
        <w:tab/>
      </w:r>
      <w:r w:rsidRPr="00CE2B74">
        <w:rPr>
          <w:rFonts w:ascii="CG Times" w:hAnsi="CG Times"/>
          <w:sz w:val="18"/>
        </w:rPr>
        <w:tab/>
      </w:r>
      <w:r w:rsidR="00812E93" w:rsidRPr="00CE2B74">
        <w:rPr>
          <w:rFonts w:ascii="CG Times" w:hAnsi="CG Times"/>
          <w:sz w:val="18"/>
        </w:rPr>
        <w:t>617.573.1100</w:t>
      </w:r>
      <w:r w:rsidR="00821D48">
        <w:rPr>
          <w:rFonts w:ascii="CG Times" w:hAnsi="CG Times"/>
          <w:sz w:val="18"/>
        </w:rPr>
        <w:t xml:space="preserve">  </w:t>
      </w:r>
      <w:r w:rsidR="00821D48" w:rsidRPr="00821D48">
        <w:rPr>
          <w:rFonts w:ascii="CG Times" w:hAnsi="CG Times"/>
          <w:vanish/>
          <w:sz w:val="18"/>
        </w:rPr>
        <w:t>xxx</w:t>
      </w:r>
    </w:p>
    <w:p w:rsidR="00B15104" w:rsidRPr="00CE2B74" w:rsidRDefault="00B15104">
      <w:pPr>
        <w:ind w:left="720" w:right="720" w:firstLine="1267"/>
        <w:rPr>
          <w:rFonts w:ascii="CG Times" w:hAnsi="CG Times"/>
        </w:rPr>
        <w:sectPr w:rsidR="00B15104" w:rsidRPr="00CE2B74">
          <w:pgSz w:w="12240" w:h="15840"/>
          <w:pgMar w:top="900" w:right="1800" w:bottom="1440" w:left="1800" w:header="720" w:footer="720" w:gutter="0"/>
          <w:cols w:space="720"/>
        </w:sectPr>
      </w:pPr>
    </w:p>
    <w:p w:rsidR="00B15104" w:rsidRDefault="007813A6" w:rsidP="00F63CC6">
      <w:pPr>
        <w:pStyle w:val="Heading1"/>
        <w:sectPr w:rsidR="00B15104">
          <w:type w:val="continuous"/>
          <w:pgSz w:w="12240" w:h="15840"/>
          <w:pgMar w:top="900" w:right="900" w:bottom="1440" w:left="1080" w:header="720" w:footer="720"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-1068705</wp:posOffset>
                </wp:positionV>
                <wp:extent cx="101790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A0E" w:rsidRDefault="007813A6" w:rsidP="00F63CC6">
                            <w:pPr>
                              <w:pStyle w:val="Heading1"/>
                            </w:pPr>
                            <w:r>
                              <w:rPr>
                                <w:noProof/>
                              </w:rPr>
                              <w:drawing>
                                <wp:inline distT="0" distB="0" distL="0" distR="0">
                                  <wp:extent cx="833120" cy="1017905"/>
                                  <wp:effectExtent l="0" t="0" r="5080"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120" cy="1017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84.15pt;width:80.1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aGtAIAALg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OY4xkqyHFj3wvUW3ao+oq844mAyc7gdws3s4hi77TM1wp6rvBkm1apnc8hut1dhyVgM74m6GF1cn&#10;HONANuMnVUMY9miVB9o3unelg2IgQIcuPZ0646hULmRE5mmUYFSBjRASJ7HvXciy4/VBG/uBqx65&#10;RY41tN7Ds92dsY4Oy44uLppUpeg63/5OPjsAx+kEgsNVZ3M0fDd/plG6XqwXNKDxbB3QqCiCm3JF&#10;g1lJ5knxrlitCvLLxSU0a0Vdc+nCHJVF6J917qDxSRMnbRnVidrBOUpGbzerTqMdA2WX/vNFB8vZ&#10;LXxOwxcBcnmREolpdBunQTlbzANa0iRI59EiiEh6m84imtKifJ7SnZD831NCY47TJE4mNZ1Jv8gt&#10;8t/r3FjWCwuzoxN9jhcnJ5Y5Da5l7Vtrmeim9UUpHP1zKaDdx0Z7xTqRTnK1+80eUJyMN6p+Au1q&#10;BcoCgcLAg0Wr9A+MRhgeOZYw3TDqPkpQf0oodbPGb2gyB6kifWnZXFqYrAAoxxajabmy03x6HLTY&#10;thDn+N5u4MWUwmv5zOnwzmA8+JQOo8zNn8u99zoP3OVvAAAA//8DAFBLAwQUAAYACAAAACEApIAE&#10;XN4AAAAJAQAADwAAAGRycy9kb3ducmV2LnhtbEyPQU7DMBBF90jcwZpK7Fo7pY2SEKdCBdaFwgHc&#10;eIjTxOModtvA6XFXZTUazdOf98vNZHt2xtG3jiQkCwEMqXa6pUbC1+fbPAPmgyKtekco4Qc9bKr7&#10;u1IV2l3oA8/70LAYQr5QEkwIQ8G5rw1a5RduQIq3bzdaFeI6NlyP6hLDbc+XQqTcqpbiB6MG3Bqs&#10;u/3JSsiE3XVdvnz3dvWbrM32xb0ORykfZtPzE7CAU7jBcNWP6lBFp4M7kfaslzDP80jGmaTZI7Ar&#10;sRYrYAcJaQ68Kvn/BtUfAAAA//8DAFBLAQItABQABgAIAAAAIQC2gziS/gAAAOEBAAATAAAAAAAA&#10;AAAAAAAAAAAAAABbQ29udGVudF9UeXBlc10ueG1sUEsBAi0AFAAGAAgAAAAhADj9If/WAAAAlAEA&#10;AAsAAAAAAAAAAAAAAAAALwEAAF9yZWxzLy5yZWxzUEsBAi0AFAAGAAgAAAAhAKlnBoa0AgAAuAUA&#10;AA4AAAAAAAAAAAAAAAAALgIAAGRycy9lMm9Eb2MueG1sUEsBAi0AFAAGAAgAAAAhAKSABFzeAAAA&#10;CQEAAA8AAAAAAAAAAAAAAAAADgUAAGRycy9kb3ducmV2LnhtbFBLBQYAAAAABAAEAPMAAAAZBgAA&#10;AAA=&#10;" filled="f" stroked="f">
                <v:textbox style="mso-fit-shape-to-text:t">
                  <w:txbxContent>
                    <w:p w:rsidR="004F6A0E" w:rsidRDefault="007813A6" w:rsidP="00F63CC6">
                      <w:pPr>
                        <w:pStyle w:val="Heading1"/>
                      </w:pPr>
                      <w:r>
                        <w:rPr>
                          <w:noProof/>
                        </w:rPr>
                        <w:drawing>
                          <wp:inline distT="0" distB="0" distL="0" distR="0">
                            <wp:extent cx="833120" cy="1017905"/>
                            <wp:effectExtent l="0" t="0" r="5080"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120" cy="1017905"/>
                                    </a:xfrm>
                                    <a:prstGeom prst="rect">
                                      <a:avLst/>
                                    </a:prstGeom>
                                    <a:noFill/>
                                    <a:ln>
                                      <a:noFill/>
                                    </a:ln>
                                  </pic:spPr>
                                </pic:pic>
                              </a:graphicData>
                            </a:graphic>
                          </wp:inline>
                        </w:drawing>
                      </w:r>
                    </w:p>
                  </w:txbxContent>
                </v:textbox>
              </v:shape>
            </w:pict>
          </mc:Fallback>
        </mc:AlternateContent>
      </w:r>
    </w:p>
    <w:p w:rsidR="00100C92" w:rsidRDefault="00100C92" w:rsidP="00100C92">
      <w:pPr>
        <w:rPr>
          <w:sz w:val="24"/>
        </w:rPr>
      </w:pPr>
    </w:p>
    <w:tbl>
      <w:tblPr>
        <w:tblW w:w="0" w:type="auto"/>
        <w:tblLayout w:type="fixed"/>
        <w:tblLook w:val="0000" w:firstRow="0" w:lastRow="0" w:firstColumn="0" w:lastColumn="0" w:noHBand="0" w:noVBand="0"/>
      </w:tblPr>
      <w:tblGrid>
        <w:gridCol w:w="1368"/>
        <w:gridCol w:w="8388"/>
      </w:tblGrid>
      <w:tr w:rsidR="00100C92" w:rsidTr="00FE38CE">
        <w:trPr>
          <w:trHeight w:val="387"/>
        </w:trPr>
        <w:tc>
          <w:tcPr>
            <w:tcW w:w="9756" w:type="dxa"/>
            <w:gridSpan w:val="2"/>
            <w:shd w:val="clear" w:color="auto" w:fill="auto"/>
          </w:tcPr>
          <w:p w:rsidR="00100C92" w:rsidRDefault="00100C92">
            <w:pPr>
              <w:suppressAutoHyphens/>
              <w:jc w:val="center"/>
              <w:rPr>
                <w:rFonts w:ascii="Courier" w:hAnsi="Courier"/>
                <w:sz w:val="28"/>
              </w:rPr>
            </w:pPr>
            <w:r>
              <w:rPr>
                <w:b/>
                <w:sz w:val="28"/>
              </w:rPr>
              <w:t>Memorandum</w:t>
            </w:r>
          </w:p>
        </w:tc>
      </w:tr>
      <w:tr w:rsidR="00104402">
        <w:tc>
          <w:tcPr>
            <w:tcW w:w="1368" w:type="dxa"/>
            <w:shd w:val="clear" w:color="auto" w:fill="auto"/>
          </w:tcPr>
          <w:p w:rsidR="00104402" w:rsidRDefault="00104402" w:rsidP="002219E9">
            <w:pPr>
              <w:suppressAutoHyphens/>
              <w:jc w:val="right"/>
              <w:rPr>
                <w:sz w:val="24"/>
              </w:rPr>
            </w:pPr>
            <w:r>
              <w:rPr>
                <w:sz w:val="24"/>
              </w:rPr>
              <w:t>To:</w:t>
            </w:r>
          </w:p>
        </w:tc>
        <w:tc>
          <w:tcPr>
            <w:tcW w:w="8388" w:type="dxa"/>
            <w:shd w:val="clear" w:color="auto" w:fill="auto"/>
          </w:tcPr>
          <w:p w:rsidR="00104402" w:rsidRPr="00FE38CE" w:rsidRDefault="00FE38CE" w:rsidP="004F6A0E">
            <w:pPr>
              <w:tabs>
                <w:tab w:val="left" w:pos="342"/>
              </w:tabs>
              <w:suppressAutoHyphens/>
              <w:jc w:val="both"/>
              <w:rPr>
                <w:b/>
                <w:sz w:val="24"/>
              </w:rPr>
            </w:pPr>
            <w:r>
              <w:rPr>
                <w:b/>
                <w:sz w:val="24"/>
              </w:rPr>
              <w:t>CDBG Applicants</w:t>
            </w:r>
          </w:p>
        </w:tc>
      </w:tr>
      <w:tr w:rsidR="00100C92">
        <w:tc>
          <w:tcPr>
            <w:tcW w:w="1368" w:type="dxa"/>
            <w:shd w:val="clear" w:color="auto" w:fill="auto"/>
          </w:tcPr>
          <w:p w:rsidR="00100C92" w:rsidRDefault="00100C92" w:rsidP="002219E9">
            <w:pPr>
              <w:suppressAutoHyphens/>
              <w:jc w:val="right"/>
              <w:rPr>
                <w:sz w:val="24"/>
              </w:rPr>
            </w:pPr>
            <w:r>
              <w:rPr>
                <w:sz w:val="24"/>
              </w:rPr>
              <w:t>From:</w:t>
            </w:r>
          </w:p>
        </w:tc>
        <w:tc>
          <w:tcPr>
            <w:tcW w:w="8388" w:type="dxa"/>
            <w:shd w:val="clear" w:color="auto" w:fill="auto"/>
          </w:tcPr>
          <w:p w:rsidR="00100C92" w:rsidRPr="00FE38CE" w:rsidRDefault="00FE38CE" w:rsidP="004F6A0E">
            <w:pPr>
              <w:tabs>
                <w:tab w:val="left" w:pos="342"/>
              </w:tabs>
              <w:suppressAutoHyphens/>
              <w:jc w:val="both"/>
              <w:rPr>
                <w:b/>
                <w:sz w:val="24"/>
              </w:rPr>
            </w:pPr>
            <w:r w:rsidRPr="00FE38CE">
              <w:rPr>
                <w:b/>
                <w:sz w:val="24"/>
              </w:rPr>
              <w:t>Mark Southard</w:t>
            </w:r>
            <w:r>
              <w:rPr>
                <w:b/>
                <w:sz w:val="24"/>
              </w:rPr>
              <w:t>, Community Development Manager</w:t>
            </w:r>
          </w:p>
        </w:tc>
      </w:tr>
      <w:tr w:rsidR="00100C92">
        <w:tc>
          <w:tcPr>
            <w:tcW w:w="1368" w:type="dxa"/>
            <w:shd w:val="clear" w:color="auto" w:fill="auto"/>
          </w:tcPr>
          <w:p w:rsidR="00100C92" w:rsidRDefault="00100C92" w:rsidP="002219E9">
            <w:pPr>
              <w:suppressAutoHyphens/>
              <w:jc w:val="right"/>
              <w:rPr>
                <w:sz w:val="24"/>
              </w:rPr>
            </w:pPr>
            <w:r>
              <w:rPr>
                <w:sz w:val="24"/>
              </w:rPr>
              <w:t>Subject:</w:t>
            </w:r>
          </w:p>
        </w:tc>
        <w:tc>
          <w:tcPr>
            <w:tcW w:w="8388" w:type="dxa"/>
            <w:shd w:val="clear" w:color="auto" w:fill="auto"/>
          </w:tcPr>
          <w:p w:rsidR="00100C92" w:rsidRPr="00FE38CE" w:rsidRDefault="00FE38CE" w:rsidP="004F6A0E">
            <w:pPr>
              <w:tabs>
                <w:tab w:val="left" w:pos="342"/>
              </w:tabs>
              <w:suppressAutoHyphens/>
              <w:jc w:val="both"/>
              <w:rPr>
                <w:b/>
                <w:sz w:val="24"/>
              </w:rPr>
            </w:pPr>
            <w:r w:rsidRPr="00FE38CE">
              <w:rPr>
                <w:b/>
                <w:sz w:val="24"/>
              </w:rPr>
              <w:t>2019 CDBG Application</w:t>
            </w:r>
          </w:p>
        </w:tc>
      </w:tr>
      <w:tr w:rsidR="00D45171">
        <w:tc>
          <w:tcPr>
            <w:tcW w:w="1368" w:type="dxa"/>
            <w:tcBorders>
              <w:top w:val="nil"/>
              <w:left w:val="nil"/>
              <w:right w:val="nil"/>
            </w:tcBorders>
            <w:shd w:val="clear" w:color="auto" w:fill="auto"/>
          </w:tcPr>
          <w:p w:rsidR="00D45171" w:rsidRDefault="00D45171" w:rsidP="002219E9">
            <w:pPr>
              <w:tabs>
                <w:tab w:val="left" w:pos="-720"/>
              </w:tabs>
              <w:suppressAutoHyphens/>
              <w:jc w:val="right"/>
              <w:rPr>
                <w:sz w:val="24"/>
              </w:rPr>
            </w:pPr>
            <w:r>
              <w:rPr>
                <w:sz w:val="24"/>
              </w:rPr>
              <w:t>Date:</w:t>
            </w:r>
          </w:p>
        </w:tc>
        <w:tc>
          <w:tcPr>
            <w:tcW w:w="8388" w:type="dxa"/>
            <w:tcBorders>
              <w:top w:val="nil"/>
              <w:left w:val="nil"/>
              <w:right w:val="nil"/>
            </w:tcBorders>
            <w:shd w:val="clear" w:color="auto" w:fill="auto"/>
          </w:tcPr>
          <w:p w:rsidR="00D45171" w:rsidRPr="00FE38CE" w:rsidRDefault="00FE38CE" w:rsidP="004F6A0E">
            <w:pPr>
              <w:tabs>
                <w:tab w:val="left" w:pos="342"/>
              </w:tabs>
              <w:suppressAutoHyphens/>
              <w:jc w:val="both"/>
              <w:rPr>
                <w:b/>
                <w:sz w:val="24"/>
              </w:rPr>
            </w:pPr>
            <w:r w:rsidRPr="00FE38CE">
              <w:rPr>
                <w:b/>
                <w:sz w:val="24"/>
              </w:rPr>
              <w:t>January 24, 2019</w:t>
            </w:r>
          </w:p>
        </w:tc>
      </w:tr>
      <w:tr w:rsidR="00100C92">
        <w:tc>
          <w:tcPr>
            <w:tcW w:w="1368" w:type="dxa"/>
            <w:tcBorders>
              <w:left w:val="nil"/>
              <w:bottom w:val="single" w:sz="6" w:space="0" w:color="auto"/>
              <w:right w:val="nil"/>
            </w:tcBorders>
            <w:shd w:val="clear" w:color="auto" w:fill="auto"/>
          </w:tcPr>
          <w:p w:rsidR="00100C92" w:rsidRDefault="00100C92" w:rsidP="002219E9">
            <w:pPr>
              <w:tabs>
                <w:tab w:val="left" w:pos="-720"/>
              </w:tabs>
              <w:suppressAutoHyphens/>
              <w:jc w:val="right"/>
              <w:rPr>
                <w:sz w:val="24"/>
              </w:rPr>
            </w:pPr>
          </w:p>
        </w:tc>
        <w:tc>
          <w:tcPr>
            <w:tcW w:w="8388" w:type="dxa"/>
            <w:tcBorders>
              <w:left w:val="nil"/>
              <w:bottom w:val="single" w:sz="6" w:space="0" w:color="auto"/>
              <w:right w:val="nil"/>
            </w:tcBorders>
            <w:shd w:val="clear" w:color="auto" w:fill="auto"/>
          </w:tcPr>
          <w:p w:rsidR="00100C92" w:rsidRDefault="00100C92" w:rsidP="00FE38CE">
            <w:pPr>
              <w:tabs>
                <w:tab w:val="left" w:pos="342"/>
              </w:tabs>
              <w:suppressAutoHyphens/>
              <w:jc w:val="both"/>
              <w:rPr>
                <w:sz w:val="24"/>
              </w:rPr>
            </w:pPr>
          </w:p>
        </w:tc>
      </w:tr>
    </w:tbl>
    <w:p w:rsidR="00100C92" w:rsidRDefault="00100C92" w:rsidP="00100C92">
      <w:pPr>
        <w:rPr>
          <w:sz w:val="24"/>
        </w:rPr>
      </w:pPr>
    </w:p>
    <w:p w:rsidR="00B15104" w:rsidRDefault="00FE38CE">
      <w:pPr>
        <w:rPr>
          <w:sz w:val="24"/>
        </w:rPr>
      </w:pPr>
      <w:r>
        <w:rPr>
          <w:sz w:val="24"/>
        </w:rPr>
        <w:t>Please note that the FY 2019 CDBG Application for the Community Development Fund and the Mini Entitlement Program is now available on the CDBG webpage at mass.gov. Scroll down to Application Information and click on CDBG On-Line Application.</w:t>
      </w:r>
    </w:p>
    <w:p w:rsidR="00FE38CE" w:rsidRDefault="00FE38CE">
      <w:pPr>
        <w:rPr>
          <w:sz w:val="24"/>
        </w:rPr>
      </w:pPr>
    </w:p>
    <w:p w:rsidR="00FE38CE" w:rsidRDefault="00FE38CE">
      <w:pPr>
        <w:rPr>
          <w:sz w:val="24"/>
        </w:rPr>
      </w:pPr>
      <w:r>
        <w:rPr>
          <w:sz w:val="24"/>
        </w:rPr>
        <w:t>There has been one functional change to the application that returning applicants will notice in the Public Social Services (PSS) packet. Applicants will no longer add the total budget for the project under Navigation Links at the bottom of the page. Instead the total budget for the PSS project will be entered on the main packet page. Program Delivery budgets will be completed as they have in the past.</w:t>
      </w:r>
    </w:p>
    <w:p w:rsidR="00FE38CE" w:rsidRDefault="00FE38CE">
      <w:pPr>
        <w:rPr>
          <w:sz w:val="24"/>
        </w:rPr>
      </w:pPr>
    </w:p>
    <w:p w:rsidR="00FE38CE" w:rsidRPr="00FE38CE" w:rsidRDefault="00FE38CE">
      <w:pPr>
        <w:rPr>
          <w:b/>
          <w:sz w:val="24"/>
        </w:rPr>
      </w:pPr>
      <w:r>
        <w:rPr>
          <w:sz w:val="24"/>
        </w:rPr>
        <w:t xml:space="preserve">That’s it. Good luck with your applications which are </w:t>
      </w:r>
      <w:r w:rsidRPr="00FE38CE">
        <w:rPr>
          <w:sz w:val="24"/>
          <w:u w:val="single"/>
        </w:rPr>
        <w:t>now due</w:t>
      </w:r>
      <w:r>
        <w:rPr>
          <w:sz w:val="24"/>
        </w:rPr>
        <w:t xml:space="preserve"> on </w:t>
      </w:r>
      <w:r>
        <w:rPr>
          <w:b/>
          <w:sz w:val="24"/>
        </w:rPr>
        <w:t>March 8, 2019.</w:t>
      </w:r>
      <w:bookmarkStart w:id="0" w:name="_GoBack"/>
      <w:bookmarkEnd w:id="0"/>
    </w:p>
    <w:sectPr w:rsidR="00FE38CE" w:rsidRPr="00FE38CE">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xpX39SrsBWYv72j2JTDacIz3nblK/8r9XbLOdnDneqCwrWXknypFoFWKYyyGXLjBjjMbas6BQw8GYwrckRgA==" w:salt="Zp/aGjko39ID+jvjWwHDzg=="/>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08"/>
    <w:rsid w:val="00042CF3"/>
    <w:rsid w:val="00100C92"/>
    <w:rsid w:val="00104402"/>
    <w:rsid w:val="002219E9"/>
    <w:rsid w:val="00240204"/>
    <w:rsid w:val="00280808"/>
    <w:rsid w:val="00317E33"/>
    <w:rsid w:val="00322BBB"/>
    <w:rsid w:val="00381AAE"/>
    <w:rsid w:val="003A3372"/>
    <w:rsid w:val="003A46D6"/>
    <w:rsid w:val="004C457D"/>
    <w:rsid w:val="004F6A0E"/>
    <w:rsid w:val="00521022"/>
    <w:rsid w:val="006D23E7"/>
    <w:rsid w:val="007813A6"/>
    <w:rsid w:val="007B3077"/>
    <w:rsid w:val="00812E93"/>
    <w:rsid w:val="00821D48"/>
    <w:rsid w:val="00A31919"/>
    <w:rsid w:val="00B01782"/>
    <w:rsid w:val="00B15104"/>
    <w:rsid w:val="00B41805"/>
    <w:rsid w:val="00BD1708"/>
    <w:rsid w:val="00BF319E"/>
    <w:rsid w:val="00C86708"/>
    <w:rsid w:val="00CE2B74"/>
    <w:rsid w:val="00CF24C3"/>
    <w:rsid w:val="00D267DA"/>
    <w:rsid w:val="00D45171"/>
    <w:rsid w:val="00DC72D1"/>
    <w:rsid w:val="00E86F42"/>
    <w:rsid w:val="00F05EBF"/>
    <w:rsid w:val="00F63CC6"/>
    <w:rsid w:val="00FE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E5E9B77-960D-49A4-9EF6-1978059A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link w:val="BalloonTextChar"/>
    <w:semiHidden/>
    <w:unhideWhenUsed/>
    <w:rsid w:val="00B01782"/>
    <w:rPr>
      <w:rFonts w:ascii="Segoe UI" w:hAnsi="Segoe UI" w:cs="Segoe UI"/>
      <w:sz w:val="18"/>
      <w:szCs w:val="18"/>
    </w:rPr>
  </w:style>
  <w:style w:type="character" w:customStyle="1" w:styleId="BalloonTextChar">
    <w:name w:val="Balloon Text Char"/>
    <w:basedOn w:val="DefaultParagraphFont"/>
    <w:link w:val="BalloonText"/>
    <w:semiHidden/>
    <w:rsid w:val="00B01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E38D-4798-40CC-A82E-80402512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Mark (OCD)</dc:creator>
  <cp:lastModifiedBy>Southard, Mark (OCD)</cp:lastModifiedBy>
  <cp:revision>1</cp:revision>
  <cp:lastPrinted>2015-02-11T18:01:00Z</cp:lastPrinted>
  <dcterms:created xsi:type="dcterms:W3CDTF">2019-01-24T18:53:00Z</dcterms:created>
  <dcterms:modified xsi:type="dcterms:W3CDTF">2019-01-24T19:06:00Z</dcterms:modified>
</cp:coreProperties>
</file>