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ACF" w:rsidRDefault="00F41ADD">
      <w:r>
        <w:t>Slide 1</w:t>
      </w:r>
    </w:p>
    <w:p w:rsidR="00F41ADD" w:rsidRDefault="00F41ADD">
      <w:pPr>
        <w:rPr>
          <w:i/>
          <w:iCs/>
        </w:rPr>
      </w:pPr>
      <w:r w:rsidRPr="00F41ADD">
        <w:rPr>
          <w:b/>
          <w:bCs/>
        </w:rPr>
        <w:t>FY17 Budget Request</w:t>
      </w:r>
      <w:r w:rsidRPr="00F41ADD">
        <w:rPr>
          <w:b/>
          <w:bCs/>
        </w:rPr>
        <w:br/>
      </w:r>
      <w:r w:rsidRPr="00F41ADD">
        <w:rPr>
          <w:i/>
          <w:iCs/>
        </w:rPr>
        <w:t>November 10, 2015</w:t>
      </w:r>
    </w:p>
    <w:p w:rsidR="00F41ADD" w:rsidRPr="00F41ADD" w:rsidRDefault="00F41ADD" w:rsidP="00F41ADD">
      <w:r w:rsidRPr="00F41ADD">
        <w:rPr>
          <w:b/>
          <w:bCs/>
        </w:rPr>
        <w:t>Department of Early Education and Care Board Presentation</w:t>
      </w:r>
    </w:p>
    <w:p w:rsidR="00F41ADD" w:rsidRDefault="00F41ADD">
      <w:r>
        <w:t>Slide 2</w:t>
      </w:r>
    </w:p>
    <w:tbl>
      <w:tblPr>
        <w:tblStyle w:val="TableGrid"/>
        <w:tblW w:w="0" w:type="auto"/>
        <w:tblLook w:val="04A0"/>
      </w:tblPr>
      <w:tblGrid>
        <w:gridCol w:w="3192"/>
        <w:gridCol w:w="3192"/>
        <w:gridCol w:w="3192"/>
      </w:tblGrid>
      <w:tr w:rsidR="00F41ADD" w:rsidRPr="00F41ADD" w:rsidTr="00F41ADD">
        <w:trPr>
          <w:trHeight w:val="690"/>
        </w:trPr>
        <w:tc>
          <w:tcPr>
            <w:tcW w:w="3192" w:type="dxa"/>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Line Item</w:t>
            </w:r>
          </w:p>
        </w:tc>
        <w:tc>
          <w:tcPr>
            <w:tcW w:w="3192" w:type="dxa"/>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Descriptor</w:t>
            </w:r>
          </w:p>
        </w:tc>
        <w:tc>
          <w:tcPr>
            <w:tcW w:w="3192" w:type="dxa"/>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 xml:space="preserve"> FY16 Total Available </w:t>
            </w:r>
          </w:p>
        </w:tc>
      </w:tr>
      <w:tr w:rsidR="00F41ADD" w:rsidRPr="00F41ADD" w:rsidTr="00F41ADD">
        <w:trPr>
          <w:trHeight w:val="300"/>
        </w:trPr>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3000-1000</w:t>
            </w:r>
          </w:p>
        </w:tc>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Administration*</w:t>
            </w:r>
          </w:p>
        </w:tc>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 xml:space="preserve"> $       12,542,429 </w:t>
            </w:r>
          </w:p>
        </w:tc>
      </w:tr>
      <w:tr w:rsidR="00F41ADD" w:rsidRPr="00F41ADD" w:rsidTr="00F41ADD">
        <w:trPr>
          <w:trHeight w:val="300"/>
        </w:trPr>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3000-1050</w:t>
            </w:r>
          </w:p>
        </w:tc>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EEC Assessment</w:t>
            </w:r>
          </w:p>
        </w:tc>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 xml:space="preserve"> $             300,000 </w:t>
            </w:r>
          </w:p>
        </w:tc>
      </w:tr>
      <w:tr w:rsidR="00F41ADD" w:rsidRPr="00F41ADD" w:rsidTr="00F41ADD">
        <w:trPr>
          <w:trHeight w:val="300"/>
        </w:trPr>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3000-2000</w:t>
            </w:r>
          </w:p>
        </w:tc>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Access Management</w:t>
            </w:r>
          </w:p>
        </w:tc>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 xml:space="preserve"> $         6,675,311 </w:t>
            </w:r>
          </w:p>
        </w:tc>
      </w:tr>
      <w:tr w:rsidR="00F41ADD" w:rsidRPr="00F41ADD" w:rsidTr="00F41ADD">
        <w:trPr>
          <w:trHeight w:val="300"/>
        </w:trPr>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3000-3060</w:t>
            </w:r>
          </w:p>
        </w:tc>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Supportive-DTA Related Care</w:t>
            </w:r>
          </w:p>
        </w:tc>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 xml:space="preserve"> $     219,907,383 </w:t>
            </w:r>
          </w:p>
        </w:tc>
      </w:tr>
      <w:tr w:rsidR="00F41ADD" w:rsidRPr="00F41ADD" w:rsidTr="00F41ADD">
        <w:trPr>
          <w:trHeight w:val="300"/>
        </w:trPr>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3000-4040</w:t>
            </w:r>
          </w:p>
        </w:tc>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Waitlist Remediation</w:t>
            </w:r>
          </w:p>
        </w:tc>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 xml:space="preserve"> $       12,000,000 </w:t>
            </w:r>
          </w:p>
        </w:tc>
      </w:tr>
      <w:tr w:rsidR="00F41ADD" w:rsidRPr="00F41ADD" w:rsidTr="00F41ADD">
        <w:trPr>
          <w:trHeight w:val="300"/>
        </w:trPr>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3000-4060</w:t>
            </w:r>
          </w:p>
        </w:tc>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Income Eligible Child Care**</w:t>
            </w:r>
          </w:p>
        </w:tc>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 xml:space="preserve"> $     252,944,993 </w:t>
            </w:r>
          </w:p>
        </w:tc>
      </w:tr>
      <w:tr w:rsidR="00F41ADD" w:rsidRPr="00F41ADD" w:rsidTr="00F41ADD">
        <w:trPr>
          <w:trHeight w:val="300"/>
        </w:trPr>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3000-5000</w:t>
            </w:r>
          </w:p>
        </w:tc>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Grants to Head Start</w:t>
            </w:r>
          </w:p>
        </w:tc>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 xml:space="preserve"> $         9,100,000 </w:t>
            </w:r>
          </w:p>
        </w:tc>
      </w:tr>
      <w:tr w:rsidR="00F41ADD" w:rsidRPr="00F41ADD" w:rsidTr="00F41ADD">
        <w:trPr>
          <w:trHeight w:val="300"/>
        </w:trPr>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3000-5075</w:t>
            </w:r>
          </w:p>
        </w:tc>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UPK</w:t>
            </w:r>
          </w:p>
        </w:tc>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 xml:space="preserve"> $         7,400,000 </w:t>
            </w:r>
          </w:p>
        </w:tc>
      </w:tr>
      <w:tr w:rsidR="00F41ADD" w:rsidRPr="00F41ADD" w:rsidTr="00F41ADD">
        <w:trPr>
          <w:trHeight w:val="300"/>
        </w:trPr>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3000-6025</w:t>
            </w:r>
          </w:p>
        </w:tc>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 xml:space="preserve">Commonwealth Preschool Partnership Initiative </w:t>
            </w:r>
          </w:p>
        </w:tc>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 xml:space="preserve"> $             500,000 </w:t>
            </w:r>
          </w:p>
        </w:tc>
      </w:tr>
      <w:tr w:rsidR="00F41ADD" w:rsidRPr="00F41ADD" w:rsidTr="00F41ADD">
        <w:trPr>
          <w:trHeight w:val="300"/>
        </w:trPr>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3000-6075</w:t>
            </w:r>
          </w:p>
        </w:tc>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Mental Health</w:t>
            </w:r>
          </w:p>
        </w:tc>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 xml:space="preserve"> $             750,000 </w:t>
            </w:r>
          </w:p>
        </w:tc>
      </w:tr>
      <w:tr w:rsidR="00F41ADD" w:rsidRPr="00F41ADD" w:rsidTr="00F41ADD">
        <w:trPr>
          <w:trHeight w:val="300"/>
        </w:trPr>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3000-7040</w:t>
            </w:r>
          </w:p>
        </w:tc>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EEC Contingency Contract Retained Revenue</w:t>
            </w:r>
          </w:p>
        </w:tc>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 xml:space="preserve"> $             200,000 </w:t>
            </w:r>
          </w:p>
        </w:tc>
      </w:tr>
      <w:tr w:rsidR="00F41ADD" w:rsidRPr="00F41ADD" w:rsidTr="00F41ADD">
        <w:trPr>
          <w:trHeight w:val="300"/>
        </w:trPr>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3000-7050</w:t>
            </w:r>
          </w:p>
        </w:tc>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Services for Infants and Parents</w:t>
            </w:r>
          </w:p>
        </w:tc>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 xml:space="preserve"> $       21,314,890 </w:t>
            </w:r>
          </w:p>
        </w:tc>
      </w:tr>
      <w:tr w:rsidR="00F41ADD" w:rsidRPr="00F41ADD" w:rsidTr="00F41ADD">
        <w:trPr>
          <w:trHeight w:val="300"/>
        </w:trPr>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3000-7070</w:t>
            </w:r>
          </w:p>
        </w:tc>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Reach Out and Read</w:t>
            </w:r>
          </w:p>
        </w:tc>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 xml:space="preserve"> $         1,000,000 </w:t>
            </w:r>
          </w:p>
        </w:tc>
      </w:tr>
      <w:tr w:rsidR="00F41ADD" w:rsidRPr="00F41ADD" w:rsidTr="00F41ADD">
        <w:trPr>
          <w:trHeight w:val="300"/>
        </w:trPr>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1599-0042</w:t>
            </w:r>
          </w:p>
        </w:tc>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CBC Reimbursement Rate Reserve</w:t>
            </w:r>
          </w:p>
        </w:tc>
        <w:tc>
          <w:tcPr>
            <w:tcW w:w="3192" w:type="dxa"/>
            <w:noWrap/>
            <w:hideMark/>
          </w:tcPr>
          <w:p w:rsidR="00F41ADD" w:rsidRPr="00F41ADD" w:rsidRDefault="00F41ADD" w:rsidP="00F41ADD">
            <w:pPr>
              <w:rPr>
                <w:rFonts w:ascii="Calibri" w:eastAsia="Times New Roman" w:hAnsi="Calibri" w:cs="Times New Roman"/>
                <w:color w:val="000000"/>
              </w:rPr>
            </w:pPr>
            <w:r w:rsidRPr="00F41ADD">
              <w:rPr>
                <w:rFonts w:ascii="Calibri" w:eastAsia="Times New Roman" w:hAnsi="Calibri" w:cs="Times New Roman"/>
                <w:color w:val="000000"/>
              </w:rPr>
              <w:t xml:space="preserve"> $         5,000,000 </w:t>
            </w:r>
          </w:p>
        </w:tc>
      </w:tr>
      <w:tr w:rsidR="00F41ADD" w:rsidRPr="00F41ADD" w:rsidTr="00F41ADD">
        <w:trPr>
          <w:trHeight w:val="345"/>
        </w:trPr>
        <w:tc>
          <w:tcPr>
            <w:tcW w:w="3192" w:type="dxa"/>
            <w:noWrap/>
            <w:hideMark/>
          </w:tcPr>
          <w:p w:rsidR="00F41ADD" w:rsidRPr="00F41ADD" w:rsidRDefault="00F41ADD" w:rsidP="00F41ADD">
            <w:pPr>
              <w:rPr>
                <w:rFonts w:ascii="Calibri" w:eastAsia="Times New Roman" w:hAnsi="Calibri" w:cs="Times New Roman"/>
                <w:color w:val="000000"/>
              </w:rPr>
            </w:pPr>
          </w:p>
        </w:tc>
        <w:tc>
          <w:tcPr>
            <w:tcW w:w="3192" w:type="dxa"/>
            <w:noWrap/>
            <w:hideMark/>
          </w:tcPr>
          <w:p w:rsidR="00F41ADD" w:rsidRPr="00F41ADD" w:rsidRDefault="00F41ADD" w:rsidP="00F41ADD">
            <w:pPr>
              <w:rPr>
                <w:rFonts w:ascii="Calibri" w:eastAsia="Times New Roman" w:hAnsi="Calibri" w:cs="Times New Roman"/>
                <w:color w:val="000000"/>
              </w:rPr>
            </w:pPr>
          </w:p>
        </w:tc>
        <w:tc>
          <w:tcPr>
            <w:tcW w:w="3192" w:type="dxa"/>
            <w:noWrap/>
            <w:hideMark/>
          </w:tcPr>
          <w:p w:rsidR="00F41ADD" w:rsidRPr="00F41ADD" w:rsidRDefault="00F41ADD" w:rsidP="00F41ADD">
            <w:pPr>
              <w:rPr>
                <w:rFonts w:ascii="Calibri" w:eastAsia="Times New Roman" w:hAnsi="Calibri" w:cs="Times New Roman"/>
                <w:b/>
                <w:bCs/>
                <w:color w:val="000000"/>
                <w:u w:val="single"/>
              </w:rPr>
            </w:pPr>
            <w:r w:rsidRPr="00F41ADD">
              <w:rPr>
                <w:rFonts w:ascii="Calibri" w:eastAsia="Times New Roman" w:hAnsi="Calibri" w:cs="Times New Roman"/>
                <w:b/>
                <w:bCs/>
                <w:color w:val="000000"/>
                <w:u w:val="single"/>
              </w:rPr>
              <w:t xml:space="preserve"> $     549,635,006 </w:t>
            </w:r>
          </w:p>
        </w:tc>
      </w:tr>
    </w:tbl>
    <w:p w:rsidR="00F41ADD" w:rsidRDefault="00F41ADD"/>
    <w:tbl>
      <w:tblPr>
        <w:tblStyle w:val="TableGrid"/>
        <w:tblW w:w="0" w:type="auto"/>
        <w:tblLook w:val="04A0"/>
      </w:tblPr>
      <w:tblGrid>
        <w:gridCol w:w="9576"/>
      </w:tblGrid>
      <w:tr w:rsidR="00F41ADD" w:rsidTr="002B2892">
        <w:tc>
          <w:tcPr>
            <w:tcW w:w="9576" w:type="dxa"/>
            <w:vAlign w:val="bottom"/>
          </w:tcPr>
          <w:p w:rsidR="00F41ADD" w:rsidRDefault="00F41ADD">
            <w:pPr>
              <w:rPr>
                <w:rFonts w:ascii="Calibri" w:hAnsi="Calibri"/>
                <w:color w:val="000000"/>
              </w:rPr>
            </w:pPr>
            <w:r>
              <w:rPr>
                <w:rFonts w:ascii="Calibri" w:hAnsi="Calibri"/>
                <w:color w:val="000000"/>
              </w:rPr>
              <w:t>*Includes adjustments made related to ERIP</w:t>
            </w:r>
          </w:p>
        </w:tc>
      </w:tr>
      <w:tr w:rsidR="00F41ADD" w:rsidTr="002B2892">
        <w:tc>
          <w:tcPr>
            <w:tcW w:w="9576" w:type="dxa"/>
            <w:vAlign w:val="bottom"/>
          </w:tcPr>
          <w:p w:rsidR="00F41ADD" w:rsidRDefault="00F41ADD">
            <w:pPr>
              <w:rPr>
                <w:rFonts w:ascii="Calibri" w:hAnsi="Calibri"/>
                <w:color w:val="000000"/>
              </w:rPr>
            </w:pPr>
            <w:r>
              <w:rPr>
                <w:rFonts w:ascii="Calibri" w:hAnsi="Calibri"/>
                <w:color w:val="000000"/>
              </w:rPr>
              <w:t>**Does not include approved $3.4M PAC</w:t>
            </w:r>
          </w:p>
        </w:tc>
      </w:tr>
    </w:tbl>
    <w:p w:rsidR="00F41ADD" w:rsidRDefault="00F41ADD"/>
    <w:p w:rsidR="00F41ADD" w:rsidRDefault="00F41ADD">
      <w:r>
        <w:t>Slide 3</w:t>
      </w:r>
    </w:p>
    <w:p w:rsidR="00F41ADD" w:rsidRPr="00C80984" w:rsidRDefault="00F41ADD" w:rsidP="00F41ADD">
      <w:pPr>
        <w:rPr>
          <w:bCs/>
        </w:rPr>
      </w:pPr>
      <w:r w:rsidRPr="00C80984">
        <w:rPr>
          <w:bCs/>
        </w:rPr>
        <w:t>Image of a line graph depicting EEC's budget totals by fiscal year (total amounts prior to FY16 are adjusted for PACs)</w:t>
      </w:r>
    </w:p>
    <w:p w:rsidR="00F41ADD" w:rsidRPr="00C80984" w:rsidRDefault="00F41ADD" w:rsidP="00F41ADD">
      <w:pPr>
        <w:pStyle w:val="ListParagraph"/>
        <w:numPr>
          <w:ilvl w:val="0"/>
          <w:numId w:val="1"/>
        </w:numPr>
      </w:pPr>
      <w:r w:rsidRPr="00C80984">
        <w:t>FY07 - 495.97 M</w:t>
      </w:r>
    </w:p>
    <w:p w:rsidR="00F41ADD" w:rsidRPr="00C80984" w:rsidRDefault="00F41ADD" w:rsidP="00F41ADD">
      <w:pPr>
        <w:pStyle w:val="ListParagraph"/>
        <w:numPr>
          <w:ilvl w:val="0"/>
          <w:numId w:val="1"/>
        </w:numPr>
      </w:pPr>
      <w:r w:rsidRPr="00C80984">
        <w:t>FY08 - 537.23 M</w:t>
      </w:r>
    </w:p>
    <w:p w:rsidR="00F41ADD" w:rsidRPr="00C80984" w:rsidRDefault="00F41ADD" w:rsidP="00F41ADD">
      <w:pPr>
        <w:pStyle w:val="ListParagraph"/>
        <w:numPr>
          <w:ilvl w:val="0"/>
          <w:numId w:val="1"/>
        </w:numPr>
      </w:pPr>
      <w:r w:rsidRPr="00C80984">
        <w:t>FY09 - 553.43 M</w:t>
      </w:r>
    </w:p>
    <w:p w:rsidR="00F41ADD" w:rsidRPr="00C80984" w:rsidRDefault="00F41ADD" w:rsidP="00F41ADD">
      <w:pPr>
        <w:pStyle w:val="ListParagraph"/>
        <w:numPr>
          <w:ilvl w:val="0"/>
          <w:numId w:val="1"/>
        </w:numPr>
      </w:pPr>
      <w:r w:rsidRPr="00C80984">
        <w:t>FY10 - 505.35 M</w:t>
      </w:r>
    </w:p>
    <w:p w:rsidR="00F41ADD" w:rsidRPr="00C80984" w:rsidRDefault="00F41ADD" w:rsidP="00F41ADD">
      <w:pPr>
        <w:pStyle w:val="ListParagraph"/>
        <w:numPr>
          <w:ilvl w:val="0"/>
          <w:numId w:val="1"/>
        </w:numPr>
      </w:pPr>
      <w:r w:rsidRPr="00C80984">
        <w:t>FY11 - 508.59 M</w:t>
      </w:r>
    </w:p>
    <w:p w:rsidR="00F41ADD" w:rsidRPr="00C80984" w:rsidRDefault="00F41ADD" w:rsidP="00F41ADD">
      <w:pPr>
        <w:pStyle w:val="ListParagraph"/>
        <w:numPr>
          <w:ilvl w:val="0"/>
          <w:numId w:val="1"/>
        </w:numPr>
      </w:pPr>
      <w:r w:rsidRPr="00C80984">
        <w:lastRenderedPageBreak/>
        <w:t>FY12 - 495.18 M</w:t>
      </w:r>
    </w:p>
    <w:p w:rsidR="00F41ADD" w:rsidRPr="00C80984" w:rsidRDefault="00F41ADD" w:rsidP="00F41ADD">
      <w:pPr>
        <w:pStyle w:val="ListParagraph"/>
        <w:numPr>
          <w:ilvl w:val="0"/>
          <w:numId w:val="1"/>
        </w:numPr>
      </w:pPr>
      <w:r w:rsidRPr="00C80984">
        <w:t>FY13 - 479.14 M</w:t>
      </w:r>
    </w:p>
    <w:p w:rsidR="00F41ADD" w:rsidRPr="00C80984" w:rsidRDefault="00F41ADD" w:rsidP="00F41ADD">
      <w:pPr>
        <w:pStyle w:val="ListParagraph"/>
        <w:numPr>
          <w:ilvl w:val="0"/>
          <w:numId w:val="1"/>
        </w:numPr>
      </w:pPr>
      <w:r w:rsidRPr="00C80984">
        <w:t>FY14 - 503.25 M</w:t>
      </w:r>
    </w:p>
    <w:p w:rsidR="00F41ADD" w:rsidRPr="00C80984" w:rsidRDefault="00F41ADD" w:rsidP="00F41ADD">
      <w:pPr>
        <w:pStyle w:val="ListParagraph"/>
        <w:numPr>
          <w:ilvl w:val="0"/>
          <w:numId w:val="1"/>
        </w:numPr>
      </w:pPr>
      <w:r w:rsidRPr="00C80984">
        <w:t>FY15 - 537.15 M</w:t>
      </w:r>
    </w:p>
    <w:p w:rsidR="00F41ADD" w:rsidRPr="00C80984" w:rsidRDefault="00F41ADD" w:rsidP="00F41ADD">
      <w:pPr>
        <w:pStyle w:val="ListParagraph"/>
        <w:numPr>
          <w:ilvl w:val="0"/>
          <w:numId w:val="1"/>
        </w:numPr>
      </w:pPr>
      <w:r w:rsidRPr="00C80984">
        <w:t>FY16 - 549.64 M</w:t>
      </w:r>
    </w:p>
    <w:p w:rsidR="00F41ADD" w:rsidRDefault="00F41ADD">
      <w:r>
        <w:t>Slide 4</w:t>
      </w:r>
    </w:p>
    <w:p w:rsidR="00F41ADD" w:rsidRDefault="00F41ADD">
      <w:pPr>
        <w:rPr>
          <w:b/>
          <w:bCs/>
        </w:rPr>
      </w:pPr>
      <w:r w:rsidRPr="00F41ADD">
        <w:rPr>
          <w:b/>
          <w:bCs/>
        </w:rPr>
        <w:t>FY17 Budget Needs</w:t>
      </w:r>
    </w:p>
    <w:p w:rsidR="00000000" w:rsidRPr="00F41ADD" w:rsidRDefault="009300EE" w:rsidP="00F41ADD">
      <w:pPr>
        <w:numPr>
          <w:ilvl w:val="1"/>
          <w:numId w:val="2"/>
        </w:numPr>
      </w:pPr>
      <w:r w:rsidRPr="00F41ADD">
        <w:t xml:space="preserve">Overall, the FY17 budget will need to be increased by $36,210,130 to support </w:t>
      </w:r>
      <w:r w:rsidRPr="00F41ADD">
        <w:t xml:space="preserve">general maintenance, meet new federal requirements on early education and care, and to make targeted investments. </w:t>
      </w:r>
    </w:p>
    <w:p w:rsidR="00000000" w:rsidRPr="00F41ADD" w:rsidRDefault="009300EE" w:rsidP="00F41ADD">
      <w:pPr>
        <w:numPr>
          <w:ilvl w:val="1"/>
          <w:numId w:val="2"/>
        </w:numPr>
      </w:pPr>
      <w:r w:rsidRPr="00F41ADD">
        <w:t>The department’s FY17 budget request is driven by two non discretionary forces: 1) General maintenance needs and 2) Mandated CCDBG Requireme</w:t>
      </w:r>
      <w:r w:rsidRPr="00F41ADD">
        <w:t>nts.</w:t>
      </w:r>
    </w:p>
    <w:p w:rsidR="00000000" w:rsidRPr="00F41ADD" w:rsidRDefault="009300EE" w:rsidP="00F41ADD">
      <w:pPr>
        <w:numPr>
          <w:ilvl w:val="1"/>
          <w:numId w:val="2"/>
        </w:numPr>
      </w:pPr>
      <w:r w:rsidRPr="00F41ADD">
        <w:t xml:space="preserve">In addition to the non-discretionary increases dictated by maintenance needs and CCDBG mandates, EEC also requests targeted funds to help improve the quality of education and care. </w:t>
      </w:r>
    </w:p>
    <w:p w:rsidR="00F41ADD" w:rsidRDefault="00F41ADD">
      <w:r>
        <w:t>Slide 5</w:t>
      </w:r>
    </w:p>
    <w:p w:rsidR="00F41ADD" w:rsidRDefault="00F41ADD">
      <w:pPr>
        <w:rPr>
          <w:b/>
          <w:bCs/>
        </w:rPr>
      </w:pPr>
      <w:r w:rsidRPr="00F41ADD">
        <w:rPr>
          <w:b/>
          <w:bCs/>
        </w:rPr>
        <w:t>FY17 Needs - Maintenance</w:t>
      </w:r>
    </w:p>
    <w:p w:rsidR="00000000" w:rsidRPr="00F41ADD" w:rsidRDefault="009300EE" w:rsidP="00F41ADD">
      <w:pPr>
        <w:numPr>
          <w:ilvl w:val="0"/>
          <w:numId w:val="3"/>
        </w:numPr>
      </w:pPr>
      <w:r w:rsidRPr="00F41ADD">
        <w:t>To maintain the same level of services as</w:t>
      </w:r>
      <w:r w:rsidRPr="00F41ADD">
        <w:t xml:space="preserve"> provided in FY16, the overall EEC budget will require $560,307,246 in funds.  This represents an increase of $10,672,240 compared to the amount available in FY16 (not including the $3.4M PAC that is considered one-time funding).</w:t>
      </w:r>
    </w:p>
    <w:p w:rsidR="00000000" w:rsidRPr="00F41ADD" w:rsidRDefault="009300EE" w:rsidP="00F41ADD">
      <w:pPr>
        <w:numPr>
          <w:ilvl w:val="0"/>
          <w:numId w:val="3"/>
        </w:numPr>
      </w:pPr>
      <w:r w:rsidRPr="00F41ADD">
        <w:t>The calculation of FY17 m</w:t>
      </w:r>
      <w:r w:rsidRPr="00F41ADD">
        <w:t xml:space="preserve">aintenance need considers the personnel (CBA increase) and lease demands, as well as the </w:t>
      </w:r>
      <w:proofErr w:type="spellStart"/>
      <w:r w:rsidRPr="00F41ADD">
        <w:t>annualization</w:t>
      </w:r>
      <w:proofErr w:type="spellEnd"/>
      <w:r w:rsidRPr="00F41ADD">
        <w:t xml:space="preserve"> of rate increases for Family Child Care and Center-based care, but also considers the loss of waitlist remediation.</w:t>
      </w:r>
    </w:p>
    <w:p w:rsidR="00000000" w:rsidRPr="00F41ADD" w:rsidRDefault="009300EE" w:rsidP="00F41ADD">
      <w:pPr>
        <w:numPr>
          <w:ilvl w:val="0"/>
          <w:numId w:val="3"/>
        </w:numPr>
      </w:pPr>
      <w:r w:rsidRPr="00F41ADD">
        <w:t>The caseload accounts, Admin (3000-1</w:t>
      </w:r>
      <w:r w:rsidRPr="00F41ADD">
        <w:t xml:space="preserve">000), and Access Management (3000-2000) are the only appropriations that require an increase over the FY16 total amount available to keep pace with maintenance needs.  </w:t>
      </w:r>
    </w:p>
    <w:p w:rsidR="00000000" w:rsidRPr="00F41ADD" w:rsidRDefault="009300EE" w:rsidP="00F41ADD">
      <w:pPr>
        <w:numPr>
          <w:ilvl w:val="0"/>
          <w:numId w:val="3"/>
        </w:numPr>
      </w:pPr>
      <w:r w:rsidRPr="00F41ADD">
        <w:t xml:space="preserve">All other appropriations will require level funding, and in </w:t>
      </w:r>
      <w:r w:rsidRPr="00F41ADD">
        <w:t xml:space="preserve">some cases no funding at all because of the one-time nature of the line item. </w:t>
      </w:r>
    </w:p>
    <w:p w:rsidR="00F41ADD" w:rsidRDefault="00F41ADD">
      <w:r>
        <w:t>Slide 6</w:t>
      </w:r>
    </w:p>
    <w:p w:rsidR="00F41ADD" w:rsidRDefault="00F41ADD">
      <w:pPr>
        <w:rPr>
          <w:b/>
          <w:bCs/>
        </w:rPr>
      </w:pPr>
      <w:r w:rsidRPr="00F41ADD">
        <w:rPr>
          <w:b/>
          <w:bCs/>
        </w:rPr>
        <w:t>FY17 Maintenance: 3000-1000 Admin</w:t>
      </w:r>
    </w:p>
    <w:p w:rsidR="00000000" w:rsidRPr="00F41ADD" w:rsidRDefault="009300EE" w:rsidP="00F41ADD">
      <w:pPr>
        <w:numPr>
          <w:ilvl w:val="0"/>
          <w:numId w:val="4"/>
        </w:numPr>
      </w:pPr>
      <w:r w:rsidRPr="00F41ADD">
        <w:t xml:space="preserve">In FY16, this appropriation has $12,527,482 in total available funds to support roughly 146 FTEs and other basic FY16 administrative needs.  </w:t>
      </w:r>
      <w:r w:rsidRPr="00F41ADD">
        <w:t xml:space="preserve">After a preliminary analysis of FY17 maintenance </w:t>
      </w:r>
      <w:r w:rsidRPr="00F41ADD">
        <w:lastRenderedPageBreak/>
        <w:t>needs EEC will require an additional $381K above the FY16 total available amount.  Below is a breakdown of the admin needs:</w:t>
      </w:r>
    </w:p>
    <w:p w:rsidR="00000000" w:rsidRPr="00F41ADD" w:rsidRDefault="009300EE" w:rsidP="00F41ADD">
      <w:pPr>
        <w:numPr>
          <w:ilvl w:val="1"/>
          <w:numId w:val="4"/>
        </w:numPr>
      </w:pPr>
      <w:r w:rsidRPr="00F41ADD">
        <w:rPr>
          <w:u w:val="single"/>
        </w:rPr>
        <w:t>Personnel</w:t>
      </w:r>
      <w:r w:rsidRPr="00F41ADD">
        <w:t xml:space="preserve">:  To cover the expected cost of the FY17 CBA, steps, and related fringe </w:t>
      </w:r>
      <w:r w:rsidRPr="00F41ADD">
        <w:t xml:space="preserve">costs requires </w:t>
      </w:r>
      <w:r w:rsidRPr="00F41ADD">
        <w:rPr>
          <w:b/>
          <w:bCs/>
        </w:rPr>
        <w:t xml:space="preserve">$210K </w:t>
      </w:r>
      <w:r w:rsidRPr="00F41ADD">
        <w:t>in additional funds.</w:t>
      </w:r>
    </w:p>
    <w:p w:rsidR="00000000" w:rsidRPr="00F41ADD" w:rsidRDefault="009300EE" w:rsidP="00F41ADD">
      <w:pPr>
        <w:numPr>
          <w:ilvl w:val="1"/>
          <w:numId w:val="4"/>
        </w:numPr>
      </w:pPr>
      <w:r w:rsidRPr="00F41ADD">
        <w:rPr>
          <w:u w:val="single"/>
        </w:rPr>
        <w:t>Office Lease</w:t>
      </w:r>
      <w:r w:rsidRPr="00F41ADD">
        <w:t>:  There are two leases set to expire in FY17:  Central and Region 6 (Quincy).  The current Central Office  lease rate is well below the area rates and is expected to increase significantly.  We can as</w:t>
      </w:r>
      <w:r w:rsidRPr="00F41ADD">
        <w:t xml:space="preserve">sume a 5% increase in the Region 6 office lease.  To account for the inevitable increases,  EEC is projecting that an additional </w:t>
      </w:r>
      <w:r w:rsidRPr="00F41ADD">
        <w:rPr>
          <w:b/>
          <w:bCs/>
        </w:rPr>
        <w:t xml:space="preserve">$156K </w:t>
      </w:r>
      <w:r w:rsidRPr="00F41ADD">
        <w:t>will be needed in FY17.</w:t>
      </w:r>
    </w:p>
    <w:p w:rsidR="00000000" w:rsidRPr="00F41ADD" w:rsidRDefault="009300EE" w:rsidP="00F41ADD">
      <w:pPr>
        <w:numPr>
          <w:ilvl w:val="1"/>
          <w:numId w:val="4"/>
        </w:numPr>
      </w:pPr>
      <w:r w:rsidRPr="00F41ADD">
        <w:rPr>
          <w:u w:val="single"/>
        </w:rPr>
        <w:t>Miscellaneous</w:t>
      </w:r>
      <w:r w:rsidRPr="00F41ADD">
        <w:t xml:space="preserve">:  The remaining </w:t>
      </w:r>
      <w:r w:rsidRPr="00F41ADD">
        <w:rPr>
          <w:b/>
          <w:bCs/>
        </w:rPr>
        <w:t xml:space="preserve">$16K </w:t>
      </w:r>
      <w:r w:rsidRPr="00F41ADD">
        <w:t>in additional funds needed for FY17 maintenance is related to</w:t>
      </w:r>
      <w:r w:rsidRPr="00F41ADD">
        <w:t xml:space="preserve"> the </w:t>
      </w:r>
      <w:proofErr w:type="spellStart"/>
      <w:r w:rsidRPr="00F41ADD">
        <w:t>annualization</w:t>
      </w:r>
      <w:proofErr w:type="spellEnd"/>
      <w:r w:rsidRPr="00F41ADD">
        <w:t xml:space="preserve"> of the new FY16 storage/shredding of EEC records.  The Commonwealth’s storage facility will close on 1/1/2016.   EEC will now be responsible to procure and pay for record storage.  </w:t>
      </w:r>
    </w:p>
    <w:p w:rsidR="00000000" w:rsidRPr="00F41ADD" w:rsidRDefault="009300EE" w:rsidP="00F41ADD">
      <w:pPr>
        <w:numPr>
          <w:ilvl w:val="0"/>
          <w:numId w:val="4"/>
        </w:numPr>
      </w:pPr>
      <w:r w:rsidRPr="00F41ADD">
        <w:t>The FY17 Maintenance need of $12,923,946 is a $381K (+</w:t>
      </w:r>
      <w:r w:rsidRPr="00F41ADD">
        <w:t>3.04%) increase above the amount available in FY16.  This amount is merely the baseline necessary to maintain FY16 efforts</w:t>
      </w:r>
      <w:r w:rsidRPr="00F41ADD">
        <w:rPr>
          <w:b/>
          <w:bCs/>
        </w:rPr>
        <w:t>.</w:t>
      </w:r>
    </w:p>
    <w:p w:rsidR="00F41ADD" w:rsidRDefault="00F41ADD">
      <w:r>
        <w:t>Slide 7</w:t>
      </w:r>
    </w:p>
    <w:p w:rsidR="00F41ADD" w:rsidRDefault="00F41ADD">
      <w:pPr>
        <w:rPr>
          <w:b/>
          <w:bCs/>
        </w:rPr>
      </w:pPr>
      <w:r w:rsidRPr="00F41ADD">
        <w:rPr>
          <w:b/>
          <w:bCs/>
        </w:rPr>
        <w:t>FY17 Maintenance: 3000-2000 CCRR</w:t>
      </w:r>
    </w:p>
    <w:p w:rsidR="00000000" w:rsidRPr="00F41ADD" w:rsidRDefault="009300EE" w:rsidP="00F41ADD">
      <w:pPr>
        <w:numPr>
          <w:ilvl w:val="0"/>
          <w:numId w:val="5"/>
        </w:numPr>
      </w:pPr>
      <w:r w:rsidRPr="00F41ADD">
        <w:t xml:space="preserve">In addition to the contract support received through </w:t>
      </w:r>
      <w:r w:rsidRPr="00F41ADD">
        <w:t xml:space="preserve">this appropriation, the seven (7) CCRRs will also receive an additional $1M through the Waitlist Remediation program to help provide additional staff and resources.   </w:t>
      </w:r>
    </w:p>
    <w:p w:rsidR="00000000" w:rsidRPr="00F41ADD" w:rsidRDefault="009300EE" w:rsidP="00F41ADD">
      <w:pPr>
        <w:numPr>
          <w:ilvl w:val="0"/>
          <w:numId w:val="6"/>
        </w:numPr>
      </w:pPr>
      <w:r w:rsidRPr="00F41ADD">
        <w:rPr>
          <w:b/>
          <w:bCs/>
        </w:rPr>
        <w:t>After years of low funding and additional responsibilities, EEC is witnessing the limit</w:t>
      </w:r>
      <w:r w:rsidRPr="00F41ADD">
        <w:rPr>
          <w:b/>
          <w:bCs/>
        </w:rPr>
        <w:t>s of the CCRRs’ ability to complete their mission to help families and providers.</w:t>
      </w:r>
    </w:p>
    <w:p w:rsidR="00000000" w:rsidRPr="00F41ADD" w:rsidRDefault="009300EE" w:rsidP="00F41ADD">
      <w:pPr>
        <w:numPr>
          <w:ilvl w:val="1"/>
          <w:numId w:val="6"/>
        </w:numPr>
      </w:pPr>
      <w:r w:rsidRPr="00F41ADD">
        <w:t xml:space="preserve">Best practice caseload per worker is 250 accounts whereas the CCRRs are currently averaging 795 accounts per worker with one CCRR at over 1100.  </w:t>
      </w:r>
    </w:p>
    <w:p w:rsidR="00000000" w:rsidRPr="00F41ADD" w:rsidRDefault="009300EE" w:rsidP="00F41ADD">
      <w:pPr>
        <w:numPr>
          <w:ilvl w:val="1"/>
          <w:numId w:val="6"/>
        </w:numPr>
      </w:pPr>
      <w:r w:rsidRPr="00F41ADD">
        <w:t>The wait time for appointm</w:t>
      </w:r>
      <w:r w:rsidRPr="00F41ADD">
        <w:t>ents at some CCRRs can be 8-10 days even though all CCRRs have increased their hours.</w:t>
      </w:r>
    </w:p>
    <w:p w:rsidR="00000000" w:rsidRPr="00F41ADD" w:rsidRDefault="009300EE" w:rsidP="00F41ADD">
      <w:pPr>
        <w:numPr>
          <w:ilvl w:val="1"/>
          <w:numId w:val="6"/>
        </w:numPr>
      </w:pPr>
      <w:r w:rsidRPr="00F41ADD">
        <w:t>CCRRs have continued to see an increase in provider voucher agreements.</w:t>
      </w:r>
    </w:p>
    <w:p w:rsidR="00000000" w:rsidRPr="00F41ADD" w:rsidRDefault="009300EE" w:rsidP="00F41ADD">
      <w:pPr>
        <w:numPr>
          <w:ilvl w:val="1"/>
          <w:numId w:val="6"/>
        </w:numPr>
      </w:pPr>
      <w:r w:rsidRPr="00F41ADD">
        <w:t>Some CCRRs report a 50% turnover in staff in the past 18 months from stress and low pay.</w:t>
      </w:r>
    </w:p>
    <w:p w:rsidR="00000000" w:rsidRPr="00F41ADD" w:rsidRDefault="009300EE" w:rsidP="00F41ADD">
      <w:pPr>
        <w:numPr>
          <w:ilvl w:val="0"/>
          <w:numId w:val="6"/>
        </w:numPr>
      </w:pPr>
      <w:r w:rsidRPr="00F41ADD">
        <w:rPr>
          <w:b/>
          <w:bCs/>
        </w:rPr>
        <w:t>EEC ha</w:t>
      </w:r>
      <w:r w:rsidRPr="00F41ADD">
        <w:rPr>
          <w:b/>
          <w:bCs/>
        </w:rPr>
        <w:t>s recently implemented procedures that will continue to increase workload:</w:t>
      </w:r>
    </w:p>
    <w:p w:rsidR="00000000" w:rsidRPr="00F41ADD" w:rsidRDefault="009300EE" w:rsidP="00F41ADD">
      <w:pPr>
        <w:numPr>
          <w:ilvl w:val="1"/>
          <w:numId w:val="6"/>
        </w:numPr>
      </w:pPr>
      <w:r w:rsidRPr="00F41ADD">
        <w:t>Manual tracking of Earned Sick Time in order for EEC to remain in compliance with the law is time consuming.</w:t>
      </w:r>
    </w:p>
    <w:p w:rsidR="00000000" w:rsidRPr="00F41ADD" w:rsidRDefault="009300EE" w:rsidP="00F41ADD">
      <w:pPr>
        <w:numPr>
          <w:ilvl w:val="1"/>
          <w:numId w:val="6"/>
        </w:numPr>
      </w:pPr>
      <w:r w:rsidRPr="00F41ADD">
        <w:lastRenderedPageBreak/>
        <w:t>A single subsidy administrator must now be identified for CCFA.  In mo</w:t>
      </w:r>
      <w:r w:rsidRPr="00F41ADD">
        <w:t>st instances, the CCRR will be the administrator which will increase their number of assessments.</w:t>
      </w:r>
    </w:p>
    <w:p w:rsidR="00000000" w:rsidRPr="00F41ADD" w:rsidRDefault="009300EE" w:rsidP="00F41ADD">
      <w:pPr>
        <w:numPr>
          <w:ilvl w:val="1"/>
          <w:numId w:val="6"/>
        </w:numPr>
      </w:pPr>
      <w:r w:rsidRPr="00F41ADD">
        <w:t>Controls in CCFA require 15 to 30 minutes to be added to all family appointments.</w:t>
      </w:r>
    </w:p>
    <w:p w:rsidR="00F41ADD" w:rsidRDefault="00F41ADD">
      <w:r>
        <w:t>Slide 8</w:t>
      </w:r>
    </w:p>
    <w:p w:rsidR="00F41ADD" w:rsidRDefault="00F41ADD">
      <w:pPr>
        <w:rPr>
          <w:b/>
          <w:bCs/>
        </w:rPr>
      </w:pPr>
      <w:r w:rsidRPr="00F41ADD">
        <w:rPr>
          <w:b/>
          <w:bCs/>
        </w:rPr>
        <w:t>FY17 Maintenance: Caseload</w:t>
      </w:r>
    </w:p>
    <w:tbl>
      <w:tblPr>
        <w:tblStyle w:val="TableGrid"/>
        <w:tblW w:w="0" w:type="auto"/>
        <w:tblLook w:val="04A0"/>
      </w:tblPr>
      <w:tblGrid>
        <w:gridCol w:w="1915"/>
        <w:gridCol w:w="1915"/>
        <w:gridCol w:w="1915"/>
        <w:gridCol w:w="1915"/>
        <w:gridCol w:w="1916"/>
      </w:tblGrid>
      <w:tr w:rsidR="00F41ADD" w:rsidTr="009E36B8">
        <w:tc>
          <w:tcPr>
            <w:tcW w:w="1915" w:type="dxa"/>
            <w:vAlign w:val="center"/>
          </w:tcPr>
          <w:p w:rsidR="00F41ADD" w:rsidRDefault="00F41ADD">
            <w:pPr>
              <w:jc w:val="center"/>
              <w:rPr>
                <w:rFonts w:ascii="Calibri" w:hAnsi="Calibri"/>
                <w:b/>
                <w:bCs/>
                <w:color w:val="000000"/>
                <w:sz w:val="20"/>
                <w:szCs w:val="20"/>
              </w:rPr>
            </w:pPr>
            <w:r>
              <w:rPr>
                <w:rFonts w:ascii="Calibri" w:hAnsi="Calibri"/>
                <w:b/>
                <w:bCs/>
                <w:color w:val="000000"/>
                <w:sz w:val="20"/>
                <w:szCs w:val="20"/>
              </w:rPr>
              <w:t>Account</w:t>
            </w:r>
          </w:p>
        </w:tc>
        <w:tc>
          <w:tcPr>
            <w:tcW w:w="1915" w:type="dxa"/>
            <w:vAlign w:val="center"/>
          </w:tcPr>
          <w:p w:rsidR="00F41ADD" w:rsidRDefault="00F41ADD">
            <w:pPr>
              <w:jc w:val="center"/>
              <w:rPr>
                <w:rFonts w:ascii="Calibri" w:hAnsi="Calibri"/>
                <w:b/>
                <w:bCs/>
                <w:color w:val="000000"/>
                <w:sz w:val="20"/>
                <w:szCs w:val="20"/>
              </w:rPr>
            </w:pPr>
            <w:r>
              <w:rPr>
                <w:rFonts w:ascii="Calibri" w:hAnsi="Calibri"/>
                <w:b/>
                <w:bCs/>
                <w:color w:val="000000"/>
                <w:sz w:val="20"/>
                <w:szCs w:val="20"/>
              </w:rPr>
              <w:t>FY16 GAA</w:t>
            </w:r>
          </w:p>
        </w:tc>
        <w:tc>
          <w:tcPr>
            <w:tcW w:w="1915" w:type="dxa"/>
            <w:vAlign w:val="center"/>
          </w:tcPr>
          <w:p w:rsidR="00F41ADD" w:rsidRDefault="00F41ADD">
            <w:pPr>
              <w:jc w:val="center"/>
              <w:rPr>
                <w:rFonts w:ascii="Calibri" w:hAnsi="Calibri"/>
                <w:b/>
                <w:bCs/>
                <w:color w:val="000000"/>
                <w:sz w:val="20"/>
                <w:szCs w:val="20"/>
              </w:rPr>
            </w:pPr>
            <w:r>
              <w:rPr>
                <w:rFonts w:ascii="Calibri" w:hAnsi="Calibri"/>
                <w:b/>
                <w:bCs/>
                <w:color w:val="000000"/>
                <w:sz w:val="20"/>
                <w:szCs w:val="20"/>
              </w:rPr>
              <w:t>FY16 Current Forecast</w:t>
            </w:r>
          </w:p>
        </w:tc>
        <w:tc>
          <w:tcPr>
            <w:tcW w:w="1915" w:type="dxa"/>
            <w:vAlign w:val="center"/>
          </w:tcPr>
          <w:p w:rsidR="00F41ADD" w:rsidRDefault="00F41ADD">
            <w:pPr>
              <w:jc w:val="center"/>
              <w:rPr>
                <w:rFonts w:ascii="Calibri" w:hAnsi="Calibri"/>
                <w:b/>
                <w:bCs/>
                <w:color w:val="000000"/>
                <w:sz w:val="20"/>
                <w:szCs w:val="20"/>
              </w:rPr>
            </w:pPr>
            <w:r>
              <w:rPr>
                <w:rFonts w:ascii="Calibri" w:hAnsi="Calibri"/>
                <w:b/>
                <w:bCs/>
                <w:color w:val="000000"/>
                <w:sz w:val="20"/>
                <w:szCs w:val="20"/>
              </w:rPr>
              <w:t>FY17 Maintenance</w:t>
            </w:r>
          </w:p>
        </w:tc>
        <w:tc>
          <w:tcPr>
            <w:tcW w:w="1916" w:type="dxa"/>
            <w:vAlign w:val="center"/>
          </w:tcPr>
          <w:p w:rsidR="00F41ADD" w:rsidRDefault="00F41ADD">
            <w:pPr>
              <w:jc w:val="center"/>
              <w:rPr>
                <w:rFonts w:ascii="Calibri" w:hAnsi="Calibri"/>
                <w:b/>
                <w:bCs/>
                <w:sz w:val="20"/>
                <w:szCs w:val="20"/>
              </w:rPr>
            </w:pPr>
            <w:r>
              <w:rPr>
                <w:rFonts w:ascii="Calibri" w:hAnsi="Calibri"/>
                <w:b/>
                <w:bCs/>
                <w:sz w:val="20"/>
                <w:szCs w:val="20"/>
              </w:rPr>
              <w:t xml:space="preserve"> Difference Maintenance to FY16 Forecast </w:t>
            </w:r>
          </w:p>
        </w:tc>
      </w:tr>
      <w:tr w:rsidR="00F41ADD" w:rsidTr="009E36B8">
        <w:tc>
          <w:tcPr>
            <w:tcW w:w="1915" w:type="dxa"/>
            <w:vAlign w:val="bottom"/>
          </w:tcPr>
          <w:p w:rsidR="00F41ADD" w:rsidRDefault="00F41ADD">
            <w:pPr>
              <w:rPr>
                <w:rFonts w:ascii="Calibri" w:hAnsi="Calibri"/>
                <w:color w:val="000000"/>
                <w:sz w:val="20"/>
                <w:szCs w:val="20"/>
              </w:rPr>
            </w:pPr>
            <w:r>
              <w:rPr>
                <w:rFonts w:ascii="Calibri" w:hAnsi="Calibri"/>
                <w:color w:val="000000"/>
                <w:sz w:val="20"/>
                <w:szCs w:val="20"/>
              </w:rPr>
              <w:t>Supportive-DTA Related Care</w:t>
            </w:r>
          </w:p>
        </w:tc>
        <w:tc>
          <w:tcPr>
            <w:tcW w:w="1915" w:type="dxa"/>
            <w:vAlign w:val="bottom"/>
          </w:tcPr>
          <w:p w:rsidR="00F41ADD" w:rsidRDefault="00F41ADD">
            <w:pPr>
              <w:rPr>
                <w:rFonts w:ascii="Calibri" w:hAnsi="Calibri"/>
                <w:color w:val="000000"/>
                <w:sz w:val="20"/>
                <w:szCs w:val="20"/>
              </w:rPr>
            </w:pPr>
            <w:r>
              <w:rPr>
                <w:rFonts w:ascii="Calibri" w:hAnsi="Calibri"/>
                <w:color w:val="000000"/>
                <w:sz w:val="20"/>
                <w:szCs w:val="20"/>
              </w:rPr>
              <w:t xml:space="preserve"> $ 219,907,383 </w:t>
            </w:r>
          </w:p>
        </w:tc>
        <w:tc>
          <w:tcPr>
            <w:tcW w:w="1915" w:type="dxa"/>
            <w:vAlign w:val="bottom"/>
          </w:tcPr>
          <w:p w:rsidR="00F41ADD" w:rsidRDefault="00F41ADD">
            <w:pPr>
              <w:rPr>
                <w:rFonts w:ascii="Calibri" w:hAnsi="Calibri"/>
                <w:color w:val="000000"/>
                <w:sz w:val="20"/>
                <w:szCs w:val="20"/>
              </w:rPr>
            </w:pPr>
            <w:r>
              <w:rPr>
                <w:rFonts w:ascii="Calibri" w:hAnsi="Calibri"/>
                <w:color w:val="000000"/>
                <w:sz w:val="20"/>
                <w:szCs w:val="20"/>
              </w:rPr>
              <w:t xml:space="preserve"> $ 219,907,383 </w:t>
            </w:r>
          </w:p>
        </w:tc>
        <w:tc>
          <w:tcPr>
            <w:tcW w:w="1915" w:type="dxa"/>
            <w:vAlign w:val="bottom"/>
          </w:tcPr>
          <w:p w:rsidR="00F41ADD" w:rsidRDefault="00F41ADD">
            <w:pPr>
              <w:rPr>
                <w:rFonts w:ascii="Calibri" w:hAnsi="Calibri"/>
                <w:color w:val="000000"/>
                <w:sz w:val="20"/>
                <w:szCs w:val="20"/>
              </w:rPr>
            </w:pPr>
            <w:r>
              <w:rPr>
                <w:rFonts w:ascii="Calibri" w:hAnsi="Calibri"/>
                <w:color w:val="000000"/>
                <w:sz w:val="20"/>
                <w:szCs w:val="20"/>
              </w:rPr>
              <w:t xml:space="preserve"> $226,751,821 </w:t>
            </w:r>
          </w:p>
        </w:tc>
        <w:tc>
          <w:tcPr>
            <w:tcW w:w="1916" w:type="dxa"/>
            <w:vAlign w:val="bottom"/>
          </w:tcPr>
          <w:p w:rsidR="00F41ADD" w:rsidRDefault="00F41ADD">
            <w:pPr>
              <w:rPr>
                <w:rFonts w:ascii="Calibri" w:hAnsi="Calibri"/>
                <w:color w:val="000000"/>
                <w:sz w:val="20"/>
                <w:szCs w:val="20"/>
              </w:rPr>
            </w:pPr>
            <w:r>
              <w:rPr>
                <w:rFonts w:ascii="Calibri" w:hAnsi="Calibri"/>
                <w:color w:val="000000"/>
                <w:sz w:val="20"/>
                <w:szCs w:val="20"/>
              </w:rPr>
              <w:t xml:space="preserve"> $       6,844,438 </w:t>
            </w:r>
          </w:p>
        </w:tc>
      </w:tr>
      <w:tr w:rsidR="00F41ADD" w:rsidTr="009E36B8">
        <w:tc>
          <w:tcPr>
            <w:tcW w:w="1915" w:type="dxa"/>
            <w:vAlign w:val="center"/>
          </w:tcPr>
          <w:p w:rsidR="00F41ADD" w:rsidRDefault="00F41ADD">
            <w:pPr>
              <w:rPr>
                <w:rFonts w:ascii="Calibri" w:hAnsi="Calibri"/>
                <w:color w:val="000000"/>
                <w:sz w:val="20"/>
                <w:szCs w:val="20"/>
              </w:rPr>
            </w:pPr>
            <w:r>
              <w:rPr>
                <w:rFonts w:ascii="Calibri" w:hAnsi="Calibri"/>
                <w:color w:val="000000"/>
                <w:sz w:val="20"/>
                <w:szCs w:val="20"/>
              </w:rPr>
              <w:t>Waitlist Remediation</w:t>
            </w:r>
          </w:p>
        </w:tc>
        <w:tc>
          <w:tcPr>
            <w:tcW w:w="1915" w:type="dxa"/>
            <w:vAlign w:val="center"/>
          </w:tcPr>
          <w:p w:rsidR="00F41ADD" w:rsidRDefault="00F41ADD">
            <w:pPr>
              <w:rPr>
                <w:rFonts w:ascii="Calibri" w:hAnsi="Calibri"/>
                <w:color w:val="000000"/>
                <w:sz w:val="20"/>
                <w:szCs w:val="20"/>
              </w:rPr>
            </w:pPr>
            <w:r>
              <w:rPr>
                <w:rFonts w:ascii="Calibri" w:hAnsi="Calibri"/>
                <w:color w:val="000000"/>
                <w:sz w:val="20"/>
                <w:szCs w:val="20"/>
              </w:rPr>
              <w:t xml:space="preserve"> $    12,000,000 </w:t>
            </w:r>
          </w:p>
        </w:tc>
        <w:tc>
          <w:tcPr>
            <w:tcW w:w="1915" w:type="dxa"/>
            <w:vAlign w:val="center"/>
          </w:tcPr>
          <w:p w:rsidR="00F41ADD" w:rsidRDefault="00F41ADD">
            <w:pPr>
              <w:rPr>
                <w:rFonts w:ascii="Calibri" w:hAnsi="Calibri"/>
                <w:color w:val="000000"/>
                <w:sz w:val="20"/>
                <w:szCs w:val="20"/>
              </w:rPr>
            </w:pPr>
            <w:r>
              <w:rPr>
                <w:rFonts w:ascii="Calibri" w:hAnsi="Calibri"/>
                <w:color w:val="000000"/>
                <w:sz w:val="20"/>
                <w:szCs w:val="20"/>
              </w:rPr>
              <w:t xml:space="preserve"> $      6,569,096 </w:t>
            </w:r>
          </w:p>
        </w:tc>
        <w:tc>
          <w:tcPr>
            <w:tcW w:w="1915" w:type="dxa"/>
            <w:vAlign w:val="center"/>
          </w:tcPr>
          <w:p w:rsidR="00F41ADD" w:rsidRDefault="00F41ADD">
            <w:pPr>
              <w:rPr>
                <w:rFonts w:ascii="Calibri" w:hAnsi="Calibri"/>
                <w:color w:val="000000"/>
                <w:sz w:val="20"/>
                <w:szCs w:val="20"/>
              </w:rPr>
            </w:pPr>
            <w:r>
              <w:rPr>
                <w:rFonts w:ascii="Calibri" w:hAnsi="Calibri"/>
                <w:color w:val="000000"/>
                <w:sz w:val="20"/>
                <w:szCs w:val="20"/>
              </w:rPr>
              <w:t xml:space="preserve"> $                      - </w:t>
            </w:r>
          </w:p>
        </w:tc>
        <w:tc>
          <w:tcPr>
            <w:tcW w:w="1916" w:type="dxa"/>
            <w:vAlign w:val="center"/>
          </w:tcPr>
          <w:p w:rsidR="00F41ADD" w:rsidRDefault="00F41ADD">
            <w:pPr>
              <w:rPr>
                <w:rFonts w:ascii="Calibri" w:hAnsi="Calibri"/>
                <w:color w:val="000000"/>
                <w:sz w:val="20"/>
                <w:szCs w:val="20"/>
              </w:rPr>
            </w:pPr>
            <w:r>
              <w:rPr>
                <w:rFonts w:ascii="Calibri" w:hAnsi="Calibri"/>
                <w:color w:val="000000"/>
                <w:sz w:val="20"/>
                <w:szCs w:val="20"/>
              </w:rPr>
              <w:t xml:space="preserve"> $     (6,569,096)</w:t>
            </w:r>
          </w:p>
        </w:tc>
      </w:tr>
      <w:tr w:rsidR="00F41ADD" w:rsidTr="009E36B8">
        <w:tc>
          <w:tcPr>
            <w:tcW w:w="1915" w:type="dxa"/>
            <w:vAlign w:val="bottom"/>
          </w:tcPr>
          <w:p w:rsidR="00F41ADD" w:rsidRDefault="00F41ADD">
            <w:pPr>
              <w:rPr>
                <w:rFonts w:ascii="Calibri" w:hAnsi="Calibri"/>
                <w:color w:val="000000"/>
                <w:sz w:val="20"/>
                <w:szCs w:val="20"/>
              </w:rPr>
            </w:pPr>
            <w:r>
              <w:rPr>
                <w:rFonts w:ascii="Calibri" w:hAnsi="Calibri"/>
                <w:color w:val="000000"/>
                <w:sz w:val="20"/>
                <w:szCs w:val="20"/>
              </w:rPr>
              <w:t>Income Eligible*</w:t>
            </w:r>
          </w:p>
        </w:tc>
        <w:tc>
          <w:tcPr>
            <w:tcW w:w="1915" w:type="dxa"/>
            <w:vAlign w:val="bottom"/>
          </w:tcPr>
          <w:p w:rsidR="00F41ADD" w:rsidRDefault="00F41ADD">
            <w:pPr>
              <w:rPr>
                <w:rFonts w:ascii="Calibri" w:hAnsi="Calibri"/>
                <w:color w:val="000000"/>
                <w:sz w:val="20"/>
                <w:szCs w:val="20"/>
              </w:rPr>
            </w:pPr>
            <w:r>
              <w:rPr>
                <w:rFonts w:ascii="Calibri" w:hAnsi="Calibri"/>
                <w:color w:val="000000"/>
                <w:sz w:val="20"/>
                <w:szCs w:val="20"/>
              </w:rPr>
              <w:t xml:space="preserve"> $ 252,944,993 </w:t>
            </w:r>
          </w:p>
        </w:tc>
        <w:tc>
          <w:tcPr>
            <w:tcW w:w="1915" w:type="dxa"/>
            <w:vAlign w:val="bottom"/>
          </w:tcPr>
          <w:p w:rsidR="00F41ADD" w:rsidRDefault="00F41ADD">
            <w:pPr>
              <w:rPr>
                <w:rFonts w:ascii="Calibri" w:hAnsi="Calibri"/>
                <w:color w:val="000000"/>
                <w:sz w:val="20"/>
                <w:szCs w:val="20"/>
              </w:rPr>
            </w:pPr>
            <w:r>
              <w:rPr>
                <w:rFonts w:ascii="Calibri" w:hAnsi="Calibri"/>
                <w:color w:val="000000"/>
                <w:sz w:val="20"/>
                <w:szCs w:val="20"/>
              </w:rPr>
              <w:t xml:space="preserve"> $ 255,665,646 </w:t>
            </w:r>
          </w:p>
        </w:tc>
        <w:tc>
          <w:tcPr>
            <w:tcW w:w="1915" w:type="dxa"/>
            <w:vAlign w:val="bottom"/>
          </w:tcPr>
          <w:p w:rsidR="00F41ADD" w:rsidRDefault="00F41ADD">
            <w:pPr>
              <w:rPr>
                <w:rFonts w:ascii="Calibri" w:hAnsi="Calibri"/>
                <w:color w:val="000000"/>
                <w:sz w:val="20"/>
                <w:szCs w:val="20"/>
              </w:rPr>
            </w:pPr>
            <w:r>
              <w:rPr>
                <w:rFonts w:ascii="Calibri" w:hAnsi="Calibri"/>
                <w:color w:val="000000"/>
                <w:sz w:val="20"/>
                <w:szCs w:val="20"/>
              </w:rPr>
              <w:t xml:space="preserve"> $272,691,278 </w:t>
            </w:r>
          </w:p>
        </w:tc>
        <w:tc>
          <w:tcPr>
            <w:tcW w:w="1916" w:type="dxa"/>
            <w:vAlign w:val="bottom"/>
          </w:tcPr>
          <w:p w:rsidR="00F41ADD" w:rsidRDefault="00F41ADD">
            <w:pPr>
              <w:rPr>
                <w:rFonts w:ascii="Calibri" w:hAnsi="Calibri"/>
                <w:color w:val="000000"/>
                <w:sz w:val="20"/>
                <w:szCs w:val="20"/>
              </w:rPr>
            </w:pPr>
            <w:r>
              <w:rPr>
                <w:rFonts w:ascii="Calibri" w:hAnsi="Calibri"/>
                <w:color w:val="000000"/>
                <w:sz w:val="20"/>
                <w:szCs w:val="20"/>
              </w:rPr>
              <w:t xml:space="preserve"> $    17,025,632 </w:t>
            </w:r>
          </w:p>
        </w:tc>
      </w:tr>
      <w:tr w:rsidR="00F41ADD" w:rsidTr="009E36B8">
        <w:tc>
          <w:tcPr>
            <w:tcW w:w="1915" w:type="dxa"/>
            <w:vAlign w:val="center"/>
          </w:tcPr>
          <w:p w:rsidR="00F41ADD" w:rsidRDefault="00F41ADD">
            <w:pPr>
              <w:rPr>
                <w:rFonts w:ascii="Calibri" w:hAnsi="Calibri"/>
                <w:color w:val="000000"/>
                <w:sz w:val="20"/>
                <w:szCs w:val="20"/>
              </w:rPr>
            </w:pPr>
            <w:r>
              <w:rPr>
                <w:rFonts w:ascii="Calibri" w:hAnsi="Calibri"/>
                <w:color w:val="000000"/>
                <w:sz w:val="20"/>
                <w:szCs w:val="20"/>
              </w:rPr>
              <w:t>CBC Rate Reserve</w:t>
            </w:r>
          </w:p>
        </w:tc>
        <w:tc>
          <w:tcPr>
            <w:tcW w:w="1915" w:type="dxa"/>
            <w:vAlign w:val="center"/>
          </w:tcPr>
          <w:p w:rsidR="00F41ADD" w:rsidRDefault="00F41ADD">
            <w:pPr>
              <w:rPr>
                <w:rFonts w:ascii="Calibri" w:hAnsi="Calibri"/>
                <w:color w:val="000000"/>
                <w:sz w:val="20"/>
                <w:szCs w:val="20"/>
              </w:rPr>
            </w:pPr>
            <w:r>
              <w:rPr>
                <w:rFonts w:ascii="Calibri" w:hAnsi="Calibri"/>
                <w:color w:val="000000"/>
                <w:sz w:val="20"/>
                <w:szCs w:val="20"/>
              </w:rPr>
              <w:t xml:space="preserve"> $      5,000,000 </w:t>
            </w:r>
          </w:p>
        </w:tc>
        <w:tc>
          <w:tcPr>
            <w:tcW w:w="1915" w:type="dxa"/>
            <w:vAlign w:val="center"/>
          </w:tcPr>
          <w:p w:rsidR="00F41ADD" w:rsidRDefault="00F41ADD">
            <w:pPr>
              <w:rPr>
                <w:rFonts w:ascii="Calibri" w:hAnsi="Calibri"/>
                <w:color w:val="000000"/>
                <w:sz w:val="20"/>
                <w:szCs w:val="20"/>
              </w:rPr>
            </w:pPr>
            <w:r>
              <w:rPr>
                <w:rFonts w:ascii="Calibri" w:hAnsi="Calibri"/>
                <w:color w:val="000000"/>
                <w:sz w:val="20"/>
                <w:szCs w:val="20"/>
              </w:rPr>
              <w:t xml:space="preserve"> $      5,000,000 </w:t>
            </w:r>
          </w:p>
        </w:tc>
        <w:tc>
          <w:tcPr>
            <w:tcW w:w="1915" w:type="dxa"/>
            <w:vAlign w:val="center"/>
          </w:tcPr>
          <w:p w:rsidR="00F41ADD" w:rsidRDefault="00F41ADD">
            <w:pPr>
              <w:rPr>
                <w:rFonts w:ascii="Calibri" w:hAnsi="Calibri"/>
                <w:color w:val="000000"/>
                <w:sz w:val="20"/>
                <w:szCs w:val="20"/>
              </w:rPr>
            </w:pPr>
            <w:r>
              <w:rPr>
                <w:rFonts w:ascii="Calibri" w:hAnsi="Calibri"/>
                <w:color w:val="000000"/>
                <w:sz w:val="20"/>
                <w:szCs w:val="20"/>
              </w:rPr>
              <w:t xml:space="preserve"> $                      - </w:t>
            </w:r>
          </w:p>
        </w:tc>
        <w:tc>
          <w:tcPr>
            <w:tcW w:w="1916" w:type="dxa"/>
            <w:vAlign w:val="center"/>
          </w:tcPr>
          <w:p w:rsidR="00F41ADD" w:rsidRDefault="00F41ADD">
            <w:pPr>
              <w:rPr>
                <w:rFonts w:ascii="Calibri" w:hAnsi="Calibri"/>
                <w:color w:val="000000"/>
                <w:sz w:val="20"/>
                <w:szCs w:val="20"/>
              </w:rPr>
            </w:pPr>
            <w:r>
              <w:rPr>
                <w:rFonts w:ascii="Calibri" w:hAnsi="Calibri"/>
                <w:color w:val="000000"/>
                <w:sz w:val="20"/>
                <w:szCs w:val="20"/>
              </w:rPr>
              <w:t xml:space="preserve"> $     (5,000,000)</w:t>
            </w:r>
          </w:p>
        </w:tc>
      </w:tr>
    </w:tbl>
    <w:p w:rsidR="00F41ADD" w:rsidRDefault="00F41ADD"/>
    <w:tbl>
      <w:tblPr>
        <w:tblW w:w="1900" w:type="dxa"/>
        <w:tblInd w:w="93" w:type="dxa"/>
        <w:tblLook w:val="04A0"/>
      </w:tblPr>
      <w:tblGrid>
        <w:gridCol w:w="1900"/>
      </w:tblGrid>
      <w:tr w:rsidR="00F41ADD" w:rsidTr="00F41ADD">
        <w:trPr>
          <w:trHeight w:val="255"/>
        </w:trPr>
        <w:tc>
          <w:tcPr>
            <w:tcW w:w="1900" w:type="dxa"/>
            <w:tcBorders>
              <w:top w:val="single" w:sz="4" w:space="0" w:color="auto"/>
              <w:left w:val="nil"/>
              <w:bottom w:val="nil"/>
              <w:right w:val="nil"/>
            </w:tcBorders>
            <w:shd w:val="clear" w:color="auto" w:fill="auto"/>
            <w:noWrap/>
            <w:vAlign w:val="bottom"/>
            <w:hideMark/>
          </w:tcPr>
          <w:p w:rsidR="00F41ADD" w:rsidRDefault="00F41ADD">
            <w:pPr>
              <w:rPr>
                <w:rFonts w:ascii="Calibri" w:hAnsi="Calibri"/>
                <w:color w:val="000000"/>
                <w:sz w:val="20"/>
                <w:szCs w:val="20"/>
              </w:rPr>
            </w:pPr>
            <w:r>
              <w:rPr>
                <w:rFonts w:ascii="Calibri" w:hAnsi="Calibri"/>
                <w:color w:val="000000"/>
                <w:sz w:val="20"/>
                <w:szCs w:val="20"/>
              </w:rPr>
              <w:t>* Does not include FY15 PAC</w:t>
            </w:r>
          </w:p>
        </w:tc>
      </w:tr>
    </w:tbl>
    <w:p w:rsidR="00F41ADD" w:rsidRDefault="00F41ADD">
      <w:r>
        <w:t>Slide 9</w:t>
      </w:r>
    </w:p>
    <w:p w:rsidR="00F41ADD" w:rsidRDefault="00F41ADD">
      <w:r>
        <w:rPr>
          <w:b/>
          <w:bCs/>
        </w:rPr>
        <w:t xml:space="preserve">FY17 Maintenance: </w:t>
      </w:r>
      <w:r w:rsidRPr="00F41ADD">
        <w:rPr>
          <w:b/>
          <w:bCs/>
        </w:rPr>
        <w:t>Supportive-DTA Related</w:t>
      </w:r>
    </w:p>
    <w:p w:rsidR="00F41ADD" w:rsidRPr="00F41ADD" w:rsidRDefault="00F41ADD" w:rsidP="00F41ADD">
      <w:r w:rsidRPr="00F41ADD">
        <w:rPr>
          <w:b/>
          <w:bCs/>
          <w:u w:val="single"/>
        </w:rPr>
        <w:t>Supportive</w:t>
      </w:r>
    </w:p>
    <w:p w:rsidR="00000000" w:rsidRPr="00F41ADD" w:rsidRDefault="009300EE" w:rsidP="00F41ADD">
      <w:pPr>
        <w:numPr>
          <w:ilvl w:val="1"/>
          <w:numId w:val="7"/>
        </w:numPr>
      </w:pPr>
      <w:r w:rsidRPr="00F41ADD">
        <w:t xml:space="preserve">Supportive contracts are estimated using the a base caseload of 7,859 (estimated average </w:t>
      </w:r>
      <w:r w:rsidRPr="00F41ADD">
        <w:t>for April-June 2016) with historic change applied. Average FY17 contract caseload is estimated at 8,167 with an overall estimated increase from 8,025 in June 2016 to 8,626 in June 2017.</w:t>
      </w:r>
    </w:p>
    <w:p w:rsidR="00000000" w:rsidRPr="00F41ADD" w:rsidRDefault="009300EE" w:rsidP="00F41ADD">
      <w:pPr>
        <w:numPr>
          <w:ilvl w:val="1"/>
          <w:numId w:val="7"/>
        </w:numPr>
      </w:pPr>
      <w:r w:rsidRPr="00F41ADD">
        <w:t xml:space="preserve">Supportive vouchers are </w:t>
      </w:r>
      <w:proofErr w:type="spellStart"/>
      <w:r w:rsidRPr="00F41ADD">
        <w:t>flatlined</w:t>
      </w:r>
      <w:proofErr w:type="spellEnd"/>
      <w:r w:rsidRPr="00F41ADD">
        <w:t xml:space="preserve"> at 53 (final June 2015 total) for a</w:t>
      </w:r>
      <w:r w:rsidRPr="00F41ADD">
        <w:t>ll of FY17.</w:t>
      </w:r>
    </w:p>
    <w:p w:rsidR="00000000" w:rsidRPr="00F41ADD" w:rsidRDefault="009300EE" w:rsidP="00F41ADD">
      <w:pPr>
        <w:numPr>
          <w:ilvl w:val="1"/>
          <w:numId w:val="7"/>
        </w:numPr>
      </w:pPr>
      <w:r w:rsidRPr="00F41ADD">
        <w:t xml:space="preserve">FY17 Maintenance estimate includes $1.9M for all rate increases given during FY16 (3% SEIU and CBC Rate Reserve).  We will be entering into negotiations with the SEIU in January; this may impact the FY17 budget. </w:t>
      </w:r>
    </w:p>
    <w:p w:rsidR="00F41ADD" w:rsidRPr="00F41ADD" w:rsidRDefault="00F41ADD" w:rsidP="00F41ADD">
      <w:r w:rsidRPr="00F41ADD">
        <w:rPr>
          <w:b/>
          <w:bCs/>
          <w:u w:val="single"/>
        </w:rPr>
        <w:t>DTA Related</w:t>
      </w:r>
    </w:p>
    <w:p w:rsidR="00000000" w:rsidRPr="00F41ADD" w:rsidRDefault="009300EE" w:rsidP="00F41ADD">
      <w:pPr>
        <w:numPr>
          <w:ilvl w:val="1"/>
          <w:numId w:val="8"/>
        </w:numPr>
      </w:pPr>
      <w:r w:rsidRPr="00F41ADD">
        <w:t xml:space="preserve">DTA vouchers are </w:t>
      </w:r>
      <w:r w:rsidRPr="00F41ADD">
        <w:t>estimated using the a base caseload of 14,179 (estimated average of April-June 2016) with historic change applied. Average FY17 caseload is estimated at 14,187 with an overall estimated decrease from 14,148 in June 2016 to an estimated total of 14,119 in J</w:t>
      </w:r>
      <w:r w:rsidRPr="00F41ADD">
        <w:t>une 2017.</w:t>
      </w:r>
    </w:p>
    <w:p w:rsidR="00000000" w:rsidRPr="00F41ADD" w:rsidRDefault="009300EE" w:rsidP="00F41ADD">
      <w:pPr>
        <w:numPr>
          <w:ilvl w:val="1"/>
          <w:numId w:val="8"/>
        </w:numPr>
      </w:pPr>
      <w:r w:rsidRPr="00F41ADD">
        <w:lastRenderedPageBreak/>
        <w:t xml:space="preserve">FY17 Maintenance estimate includes $2.3 for all rate increases given during FY16 (3% SEIU and CBC Rate Reserve). We will be entering into negotiations with the SEIU in January; this may impact the FY17 budget. </w:t>
      </w:r>
    </w:p>
    <w:p w:rsidR="00000000" w:rsidRPr="00F41ADD" w:rsidRDefault="009300EE" w:rsidP="00F41ADD">
      <w:pPr>
        <w:numPr>
          <w:ilvl w:val="1"/>
          <w:numId w:val="8"/>
        </w:numPr>
      </w:pPr>
      <w:r w:rsidRPr="00F41ADD">
        <w:t>This projected decrease in DTA ca</w:t>
      </w:r>
      <w:r w:rsidRPr="00F41ADD">
        <w:t>seload offsets the increased need in Supportive.</w:t>
      </w:r>
    </w:p>
    <w:p w:rsidR="00000000" w:rsidRPr="00F41ADD" w:rsidRDefault="009300EE" w:rsidP="00F41ADD">
      <w:pPr>
        <w:numPr>
          <w:ilvl w:val="1"/>
          <w:numId w:val="8"/>
        </w:numPr>
      </w:pPr>
      <w:r w:rsidRPr="00F41ADD">
        <w:t>DTA Commissioner McCue has indicated to EEC that DTA is projecting an increase in TAFDC caseload which could increase the number of children referred for child care.  To account for this potential increase,</w:t>
      </w:r>
      <w:r w:rsidRPr="00F41ADD">
        <w:t xml:space="preserve"> our current FY17 maintenance estimate includes an additional 500 children to offset the decrease projected using the historic caseload change. </w:t>
      </w:r>
    </w:p>
    <w:p w:rsidR="00F41ADD" w:rsidRDefault="00F41ADD" w:rsidP="00F41ADD">
      <w:r>
        <w:t>Slide 10</w:t>
      </w:r>
    </w:p>
    <w:p w:rsidR="00F41ADD" w:rsidRDefault="00F41ADD" w:rsidP="00F41ADD">
      <w:pPr>
        <w:rPr>
          <w:b/>
          <w:bCs/>
        </w:rPr>
      </w:pPr>
      <w:r w:rsidRPr="00F41ADD">
        <w:rPr>
          <w:b/>
          <w:bCs/>
        </w:rPr>
        <w:t>FY17 Maintenance: Income Eligible</w:t>
      </w:r>
    </w:p>
    <w:p w:rsidR="00000000" w:rsidRPr="00F41ADD" w:rsidRDefault="009300EE" w:rsidP="00F41ADD">
      <w:pPr>
        <w:numPr>
          <w:ilvl w:val="0"/>
          <w:numId w:val="9"/>
        </w:numPr>
        <w:tabs>
          <w:tab w:val="left" w:pos="1020"/>
        </w:tabs>
      </w:pPr>
      <w:r w:rsidRPr="00F41ADD">
        <w:t>Vouchers are based on the projected June 2016 caseload of 22,056: 20,437 fr</w:t>
      </w:r>
      <w:r w:rsidRPr="00F41ADD">
        <w:t>om Income Eligible plus 1,619 vouchers that will be issued through the Waitlist Remediation account in FY16.</w:t>
      </w:r>
    </w:p>
    <w:p w:rsidR="00000000" w:rsidRPr="00F41ADD" w:rsidRDefault="009300EE" w:rsidP="00F41ADD">
      <w:pPr>
        <w:numPr>
          <w:ilvl w:val="0"/>
          <w:numId w:val="9"/>
        </w:numPr>
        <w:tabs>
          <w:tab w:val="left" w:pos="1020"/>
        </w:tabs>
      </w:pPr>
      <w:r w:rsidRPr="00F41ADD">
        <w:t>Voucher access is assumed to be open the entire fiscal year to maintain a voucher caseload of 22,056.</w:t>
      </w:r>
    </w:p>
    <w:p w:rsidR="00000000" w:rsidRPr="00F41ADD" w:rsidRDefault="009300EE" w:rsidP="00F41ADD">
      <w:pPr>
        <w:numPr>
          <w:ilvl w:val="0"/>
          <w:numId w:val="9"/>
        </w:numPr>
        <w:tabs>
          <w:tab w:val="left" w:pos="1020"/>
        </w:tabs>
      </w:pPr>
      <w:r w:rsidRPr="00F41ADD">
        <w:t>Contract expenditure projections for FY17 a</w:t>
      </w:r>
      <w:r w:rsidRPr="00F41ADD">
        <w:t>re estimated at 90.95% of maximum obligation contact value, consistent with our current projections for FY16 and in alignment with the percentage of the maximum obligation contract value that was billed in FY15.</w:t>
      </w:r>
    </w:p>
    <w:p w:rsidR="00000000" w:rsidRPr="00F41ADD" w:rsidRDefault="009300EE" w:rsidP="00F41ADD">
      <w:pPr>
        <w:numPr>
          <w:ilvl w:val="0"/>
          <w:numId w:val="9"/>
        </w:numPr>
        <w:tabs>
          <w:tab w:val="left" w:pos="1020"/>
        </w:tabs>
      </w:pPr>
      <w:r w:rsidRPr="00F41ADD">
        <w:t>The current IE contract expires on August 3</w:t>
      </w:r>
      <w:r w:rsidRPr="00F41ADD">
        <w:t>1, 2016.  However, EEC will be extending the contract for one year in order to allow us to incorporate the CCDF state plan changes into our next contract bid.</w:t>
      </w:r>
    </w:p>
    <w:p w:rsidR="00000000" w:rsidRPr="00F41ADD" w:rsidRDefault="009300EE" w:rsidP="00F41ADD">
      <w:pPr>
        <w:numPr>
          <w:ilvl w:val="0"/>
          <w:numId w:val="9"/>
        </w:numPr>
        <w:tabs>
          <w:tab w:val="left" w:pos="1020"/>
        </w:tabs>
      </w:pPr>
      <w:r w:rsidRPr="00F41ADD">
        <w:t>FY17 Maintenance estimate includes $4.2M for all rate increases given during FY16 (3% SEIU and C</w:t>
      </w:r>
      <w:r w:rsidRPr="00F41ADD">
        <w:t>BC Rate Reserve). We will be entering into negotiations with the SEIU in January; this may impact the FY17 budget.</w:t>
      </w:r>
    </w:p>
    <w:p w:rsidR="00000000" w:rsidRPr="00F41ADD" w:rsidRDefault="009300EE" w:rsidP="00F41ADD">
      <w:pPr>
        <w:numPr>
          <w:ilvl w:val="0"/>
          <w:numId w:val="9"/>
        </w:numPr>
        <w:tabs>
          <w:tab w:val="left" w:pos="1020"/>
        </w:tabs>
      </w:pPr>
      <w:r w:rsidRPr="00F41ADD">
        <w:t xml:space="preserve">Expenditures tied to the $3.4M PAC received in FY16 are assumed to be one time and do not need </w:t>
      </w:r>
      <w:proofErr w:type="spellStart"/>
      <w:r w:rsidRPr="00F41ADD">
        <w:t>annualization</w:t>
      </w:r>
      <w:proofErr w:type="spellEnd"/>
      <w:r w:rsidRPr="00F41ADD">
        <w:t>.</w:t>
      </w:r>
    </w:p>
    <w:p w:rsidR="00F41ADD" w:rsidRDefault="00F41ADD" w:rsidP="00F41ADD">
      <w:pPr>
        <w:tabs>
          <w:tab w:val="left" w:pos="1020"/>
        </w:tabs>
      </w:pPr>
      <w:r>
        <w:t>Slide 11</w:t>
      </w:r>
    </w:p>
    <w:p w:rsidR="00F41ADD" w:rsidRDefault="00F41ADD" w:rsidP="00F41ADD">
      <w:pPr>
        <w:tabs>
          <w:tab w:val="left" w:pos="1020"/>
        </w:tabs>
        <w:rPr>
          <w:b/>
          <w:bCs/>
        </w:rPr>
      </w:pPr>
      <w:r w:rsidRPr="00F41ADD">
        <w:rPr>
          <w:b/>
          <w:bCs/>
        </w:rPr>
        <w:t>FY17 Maintenance Budget</w:t>
      </w:r>
    </w:p>
    <w:tbl>
      <w:tblPr>
        <w:tblStyle w:val="TableGrid"/>
        <w:tblW w:w="0" w:type="auto"/>
        <w:tblLook w:val="04A0"/>
      </w:tblPr>
      <w:tblGrid>
        <w:gridCol w:w="1368"/>
        <w:gridCol w:w="1368"/>
        <w:gridCol w:w="1368"/>
        <w:gridCol w:w="1368"/>
        <w:gridCol w:w="1368"/>
      </w:tblGrid>
      <w:tr w:rsidR="00F41ADD" w:rsidRPr="00F41ADD" w:rsidTr="00F41ADD">
        <w:trPr>
          <w:trHeight w:val="900"/>
        </w:trPr>
        <w:tc>
          <w:tcPr>
            <w:tcW w:w="1368" w:type="dxa"/>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Line Item</w:t>
            </w:r>
          </w:p>
        </w:tc>
        <w:tc>
          <w:tcPr>
            <w:tcW w:w="1368" w:type="dxa"/>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Descriptor</w:t>
            </w:r>
          </w:p>
        </w:tc>
        <w:tc>
          <w:tcPr>
            <w:tcW w:w="1368" w:type="dxa"/>
            <w:hideMark/>
          </w:tcPr>
          <w:p w:rsidR="00F41ADD" w:rsidRPr="00F41ADD" w:rsidRDefault="00F41ADD" w:rsidP="00F41ADD">
            <w:pPr>
              <w:jc w:val="cente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FY16 Total Available </w:t>
            </w:r>
          </w:p>
        </w:tc>
        <w:tc>
          <w:tcPr>
            <w:tcW w:w="1368" w:type="dxa"/>
            <w:hideMark/>
          </w:tcPr>
          <w:p w:rsidR="00F41ADD" w:rsidRPr="00F41ADD" w:rsidRDefault="00F41ADD" w:rsidP="00F41ADD">
            <w:pPr>
              <w:jc w:val="cente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FY17 Maintenance Cost </w:t>
            </w:r>
          </w:p>
        </w:tc>
        <w:tc>
          <w:tcPr>
            <w:tcW w:w="1368" w:type="dxa"/>
            <w:hideMark/>
          </w:tcPr>
          <w:p w:rsidR="00F41ADD" w:rsidRPr="00F41ADD" w:rsidRDefault="00F41ADD" w:rsidP="00F41ADD">
            <w:pPr>
              <w:jc w:val="cente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FY17 Maintenance</w:t>
            </w:r>
          </w:p>
        </w:tc>
      </w:tr>
      <w:tr w:rsidR="00F41ADD" w:rsidRPr="00F41ADD" w:rsidTr="00F41ADD">
        <w:trPr>
          <w:trHeight w:val="225"/>
        </w:trPr>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3000-1000</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Administration*</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12,542,429 </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381,517 </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12,923,946 </w:t>
            </w:r>
          </w:p>
        </w:tc>
      </w:tr>
      <w:tr w:rsidR="00F41ADD" w:rsidRPr="00F41ADD" w:rsidTr="00F41ADD">
        <w:trPr>
          <w:trHeight w:val="225"/>
        </w:trPr>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3000-1050</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EEC Assessment</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300,000 </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w:t>
            </w:r>
            <w:r w:rsidRPr="00F41ADD">
              <w:rPr>
                <w:rFonts w:ascii="Calibri" w:eastAsia="Times New Roman" w:hAnsi="Calibri" w:cs="Times New Roman"/>
                <w:color w:val="000000"/>
                <w:sz w:val="16"/>
                <w:szCs w:val="16"/>
              </w:rPr>
              <w:lastRenderedPageBreak/>
              <w:t>(300,000)</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lastRenderedPageBreak/>
              <w:t xml:space="preserve"> $                            </w:t>
            </w:r>
            <w:r w:rsidRPr="00F41ADD">
              <w:rPr>
                <w:rFonts w:ascii="Calibri" w:eastAsia="Times New Roman" w:hAnsi="Calibri" w:cs="Times New Roman"/>
                <w:color w:val="000000"/>
                <w:sz w:val="16"/>
                <w:szCs w:val="16"/>
              </w:rPr>
              <w:lastRenderedPageBreak/>
              <w:t xml:space="preserve">-   </w:t>
            </w:r>
          </w:p>
        </w:tc>
      </w:tr>
      <w:tr w:rsidR="00F41ADD" w:rsidRPr="00F41ADD" w:rsidTr="00F41ADD">
        <w:trPr>
          <w:trHeight w:val="225"/>
        </w:trPr>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lastRenderedPageBreak/>
              <w:t>3000-2000</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Access Management</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6,675,311 </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1,000,000 </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7,675,311 </w:t>
            </w:r>
          </w:p>
        </w:tc>
      </w:tr>
      <w:tr w:rsidR="00F41ADD" w:rsidRPr="00F41ADD" w:rsidTr="00F41ADD">
        <w:trPr>
          <w:trHeight w:val="225"/>
        </w:trPr>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3000-3060</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Supportive-DTA Related</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$ 219,907,383 </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6,844,438 </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226,751,821 </w:t>
            </w:r>
          </w:p>
        </w:tc>
      </w:tr>
      <w:tr w:rsidR="00F41ADD" w:rsidRPr="00F41ADD" w:rsidTr="00F41ADD">
        <w:trPr>
          <w:trHeight w:val="225"/>
        </w:trPr>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3000-4040</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Waitlist Remediation</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12,000,000 </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(12,000,000)</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   </w:t>
            </w:r>
          </w:p>
        </w:tc>
      </w:tr>
      <w:tr w:rsidR="00F41ADD" w:rsidRPr="00F41ADD" w:rsidTr="00F41ADD">
        <w:trPr>
          <w:trHeight w:val="225"/>
        </w:trPr>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3000-4060</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Income Eligible Child Care**</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$ 252,944,993 </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19,746,285 </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272,691,278 </w:t>
            </w:r>
          </w:p>
        </w:tc>
      </w:tr>
      <w:tr w:rsidR="00F41ADD" w:rsidRPr="00F41ADD" w:rsidTr="00F41ADD">
        <w:trPr>
          <w:trHeight w:val="225"/>
        </w:trPr>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3000-5000</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Grants to Head Start</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9,100,000 </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   </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9,100,000 </w:t>
            </w:r>
          </w:p>
        </w:tc>
      </w:tr>
      <w:tr w:rsidR="00F41ADD" w:rsidRPr="00F41ADD" w:rsidTr="00F41ADD">
        <w:trPr>
          <w:trHeight w:val="225"/>
        </w:trPr>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3000-5075</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UPK</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7,400,000 </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   </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7,400,000 </w:t>
            </w:r>
          </w:p>
        </w:tc>
      </w:tr>
      <w:tr w:rsidR="00F41ADD" w:rsidRPr="00F41ADD" w:rsidTr="00F41ADD">
        <w:trPr>
          <w:trHeight w:val="225"/>
        </w:trPr>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3000-6025</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Commonwealth Preschool Partnership Initiative </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500,000 </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   </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500,000 </w:t>
            </w:r>
          </w:p>
        </w:tc>
      </w:tr>
      <w:tr w:rsidR="00F41ADD" w:rsidRPr="00F41ADD" w:rsidTr="00F41ADD">
        <w:trPr>
          <w:trHeight w:val="225"/>
        </w:trPr>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3000-6075</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Mental Health</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750,000 </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   </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750,000 </w:t>
            </w:r>
          </w:p>
        </w:tc>
      </w:tr>
      <w:tr w:rsidR="00F41ADD" w:rsidRPr="00F41ADD" w:rsidTr="00F41ADD">
        <w:trPr>
          <w:trHeight w:val="225"/>
        </w:trPr>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3000-7040</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EEC Contingency Contract Retained Revenue</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200,000 </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   </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200,000 </w:t>
            </w:r>
          </w:p>
        </w:tc>
      </w:tr>
      <w:tr w:rsidR="00F41ADD" w:rsidRPr="00F41ADD" w:rsidTr="00F41ADD">
        <w:trPr>
          <w:trHeight w:val="225"/>
        </w:trPr>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3000-7050</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Services for Infants and Parents</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21,314,890 </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   </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21,314,890 </w:t>
            </w:r>
          </w:p>
        </w:tc>
      </w:tr>
      <w:tr w:rsidR="00F41ADD" w:rsidRPr="00F41ADD" w:rsidTr="00F41ADD">
        <w:trPr>
          <w:trHeight w:val="225"/>
        </w:trPr>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3000-7070</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Reach Out and Read</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1,000,000 </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   </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1,000,000 </w:t>
            </w:r>
          </w:p>
        </w:tc>
      </w:tr>
      <w:tr w:rsidR="00F41ADD" w:rsidRPr="00F41ADD" w:rsidTr="00F41ADD">
        <w:trPr>
          <w:trHeight w:val="225"/>
        </w:trPr>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1599-0042</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CBC Reimbursement Rate Reserve</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5,000,000 </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(5,000,000)</w:t>
            </w:r>
          </w:p>
        </w:tc>
        <w:tc>
          <w:tcPr>
            <w:tcW w:w="1368" w:type="dxa"/>
            <w:noWrap/>
            <w:hideMark/>
          </w:tcPr>
          <w:p w:rsidR="00F41ADD" w:rsidRPr="00F41ADD" w:rsidRDefault="00F41ADD" w:rsidP="00F41ADD">
            <w:pPr>
              <w:rPr>
                <w:rFonts w:ascii="Calibri" w:eastAsia="Times New Roman" w:hAnsi="Calibri" w:cs="Times New Roman"/>
                <w:color w:val="000000"/>
                <w:sz w:val="16"/>
                <w:szCs w:val="16"/>
              </w:rPr>
            </w:pPr>
            <w:r w:rsidRPr="00F41ADD">
              <w:rPr>
                <w:rFonts w:ascii="Calibri" w:eastAsia="Times New Roman" w:hAnsi="Calibri" w:cs="Times New Roman"/>
                <w:color w:val="000000"/>
                <w:sz w:val="16"/>
                <w:szCs w:val="16"/>
              </w:rPr>
              <w:t xml:space="preserve"> $                            -   </w:t>
            </w:r>
          </w:p>
        </w:tc>
      </w:tr>
      <w:tr w:rsidR="00F41ADD" w:rsidRPr="00F41ADD" w:rsidTr="00F41ADD">
        <w:trPr>
          <w:trHeight w:val="270"/>
        </w:trPr>
        <w:tc>
          <w:tcPr>
            <w:tcW w:w="1368" w:type="dxa"/>
            <w:noWrap/>
            <w:hideMark/>
          </w:tcPr>
          <w:p w:rsidR="00F41ADD" w:rsidRPr="00F41ADD" w:rsidRDefault="00F41ADD" w:rsidP="00F41ADD">
            <w:pPr>
              <w:rPr>
                <w:rFonts w:ascii="Calibri" w:eastAsia="Times New Roman" w:hAnsi="Calibri" w:cs="Times New Roman"/>
                <w:color w:val="000000"/>
                <w:sz w:val="16"/>
                <w:szCs w:val="16"/>
              </w:rPr>
            </w:pPr>
          </w:p>
        </w:tc>
        <w:tc>
          <w:tcPr>
            <w:tcW w:w="1368" w:type="dxa"/>
            <w:noWrap/>
            <w:hideMark/>
          </w:tcPr>
          <w:p w:rsidR="00F41ADD" w:rsidRPr="00F41ADD" w:rsidRDefault="00F41ADD" w:rsidP="00F41ADD">
            <w:pPr>
              <w:rPr>
                <w:rFonts w:ascii="Calibri" w:eastAsia="Times New Roman" w:hAnsi="Calibri" w:cs="Times New Roman"/>
                <w:color w:val="000000"/>
                <w:sz w:val="16"/>
                <w:szCs w:val="16"/>
              </w:rPr>
            </w:pPr>
          </w:p>
        </w:tc>
        <w:tc>
          <w:tcPr>
            <w:tcW w:w="1368" w:type="dxa"/>
            <w:noWrap/>
            <w:hideMark/>
          </w:tcPr>
          <w:p w:rsidR="00F41ADD" w:rsidRPr="00F41ADD" w:rsidRDefault="00F41ADD" w:rsidP="00F41ADD">
            <w:pPr>
              <w:rPr>
                <w:rFonts w:ascii="Calibri" w:eastAsia="Times New Roman" w:hAnsi="Calibri" w:cs="Times New Roman"/>
                <w:b/>
                <w:bCs/>
                <w:color w:val="000000"/>
                <w:sz w:val="16"/>
                <w:szCs w:val="16"/>
                <w:u w:val="single"/>
              </w:rPr>
            </w:pPr>
            <w:r w:rsidRPr="00F41ADD">
              <w:rPr>
                <w:rFonts w:ascii="Calibri" w:eastAsia="Times New Roman" w:hAnsi="Calibri" w:cs="Times New Roman"/>
                <w:b/>
                <w:bCs/>
                <w:color w:val="000000"/>
                <w:sz w:val="16"/>
                <w:szCs w:val="16"/>
                <w:u w:val="single"/>
              </w:rPr>
              <w:t xml:space="preserve"> $ 549,635,006 </w:t>
            </w:r>
          </w:p>
        </w:tc>
        <w:tc>
          <w:tcPr>
            <w:tcW w:w="1368" w:type="dxa"/>
            <w:noWrap/>
            <w:hideMark/>
          </w:tcPr>
          <w:p w:rsidR="00F41ADD" w:rsidRPr="00F41ADD" w:rsidRDefault="00F41ADD" w:rsidP="00F41ADD">
            <w:pPr>
              <w:rPr>
                <w:rFonts w:ascii="Calibri" w:eastAsia="Times New Roman" w:hAnsi="Calibri" w:cs="Times New Roman"/>
                <w:b/>
                <w:bCs/>
                <w:color w:val="000000"/>
                <w:sz w:val="16"/>
                <w:szCs w:val="16"/>
                <w:u w:val="single"/>
              </w:rPr>
            </w:pPr>
            <w:r w:rsidRPr="00F41ADD">
              <w:rPr>
                <w:rFonts w:ascii="Calibri" w:eastAsia="Times New Roman" w:hAnsi="Calibri" w:cs="Times New Roman"/>
                <w:b/>
                <w:bCs/>
                <w:color w:val="000000"/>
                <w:sz w:val="16"/>
                <w:szCs w:val="16"/>
                <w:u w:val="single"/>
              </w:rPr>
              <w:t xml:space="preserve"> $          10,672,240 </w:t>
            </w:r>
          </w:p>
        </w:tc>
        <w:tc>
          <w:tcPr>
            <w:tcW w:w="1368" w:type="dxa"/>
            <w:noWrap/>
            <w:hideMark/>
          </w:tcPr>
          <w:p w:rsidR="00F41ADD" w:rsidRPr="00F41ADD" w:rsidRDefault="00F41ADD" w:rsidP="00F41ADD">
            <w:pPr>
              <w:rPr>
                <w:rFonts w:ascii="Calibri" w:eastAsia="Times New Roman" w:hAnsi="Calibri" w:cs="Times New Roman"/>
                <w:b/>
                <w:bCs/>
                <w:color w:val="000000"/>
                <w:sz w:val="16"/>
                <w:szCs w:val="16"/>
                <w:u w:val="single"/>
              </w:rPr>
            </w:pPr>
            <w:r w:rsidRPr="00F41ADD">
              <w:rPr>
                <w:rFonts w:ascii="Calibri" w:eastAsia="Times New Roman" w:hAnsi="Calibri" w:cs="Times New Roman"/>
                <w:b/>
                <w:bCs/>
                <w:color w:val="000000"/>
                <w:sz w:val="16"/>
                <w:szCs w:val="16"/>
                <w:u w:val="single"/>
              </w:rPr>
              <w:t xml:space="preserve"> $  560,307,246 </w:t>
            </w:r>
          </w:p>
        </w:tc>
      </w:tr>
    </w:tbl>
    <w:p w:rsidR="00F41ADD" w:rsidRDefault="00F41ADD" w:rsidP="00F41ADD">
      <w:pPr>
        <w:tabs>
          <w:tab w:val="left" w:pos="1020"/>
        </w:tabs>
      </w:pPr>
    </w:p>
    <w:tbl>
      <w:tblPr>
        <w:tblW w:w="4260" w:type="dxa"/>
        <w:tblInd w:w="93" w:type="dxa"/>
        <w:tblLook w:val="04A0"/>
      </w:tblPr>
      <w:tblGrid>
        <w:gridCol w:w="4260"/>
      </w:tblGrid>
      <w:tr w:rsidR="00F41ADD" w:rsidTr="00F41ADD">
        <w:trPr>
          <w:trHeight w:val="225"/>
        </w:trPr>
        <w:tc>
          <w:tcPr>
            <w:tcW w:w="4260" w:type="dxa"/>
            <w:tcBorders>
              <w:top w:val="nil"/>
              <w:left w:val="nil"/>
              <w:bottom w:val="nil"/>
              <w:right w:val="nil"/>
            </w:tcBorders>
            <w:shd w:val="clear" w:color="auto" w:fill="auto"/>
            <w:noWrap/>
            <w:vAlign w:val="bottom"/>
            <w:hideMark/>
          </w:tcPr>
          <w:p w:rsidR="00F41ADD" w:rsidRDefault="00F41ADD">
            <w:pPr>
              <w:rPr>
                <w:rFonts w:ascii="Calibri" w:hAnsi="Calibri"/>
                <w:color w:val="000000"/>
                <w:sz w:val="16"/>
                <w:szCs w:val="16"/>
              </w:rPr>
            </w:pPr>
            <w:r>
              <w:rPr>
                <w:rFonts w:ascii="Calibri" w:hAnsi="Calibri"/>
                <w:color w:val="000000"/>
                <w:sz w:val="16"/>
                <w:szCs w:val="16"/>
              </w:rPr>
              <w:t>*Includes adjustments made related to ERIP</w:t>
            </w:r>
          </w:p>
        </w:tc>
      </w:tr>
      <w:tr w:rsidR="00F41ADD" w:rsidTr="00F41ADD">
        <w:trPr>
          <w:trHeight w:val="225"/>
        </w:trPr>
        <w:tc>
          <w:tcPr>
            <w:tcW w:w="4260" w:type="dxa"/>
            <w:tcBorders>
              <w:top w:val="nil"/>
              <w:left w:val="nil"/>
              <w:bottom w:val="nil"/>
              <w:right w:val="nil"/>
            </w:tcBorders>
            <w:shd w:val="clear" w:color="auto" w:fill="auto"/>
            <w:noWrap/>
            <w:vAlign w:val="bottom"/>
            <w:hideMark/>
          </w:tcPr>
          <w:p w:rsidR="00F41ADD" w:rsidRDefault="00F41ADD">
            <w:pPr>
              <w:rPr>
                <w:rFonts w:ascii="Calibri" w:hAnsi="Calibri"/>
                <w:color w:val="000000"/>
                <w:sz w:val="16"/>
                <w:szCs w:val="16"/>
              </w:rPr>
            </w:pPr>
            <w:r>
              <w:rPr>
                <w:rFonts w:ascii="Calibri" w:hAnsi="Calibri"/>
                <w:color w:val="000000"/>
                <w:sz w:val="16"/>
                <w:szCs w:val="16"/>
              </w:rPr>
              <w:t>**Does not include pending $3.4M PAC</w:t>
            </w:r>
          </w:p>
        </w:tc>
      </w:tr>
    </w:tbl>
    <w:p w:rsidR="00F41ADD" w:rsidRDefault="00F41ADD" w:rsidP="00F41ADD">
      <w:pPr>
        <w:tabs>
          <w:tab w:val="left" w:pos="1020"/>
        </w:tabs>
      </w:pPr>
      <w:r>
        <w:t>Slide 12</w:t>
      </w:r>
    </w:p>
    <w:p w:rsidR="00F41ADD" w:rsidRDefault="00F41ADD" w:rsidP="00F41ADD">
      <w:pPr>
        <w:tabs>
          <w:tab w:val="left" w:pos="1020"/>
        </w:tabs>
        <w:rPr>
          <w:b/>
          <w:bCs/>
        </w:rPr>
      </w:pPr>
      <w:r w:rsidRPr="00F41ADD">
        <w:rPr>
          <w:b/>
          <w:bCs/>
        </w:rPr>
        <w:t>CCDBG Reauthorization Overview</w:t>
      </w:r>
    </w:p>
    <w:p w:rsidR="00000000" w:rsidRPr="00F41ADD" w:rsidRDefault="009300EE" w:rsidP="00F41ADD">
      <w:pPr>
        <w:numPr>
          <w:ilvl w:val="0"/>
          <w:numId w:val="10"/>
        </w:numPr>
        <w:tabs>
          <w:tab w:val="left" w:pos="1020"/>
        </w:tabs>
      </w:pPr>
      <w:r w:rsidRPr="00F41ADD">
        <w:t xml:space="preserve">The Child Care Development Block Grant (CCDBG) is a $5.3 billion block grant program that provides funding to States, Territories, </w:t>
      </w:r>
      <w:r w:rsidRPr="00F41ADD">
        <w:t>and Tribes to provide access to child care services for low-income families and improve the quality of child care.</w:t>
      </w:r>
    </w:p>
    <w:p w:rsidR="00000000" w:rsidRPr="00F41ADD" w:rsidRDefault="009300EE" w:rsidP="00F41ADD">
      <w:pPr>
        <w:numPr>
          <w:ilvl w:val="1"/>
          <w:numId w:val="10"/>
        </w:numPr>
        <w:tabs>
          <w:tab w:val="left" w:pos="1020"/>
        </w:tabs>
      </w:pPr>
      <w:r w:rsidRPr="00F41ADD">
        <w:t xml:space="preserve">For FY15, MA expended over $481M through CCDBG (or 92% of EEC’s total state budget), including Maintenance of Effort, State Match, and TANF </w:t>
      </w:r>
      <w:r w:rsidRPr="00F41ADD">
        <w:t>related expenditures.</w:t>
      </w:r>
    </w:p>
    <w:p w:rsidR="00000000" w:rsidRPr="00F41ADD" w:rsidRDefault="009300EE" w:rsidP="00F41ADD">
      <w:pPr>
        <w:numPr>
          <w:ilvl w:val="0"/>
          <w:numId w:val="10"/>
        </w:numPr>
        <w:tabs>
          <w:tab w:val="left" w:pos="1020"/>
        </w:tabs>
      </w:pPr>
      <w:r w:rsidRPr="00F41ADD">
        <w:t>President Obama signed the CCDBG Act of 2014 (P.L. 113-186) into law on November 19, 2014.</w:t>
      </w:r>
    </w:p>
    <w:p w:rsidR="00000000" w:rsidRPr="00F41ADD" w:rsidRDefault="009300EE" w:rsidP="00F41ADD">
      <w:pPr>
        <w:numPr>
          <w:ilvl w:val="1"/>
          <w:numId w:val="10"/>
        </w:numPr>
        <w:tabs>
          <w:tab w:val="left" w:pos="1020"/>
        </w:tabs>
      </w:pPr>
      <w:r w:rsidRPr="00F41ADD">
        <w:t>Represents the 1</w:t>
      </w:r>
      <w:r w:rsidRPr="00F41ADD">
        <w:rPr>
          <w:vertAlign w:val="superscript"/>
        </w:rPr>
        <w:t>st</w:t>
      </w:r>
      <w:r w:rsidRPr="00F41ADD">
        <w:t xml:space="preserve"> time Congress has reauthorized CCDBG since 1996.</w:t>
      </w:r>
    </w:p>
    <w:p w:rsidR="00000000" w:rsidRPr="00F41ADD" w:rsidRDefault="009300EE" w:rsidP="00F41ADD">
      <w:pPr>
        <w:numPr>
          <w:ilvl w:val="0"/>
          <w:numId w:val="10"/>
        </w:numPr>
        <w:tabs>
          <w:tab w:val="left" w:pos="1020"/>
        </w:tabs>
      </w:pPr>
      <w:r w:rsidRPr="00F41ADD">
        <w:t xml:space="preserve">The CCDBG Act of 2014 is focused on better balancing its </w:t>
      </w:r>
      <w:r w:rsidRPr="00F41ADD">
        <w:rPr>
          <w:b/>
          <w:bCs/>
        </w:rPr>
        <w:t>dual purposes:</w:t>
      </w:r>
    </w:p>
    <w:p w:rsidR="00000000" w:rsidRPr="00F41ADD" w:rsidRDefault="009300EE" w:rsidP="00F41ADD">
      <w:pPr>
        <w:numPr>
          <w:ilvl w:val="1"/>
          <w:numId w:val="10"/>
        </w:numPr>
        <w:tabs>
          <w:tab w:val="left" w:pos="1020"/>
        </w:tabs>
      </w:pPr>
      <w:r w:rsidRPr="00F41ADD">
        <w:t xml:space="preserve">to promote economic self-sufficiency for low-income families </w:t>
      </w:r>
    </w:p>
    <w:p w:rsidR="00000000" w:rsidRPr="00F41ADD" w:rsidRDefault="009300EE" w:rsidP="00F41ADD">
      <w:pPr>
        <w:numPr>
          <w:ilvl w:val="1"/>
          <w:numId w:val="10"/>
        </w:numPr>
        <w:tabs>
          <w:tab w:val="left" w:pos="1020"/>
        </w:tabs>
      </w:pPr>
      <w:r w:rsidRPr="00F41ADD">
        <w:lastRenderedPageBreak/>
        <w:t>to support healthy development and school readiness needs of children.</w:t>
      </w:r>
    </w:p>
    <w:p w:rsidR="00000000" w:rsidRPr="00F41ADD" w:rsidRDefault="009300EE" w:rsidP="00F41ADD">
      <w:pPr>
        <w:numPr>
          <w:ilvl w:val="0"/>
          <w:numId w:val="10"/>
        </w:numPr>
        <w:tabs>
          <w:tab w:val="left" w:pos="1020"/>
        </w:tabs>
      </w:pPr>
      <w:r w:rsidRPr="00F41ADD">
        <w:t xml:space="preserve">The CCDBG Act of 2014 renews authority for CCDBG through FY 2020 and represents an historic </w:t>
      </w:r>
      <w:r w:rsidRPr="00F41ADD">
        <w:t xml:space="preserve">re-envisioning of the program. </w:t>
      </w:r>
    </w:p>
    <w:p w:rsidR="00F41ADD" w:rsidRDefault="00F41ADD" w:rsidP="00F41ADD">
      <w:pPr>
        <w:tabs>
          <w:tab w:val="left" w:pos="1020"/>
        </w:tabs>
      </w:pPr>
      <w:r>
        <w:t>Slide 13</w:t>
      </w:r>
    </w:p>
    <w:p w:rsidR="00F41ADD" w:rsidRDefault="00F41ADD" w:rsidP="00F41ADD">
      <w:pPr>
        <w:tabs>
          <w:tab w:val="left" w:pos="1020"/>
        </w:tabs>
        <w:rPr>
          <w:b/>
          <w:bCs/>
        </w:rPr>
      </w:pPr>
      <w:r w:rsidRPr="00F41ADD">
        <w:rPr>
          <w:b/>
          <w:bCs/>
        </w:rPr>
        <w:t>FY17 CCDBG Costs</w:t>
      </w:r>
    </w:p>
    <w:p w:rsidR="00000000" w:rsidRPr="00F41ADD" w:rsidRDefault="009300EE" w:rsidP="00F41ADD">
      <w:pPr>
        <w:numPr>
          <w:ilvl w:val="0"/>
          <w:numId w:val="11"/>
        </w:numPr>
        <w:tabs>
          <w:tab w:val="left" w:pos="1020"/>
        </w:tabs>
      </w:pPr>
      <w:r w:rsidRPr="00F41ADD">
        <w:t>The reauthorization of CCDBG includes additional requirements for states which present significant financial challenges for Massachusetts. The majors areas of focus in SFY17 to remain in compliance are:</w:t>
      </w:r>
    </w:p>
    <w:p w:rsidR="00000000" w:rsidRPr="00F41ADD" w:rsidRDefault="009300EE" w:rsidP="00F41ADD">
      <w:pPr>
        <w:numPr>
          <w:ilvl w:val="3"/>
          <w:numId w:val="11"/>
        </w:numPr>
        <w:tabs>
          <w:tab w:val="left" w:pos="1020"/>
        </w:tabs>
      </w:pPr>
      <w:r w:rsidRPr="00F41ADD">
        <w:t>Background Record Checks</w:t>
      </w:r>
    </w:p>
    <w:p w:rsidR="00000000" w:rsidRPr="00F41ADD" w:rsidRDefault="009300EE" w:rsidP="00F41ADD">
      <w:pPr>
        <w:numPr>
          <w:ilvl w:val="3"/>
          <w:numId w:val="11"/>
        </w:numPr>
        <w:tabs>
          <w:tab w:val="left" w:pos="1020"/>
        </w:tabs>
      </w:pPr>
      <w:r w:rsidRPr="00F41ADD">
        <w:t>Licensing and Monitoring</w:t>
      </w:r>
    </w:p>
    <w:p w:rsidR="00000000" w:rsidRPr="00F41ADD" w:rsidRDefault="009300EE" w:rsidP="00F41ADD">
      <w:pPr>
        <w:numPr>
          <w:ilvl w:val="3"/>
          <w:numId w:val="11"/>
        </w:numPr>
        <w:tabs>
          <w:tab w:val="left" w:pos="1020"/>
        </w:tabs>
      </w:pPr>
      <w:r w:rsidRPr="00F41ADD">
        <w:t>Access (Rates, Non Standard Hours, and Improving Access to Underserved Populations)</w:t>
      </w:r>
    </w:p>
    <w:p w:rsidR="00000000" w:rsidRPr="00F41ADD" w:rsidRDefault="009300EE" w:rsidP="00F41ADD">
      <w:pPr>
        <w:numPr>
          <w:ilvl w:val="3"/>
          <w:numId w:val="11"/>
        </w:numPr>
        <w:tabs>
          <w:tab w:val="left" w:pos="1020"/>
        </w:tabs>
      </w:pPr>
      <w:r w:rsidRPr="00F41ADD">
        <w:t>Professional Development for Educators</w:t>
      </w:r>
    </w:p>
    <w:p w:rsidR="00000000" w:rsidRPr="00F41ADD" w:rsidRDefault="009300EE" w:rsidP="00F41ADD">
      <w:pPr>
        <w:numPr>
          <w:ilvl w:val="3"/>
          <w:numId w:val="11"/>
        </w:numPr>
        <w:tabs>
          <w:tab w:val="left" w:pos="1020"/>
        </w:tabs>
      </w:pPr>
      <w:r w:rsidRPr="00F41ADD">
        <w:t xml:space="preserve">Dissemination of Child Care Information - Certain IT Related Requirements. </w:t>
      </w:r>
    </w:p>
    <w:p w:rsidR="00000000" w:rsidRPr="00F41ADD" w:rsidRDefault="009300EE" w:rsidP="00F41ADD">
      <w:pPr>
        <w:numPr>
          <w:ilvl w:val="0"/>
          <w:numId w:val="11"/>
        </w:numPr>
        <w:tabs>
          <w:tab w:val="left" w:pos="1020"/>
        </w:tabs>
      </w:pPr>
      <w:r w:rsidRPr="00F41ADD">
        <w:t>The affected line items in SFY17 will be the admin account (3000-1000), Quality account (3000-7050), and the caseload accounts.</w:t>
      </w:r>
    </w:p>
    <w:p w:rsidR="00000000" w:rsidRPr="00F41ADD" w:rsidRDefault="009300EE" w:rsidP="00F41ADD">
      <w:pPr>
        <w:numPr>
          <w:ilvl w:val="0"/>
          <w:numId w:val="11"/>
        </w:numPr>
        <w:tabs>
          <w:tab w:val="left" w:pos="1020"/>
        </w:tabs>
      </w:pPr>
      <w:r w:rsidRPr="00F41ADD">
        <w:rPr>
          <w:b/>
          <w:bCs/>
        </w:rPr>
        <w:t>Failure to comply with the new CCDBG requirements may result in a 5% reduction in the MA CCDBG award, which is nearly $5.25M.</w:t>
      </w:r>
    </w:p>
    <w:p w:rsidR="00F41ADD" w:rsidRDefault="00F41ADD" w:rsidP="00F41ADD">
      <w:pPr>
        <w:tabs>
          <w:tab w:val="left" w:pos="1020"/>
        </w:tabs>
      </w:pPr>
      <w:r>
        <w:t>Slide 14</w:t>
      </w:r>
    </w:p>
    <w:p w:rsidR="00F41ADD" w:rsidRDefault="00F41ADD" w:rsidP="00F41ADD">
      <w:pPr>
        <w:tabs>
          <w:tab w:val="left" w:pos="1020"/>
        </w:tabs>
        <w:rPr>
          <w:b/>
          <w:bCs/>
        </w:rPr>
      </w:pPr>
      <w:r>
        <w:rPr>
          <w:b/>
          <w:bCs/>
        </w:rPr>
        <w:t xml:space="preserve">FY17 CCDBG Requirements </w:t>
      </w:r>
      <w:r w:rsidRPr="00F41ADD">
        <w:rPr>
          <w:b/>
          <w:bCs/>
        </w:rPr>
        <w:t>3000-1000 Admin</w:t>
      </w:r>
    </w:p>
    <w:p w:rsidR="00000000" w:rsidRPr="00F41ADD" w:rsidRDefault="009300EE" w:rsidP="00F41ADD">
      <w:pPr>
        <w:numPr>
          <w:ilvl w:val="0"/>
          <w:numId w:val="12"/>
        </w:numPr>
        <w:tabs>
          <w:tab w:val="left" w:pos="1020"/>
        </w:tabs>
      </w:pPr>
      <w:r w:rsidRPr="00F41ADD">
        <w:rPr>
          <w:u w:val="single"/>
        </w:rPr>
        <w:t>Background Record Checks – Compliance</w:t>
      </w:r>
    </w:p>
    <w:p w:rsidR="00000000" w:rsidRPr="00F41ADD" w:rsidRDefault="009300EE" w:rsidP="00F41ADD">
      <w:pPr>
        <w:numPr>
          <w:ilvl w:val="1"/>
          <w:numId w:val="12"/>
        </w:numPr>
        <w:tabs>
          <w:tab w:val="left" w:pos="1020"/>
        </w:tabs>
      </w:pPr>
      <w:r w:rsidRPr="00F41ADD">
        <w:rPr>
          <w:b/>
          <w:bCs/>
          <w:u w:val="single"/>
        </w:rPr>
        <w:t>Current</w:t>
      </w:r>
      <w:r w:rsidRPr="00F41ADD">
        <w:t xml:space="preserve">:  EEC employs twelve (12) FTEs to ensure compliance with the mandates of Chapter 459 of the Acts of 2012 (as amended by Chapter 77 of the Acts of 2013).  </w:t>
      </w:r>
      <w:r w:rsidRPr="00F41ADD">
        <w:t xml:space="preserve">This unit processes over 120K applications per year.  For each applicant EEC must conduct four separate checks: CORI, DCF, SORI, and FBI Fingerprinting checks.  EEC has until </w:t>
      </w:r>
      <w:r w:rsidRPr="00F41ADD">
        <w:rPr>
          <w:b/>
          <w:bCs/>
        </w:rPr>
        <w:t xml:space="preserve">September 2016 </w:t>
      </w:r>
      <w:r w:rsidRPr="00F41ADD">
        <w:t>to reach compliance with the rigorous requirements mandated by Cha</w:t>
      </w:r>
      <w:r w:rsidRPr="00F41ADD">
        <w:t>pter 459.</w:t>
      </w:r>
    </w:p>
    <w:p w:rsidR="00000000" w:rsidRPr="00F41ADD" w:rsidRDefault="009300EE" w:rsidP="00F41ADD">
      <w:pPr>
        <w:numPr>
          <w:ilvl w:val="1"/>
          <w:numId w:val="12"/>
        </w:numPr>
        <w:tabs>
          <w:tab w:val="left" w:pos="1020"/>
        </w:tabs>
      </w:pPr>
      <w:r w:rsidRPr="00F41ADD">
        <w:rPr>
          <w:b/>
          <w:bCs/>
          <w:u w:val="single"/>
        </w:rPr>
        <w:t>Future</w:t>
      </w:r>
      <w:r w:rsidRPr="00F41ADD">
        <w:rPr>
          <w:b/>
          <w:bCs/>
        </w:rPr>
        <w:t xml:space="preserve">: </w:t>
      </w:r>
      <w:r w:rsidRPr="00F41ADD">
        <w:t xml:space="preserve">In addition to the CORI, DCF, SORI, and FBI Fingerprint checks already implemented by the department, CCDBG mandates that by </w:t>
      </w:r>
      <w:r w:rsidRPr="00F41ADD">
        <w:rPr>
          <w:b/>
          <w:bCs/>
        </w:rPr>
        <w:t>9/30/2017</w:t>
      </w:r>
      <w:r w:rsidRPr="00F41ADD">
        <w:t xml:space="preserve"> (SFY18) states </w:t>
      </w:r>
      <w:r w:rsidRPr="00F41ADD">
        <w:lastRenderedPageBreak/>
        <w:t xml:space="preserve">must also incorporate the following into background checks.  (States may request a one </w:t>
      </w:r>
      <w:r w:rsidRPr="00F41ADD">
        <w:t>year extension of this deadline).</w:t>
      </w:r>
    </w:p>
    <w:p w:rsidR="00000000" w:rsidRPr="00F41ADD" w:rsidRDefault="009300EE" w:rsidP="00F41ADD">
      <w:pPr>
        <w:numPr>
          <w:ilvl w:val="3"/>
          <w:numId w:val="12"/>
        </w:numPr>
        <w:tabs>
          <w:tab w:val="left" w:pos="1020"/>
        </w:tabs>
      </w:pPr>
      <w:r w:rsidRPr="00F41ADD">
        <w:t>Review of the State criminal and sex offender registry, including all other states in which the applicant resided in the past 5 years.  This would require labor intensive work contacting each state registry office for eac</w:t>
      </w:r>
      <w:r w:rsidRPr="00F41ADD">
        <w:t>h state in which the applicant resided.</w:t>
      </w:r>
    </w:p>
    <w:p w:rsidR="00000000" w:rsidRPr="00F41ADD" w:rsidRDefault="009300EE" w:rsidP="00F41ADD">
      <w:pPr>
        <w:numPr>
          <w:ilvl w:val="3"/>
          <w:numId w:val="12"/>
        </w:numPr>
        <w:tabs>
          <w:tab w:val="left" w:pos="1020"/>
        </w:tabs>
      </w:pPr>
      <w:r w:rsidRPr="00F41ADD">
        <w:t>Review of the State child abuse and neglect registry, including all other states in which the applicant resided in the past 5 years;</w:t>
      </w:r>
    </w:p>
    <w:p w:rsidR="00000000" w:rsidRPr="00F41ADD" w:rsidRDefault="009300EE" w:rsidP="00F41ADD">
      <w:pPr>
        <w:numPr>
          <w:ilvl w:val="3"/>
          <w:numId w:val="12"/>
        </w:numPr>
        <w:tabs>
          <w:tab w:val="left" w:pos="1020"/>
        </w:tabs>
      </w:pPr>
      <w:r w:rsidRPr="00F41ADD">
        <w:t>Review of the National Crime Information Center (operated by the FBI) and Nationa</w:t>
      </w:r>
      <w:r w:rsidRPr="00F41ADD">
        <w:t>l Sex Offender Registry (operated by DOJ).</w:t>
      </w:r>
    </w:p>
    <w:p w:rsidR="00000000" w:rsidRPr="00F41ADD" w:rsidRDefault="009300EE" w:rsidP="00F41ADD">
      <w:pPr>
        <w:numPr>
          <w:ilvl w:val="2"/>
          <w:numId w:val="12"/>
        </w:numPr>
        <w:tabs>
          <w:tab w:val="left" w:pos="1020"/>
        </w:tabs>
      </w:pPr>
      <w:r w:rsidRPr="00F41ADD">
        <w:t xml:space="preserve">To comply with the requirements EEC estimates a need to increase the BRC unit by 12 FTEs. This will increase the FY17 admin budget by at least </w:t>
      </w:r>
      <w:r w:rsidRPr="00F41ADD">
        <w:t>$</w:t>
      </w:r>
      <w:r w:rsidRPr="00F41ADD">
        <w:t>686,083.  This does not include the IT support required to implement</w:t>
      </w:r>
      <w:r w:rsidRPr="00F41ADD">
        <w:t xml:space="preserve"> an interstate background record check.</w:t>
      </w:r>
    </w:p>
    <w:p w:rsidR="00000000" w:rsidRPr="00F41ADD" w:rsidRDefault="009300EE" w:rsidP="00F41ADD">
      <w:pPr>
        <w:numPr>
          <w:ilvl w:val="2"/>
          <w:numId w:val="12"/>
        </w:numPr>
        <w:tabs>
          <w:tab w:val="left" w:pos="1020"/>
        </w:tabs>
      </w:pPr>
      <w:r w:rsidRPr="00F41ADD">
        <w:t>The deadline is SFY18, but in the first quarter of SFY18.  If we wait until after SFY17 to meet this requirement, we would need to get Spending Plan Approval for positions, post the positions, conduct interviews, hi</w:t>
      </w:r>
      <w:r w:rsidRPr="00F41ADD">
        <w:t xml:space="preserve">re, and train within a three (3) month period.  </w:t>
      </w:r>
    </w:p>
    <w:p w:rsidR="00F41ADD" w:rsidRDefault="00F41ADD" w:rsidP="00F41ADD">
      <w:pPr>
        <w:tabs>
          <w:tab w:val="left" w:pos="1020"/>
        </w:tabs>
      </w:pPr>
      <w:r>
        <w:t>Slide 15</w:t>
      </w:r>
    </w:p>
    <w:p w:rsidR="00F41ADD" w:rsidRDefault="00F41ADD" w:rsidP="00F41ADD">
      <w:pPr>
        <w:tabs>
          <w:tab w:val="left" w:pos="1020"/>
        </w:tabs>
        <w:rPr>
          <w:b/>
          <w:bCs/>
        </w:rPr>
      </w:pPr>
      <w:r>
        <w:rPr>
          <w:b/>
          <w:bCs/>
        </w:rPr>
        <w:t xml:space="preserve">FY17 CCDBG Requirements </w:t>
      </w:r>
      <w:r w:rsidRPr="00F41ADD">
        <w:rPr>
          <w:b/>
          <w:bCs/>
        </w:rPr>
        <w:t>3000-1000 Admin</w:t>
      </w:r>
    </w:p>
    <w:p w:rsidR="00000000" w:rsidRPr="00F41ADD" w:rsidRDefault="009300EE" w:rsidP="00F41ADD">
      <w:pPr>
        <w:numPr>
          <w:ilvl w:val="1"/>
          <w:numId w:val="13"/>
        </w:numPr>
        <w:tabs>
          <w:tab w:val="left" w:pos="1020"/>
        </w:tabs>
      </w:pPr>
      <w:r w:rsidRPr="00F41ADD">
        <w:rPr>
          <w:b/>
          <w:bCs/>
          <w:u w:val="single"/>
        </w:rPr>
        <w:t>Current</w:t>
      </w:r>
      <w:r w:rsidRPr="00F41ADD">
        <w:t xml:space="preserve">:  EEC employs 66 licensors (licensors, investigators, and licensing supervisors) to monitor the entire Commonwealth.    By the end of FY16, EEC expects that </w:t>
      </w:r>
      <w:r w:rsidRPr="00F41ADD">
        <w:t>total to increase to 81.  The caseload ratios are concerning especially with a net loss of three position due to ERIP.  Approximate caseload ratio for family child care licensors is 311:1 and 112:1 for group child care.  The nationally recognized recommend</w:t>
      </w:r>
      <w:r w:rsidRPr="00F41ADD">
        <w:t>ed caseload ratios are 75:1 for family child care and 50:1 for group care.   Below is a chart showing the number of licensing positions EEC has had over the past five years:</w:t>
      </w:r>
    </w:p>
    <w:p w:rsidR="00F41ADD" w:rsidRPr="00C80984" w:rsidRDefault="00F41ADD" w:rsidP="00F41ADD">
      <w:r w:rsidRPr="00C80984">
        <w:t>Slide includes an image of a line graph that depicts historical licensor counts:</w:t>
      </w:r>
    </w:p>
    <w:p w:rsidR="00F41ADD" w:rsidRPr="00C80984" w:rsidRDefault="00F41ADD" w:rsidP="00F41ADD">
      <w:r w:rsidRPr="00C80984">
        <w:t>7/11 - 77.94</w:t>
      </w:r>
    </w:p>
    <w:p w:rsidR="00F41ADD" w:rsidRPr="00C80984" w:rsidRDefault="00F41ADD" w:rsidP="00F41ADD">
      <w:r w:rsidRPr="00C80984">
        <w:t>6/12 - 73.14</w:t>
      </w:r>
    </w:p>
    <w:p w:rsidR="00F41ADD" w:rsidRPr="00C80984" w:rsidRDefault="00F41ADD" w:rsidP="00F41ADD">
      <w:r w:rsidRPr="00C80984">
        <w:t>6/13 - 79.14</w:t>
      </w:r>
    </w:p>
    <w:p w:rsidR="00F41ADD" w:rsidRPr="00C80984" w:rsidRDefault="00F41ADD" w:rsidP="00F41ADD">
      <w:r w:rsidRPr="00C80984">
        <w:t>6/14 - 84.14</w:t>
      </w:r>
    </w:p>
    <w:p w:rsidR="00F41ADD" w:rsidRPr="00C80984" w:rsidRDefault="00F41ADD" w:rsidP="00F41ADD">
      <w:r w:rsidRPr="00C80984">
        <w:t>6/15 - 80.2</w:t>
      </w:r>
    </w:p>
    <w:p w:rsidR="00F41ADD" w:rsidRPr="00C80984" w:rsidRDefault="00F41ADD" w:rsidP="00F41ADD">
      <w:r w:rsidRPr="00C80984">
        <w:lastRenderedPageBreak/>
        <w:t>7/15 - 66.2</w:t>
      </w:r>
    </w:p>
    <w:p w:rsidR="00F41ADD" w:rsidRPr="00C80984" w:rsidRDefault="00F41ADD" w:rsidP="00F41ADD">
      <w:r w:rsidRPr="00C80984">
        <w:t>FY16 projected - 81.2</w:t>
      </w:r>
    </w:p>
    <w:p w:rsidR="00F41ADD" w:rsidRPr="00C80984" w:rsidRDefault="00F41ADD" w:rsidP="00F41ADD">
      <w:pPr>
        <w:numPr>
          <w:ilvl w:val="1"/>
          <w:numId w:val="14"/>
        </w:numPr>
      </w:pPr>
      <w:r w:rsidRPr="00C80984">
        <w:t>As part of the FY16 Spending Plan, EEC has started to hire the 15 licensing positions.  Despite these additions, EEC’s licensor staff is still below the level reached at the end of SFY14.</w:t>
      </w:r>
    </w:p>
    <w:p w:rsidR="00F41ADD" w:rsidRDefault="00F41ADD" w:rsidP="00F41ADD">
      <w:pPr>
        <w:tabs>
          <w:tab w:val="left" w:pos="1020"/>
        </w:tabs>
      </w:pPr>
      <w:r>
        <w:t>Slide 16</w:t>
      </w:r>
    </w:p>
    <w:p w:rsidR="00F41ADD" w:rsidRDefault="00F41ADD" w:rsidP="00F41ADD">
      <w:pPr>
        <w:tabs>
          <w:tab w:val="left" w:pos="1020"/>
        </w:tabs>
        <w:rPr>
          <w:b/>
          <w:bCs/>
        </w:rPr>
      </w:pPr>
      <w:r>
        <w:rPr>
          <w:b/>
          <w:bCs/>
        </w:rPr>
        <w:t xml:space="preserve">FY17 CCDBG Requirements </w:t>
      </w:r>
      <w:r w:rsidRPr="00F41ADD">
        <w:rPr>
          <w:b/>
          <w:bCs/>
        </w:rPr>
        <w:t>3000-1000 Admin</w:t>
      </w:r>
    </w:p>
    <w:p w:rsidR="00000000" w:rsidRPr="00F41ADD" w:rsidRDefault="009300EE" w:rsidP="00F41ADD">
      <w:pPr>
        <w:numPr>
          <w:ilvl w:val="0"/>
          <w:numId w:val="15"/>
        </w:numPr>
        <w:tabs>
          <w:tab w:val="left" w:pos="1020"/>
        </w:tabs>
      </w:pPr>
      <w:r w:rsidRPr="00F41ADD">
        <w:rPr>
          <w:b/>
          <w:bCs/>
        </w:rPr>
        <w:t xml:space="preserve">Licensing and Monitoring </w:t>
      </w:r>
    </w:p>
    <w:p w:rsidR="00000000" w:rsidRPr="00F41ADD" w:rsidRDefault="009300EE" w:rsidP="00F41ADD">
      <w:pPr>
        <w:numPr>
          <w:ilvl w:val="1"/>
          <w:numId w:val="15"/>
        </w:numPr>
        <w:tabs>
          <w:tab w:val="left" w:pos="1020"/>
        </w:tabs>
      </w:pPr>
      <w:r w:rsidRPr="00F41ADD">
        <w:rPr>
          <w:u w:val="single"/>
        </w:rPr>
        <w:t>Future</w:t>
      </w:r>
      <w:r w:rsidRPr="00F41ADD">
        <w:t xml:space="preserve">: The </w:t>
      </w:r>
      <w:r w:rsidRPr="00F41ADD">
        <w:t>CCDBG has placed a great emphasis on health and safety requirements.  For licensed providers EEC must have one (1) pre-licensure inspection for health, safety, and fire standards; and conduct an annual, unannounced inspection.  The differential licensing v</w:t>
      </w:r>
      <w:r w:rsidRPr="00F41ADD">
        <w:t>isits will satisfy these requirements; however, CCDBG also requires states to conduct annual inspections on license-exempt providers (public/private school and summer camps are examples).  Below is a potential cost for each of the three elements:</w:t>
      </w:r>
    </w:p>
    <w:p w:rsidR="00000000" w:rsidRPr="00F41ADD" w:rsidRDefault="009300EE" w:rsidP="00F41ADD">
      <w:pPr>
        <w:numPr>
          <w:ilvl w:val="2"/>
          <w:numId w:val="15"/>
        </w:numPr>
        <w:tabs>
          <w:tab w:val="left" w:pos="1020"/>
        </w:tabs>
      </w:pPr>
      <w:r w:rsidRPr="00F41ADD">
        <w:rPr>
          <w:u w:val="single"/>
        </w:rPr>
        <w:t>License</w:t>
      </w:r>
      <w:r w:rsidRPr="00F41ADD">
        <w:rPr>
          <w:u w:val="single"/>
        </w:rPr>
        <w:t>d Providers</w:t>
      </w:r>
      <w:r w:rsidRPr="00F41ADD">
        <w:t>:  Pre-licensure inspection for health, safety and fire standards – No additional cost projected at this time, but costs may become apparent as CCDBG requirements are fully  addressed.</w:t>
      </w:r>
    </w:p>
    <w:p w:rsidR="00000000" w:rsidRPr="00F41ADD" w:rsidRDefault="009300EE" w:rsidP="00F41ADD">
      <w:pPr>
        <w:numPr>
          <w:ilvl w:val="2"/>
          <w:numId w:val="15"/>
        </w:numPr>
        <w:tabs>
          <w:tab w:val="left" w:pos="1020"/>
        </w:tabs>
      </w:pPr>
      <w:r w:rsidRPr="00F41ADD">
        <w:rPr>
          <w:u w:val="single"/>
        </w:rPr>
        <w:t>Licensed Providers</w:t>
      </w:r>
      <w:r w:rsidRPr="00F41ADD">
        <w:t xml:space="preserve">: Annual, unannounced inspections – No </w:t>
      </w:r>
      <w:r w:rsidRPr="00F41ADD">
        <w:t>additional cost projected at this time, but cost may become apparent as CCDBG requirements are fully  addressed.</w:t>
      </w:r>
    </w:p>
    <w:p w:rsidR="00000000" w:rsidRPr="00F41ADD" w:rsidRDefault="009300EE" w:rsidP="00F41ADD">
      <w:pPr>
        <w:numPr>
          <w:ilvl w:val="2"/>
          <w:numId w:val="15"/>
        </w:numPr>
        <w:tabs>
          <w:tab w:val="left" w:pos="1020"/>
        </w:tabs>
      </w:pPr>
      <w:r w:rsidRPr="00F41ADD">
        <w:rPr>
          <w:u w:val="single"/>
        </w:rPr>
        <w:t>License Exempt:  Annual Inspections:</w:t>
      </w:r>
      <w:r w:rsidRPr="00F41ADD">
        <w:t xml:space="preserve">  Represents an entirely new responsibility for the agency and would require at least one (1) additional </w:t>
      </w:r>
      <w:r w:rsidRPr="00F41ADD">
        <w:t>licensor in each of the six regions.  Assuming average salary projections used in FY16 Spending Plan development of $60K per licensor, EEC projects an annual cost of $377,062 (payroll and travel) to bring the agency in compliance with this requirement.</w:t>
      </w:r>
    </w:p>
    <w:p w:rsidR="00000000" w:rsidRPr="00F41ADD" w:rsidRDefault="009300EE" w:rsidP="00F41ADD">
      <w:pPr>
        <w:numPr>
          <w:ilvl w:val="1"/>
          <w:numId w:val="15"/>
        </w:numPr>
        <w:tabs>
          <w:tab w:val="left" w:pos="1020"/>
        </w:tabs>
      </w:pPr>
      <w:r w:rsidRPr="00F41ADD">
        <w:t>CC</w:t>
      </w:r>
      <w:r w:rsidRPr="00F41ADD">
        <w:t>DBG requires states to be compliant by 11/19/2016.</w:t>
      </w:r>
    </w:p>
    <w:p w:rsidR="00000000" w:rsidRPr="00F41ADD" w:rsidRDefault="009300EE" w:rsidP="00F41ADD">
      <w:pPr>
        <w:numPr>
          <w:ilvl w:val="1"/>
          <w:numId w:val="15"/>
        </w:numPr>
        <w:tabs>
          <w:tab w:val="left" w:pos="1020"/>
        </w:tabs>
      </w:pPr>
      <w:r w:rsidRPr="00F41ADD">
        <w:t>Overall annual cost of the additional licensors would be $377,062 (includes personnel and related travel).</w:t>
      </w:r>
    </w:p>
    <w:p w:rsidR="00F41ADD" w:rsidRDefault="00F41ADD" w:rsidP="00F41ADD">
      <w:pPr>
        <w:tabs>
          <w:tab w:val="left" w:pos="1020"/>
        </w:tabs>
      </w:pPr>
      <w:r>
        <w:t>Slide 17</w:t>
      </w:r>
    </w:p>
    <w:p w:rsidR="00F41ADD" w:rsidRDefault="00F41ADD" w:rsidP="00F41ADD">
      <w:pPr>
        <w:tabs>
          <w:tab w:val="left" w:pos="1020"/>
        </w:tabs>
        <w:rPr>
          <w:b/>
          <w:bCs/>
        </w:rPr>
      </w:pPr>
      <w:r>
        <w:rPr>
          <w:b/>
          <w:bCs/>
        </w:rPr>
        <w:t xml:space="preserve">FY17 CCDBG Requirements </w:t>
      </w:r>
      <w:r w:rsidRPr="00F41ADD">
        <w:rPr>
          <w:b/>
          <w:bCs/>
        </w:rPr>
        <w:t>Caseload</w:t>
      </w:r>
    </w:p>
    <w:p w:rsidR="00000000" w:rsidRPr="00F41ADD" w:rsidRDefault="009300EE" w:rsidP="00F41ADD">
      <w:pPr>
        <w:numPr>
          <w:ilvl w:val="0"/>
          <w:numId w:val="16"/>
        </w:numPr>
        <w:tabs>
          <w:tab w:val="left" w:pos="1020"/>
        </w:tabs>
      </w:pPr>
      <w:r w:rsidRPr="00F41ADD">
        <w:rPr>
          <w:b/>
          <w:bCs/>
        </w:rPr>
        <w:t>Access – Rates and Quality</w:t>
      </w:r>
    </w:p>
    <w:p w:rsidR="00000000" w:rsidRPr="00F41ADD" w:rsidRDefault="009300EE" w:rsidP="00F41ADD">
      <w:pPr>
        <w:numPr>
          <w:ilvl w:val="1"/>
          <w:numId w:val="16"/>
        </w:numPr>
        <w:tabs>
          <w:tab w:val="left" w:pos="1020"/>
        </w:tabs>
      </w:pPr>
      <w:r w:rsidRPr="00F41ADD">
        <w:lastRenderedPageBreak/>
        <w:t xml:space="preserve">CCDF establishes a </w:t>
      </w:r>
      <w:r w:rsidRPr="00F41ADD">
        <w:t>benchmark of the 75th percentile of market rates to be regarded as providing equal access.  Alternately, states can demonstrate other ways that the state can provide equal access. In past state plans, EEC proved equal access by showing that a high percenta</w:t>
      </w:r>
      <w:r w:rsidRPr="00F41ADD">
        <w:t>ge of licensed providers accepted subsidies across all program types in all areas of the Commonwealth.  It is important to note that most states do not meet the 75</w:t>
      </w:r>
      <w:r w:rsidRPr="00F41ADD">
        <w:rPr>
          <w:vertAlign w:val="superscript"/>
        </w:rPr>
        <w:t>th</w:t>
      </w:r>
      <w:r w:rsidRPr="00F41ADD">
        <w:t xml:space="preserve"> percentile benchmark.</w:t>
      </w:r>
    </w:p>
    <w:p w:rsidR="00000000" w:rsidRPr="00F41ADD" w:rsidRDefault="009300EE" w:rsidP="00F41ADD">
      <w:pPr>
        <w:numPr>
          <w:ilvl w:val="1"/>
          <w:numId w:val="16"/>
        </w:numPr>
        <w:tabs>
          <w:tab w:val="left" w:pos="1020"/>
        </w:tabs>
      </w:pPr>
      <w:r w:rsidRPr="00F41ADD">
        <w:t>The new state plan must detail how EEC will be in compliance with e</w:t>
      </w:r>
      <w:r w:rsidRPr="00F41ADD">
        <w:t>qual access guidelines by September 30, 2016.  Since the Office of Child Care has observed that EEC has low rates, EEC will likely not be able to demonstrate compliance without also increasing rates.</w:t>
      </w:r>
    </w:p>
    <w:p w:rsidR="00000000" w:rsidRPr="00F41ADD" w:rsidRDefault="009300EE" w:rsidP="00F41ADD">
      <w:pPr>
        <w:numPr>
          <w:ilvl w:val="1"/>
          <w:numId w:val="16"/>
        </w:numPr>
        <w:tabs>
          <w:tab w:val="left" w:pos="1020"/>
        </w:tabs>
      </w:pPr>
      <w:r w:rsidRPr="00F41ADD">
        <w:t>EEC seeks to do increase rates by coupling quality with</w:t>
      </w:r>
      <w:r w:rsidRPr="00F41ADD">
        <w:t xml:space="preserve"> access.</w:t>
      </w:r>
    </w:p>
    <w:p w:rsidR="00000000" w:rsidRPr="00F41ADD" w:rsidRDefault="009300EE" w:rsidP="00F41ADD">
      <w:pPr>
        <w:numPr>
          <w:ilvl w:val="1"/>
          <w:numId w:val="16"/>
        </w:numPr>
        <w:tabs>
          <w:tab w:val="left" w:pos="1020"/>
        </w:tabs>
      </w:pPr>
      <w:r w:rsidRPr="00F41ADD">
        <w:t>Children benefit when served by quality programs.</w:t>
      </w:r>
    </w:p>
    <w:p w:rsidR="00F41ADD" w:rsidRDefault="00F41ADD" w:rsidP="00F41ADD">
      <w:pPr>
        <w:tabs>
          <w:tab w:val="left" w:pos="1020"/>
        </w:tabs>
      </w:pPr>
      <w:r>
        <w:t>Slide 18</w:t>
      </w:r>
    </w:p>
    <w:p w:rsidR="00F41ADD" w:rsidRDefault="00F41ADD" w:rsidP="00F41ADD">
      <w:pPr>
        <w:tabs>
          <w:tab w:val="left" w:pos="1020"/>
        </w:tabs>
        <w:rPr>
          <w:b/>
          <w:bCs/>
        </w:rPr>
      </w:pPr>
      <w:r>
        <w:rPr>
          <w:b/>
          <w:bCs/>
        </w:rPr>
        <w:t xml:space="preserve">FY17 CCDBG Requirements </w:t>
      </w:r>
      <w:r w:rsidRPr="00F41ADD">
        <w:rPr>
          <w:b/>
          <w:bCs/>
        </w:rPr>
        <w:t>Caseload</w:t>
      </w:r>
    </w:p>
    <w:p w:rsidR="00000000" w:rsidRPr="00F41ADD" w:rsidRDefault="009300EE" w:rsidP="00F41ADD">
      <w:pPr>
        <w:numPr>
          <w:ilvl w:val="0"/>
          <w:numId w:val="17"/>
        </w:numPr>
        <w:tabs>
          <w:tab w:val="left" w:pos="1020"/>
        </w:tabs>
      </w:pPr>
      <w:r w:rsidRPr="00F41ADD">
        <w:rPr>
          <w:b/>
          <w:bCs/>
        </w:rPr>
        <w:t>Access – Rates and Quality</w:t>
      </w:r>
      <w:r w:rsidRPr="00F41ADD">
        <w:rPr>
          <w:b/>
          <w:bCs/>
        </w:rPr>
        <w:t xml:space="preserve"> </w:t>
      </w:r>
    </w:p>
    <w:p w:rsidR="00000000" w:rsidRPr="00F41ADD" w:rsidRDefault="009300EE" w:rsidP="00F41ADD">
      <w:pPr>
        <w:numPr>
          <w:ilvl w:val="1"/>
          <w:numId w:val="17"/>
        </w:numPr>
        <w:tabs>
          <w:tab w:val="left" w:pos="1020"/>
        </w:tabs>
      </w:pPr>
      <w:r w:rsidRPr="00F41ADD">
        <w:t xml:space="preserve">While it is important to increase our subsidy rates, any funding for rate increases should also connect EEC rates to quality. Ideas </w:t>
      </w:r>
      <w:r w:rsidRPr="00F41ADD">
        <w:t>on how to achieve this include, for example:</w:t>
      </w:r>
    </w:p>
    <w:p w:rsidR="00000000" w:rsidRPr="00F41ADD" w:rsidRDefault="009300EE" w:rsidP="00F41ADD">
      <w:pPr>
        <w:numPr>
          <w:ilvl w:val="2"/>
          <w:numId w:val="17"/>
        </w:numPr>
        <w:tabs>
          <w:tab w:val="left" w:pos="1020"/>
        </w:tabs>
      </w:pPr>
      <w:r w:rsidRPr="00F41ADD">
        <w:t>Require in the new Income Eligible, Supportive, Homeless, and Teen contract RFRs that all providers achieve certain high quality criteria and/or show a plan for advancement within a prescribed period of time i</w:t>
      </w:r>
      <w:r w:rsidRPr="00F41ADD">
        <w:t>n order to be awarded contract slots.</w:t>
      </w:r>
    </w:p>
    <w:p w:rsidR="00000000" w:rsidRPr="00F41ADD" w:rsidRDefault="009300EE" w:rsidP="00F41ADD">
      <w:pPr>
        <w:numPr>
          <w:ilvl w:val="2"/>
          <w:numId w:val="17"/>
        </w:numPr>
        <w:tabs>
          <w:tab w:val="left" w:pos="1020"/>
        </w:tabs>
      </w:pPr>
      <w:r w:rsidRPr="00F41ADD">
        <w:t>Phase in a tiered rate structure aligned with MA QRIS.</w:t>
      </w:r>
    </w:p>
    <w:p w:rsidR="00000000" w:rsidRPr="00F41ADD" w:rsidRDefault="009300EE" w:rsidP="00F41ADD">
      <w:pPr>
        <w:numPr>
          <w:ilvl w:val="1"/>
          <w:numId w:val="17"/>
        </w:numPr>
        <w:tabs>
          <w:tab w:val="left" w:pos="1020"/>
        </w:tabs>
      </w:pPr>
      <w:r w:rsidRPr="00F41ADD">
        <w:t>The QRIS program has a number of goals for advancement of quality (some of which may be achieved with the $4M quality earmark in the 3000-7050 line item) that s</w:t>
      </w:r>
      <w:r w:rsidRPr="00F41ADD">
        <w:t>hould help frame this discussion.  Those goals include:</w:t>
      </w:r>
    </w:p>
    <w:p w:rsidR="00000000" w:rsidRPr="00F41ADD" w:rsidRDefault="009300EE" w:rsidP="00F41ADD">
      <w:pPr>
        <w:numPr>
          <w:ilvl w:val="2"/>
          <w:numId w:val="17"/>
        </w:numPr>
        <w:tabs>
          <w:tab w:val="left" w:pos="1020"/>
        </w:tabs>
      </w:pPr>
      <w:r w:rsidRPr="00F41ADD">
        <w:t>Support educators, providers, programs, and systems across the Commonwealth to engage in a process of continuous quality improvement.</w:t>
      </w:r>
    </w:p>
    <w:p w:rsidR="00000000" w:rsidRPr="00F41ADD" w:rsidRDefault="009300EE" w:rsidP="00F41ADD">
      <w:pPr>
        <w:numPr>
          <w:ilvl w:val="2"/>
          <w:numId w:val="17"/>
        </w:numPr>
        <w:tabs>
          <w:tab w:val="left" w:pos="1020"/>
        </w:tabs>
      </w:pPr>
      <w:r w:rsidRPr="00F41ADD">
        <w:t xml:space="preserve">Collaborate with local, state and federal partners, and align </w:t>
      </w:r>
      <w:r w:rsidRPr="00F41ADD">
        <w:t>early childhood initiatives.</w:t>
      </w:r>
    </w:p>
    <w:p w:rsidR="00000000" w:rsidRPr="00F41ADD" w:rsidRDefault="009300EE" w:rsidP="00F41ADD">
      <w:pPr>
        <w:numPr>
          <w:ilvl w:val="2"/>
          <w:numId w:val="17"/>
        </w:numPr>
        <w:tabs>
          <w:tab w:val="left" w:pos="1020"/>
        </w:tabs>
      </w:pPr>
      <w:r w:rsidRPr="00F41ADD">
        <w:t>Enhance outcomes for all children in Massachusetts, especially populations most at risk.</w:t>
      </w:r>
    </w:p>
    <w:p w:rsidR="00000000" w:rsidRPr="00F41ADD" w:rsidRDefault="009300EE" w:rsidP="00F41ADD">
      <w:pPr>
        <w:numPr>
          <w:ilvl w:val="2"/>
          <w:numId w:val="17"/>
        </w:numPr>
        <w:tabs>
          <w:tab w:val="left" w:pos="1020"/>
        </w:tabs>
      </w:pPr>
      <w:r w:rsidRPr="00F41ADD">
        <w:t>Educate and engage families in an easy to understand rating system that enhances participation in high quality programs.</w:t>
      </w:r>
    </w:p>
    <w:p w:rsidR="00000000" w:rsidRPr="00F41ADD" w:rsidRDefault="009300EE" w:rsidP="00F41ADD">
      <w:pPr>
        <w:numPr>
          <w:ilvl w:val="2"/>
          <w:numId w:val="17"/>
        </w:numPr>
        <w:tabs>
          <w:tab w:val="left" w:pos="1020"/>
        </w:tabs>
      </w:pPr>
      <w:r w:rsidRPr="00F41ADD">
        <w:lastRenderedPageBreak/>
        <w:t>Provide policymakers and legislators with information and data that will allow allocation of limited resources most effectively.</w:t>
      </w:r>
    </w:p>
    <w:p w:rsidR="00F41ADD" w:rsidRDefault="00F41ADD" w:rsidP="00F41ADD">
      <w:pPr>
        <w:tabs>
          <w:tab w:val="left" w:pos="1020"/>
        </w:tabs>
      </w:pPr>
      <w:r>
        <w:t>Slide 19</w:t>
      </w:r>
    </w:p>
    <w:p w:rsidR="00F41ADD" w:rsidRDefault="00F41ADD" w:rsidP="00F41ADD">
      <w:pPr>
        <w:tabs>
          <w:tab w:val="left" w:pos="1020"/>
        </w:tabs>
        <w:rPr>
          <w:b/>
          <w:bCs/>
        </w:rPr>
      </w:pPr>
      <w:r>
        <w:rPr>
          <w:b/>
          <w:bCs/>
        </w:rPr>
        <w:t xml:space="preserve">FY17 CCDBG Requirements </w:t>
      </w:r>
      <w:r w:rsidRPr="00F41ADD">
        <w:rPr>
          <w:b/>
          <w:bCs/>
        </w:rPr>
        <w:t>Caseload</w:t>
      </w:r>
    </w:p>
    <w:p w:rsidR="00000000" w:rsidRPr="00F41ADD" w:rsidRDefault="009300EE" w:rsidP="00F41ADD">
      <w:pPr>
        <w:numPr>
          <w:ilvl w:val="0"/>
          <w:numId w:val="18"/>
        </w:numPr>
        <w:tabs>
          <w:tab w:val="left" w:pos="1020"/>
        </w:tabs>
      </w:pPr>
      <w:r w:rsidRPr="00F41ADD">
        <w:rPr>
          <w:b/>
          <w:bCs/>
        </w:rPr>
        <w:t>Access – Rates:  Where Are We Now?</w:t>
      </w:r>
    </w:p>
    <w:p w:rsidR="00000000" w:rsidRPr="00F41ADD" w:rsidRDefault="009300EE" w:rsidP="00F41ADD">
      <w:pPr>
        <w:numPr>
          <w:ilvl w:val="1"/>
          <w:numId w:val="18"/>
        </w:numPr>
        <w:tabs>
          <w:tab w:val="left" w:pos="1020"/>
        </w:tabs>
      </w:pPr>
      <w:r w:rsidRPr="00F41ADD">
        <w:t>According to the 2015 Market Rate Study, all EEC rates a</w:t>
      </w:r>
      <w:r w:rsidRPr="00F41ADD">
        <w:t>re well below the 75</w:t>
      </w:r>
      <w:r w:rsidRPr="00F41ADD">
        <w:rPr>
          <w:vertAlign w:val="superscript"/>
        </w:rPr>
        <w:t>th</w:t>
      </w:r>
      <w:r w:rsidRPr="00F41ADD">
        <w:t xml:space="preserve"> percentile target but it varied based on program type and region:</w:t>
      </w:r>
    </w:p>
    <w:p w:rsidR="00000000" w:rsidRPr="00F41ADD" w:rsidRDefault="009300EE" w:rsidP="00F41ADD">
      <w:pPr>
        <w:numPr>
          <w:ilvl w:val="2"/>
          <w:numId w:val="18"/>
        </w:numPr>
        <w:tabs>
          <w:tab w:val="left" w:pos="1020"/>
        </w:tabs>
      </w:pPr>
      <w:r w:rsidRPr="00F41ADD">
        <w:t>For FCC Providers, EEC rates are below the 50</w:t>
      </w:r>
      <w:r w:rsidRPr="00F41ADD">
        <w:rPr>
          <w:vertAlign w:val="superscript"/>
        </w:rPr>
        <w:t>th</w:t>
      </w:r>
      <w:r w:rsidRPr="00F41ADD">
        <w:t xml:space="preserve"> percentile in all regions and age groups and below the 25</w:t>
      </w:r>
      <w:r w:rsidRPr="00F41ADD">
        <w:rPr>
          <w:vertAlign w:val="superscript"/>
        </w:rPr>
        <w:t>th</w:t>
      </w:r>
      <w:r w:rsidRPr="00F41ADD">
        <w:t xml:space="preserve"> percentile in the majority of ages and regions.  For FCC </w:t>
      </w:r>
      <w:r w:rsidRPr="00F41ADD">
        <w:t>Providers, it would take approximately a 20% rate increase to meet the 50</w:t>
      </w:r>
      <w:r w:rsidRPr="00F41ADD">
        <w:rPr>
          <w:vertAlign w:val="superscript"/>
        </w:rPr>
        <w:t>th</w:t>
      </w:r>
      <w:r w:rsidRPr="00F41ADD">
        <w:t xml:space="preserve"> percentile and a 41% rate increase to meet the 75</w:t>
      </w:r>
      <w:r w:rsidRPr="00F41ADD">
        <w:rPr>
          <w:vertAlign w:val="superscript"/>
        </w:rPr>
        <w:t>th</w:t>
      </w:r>
      <w:r w:rsidRPr="00F41ADD">
        <w:t xml:space="preserve"> percentile.</w:t>
      </w:r>
    </w:p>
    <w:p w:rsidR="00000000" w:rsidRPr="00F41ADD" w:rsidRDefault="009300EE" w:rsidP="00F41ADD">
      <w:pPr>
        <w:numPr>
          <w:ilvl w:val="2"/>
          <w:numId w:val="18"/>
        </w:numPr>
        <w:tabs>
          <w:tab w:val="left" w:pos="1020"/>
        </w:tabs>
      </w:pPr>
      <w:r w:rsidRPr="00F41ADD">
        <w:t>For Center Based Providers, EEC rates meet the 50</w:t>
      </w:r>
      <w:r w:rsidRPr="00F41ADD">
        <w:rPr>
          <w:vertAlign w:val="superscript"/>
        </w:rPr>
        <w:t>th</w:t>
      </w:r>
      <w:r w:rsidRPr="00F41ADD">
        <w:t xml:space="preserve"> percentile for a third of age groups and regions but rates fal</w:t>
      </w:r>
      <w:r w:rsidRPr="00F41ADD">
        <w:t>l below the 75</w:t>
      </w:r>
      <w:r w:rsidRPr="00F41ADD">
        <w:rPr>
          <w:vertAlign w:val="superscript"/>
        </w:rPr>
        <w:t>th</w:t>
      </w:r>
      <w:r w:rsidRPr="00F41ADD">
        <w:t xml:space="preserve"> percentile for all ages and regions. For Center Based Providers, it would take approximately a 5.5% rate increase to meet the 50</w:t>
      </w:r>
      <w:r w:rsidRPr="00F41ADD">
        <w:rPr>
          <w:vertAlign w:val="superscript"/>
        </w:rPr>
        <w:t>th</w:t>
      </w:r>
      <w:r w:rsidRPr="00F41ADD">
        <w:t xml:space="preserve"> percentile and a 20% rate increase to meet the 75</w:t>
      </w:r>
      <w:r w:rsidRPr="00F41ADD">
        <w:rPr>
          <w:vertAlign w:val="superscript"/>
        </w:rPr>
        <w:t>th</w:t>
      </w:r>
      <w:r w:rsidRPr="00F41ADD">
        <w:t xml:space="preserve"> percentile.</w:t>
      </w:r>
    </w:p>
    <w:p w:rsidR="00000000" w:rsidRPr="00F41ADD" w:rsidRDefault="009300EE" w:rsidP="00F41ADD">
      <w:pPr>
        <w:numPr>
          <w:ilvl w:val="1"/>
          <w:numId w:val="18"/>
        </w:numPr>
        <w:tabs>
          <w:tab w:val="left" w:pos="1020"/>
        </w:tabs>
      </w:pPr>
      <w:r w:rsidRPr="00F41ADD">
        <w:t xml:space="preserve">Since EEC can demonstrate </w:t>
      </w:r>
      <w:r w:rsidRPr="00F41ADD">
        <w:t>some portion of compliance outside of rates, we do not believe that immediately achieving the 75</w:t>
      </w:r>
      <w:r w:rsidRPr="00F41ADD">
        <w:rPr>
          <w:vertAlign w:val="superscript"/>
        </w:rPr>
        <w:t>th</w:t>
      </w:r>
      <w:r w:rsidRPr="00F41ADD">
        <w:t xml:space="preserve"> percentile will be required at this time but we will likely be required to submit a plan to achieve this target.</w:t>
      </w:r>
    </w:p>
    <w:p w:rsidR="00000000" w:rsidRPr="00F41ADD" w:rsidRDefault="009300EE" w:rsidP="00F41ADD">
      <w:pPr>
        <w:numPr>
          <w:ilvl w:val="1"/>
          <w:numId w:val="18"/>
        </w:numPr>
        <w:tabs>
          <w:tab w:val="left" w:pos="1020"/>
        </w:tabs>
      </w:pPr>
      <w:r w:rsidRPr="00F41ADD">
        <w:t>The estimated cost in our current structure</w:t>
      </w:r>
      <w:r w:rsidRPr="00F41ADD">
        <w:t xml:space="preserve"> to meet the 50</w:t>
      </w:r>
      <w:r w:rsidRPr="00F41ADD">
        <w:rPr>
          <w:vertAlign w:val="superscript"/>
        </w:rPr>
        <w:t>th</w:t>
      </w:r>
      <w:r w:rsidRPr="00F41ADD">
        <w:t xml:space="preserve"> Percentile is $48,979,491 across all programs, age groups, and regions.  A migration across two fiscal years would put FY17 at an estimate of $24,474,745.</w:t>
      </w:r>
    </w:p>
    <w:p w:rsidR="00000000" w:rsidRPr="00F41ADD" w:rsidRDefault="009300EE" w:rsidP="00F41ADD">
      <w:pPr>
        <w:numPr>
          <w:ilvl w:val="1"/>
          <w:numId w:val="18"/>
        </w:numPr>
        <w:tabs>
          <w:tab w:val="left" w:pos="1020"/>
        </w:tabs>
      </w:pPr>
      <w:r w:rsidRPr="00F41ADD">
        <w:rPr>
          <w:u w:val="single"/>
        </w:rPr>
        <w:t xml:space="preserve">This is likely NOT the actual cost when we assess quality reform and link it to </w:t>
      </w:r>
      <w:r w:rsidRPr="00F41ADD">
        <w:rPr>
          <w:u w:val="single"/>
        </w:rPr>
        <w:t>rates.</w:t>
      </w:r>
    </w:p>
    <w:p w:rsidR="00F41ADD" w:rsidRDefault="00F41ADD" w:rsidP="00F41ADD">
      <w:pPr>
        <w:tabs>
          <w:tab w:val="left" w:pos="1020"/>
        </w:tabs>
      </w:pPr>
      <w:r>
        <w:t>Slide 20</w:t>
      </w:r>
    </w:p>
    <w:p w:rsidR="00F41ADD" w:rsidRDefault="00F41ADD" w:rsidP="00F41ADD">
      <w:pPr>
        <w:tabs>
          <w:tab w:val="left" w:pos="1020"/>
        </w:tabs>
        <w:rPr>
          <w:b/>
          <w:bCs/>
        </w:rPr>
      </w:pPr>
      <w:r>
        <w:rPr>
          <w:b/>
          <w:bCs/>
        </w:rPr>
        <w:t xml:space="preserve">FY17 CCDBG Requirements </w:t>
      </w:r>
      <w:r w:rsidRPr="00F41ADD">
        <w:rPr>
          <w:b/>
          <w:bCs/>
        </w:rPr>
        <w:t>Caseload</w:t>
      </w:r>
    </w:p>
    <w:p w:rsidR="00000000" w:rsidRPr="00F41ADD" w:rsidRDefault="009300EE" w:rsidP="00F41ADD">
      <w:pPr>
        <w:numPr>
          <w:ilvl w:val="0"/>
          <w:numId w:val="19"/>
        </w:numPr>
        <w:tabs>
          <w:tab w:val="left" w:pos="1020"/>
        </w:tabs>
      </w:pPr>
      <w:r w:rsidRPr="00F41ADD">
        <w:rPr>
          <w:b/>
          <w:bCs/>
        </w:rPr>
        <w:t xml:space="preserve">Access - </w:t>
      </w:r>
      <w:r w:rsidRPr="00F41ADD">
        <w:rPr>
          <w:b/>
          <w:bCs/>
        </w:rPr>
        <w:t>Non-Traditional Hours</w:t>
      </w:r>
    </w:p>
    <w:p w:rsidR="00000000" w:rsidRPr="00F41ADD" w:rsidRDefault="009300EE" w:rsidP="00F41ADD">
      <w:pPr>
        <w:numPr>
          <w:ilvl w:val="1"/>
          <w:numId w:val="19"/>
        </w:numPr>
        <w:tabs>
          <w:tab w:val="left" w:pos="1020"/>
        </w:tabs>
      </w:pPr>
      <w:r w:rsidRPr="00F41ADD">
        <w:t>The CCDF plan requires states to develop and implement strategies to increase supply and quality of services for children who receive care during non-traditional hours.  This does no</w:t>
      </w:r>
      <w:r w:rsidRPr="00F41ADD">
        <w:t>t have a specific implementation date which means that this falls under the requirement to be in compliance with all aspects of the reauthorization by September 30, 2016 unless otherwise specified.</w:t>
      </w:r>
    </w:p>
    <w:p w:rsidR="00000000" w:rsidRPr="00F41ADD" w:rsidRDefault="009300EE" w:rsidP="00F41ADD">
      <w:pPr>
        <w:numPr>
          <w:ilvl w:val="1"/>
          <w:numId w:val="19"/>
        </w:numPr>
        <w:tabs>
          <w:tab w:val="left" w:pos="1020"/>
        </w:tabs>
      </w:pPr>
      <w:r w:rsidRPr="00F41ADD">
        <w:t>Examples of efforts to meet this CCDBG requirement includ</w:t>
      </w:r>
      <w:r w:rsidRPr="00F41ADD">
        <w:t xml:space="preserve">e alternative reimbursement rates, contracts or grants to providers, offering vouchers to families, and any other </w:t>
      </w:r>
      <w:r w:rsidRPr="00F41ADD">
        <w:lastRenderedPageBreak/>
        <w:t>method devised by the States.  Massachusetts already allows families to use vouchers to attend programs that operate during nontraditional hou</w:t>
      </w:r>
      <w:r w:rsidRPr="00F41ADD">
        <w:t>rs but programs are limited. Past efforts to use contracts for this service were unsuccessful.</w:t>
      </w:r>
      <w:r w:rsidRPr="00F41ADD">
        <w:rPr>
          <w:u w:val="single"/>
        </w:rPr>
        <w:t xml:space="preserve"> </w:t>
      </w:r>
    </w:p>
    <w:p w:rsidR="00000000" w:rsidRPr="00F41ADD" w:rsidRDefault="009300EE" w:rsidP="00F41ADD">
      <w:pPr>
        <w:numPr>
          <w:ilvl w:val="1"/>
          <w:numId w:val="19"/>
        </w:numPr>
        <w:tabs>
          <w:tab w:val="left" w:pos="1020"/>
        </w:tabs>
      </w:pPr>
      <w:r w:rsidRPr="00F41ADD">
        <w:t xml:space="preserve">In FY14, as required by the SEIU collective bargaining agreement, EEC commissioned a study to assess the </w:t>
      </w:r>
      <w:r w:rsidRPr="00F41ADD">
        <w:t>availability of non-traditional hours in the Commonwealth, parent demand for non-traditional hours, and best practices and policies in providing for and funding non-traditional hours care.  For the purposes of this study, non-traditional hours were defined</w:t>
      </w:r>
      <w:r w:rsidRPr="00F41ADD">
        <w:t xml:space="preserve"> as before 7:00 AM and after 5:00 PM Monday through Friday and during any hours on Saturday or Sunday.</w:t>
      </w:r>
    </w:p>
    <w:p w:rsidR="00000000" w:rsidRPr="00F41ADD" w:rsidRDefault="009300EE" w:rsidP="00F41ADD">
      <w:pPr>
        <w:numPr>
          <w:ilvl w:val="1"/>
          <w:numId w:val="19"/>
        </w:numPr>
        <w:tabs>
          <w:tab w:val="left" w:pos="1020"/>
        </w:tabs>
      </w:pPr>
      <w:r w:rsidRPr="00F41ADD">
        <w:t xml:space="preserve">Only a small percentage of parents responded to the survey but among those who did, 37% reported that they had a need for non-traditional hours care.   </w:t>
      </w:r>
      <w:r w:rsidRPr="00F41ADD">
        <w:t>With only a small sample of parents, EEC would not assume that 37% of all children would need non-traditional hours care but this does show that there is a need for this type of care.</w:t>
      </w:r>
    </w:p>
    <w:p w:rsidR="00000000" w:rsidRPr="00F41ADD" w:rsidRDefault="009300EE" w:rsidP="00F41ADD">
      <w:pPr>
        <w:numPr>
          <w:ilvl w:val="1"/>
          <w:numId w:val="19"/>
        </w:numPr>
        <w:tabs>
          <w:tab w:val="left" w:pos="1020"/>
        </w:tabs>
      </w:pPr>
      <w:r w:rsidRPr="00F41ADD">
        <w:t>According to the provider survey, 45% of Family Child Care and 38% of C</w:t>
      </w:r>
      <w:r w:rsidRPr="00F41ADD">
        <w:t>enter Based Programs expressed willingness to provide non-traditional hours care.  However, about 80% of all providers responded that in order to provide non-traditional hours care, EEC rates would have to increase.  A majority of providers stated that rat</w:t>
      </w:r>
      <w:r w:rsidRPr="00F41ADD">
        <w:t>es would have to increase by $4 or $5 more per day.</w:t>
      </w:r>
    </w:p>
    <w:p w:rsidR="00000000" w:rsidRPr="00F41ADD" w:rsidRDefault="009300EE" w:rsidP="00F41ADD">
      <w:pPr>
        <w:numPr>
          <w:ilvl w:val="1"/>
          <w:numId w:val="19"/>
        </w:numPr>
        <w:tabs>
          <w:tab w:val="left" w:pos="1020"/>
        </w:tabs>
      </w:pPr>
      <w:r w:rsidRPr="00F41ADD">
        <w:t>EEC is just beginning to understand how we can meet these requirements and does not yet have a quantified need for non-traditional hours care.</w:t>
      </w:r>
    </w:p>
    <w:p w:rsidR="00F41ADD" w:rsidRDefault="00F41ADD" w:rsidP="00F41ADD">
      <w:pPr>
        <w:tabs>
          <w:tab w:val="left" w:pos="1020"/>
        </w:tabs>
      </w:pPr>
      <w:r>
        <w:t>Slide 21</w:t>
      </w:r>
    </w:p>
    <w:p w:rsidR="00F41ADD" w:rsidRDefault="009300EE" w:rsidP="00F41ADD">
      <w:pPr>
        <w:tabs>
          <w:tab w:val="left" w:pos="1020"/>
        </w:tabs>
        <w:rPr>
          <w:b/>
          <w:bCs/>
        </w:rPr>
      </w:pPr>
      <w:r>
        <w:rPr>
          <w:b/>
          <w:bCs/>
        </w:rPr>
        <w:t xml:space="preserve">FY17 CCDBG Requirements </w:t>
      </w:r>
      <w:r w:rsidRPr="009300EE">
        <w:rPr>
          <w:b/>
          <w:bCs/>
        </w:rPr>
        <w:t>Caseload</w:t>
      </w:r>
    </w:p>
    <w:p w:rsidR="00000000" w:rsidRPr="009300EE" w:rsidRDefault="009300EE" w:rsidP="009300EE">
      <w:pPr>
        <w:numPr>
          <w:ilvl w:val="0"/>
          <w:numId w:val="20"/>
        </w:numPr>
        <w:tabs>
          <w:tab w:val="left" w:pos="1020"/>
        </w:tabs>
      </w:pPr>
      <w:r w:rsidRPr="009300EE">
        <w:rPr>
          <w:b/>
          <w:bCs/>
        </w:rPr>
        <w:t>Access - Improving Access</w:t>
      </w:r>
      <w:r w:rsidRPr="009300EE">
        <w:rPr>
          <w:b/>
          <w:bCs/>
        </w:rPr>
        <w:t xml:space="preserve"> to Underserved Populations</w:t>
      </w:r>
    </w:p>
    <w:p w:rsidR="00000000" w:rsidRPr="009300EE" w:rsidRDefault="009300EE" w:rsidP="009300EE">
      <w:pPr>
        <w:numPr>
          <w:ilvl w:val="1"/>
          <w:numId w:val="20"/>
        </w:numPr>
        <w:tabs>
          <w:tab w:val="left" w:pos="1020"/>
        </w:tabs>
      </w:pPr>
      <w:r w:rsidRPr="009300EE">
        <w:t>CCDF requires states to give priority to children with special needs and families with very low incomes and to improve access for homeless children, children in underserved areas, and infants and toddlers.</w:t>
      </w:r>
      <w:r w:rsidRPr="009300EE">
        <w:rPr>
          <w:b/>
          <w:bCs/>
          <w:u w:val="single"/>
        </w:rPr>
        <w:t xml:space="preserve"> </w:t>
      </w:r>
    </w:p>
    <w:p w:rsidR="00000000" w:rsidRPr="009300EE" w:rsidRDefault="009300EE" w:rsidP="009300EE">
      <w:pPr>
        <w:numPr>
          <w:ilvl w:val="1"/>
          <w:numId w:val="20"/>
        </w:numPr>
        <w:tabs>
          <w:tab w:val="left" w:pos="1020"/>
        </w:tabs>
      </w:pPr>
      <w:r w:rsidRPr="009300EE">
        <w:rPr>
          <w:b/>
          <w:bCs/>
          <w:u w:val="single"/>
        </w:rPr>
        <w:t>Special Needs:</w:t>
      </w:r>
      <w:r w:rsidRPr="009300EE">
        <w:t xml:space="preserve"> In F</w:t>
      </w:r>
      <w:r w:rsidRPr="009300EE">
        <w:t>Y14, EEC commissioned a review and assessment of the system in place for children with special needs.  Even though EEC maintains a pool of funding for special needs, the assessment discovered that many providers did not know that this funding is available.</w:t>
      </w:r>
      <w:r w:rsidRPr="009300EE">
        <w:t xml:space="preserve">  At the same time, the assessment estimated that approximately 15% of children in EEC subsidy programs have or could have special needs.  To give greater priority to special needs children, EEC proposes to increase the funding available for the special ne</w:t>
      </w:r>
      <w:r w:rsidRPr="009300EE">
        <w:t>eds flex pool in the Income Eligible account.</w:t>
      </w:r>
    </w:p>
    <w:p w:rsidR="00000000" w:rsidRPr="009300EE" w:rsidRDefault="009300EE" w:rsidP="009300EE">
      <w:pPr>
        <w:numPr>
          <w:ilvl w:val="1"/>
          <w:numId w:val="20"/>
        </w:numPr>
        <w:tabs>
          <w:tab w:val="left" w:pos="1020"/>
        </w:tabs>
      </w:pPr>
      <w:r w:rsidRPr="009300EE">
        <w:rPr>
          <w:b/>
          <w:bCs/>
          <w:u w:val="single"/>
        </w:rPr>
        <w:lastRenderedPageBreak/>
        <w:t>Very low incomes:</w:t>
      </w:r>
      <w:r w:rsidRPr="009300EE">
        <w:rPr>
          <w:b/>
          <w:bCs/>
        </w:rPr>
        <w:t xml:space="preserve">  </w:t>
      </w:r>
      <w:r w:rsidRPr="009300EE">
        <w:t>EEC is meeting this requirement through a number of ways including open access for all DTA referred families and by allowing parents to enter the program at 50% SMI (or 85% SMI if special ne</w:t>
      </w:r>
      <w:r w:rsidRPr="009300EE">
        <w:t>eds).</w:t>
      </w:r>
      <w:r w:rsidRPr="009300EE">
        <w:rPr>
          <w:u w:val="single"/>
        </w:rPr>
        <w:t xml:space="preserve"> </w:t>
      </w:r>
    </w:p>
    <w:p w:rsidR="00000000" w:rsidRPr="009300EE" w:rsidRDefault="009300EE" w:rsidP="009300EE">
      <w:pPr>
        <w:numPr>
          <w:ilvl w:val="1"/>
          <w:numId w:val="20"/>
        </w:numPr>
        <w:tabs>
          <w:tab w:val="left" w:pos="1020"/>
        </w:tabs>
      </w:pPr>
      <w:r w:rsidRPr="009300EE">
        <w:rPr>
          <w:b/>
          <w:bCs/>
          <w:u w:val="single"/>
        </w:rPr>
        <w:t>Homeless Children:</w:t>
      </w:r>
      <w:r w:rsidRPr="009300EE">
        <w:t xml:space="preserve"> EEC is meeting this requirement in part through 693 dedicated homeless contract slots.  However, with thousands of homeless families in the Commonwealth, there is a high need for additional subsidies.  </w:t>
      </w:r>
      <w:r w:rsidRPr="009300EE">
        <w:t>To improve access, EEC will both look at ways to maximize the current contract and to prioritize placement of homeless children using the Waitlist Remediation funding.</w:t>
      </w:r>
      <w:r w:rsidRPr="009300EE">
        <w:rPr>
          <w:u w:val="single"/>
        </w:rPr>
        <w:t xml:space="preserve"> </w:t>
      </w:r>
    </w:p>
    <w:p w:rsidR="00000000" w:rsidRPr="009300EE" w:rsidRDefault="009300EE" w:rsidP="009300EE">
      <w:pPr>
        <w:numPr>
          <w:ilvl w:val="1"/>
          <w:numId w:val="20"/>
        </w:numPr>
        <w:tabs>
          <w:tab w:val="left" w:pos="1020"/>
        </w:tabs>
      </w:pPr>
      <w:r w:rsidRPr="009300EE">
        <w:rPr>
          <w:b/>
          <w:bCs/>
          <w:u w:val="single"/>
        </w:rPr>
        <w:t>Underserved Areas:</w:t>
      </w:r>
      <w:r w:rsidRPr="009300EE">
        <w:t xml:space="preserve"> EEC is meeting this requirement through the use of contracted slots</w:t>
      </w:r>
      <w:r w:rsidRPr="009300EE">
        <w:t xml:space="preserve"> in every region of the Commonwealth.  EEC will address any deficiencies in care through the next Income Eligible bid, slated for procurement during FY17 for contracts beginning September 1, 2017.</w:t>
      </w:r>
      <w:r w:rsidRPr="009300EE">
        <w:rPr>
          <w:b/>
          <w:bCs/>
          <w:u w:val="single"/>
        </w:rPr>
        <w:t xml:space="preserve"> </w:t>
      </w:r>
    </w:p>
    <w:p w:rsidR="00000000" w:rsidRPr="009300EE" w:rsidRDefault="009300EE" w:rsidP="009300EE">
      <w:pPr>
        <w:numPr>
          <w:ilvl w:val="1"/>
          <w:numId w:val="20"/>
        </w:numPr>
        <w:tabs>
          <w:tab w:val="left" w:pos="1020"/>
        </w:tabs>
      </w:pPr>
      <w:r w:rsidRPr="009300EE">
        <w:rPr>
          <w:b/>
          <w:bCs/>
          <w:u w:val="single"/>
        </w:rPr>
        <w:t>Infants and Toddlers:</w:t>
      </w:r>
      <w:r w:rsidRPr="009300EE">
        <w:t xml:space="preserve"> EEC is meeting this requirement in </w:t>
      </w:r>
      <w:r w:rsidRPr="009300EE">
        <w:t>part through a higher rate for any infants and toddlers placed in QRIS Level 2 or above programs.</w:t>
      </w:r>
      <w:r w:rsidRPr="009300EE">
        <w:t xml:space="preserve"> </w:t>
      </w:r>
    </w:p>
    <w:p w:rsidR="009300EE" w:rsidRDefault="009300EE" w:rsidP="00F41ADD">
      <w:pPr>
        <w:tabs>
          <w:tab w:val="left" w:pos="1020"/>
        </w:tabs>
      </w:pPr>
      <w:r>
        <w:t>Slide 22</w:t>
      </w:r>
    </w:p>
    <w:p w:rsidR="009300EE" w:rsidRDefault="009300EE" w:rsidP="00F41ADD">
      <w:pPr>
        <w:tabs>
          <w:tab w:val="left" w:pos="1020"/>
        </w:tabs>
        <w:rPr>
          <w:b/>
          <w:bCs/>
        </w:rPr>
      </w:pPr>
      <w:r>
        <w:rPr>
          <w:b/>
          <w:bCs/>
        </w:rPr>
        <w:t xml:space="preserve">FY17 CCDBG Requirements </w:t>
      </w:r>
      <w:r w:rsidRPr="009300EE">
        <w:rPr>
          <w:b/>
          <w:bCs/>
        </w:rPr>
        <w:t>3000-7050 Infants and Parents / Quality</w:t>
      </w:r>
    </w:p>
    <w:p w:rsidR="00000000" w:rsidRPr="009300EE" w:rsidRDefault="009300EE" w:rsidP="009300EE">
      <w:pPr>
        <w:numPr>
          <w:ilvl w:val="0"/>
          <w:numId w:val="21"/>
        </w:numPr>
        <w:tabs>
          <w:tab w:val="left" w:pos="1020"/>
        </w:tabs>
      </w:pPr>
      <w:r w:rsidRPr="009300EE">
        <w:rPr>
          <w:u w:val="single"/>
        </w:rPr>
        <w:t>Professional Development for Educators</w:t>
      </w:r>
    </w:p>
    <w:p w:rsidR="00000000" w:rsidRPr="009300EE" w:rsidRDefault="009300EE" w:rsidP="009300EE">
      <w:pPr>
        <w:numPr>
          <w:ilvl w:val="1"/>
          <w:numId w:val="21"/>
        </w:numPr>
        <w:tabs>
          <w:tab w:val="left" w:pos="1020"/>
        </w:tabs>
      </w:pPr>
      <w:r w:rsidRPr="009300EE">
        <w:t xml:space="preserve">Requires establishment of professional development </w:t>
      </w:r>
      <w:r w:rsidRPr="009300EE">
        <w:t>and training requirements to improve knowledge and skills of all CCDBG providers and the entire child care workforce (includes both licensed and license-exempt).</w:t>
      </w:r>
    </w:p>
    <w:p w:rsidR="00000000" w:rsidRPr="009300EE" w:rsidRDefault="009300EE" w:rsidP="009300EE">
      <w:pPr>
        <w:numPr>
          <w:ilvl w:val="1"/>
          <w:numId w:val="21"/>
        </w:numPr>
        <w:tabs>
          <w:tab w:val="left" w:pos="1020"/>
        </w:tabs>
      </w:pPr>
      <w:r w:rsidRPr="009300EE">
        <w:t>Professional development requirements should include:</w:t>
      </w:r>
    </w:p>
    <w:p w:rsidR="00000000" w:rsidRPr="009300EE" w:rsidRDefault="009300EE" w:rsidP="009300EE">
      <w:pPr>
        <w:numPr>
          <w:ilvl w:val="2"/>
          <w:numId w:val="21"/>
        </w:numPr>
        <w:tabs>
          <w:tab w:val="left" w:pos="1020"/>
        </w:tabs>
      </w:pPr>
      <w:r w:rsidRPr="009300EE">
        <w:t xml:space="preserve">Ongoing, annual training </w:t>
      </w:r>
      <w:r w:rsidRPr="009300EE">
        <w:t>and a progression of professional development (which may include post-secondary education); and</w:t>
      </w:r>
    </w:p>
    <w:p w:rsidR="00000000" w:rsidRPr="009300EE" w:rsidRDefault="009300EE" w:rsidP="009300EE">
      <w:pPr>
        <w:numPr>
          <w:ilvl w:val="2"/>
          <w:numId w:val="21"/>
        </w:numPr>
        <w:tabs>
          <w:tab w:val="left" w:pos="1020"/>
        </w:tabs>
      </w:pPr>
      <w:r w:rsidRPr="009300EE">
        <w:t>Focus on social-emotional behavioral intervention models.</w:t>
      </w:r>
    </w:p>
    <w:p w:rsidR="00000000" w:rsidRPr="009300EE" w:rsidRDefault="009300EE" w:rsidP="009300EE">
      <w:pPr>
        <w:numPr>
          <w:ilvl w:val="1"/>
          <w:numId w:val="21"/>
        </w:numPr>
        <w:tabs>
          <w:tab w:val="left" w:pos="1020"/>
        </w:tabs>
      </w:pPr>
      <w:r w:rsidRPr="009300EE">
        <w:t>Incorporate State’s Early Learning and Development Guidelines describing what children should know a</w:t>
      </w:r>
      <w:r w:rsidRPr="009300EE">
        <w:t>nd be able to do.</w:t>
      </w:r>
    </w:p>
    <w:p w:rsidR="009300EE" w:rsidRDefault="009300EE" w:rsidP="00F41ADD">
      <w:pPr>
        <w:tabs>
          <w:tab w:val="left" w:pos="1020"/>
        </w:tabs>
      </w:pPr>
      <w:r>
        <w:t>Slide 23</w:t>
      </w:r>
    </w:p>
    <w:p w:rsidR="009300EE" w:rsidRPr="009300EE" w:rsidRDefault="009300EE" w:rsidP="009300EE">
      <w:pPr>
        <w:tabs>
          <w:tab w:val="left" w:pos="1020"/>
        </w:tabs>
      </w:pPr>
      <w:r w:rsidRPr="009300EE">
        <w:rPr>
          <w:b/>
          <w:bCs/>
        </w:rPr>
        <w:t>FY17 CCDBG Requirements</w:t>
      </w:r>
      <w:r>
        <w:rPr>
          <w:b/>
          <w:bCs/>
        </w:rPr>
        <w:t xml:space="preserve"> </w:t>
      </w:r>
      <w:r w:rsidRPr="009300EE">
        <w:rPr>
          <w:b/>
          <w:bCs/>
        </w:rPr>
        <w:t xml:space="preserve">3000-7050 Infants and Parents / Quality </w:t>
      </w:r>
    </w:p>
    <w:p w:rsidR="00000000" w:rsidRPr="009300EE" w:rsidRDefault="009300EE" w:rsidP="009300EE">
      <w:pPr>
        <w:numPr>
          <w:ilvl w:val="0"/>
          <w:numId w:val="22"/>
        </w:numPr>
        <w:tabs>
          <w:tab w:val="left" w:pos="1020"/>
        </w:tabs>
      </w:pPr>
      <w:r w:rsidRPr="009300EE">
        <w:t>The following offers work presently being done by EEC that we believe satisfied the CCDBG requirements:</w:t>
      </w:r>
    </w:p>
    <w:p w:rsidR="009300EE" w:rsidRPr="009300EE" w:rsidRDefault="009300EE" w:rsidP="009300EE">
      <w:pPr>
        <w:tabs>
          <w:tab w:val="left" w:pos="1020"/>
        </w:tabs>
      </w:pPr>
      <w:r w:rsidRPr="009300EE">
        <w:t xml:space="preserve">    </w:t>
      </w:r>
      <w:r w:rsidRPr="009300EE">
        <w:rPr>
          <w:u w:val="single"/>
        </w:rPr>
        <w:t>Educator and Provider Support Grant</w:t>
      </w:r>
    </w:p>
    <w:p w:rsidR="00000000" w:rsidRPr="009300EE" w:rsidRDefault="009300EE" w:rsidP="009300EE">
      <w:pPr>
        <w:numPr>
          <w:ilvl w:val="1"/>
          <w:numId w:val="23"/>
        </w:numPr>
        <w:tabs>
          <w:tab w:val="left" w:pos="1020"/>
        </w:tabs>
      </w:pPr>
      <w:r w:rsidRPr="009300EE">
        <w:lastRenderedPageBreak/>
        <w:t xml:space="preserve">The </w:t>
      </w:r>
      <w:r w:rsidRPr="009300EE">
        <w:t>Educator and Provider Support grant provides funds for professional development opportunities and services that support early education and out of school time educators to gain knowledge and skills which they can apply to practice through completion of mul</w:t>
      </w:r>
      <w:r w:rsidRPr="009300EE">
        <w:t xml:space="preserve">tiple opportunities. </w:t>
      </w:r>
    </w:p>
    <w:p w:rsidR="00000000" w:rsidRPr="009300EE" w:rsidRDefault="009300EE" w:rsidP="009300EE">
      <w:pPr>
        <w:numPr>
          <w:ilvl w:val="1"/>
          <w:numId w:val="23"/>
        </w:numPr>
        <w:tabs>
          <w:tab w:val="left" w:pos="1020"/>
        </w:tabs>
      </w:pPr>
      <w:r w:rsidRPr="009300EE">
        <w:t>These professional development opportunities must be aligned with the MA Quality Rating and Improvement System and EEC Core Competencies.</w:t>
      </w:r>
    </w:p>
    <w:p w:rsidR="00000000" w:rsidRPr="009300EE" w:rsidRDefault="009300EE" w:rsidP="009300EE">
      <w:pPr>
        <w:numPr>
          <w:ilvl w:val="1"/>
          <w:numId w:val="23"/>
        </w:numPr>
        <w:tabs>
          <w:tab w:val="left" w:pos="1020"/>
        </w:tabs>
      </w:pPr>
      <w:r w:rsidRPr="009300EE">
        <w:t>The core areas of the grant include: educator and provider pathways, coaching and mentoring in</w:t>
      </w:r>
      <w:r w:rsidRPr="009300EE">
        <w:t xml:space="preserve"> support of matriculation or competency development, and competency development. </w:t>
      </w:r>
    </w:p>
    <w:p w:rsidR="00000000" w:rsidRPr="009300EE" w:rsidRDefault="009300EE" w:rsidP="009300EE">
      <w:pPr>
        <w:numPr>
          <w:ilvl w:val="1"/>
          <w:numId w:val="23"/>
        </w:numPr>
        <w:tabs>
          <w:tab w:val="left" w:pos="1020"/>
        </w:tabs>
      </w:pPr>
      <w:r w:rsidRPr="009300EE">
        <w:t>In FY16, EEC has awarded $3.3M in EPS funds to five vendors.</w:t>
      </w:r>
    </w:p>
    <w:p w:rsidR="009300EE" w:rsidRPr="009300EE" w:rsidRDefault="009300EE" w:rsidP="009300EE">
      <w:pPr>
        <w:tabs>
          <w:tab w:val="left" w:pos="1020"/>
        </w:tabs>
      </w:pPr>
      <w:r w:rsidRPr="009300EE">
        <w:tab/>
      </w:r>
      <w:r w:rsidRPr="009300EE">
        <w:rPr>
          <w:u w:val="single"/>
        </w:rPr>
        <w:t>Current FY16 Professional Development Projects</w:t>
      </w:r>
    </w:p>
    <w:p w:rsidR="00000000" w:rsidRPr="009300EE" w:rsidRDefault="009300EE" w:rsidP="009300EE">
      <w:pPr>
        <w:numPr>
          <w:ilvl w:val="1"/>
          <w:numId w:val="24"/>
        </w:numPr>
        <w:tabs>
          <w:tab w:val="left" w:pos="1020"/>
        </w:tabs>
      </w:pPr>
      <w:r w:rsidRPr="009300EE">
        <w:t xml:space="preserve">Funded through RTTT, EEC </w:t>
      </w:r>
      <w:r w:rsidRPr="009300EE">
        <w:t xml:space="preserve">and ESE are working with a vendor to develop statewide professional development based on the recently approved </w:t>
      </w:r>
      <w:proofErr w:type="spellStart"/>
      <w:r w:rsidRPr="009300EE">
        <w:t>PreK</w:t>
      </w:r>
      <w:proofErr w:type="spellEnd"/>
      <w:r w:rsidRPr="009300EE">
        <w:t xml:space="preserve"> and Kindergarten Social and Emotional Learning and Approaches to Play and Learning Standards (SEL/APL Standards).</w:t>
      </w:r>
    </w:p>
    <w:p w:rsidR="00000000" w:rsidRPr="009300EE" w:rsidRDefault="009300EE" w:rsidP="009300EE">
      <w:pPr>
        <w:numPr>
          <w:ilvl w:val="1"/>
          <w:numId w:val="24"/>
        </w:numPr>
        <w:tabs>
          <w:tab w:val="left" w:pos="1020"/>
        </w:tabs>
      </w:pPr>
      <w:r w:rsidRPr="009300EE">
        <w:t>Using state funds, EEC an</w:t>
      </w:r>
      <w:r w:rsidRPr="009300EE">
        <w:t>d DHE will update and align EEC's Categories of Study with the EEC Educator Competencies, the QRIS Requirements for PD, and the proposed Birth-Age 8 Credential.</w:t>
      </w:r>
    </w:p>
    <w:p w:rsidR="00000000" w:rsidRPr="009300EE" w:rsidRDefault="009300EE" w:rsidP="009300EE">
      <w:pPr>
        <w:numPr>
          <w:ilvl w:val="1"/>
          <w:numId w:val="24"/>
        </w:numPr>
        <w:tabs>
          <w:tab w:val="left" w:pos="1020"/>
        </w:tabs>
      </w:pPr>
      <w:r w:rsidRPr="009300EE">
        <w:t>Funded through RTTT, EEC will develop a training course for TA providers on the TA guide and s</w:t>
      </w:r>
      <w:r w:rsidRPr="009300EE">
        <w:t>elf-assessment tool "Guiding Change, Impacting Quality: A Guide to Technical Assistance in Settings Serving Infants &amp; Toddlers, Preschoolers, and Out-of-School Time Programs and Their Families" for individuals who are experienced in providing TA, coaching,</w:t>
      </w:r>
      <w:r w:rsidRPr="009300EE">
        <w:t xml:space="preserve"> and mentoring in the mixed delivery system. </w:t>
      </w:r>
    </w:p>
    <w:p w:rsidR="009300EE" w:rsidRDefault="009300EE" w:rsidP="00F41ADD">
      <w:pPr>
        <w:tabs>
          <w:tab w:val="left" w:pos="1020"/>
        </w:tabs>
      </w:pPr>
      <w:r>
        <w:t>Slide 24</w:t>
      </w:r>
    </w:p>
    <w:p w:rsidR="009300EE" w:rsidRDefault="009300EE" w:rsidP="00F41ADD">
      <w:pPr>
        <w:tabs>
          <w:tab w:val="left" w:pos="1020"/>
        </w:tabs>
        <w:rPr>
          <w:b/>
          <w:bCs/>
        </w:rPr>
      </w:pPr>
      <w:r w:rsidRPr="009300EE">
        <w:rPr>
          <w:b/>
          <w:bCs/>
        </w:rPr>
        <w:t>FY17 CCDBG Requirements: IT Reporting</w:t>
      </w:r>
    </w:p>
    <w:p w:rsidR="00000000" w:rsidRPr="009300EE" w:rsidRDefault="009300EE" w:rsidP="009300EE">
      <w:pPr>
        <w:numPr>
          <w:ilvl w:val="0"/>
          <w:numId w:val="25"/>
        </w:numPr>
        <w:tabs>
          <w:tab w:val="left" w:pos="1020"/>
        </w:tabs>
      </w:pPr>
      <w:r w:rsidRPr="009300EE">
        <w:t>CCDBG includes requirements that states make available certain information for parents and providers.  To satisfy this requirement  EEC will work with EOE to determine ch</w:t>
      </w:r>
      <w:r w:rsidRPr="009300EE">
        <w:t xml:space="preserve">anges to the agency website necessary to ensure compliance.  Below are requirements from CCDBG and </w:t>
      </w:r>
      <w:r w:rsidRPr="009300EE">
        <w:t>the associated deadlines.  The last two requirements fall in SFY18, but it would be best to be in compliance earlier.  We believe that we are satisfying thes</w:t>
      </w:r>
      <w:r w:rsidRPr="009300EE">
        <w:t>e requirements through the work we are currently doing with the vendor working on the LEAD Project.</w:t>
      </w:r>
    </w:p>
    <w:p w:rsidR="00000000" w:rsidRPr="009300EE" w:rsidRDefault="009300EE" w:rsidP="009300EE">
      <w:pPr>
        <w:numPr>
          <w:ilvl w:val="1"/>
          <w:numId w:val="25"/>
        </w:numPr>
        <w:tabs>
          <w:tab w:val="left" w:pos="1020"/>
        </w:tabs>
      </w:pPr>
      <w:r w:rsidRPr="009300EE">
        <w:t>States must have a website describing licensing and monitoring requirements and processes for background checks, including offenses that prevent individual</w:t>
      </w:r>
      <w:r w:rsidRPr="009300EE">
        <w:t>s from becoming providers.</w:t>
      </w:r>
    </w:p>
    <w:p w:rsidR="00000000" w:rsidRPr="009300EE" w:rsidRDefault="009300EE" w:rsidP="009300EE">
      <w:pPr>
        <w:numPr>
          <w:ilvl w:val="2"/>
          <w:numId w:val="25"/>
        </w:numPr>
        <w:tabs>
          <w:tab w:val="left" w:pos="1020"/>
        </w:tabs>
      </w:pPr>
      <w:r w:rsidRPr="009300EE">
        <w:rPr>
          <w:b/>
          <w:bCs/>
        </w:rPr>
        <w:lastRenderedPageBreak/>
        <w:t>Compliance by September 30, 2016.</w:t>
      </w:r>
    </w:p>
    <w:p w:rsidR="00000000" w:rsidRPr="009300EE" w:rsidRDefault="009300EE" w:rsidP="009300EE">
      <w:pPr>
        <w:numPr>
          <w:ilvl w:val="1"/>
          <w:numId w:val="25"/>
        </w:numPr>
        <w:tabs>
          <w:tab w:val="left" w:pos="1020"/>
        </w:tabs>
      </w:pPr>
      <w:r w:rsidRPr="009300EE">
        <w:t xml:space="preserve">States must make available by electronic means provider-specific information showing results of monitoring and inspection reports of all licensed, approved, or funded programs. </w:t>
      </w:r>
    </w:p>
    <w:p w:rsidR="00000000" w:rsidRPr="009300EE" w:rsidRDefault="009300EE" w:rsidP="009300EE">
      <w:pPr>
        <w:numPr>
          <w:ilvl w:val="2"/>
          <w:numId w:val="25"/>
        </w:numPr>
        <w:tabs>
          <w:tab w:val="left" w:pos="1020"/>
        </w:tabs>
      </w:pPr>
      <w:r w:rsidRPr="009300EE">
        <w:rPr>
          <w:b/>
          <w:bCs/>
        </w:rPr>
        <w:t xml:space="preserve">Compliance </w:t>
      </w:r>
      <w:r w:rsidRPr="009300EE">
        <w:rPr>
          <w:b/>
          <w:bCs/>
        </w:rPr>
        <w:t>by November 19, 2017.</w:t>
      </w:r>
    </w:p>
    <w:p w:rsidR="00000000" w:rsidRPr="009300EE" w:rsidRDefault="009300EE" w:rsidP="009300EE">
      <w:pPr>
        <w:numPr>
          <w:ilvl w:val="1"/>
          <w:numId w:val="25"/>
        </w:numPr>
        <w:tabs>
          <w:tab w:val="left" w:pos="1020"/>
        </w:tabs>
      </w:pPr>
      <w:r w:rsidRPr="009300EE">
        <w:t>In addition, an annual report on the number of deaths, serious injuries, and instances of child abuse in all child care settings, including license-exempt must be completed and made available.</w:t>
      </w:r>
    </w:p>
    <w:p w:rsidR="00000000" w:rsidRPr="009300EE" w:rsidRDefault="009300EE" w:rsidP="009300EE">
      <w:pPr>
        <w:numPr>
          <w:ilvl w:val="2"/>
          <w:numId w:val="25"/>
        </w:numPr>
        <w:tabs>
          <w:tab w:val="left" w:pos="1020"/>
        </w:tabs>
      </w:pPr>
      <w:r w:rsidRPr="009300EE">
        <w:rPr>
          <w:b/>
          <w:bCs/>
        </w:rPr>
        <w:t>Compliance by November 19, 2017.</w:t>
      </w:r>
    </w:p>
    <w:p w:rsidR="009300EE" w:rsidRDefault="009300EE" w:rsidP="00F41ADD">
      <w:pPr>
        <w:tabs>
          <w:tab w:val="left" w:pos="1020"/>
        </w:tabs>
      </w:pPr>
      <w:r>
        <w:t>Slide 25</w:t>
      </w:r>
    </w:p>
    <w:p w:rsidR="009300EE" w:rsidRDefault="009300EE" w:rsidP="00F41ADD">
      <w:pPr>
        <w:tabs>
          <w:tab w:val="left" w:pos="1020"/>
        </w:tabs>
        <w:rPr>
          <w:b/>
          <w:bCs/>
        </w:rPr>
      </w:pPr>
      <w:r w:rsidRPr="009300EE">
        <w:rPr>
          <w:b/>
          <w:bCs/>
        </w:rPr>
        <w:t>FY17 CCDBG Budget</w:t>
      </w:r>
    </w:p>
    <w:tbl>
      <w:tblPr>
        <w:tblStyle w:val="TableGrid"/>
        <w:tblW w:w="0" w:type="auto"/>
        <w:tblLook w:val="04A0"/>
      </w:tblPr>
      <w:tblGrid>
        <w:gridCol w:w="1596"/>
        <w:gridCol w:w="1596"/>
        <w:gridCol w:w="1596"/>
        <w:gridCol w:w="1596"/>
        <w:gridCol w:w="1596"/>
        <w:gridCol w:w="1596"/>
      </w:tblGrid>
      <w:tr w:rsidR="009300EE" w:rsidRPr="009300EE" w:rsidTr="008F2C45">
        <w:trPr>
          <w:trHeight w:val="900"/>
        </w:trPr>
        <w:tc>
          <w:tcPr>
            <w:tcW w:w="1596" w:type="dxa"/>
            <w:hideMark/>
          </w:tcPr>
          <w:p w:rsidR="009300EE" w:rsidRPr="009300EE" w:rsidRDefault="009300EE" w:rsidP="009300EE">
            <w:pPr>
              <w:rPr>
                <w:rFonts w:ascii="Calibri" w:eastAsia="Times New Roman" w:hAnsi="Calibri" w:cs="Times New Roman"/>
                <w:color w:val="000000"/>
                <w:sz w:val="16"/>
                <w:szCs w:val="16"/>
              </w:rPr>
            </w:pPr>
          </w:p>
        </w:tc>
        <w:tc>
          <w:tcPr>
            <w:tcW w:w="1596" w:type="dxa"/>
            <w:hideMark/>
          </w:tcPr>
          <w:p w:rsidR="009300EE" w:rsidRPr="009300EE" w:rsidRDefault="009300EE" w:rsidP="009300EE">
            <w:pPr>
              <w:rPr>
                <w:rFonts w:ascii="Calibri" w:eastAsia="Times New Roman" w:hAnsi="Calibri" w:cs="Times New Roman"/>
                <w:color w:val="000000"/>
                <w:sz w:val="16"/>
                <w:szCs w:val="16"/>
              </w:rPr>
            </w:pPr>
          </w:p>
        </w:tc>
        <w:tc>
          <w:tcPr>
            <w:tcW w:w="1596" w:type="dxa"/>
            <w:hideMark/>
          </w:tcPr>
          <w:p w:rsidR="009300EE" w:rsidRPr="009300EE" w:rsidRDefault="009300EE" w:rsidP="009300EE">
            <w:pPr>
              <w:rPr>
                <w:rFonts w:ascii="Calibri" w:eastAsia="Times New Roman" w:hAnsi="Calibri" w:cs="Times New Roman"/>
                <w:color w:val="000000"/>
                <w:sz w:val="16"/>
                <w:szCs w:val="16"/>
              </w:rPr>
            </w:pPr>
          </w:p>
        </w:tc>
        <w:tc>
          <w:tcPr>
            <w:tcW w:w="4788" w:type="dxa"/>
            <w:gridSpan w:val="3"/>
            <w:hideMark/>
          </w:tcPr>
          <w:p w:rsidR="009300EE" w:rsidRDefault="009300EE" w:rsidP="009300EE">
            <w:pPr>
              <w:rPr>
                <w:rFonts w:ascii="Calibri" w:hAnsi="Calibri"/>
                <w:b/>
                <w:bCs/>
                <w:color w:val="000000"/>
                <w:sz w:val="20"/>
                <w:szCs w:val="20"/>
              </w:rPr>
            </w:pPr>
            <w:r>
              <w:rPr>
                <w:rFonts w:ascii="Calibri" w:hAnsi="Calibri"/>
                <w:b/>
                <w:bCs/>
                <w:color w:val="000000"/>
                <w:sz w:val="20"/>
                <w:szCs w:val="20"/>
              </w:rPr>
              <w:t>FY17  Adjustments</w:t>
            </w:r>
          </w:p>
          <w:p w:rsidR="009300EE" w:rsidRPr="009300EE" w:rsidRDefault="009300EE" w:rsidP="009300EE">
            <w:pPr>
              <w:rPr>
                <w:rFonts w:ascii="Calibri" w:eastAsia="Times New Roman" w:hAnsi="Calibri" w:cs="Times New Roman"/>
                <w:color w:val="000000"/>
                <w:sz w:val="16"/>
                <w:szCs w:val="16"/>
              </w:rPr>
            </w:pPr>
          </w:p>
        </w:tc>
      </w:tr>
      <w:tr w:rsidR="009300EE" w:rsidRPr="009300EE" w:rsidTr="009300EE">
        <w:trPr>
          <w:trHeight w:val="900"/>
        </w:trPr>
        <w:tc>
          <w:tcPr>
            <w:tcW w:w="1596" w:type="dxa"/>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Line Item</w:t>
            </w:r>
          </w:p>
        </w:tc>
        <w:tc>
          <w:tcPr>
            <w:tcW w:w="1596" w:type="dxa"/>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Descriptor</w:t>
            </w:r>
          </w:p>
        </w:tc>
        <w:tc>
          <w:tcPr>
            <w:tcW w:w="1596" w:type="dxa"/>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FY16 Total Available </w:t>
            </w:r>
          </w:p>
        </w:tc>
        <w:tc>
          <w:tcPr>
            <w:tcW w:w="1596" w:type="dxa"/>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FY17 Preliminary Maintenance</w:t>
            </w:r>
          </w:p>
        </w:tc>
        <w:tc>
          <w:tcPr>
            <w:tcW w:w="1596" w:type="dxa"/>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FY17 CCDBG Cost </w:t>
            </w:r>
          </w:p>
        </w:tc>
        <w:tc>
          <w:tcPr>
            <w:tcW w:w="1596" w:type="dxa"/>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FY17 Budget Proposal </w:t>
            </w:r>
          </w:p>
        </w:tc>
      </w:tr>
      <w:tr w:rsidR="009300EE" w:rsidRPr="009300EE" w:rsidTr="009300EE">
        <w:trPr>
          <w:trHeight w:val="225"/>
        </w:trPr>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3000-1000</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Administration*</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12,542,429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381,517 </w:t>
            </w:r>
          </w:p>
        </w:tc>
        <w:tc>
          <w:tcPr>
            <w:tcW w:w="1596" w:type="dxa"/>
            <w:noWrap/>
            <w:hideMark/>
          </w:tcPr>
          <w:p w:rsidR="009300EE" w:rsidRPr="009300EE" w:rsidRDefault="009300EE" w:rsidP="009300EE">
            <w:pPr>
              <w:rPr>
                <w:rFonts w:ascii="Calibri" w:eastAsia="Times New Roman" w:hAnsi="Calibri" w:cs="Times New Roman"/>
                <w:sz w:val="16"/>
                <w:szCs w:val="16"/>
              </w:rPr>
            </w:pPr>
            <w:r w:rsidRPr="009300EE">
              <w:rPr>
                <w:rFonts w:ascii="Calibri" w:eastAsia="Times New Roman" w:hAnsi="Calibri" w:cs="Times New Roman"/>
                <w:sz w:val="16"/>
                <w:szCs w:val="16"/>
              </w:rPr>
              <w:t xml:space="preserve"> $               1,063,145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13,987,091 </w:t>
            </w:r>
          </w:p>
        </w:tc>
      </w:tr>
      <w:tr w:rsidR="009300EE" w:rsidRPr="009300EE" w:rsidTr="009300EE">
        <w:trPr>
          <w:trHeight w:val="225"/>
        </w:trPr>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3000-1050</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EEC Assessment</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300,000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(300,000)</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   </w:t>
            </w:r>
          </w:p>
        </w:tc>
      </w:tr>
      <w:tr w:rsidR="009300EE" w:rsidRPr="009300EE" w:rsidTr="009300EE">
        <w:trPr>
          <w:trHeight w:val="225"/>
        </w:trPr>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3000-2000</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Access Management</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6,675,311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1,000,000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7,675,311 </w:t>
            </w:r>
          </w:p>
        </w:tc>
      </w:tr>
      <w:tr w:rsidR="009300EE" w:rsidRPr="009300EE" w:rsidTr="009300EE">
        <w:trPr>
          <w:trHeight w:val="225"/>
        </w:trPr>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3000-3060</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Supportive-DTA Related Care**</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$ 219,907,383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6,844,438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11,138,535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237,890,356 </w:t>
            </w:r>
          </w:p>
        </w:tc>
      </w:tr>
      <w:tr w:rsidR="009300EE" w:rsidRPr="009300EE" w:rsidTr="009300EE">
        <w:trPr>
          <w:trHeight w:val="225"/>
        </w:trPr>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3000-4040</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Waitlist Remediation</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12,000,000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(12,000,000)</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   </w:t>
            </w:r>
          </w:p>
        </w:tc>
      </w:tr>
      <w:tr w:rsidR="009300EE" w:rsidRPr="009300EE" w:rsidTr="009300EE">
        <w:trPr>
          <w:trHeight w:val="225"/>
        </w:trPr>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3000-4060</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Income Eligible Child Care***</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$ 252,944,993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19,746,285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13,336,210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286,027,488 </w:t>
            </w:r>
          </w:p>
        </w:tc>
      </w:tr>
      <w:tr w:rsidR="009300EE" w:rsidRPr="009300EE" w:rsidTr="009300EE">
        <w:trPr>
          <w:trHeight w:val="225"/>
        </w:trPr>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3000-5000</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Grants to Head Start</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9,100,000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9,100,000 </w:t>
            </w:r>
          </w:p>
        </w:tc>
      </w:tr>
      <w:tr w:rsidR="009300EE" w:rsidRPr="009300EE" w:rsidTr="009300EE">
        <w:trPr>
          <w:trHeight w:val="225"/>
        </w:trPr>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3000-5075</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UPK</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7,400,000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7,400,000 </w:t>
            </w:r>
          </w:p>
        </w:tc>
      </w:tr>
      <w:tr w:rsidR="009300EE" w:rsidRPr="009300EE" w:rsidTr="009300EE">
        <w:trPr>
          <w:trHeight w:val="450"/>
        </w:trPr>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3000-6025</w:t>
            </w:r>
          </w:p>
        </w:tc>
        <w:tc>
          <w:tcPr>
            <w:tcW w:w="1596" w:type="dxa"/>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Commonwealth Preschool Partnership Initiative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500,000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500,000 </w:t>
            </w:r>
          </w:p>
        </w:tc>
      </w:tr>
      <w:tr w:rsidR="009300EE" w:rsidRPr="009300EE" w:rsidTr="009300EE">
        <w:trPr>
          <w:trHeight w:val="225"/>
        </w:trPr>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3000-6075</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Mental Health</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750,000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750,000 </w:t>
            </w:r>
          </w:p>
        </w:tc>
      </w:tr>
      <w:tr w:rsidR="009300EE" w:rsidRPr="009300EE" w:rsidTr="009300EE">
        <w:trPr>
          <w:trHeight w:val="225"/>
        </w:trPr>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3000-7040</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EEC Contingency Contract Retained Revenue</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200,000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200,000 </w:t>
            </w:r>
          </w:p>
        </w:tc>
      </w:tr>
      <w:tr w:rsidR="009300EE" w:rsidRPr="009300EE" w:rsidTr="009300EE">
        <w:trPr>
          <w:trHeight w:val="225"/>
        </w:trPr>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3000-7050</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Services for Infants and Parents</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21,314,890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21,314,890 </w:t>
            </w:r>
          </w:p>
        </w:tc>
      </w:tr>
      <w:tr w:rsidR="009300EE" w:rsidRPr="009300EE" w:rsidTr="009300EE">
        <w:trPr>
          <w:trHeight w:val="225"/>
        </w:trPr>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3000-7070</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Reach Out and Read</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1,000,000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1,000,000 </w:t>
            </w:r>
          </w:p>
        </w:tc>
      </w:tr>
      <w:tr w:rsidR="009300EE" w:rsidRPr="009300EE" w:rsidTr="009300EE">
        <w:trPr>
          <w:trHeight w:val="225"/>
        </w:trPr>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1599-0042</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CBC Reimbursement Rate Reserve</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5,000,000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(5,000,000)</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w:t>
            </w:r>
          </w:p>
        </w:tc>
        <w:tc>
          <w:tcPr>
            <w:tcW w:w="1596" w:type="dxa"/>
            <w:noWrap/>
            <w:hideMark/>
          </w:tcPr>
          <w:p w:rsidR="009300EE" w:rsidRPr="009300EE" w:rsidRDefault="009300EE" w:rsidP="009300EE">
            <w:pPr>
              <w:rPr>
                <w:rFonts w:ascii="Calibri" w:eastAsia="Times New Roman" w:hAnsi="Calibri" w:cs="Times New Roman"/>
                <w:color w:val="000000"/>
                <w:sz w:val="16"/>
                <w:szCs w:val="16"/>
              </w:rPr>
            </w:pPr>
            <w:r w:rsidRPr="009300EE">
              <w:rPr>
                <w:rFonts w:ascii="Calibri" w:eastAsia="Times New Roman" w:hAnsi="Calibri" w:cs="Times New Roman"/>
                <w:color w:val="000000"/>
                <w:sz w:val="16"/>
                <w:szCs w:val="16"/>
              </w:rPr>
              <w:t xml:space="preserve"> $                                          -   </w:t>
            </w:r>
          </w:p>
        </w:tc>
      </w:tr>
      <w:tr w:rsidR="009300EE" w:rsidRPr="009300EE" w:rsidTr="009300EE">
        <w:trPr>
          <w:trHeight w:val="285"/>
        </w:trPr>
        <w:tc>
          <w:tcPr>
            <w:tcW w:w="1596" w:type="dxa"/>
            <w:noWrap/>
            <w:hideMark/>
          </w:tcPr>
          <w:p w:rsidR="009300EE" w:rsidRPr="009300EE" w:rsidRDefault="009300EE" w:rsidP="009300EE">
            <w:pPr>
              <w:rPr>
                <w:rFonts w:ascii="Calibri" w:eastAsia="Times New Roman" w:hAnsi="Calibri" w:cs="Times New Roman"/>
                <w:color w:val="000000"/>
                <w:sz w:val="16"/>
                <w:szCs w:val="16"/>
              </w:rPr>
            </w:pPr>
          </w:p>
        </w:tc>
        <w:tc>
          <w:tcPr>
            <w:tcW w:w="1596" w:type="dxa"/>
            <w:noWrap/>
            <w:hideMark/>
          </w:tcPr>
          <w:p w:rsidR="009300EE" w:rsidRPr="009300EE" w:rsidRDefault="009300EE" w:rsidP="009300EE">
            <w:pPr>
              <w:rPr>
                <w:rFonts w:ascii="Calibri" w:eastAsia="Times New Roman" w:hAnsi="Calibri" w:cs="Times New Roman"/>
                <w:color w:val="000000"/>
                <w:sz w:val="16"/>
                <w:szCs w:val="16"/>
              </w:rPr>
            </w:pPr>
          </w:p>
        </w:tc>
        <w:tc>
          <w:tcPr>
            <w:tcW w:w="1596" w:type="dxa"/>
            <w:noWrap/>
            <w:hideMark/>
          </w:tcPr>
          <w:p w:rsidR="009300EE" w:rsidRPr="009300EE" w:rsidRDefault="009300EE" w:rsidP="009300EE">
            <w:pPr>
              <w:rPr>
                <w:rFonts w:ascii="Calibri" w:eastAsia="Times New Roman" w:hAnsi="Calibri" w:cs="Times New Roman"/>
                <w:b/>
                <w:bCs/>
                <w:color w:val="000000"/>
                <w:sz w:val="16"/>
                <w:szCs w:val="16"/>
                <w:u w:val="single"/>
              </w:rPr>
            </w:pPr>
            <w:r w:rsidRPr="009300EE">
              <w:rPr>
                <w:rFonts w:ascii="Calibri" w:eastAsia="Times New Roman" w:hAnsi="Calibri" w:cs="Times New Roman"/>
                <w:b/>
                <w:bCs/>
                <w:color w:val="000000"/>
                <w:sz w:val="16"/>
                <w:szCs w:val="16"/>
                <w:u w:val="single"/>
              </w:rPr>
              <w:t xml:space="preserve"> $ 549,635,006 </w:t>
            </w:r>
          </w:p>
        </w:tc>
        <w:tc>
          <w:tcPr>
            <w:tcW w:w="1596" w:type="dxa"/>
            <w:noWrap/>
            <w:hideMark/>
          </w:tcPr>
          <w:p w:rsidR="009300EE" w:rsidRPr="009300EE" w:rsidRDefault="009300EE" w:rsidP="009300EE">
            <w:pPr>
              <w:rPr>
                <w:rFonts w:ascii="Calibri" w:eastAsia="Times New Roman" w:hAnsi="Calibri" w:cs="Times New Roman"/>
                <w:b/>
                <w:bCs/>
                <w:color w:val="000000"/>
                <w:sz w:val="16"/>
                <w:szCs w:val="16"/>
                <w:u w:val="single"/>
              </w:rPr>
            </w:pPr>
            <w:r w:rsidRPr="009300EE">
              <w:rPr>
                <w:rFonts w:ascii="Calibri" w:eastAsia="Times New Roman" w:hAnsi="Calibri" w:cs="Times New Roman"/>
                <w:b/>
                <w:bCs/>
                <w:color w:val="000000"/>
                <w:sz w:val="16"/>
                <w:szCs w:val="16"/>
                <w:u w:val="single"/>
              </w:rPr>
              <w:t xml:space="preserve"> $     10,672,240 </w:t>
            </w:r>
          </w:p>
        </w:tc>
        <w:tc>
          <w:tcPr>
            <w:tcW w:w="1596" w:type="dxa"/>
            <w:noWrap/>
            <w:hideMark/>
          </w:tcPr>
          <w:p w:rsidR="009300EE" w:rsidRPr="009300EE" w:rsidRDefault="009300EE" w:rsidP="009300EE">
            <w:pPr>
              <w:rPr>
                <w:rFonts w:ascii="Calibri" w:eastAsia="Times New Roman" w:hAnsi="Calibri" w:cs="Times New Roman"/>
                <w:b/>
                <w:bCs/>
                <w:color w:val="000000"/>
                <w:sz w:val="16"/>
                <w:szCs w:val="16"/>
                <w:u w:val="single"/>
              </w:rPr>
            </w:pPr>
            <w:r w:rsidRPr="009300EE">
              <w:rPr>
                <w:rFonts w:ascii="Calibri" w:eastAsia="Times New Roman" w:hAnsi="Calibri" w:cs="Times New Roman"/>
                <w:b/>
                <w:bCs/>
                <w:color w:val="000000"/>
                <w:sz w:val="16"/>
                <w:szCs w:val="16"/>
                <w:u w:val="single"/>
              </w:rPr>
              <w:t xml:space="preserve"> $            25,537,890 </w:t>
            </w:r>
          </w:p>
        </w:tc>
        <w:tc>
          <w:tcPr>
            <w:tcW w:w="1596" w:type="dxa"/>
            <w:noWrap/>
            <w:hideMark/>
          </w:tcPr>
          <w:p w:rsidR="009300EE" w:rsidRPr="009300EE" w:rsidRDefault="009300EE" w:rsidP="009300EE">
            <w:pPr>
              <w:rPr>
                <w:rFonts w:ascii="Calibri" w:eastAsia="Times New Roman" w:hAnsi="Calibri" w:cs="Times New Roman"/>
                <w:b/>
                <w:bCs/>
                <w:color w:val="000000"/>
                <w:sz w:val="16"/>
                <w:szCs w:val="16"/>
                <w:u w:val="single"/>
              </w:rPr>
            </w:pPr>
            <w:r w:rsidRPr="009300EE">
              <w:rPr>
                <w:rFonts w:ascii="Calibri" w:eastAsia="Times New Roman" w:hAnsi="Calibri" w:cs="Times New Roman"/>
                <w:b/>
                <w:bCs/>
                <w:color w:val="000000"/>
                <w:sz w:val="16"/>
                <w:szCs w:val="16"/>
                <w:u w:val="single"/>
              </w:rPr>
              <w:t xml:space="preserve"> $               </w:t>
            </w:r>
            <w:r w:rsidRPr="009300EE">
              <w:rPr>
                <w:rFonts w:ascii="Calibri" w:eastAsia="Times New Roman" w:hAnsi="Calibri" w:cs="Times New Roman"/>
                <w:b/>
                <w:bCs/>
                <w:color w:val="000000"/>
                <w:sz w:val="16"/>
                <w:szCs w:val="16"/>
                <w:u w:val="single"/>
              </w:rPr>
              <w:lastRenderedPageBreak/>
              <w:t xml:space="preserve">585,845,136 </w:t>
            </w:r>
          </w:p>
        </w:tc>
      </w:tr>
    </w:tbl>
    <w:p w:rsidR="009300EE" w:rsidRDefault="009300EE" w:rsidP="00F41ADD">
      <w:pPr>
        <w:tabs>
          <w:tab w:val="left" w:pos="1020"/>
        </w:tabs>
      </w:pPr>
    </w:p>
    <w:tbl>
      <w:tblPr>
        <w:tblW w:w="9300" w:type="dxa"/>
        <w:tblInd w:w="93" w:type="dxa"/>
        <w:tblLook w:val="04A0"/>
      </w:tblPr>
      <w:tblGrid>
        <w:gridCol w:w="3960"/>
        <w:gridCol w:w="5340"/>
      </w:tblGrid>
      <w:tr w:rsidR="009300EE" w:rsidTr="009300EE">
        <w:trPr>
          <w:trHeight w:val="225"/>
        </w:trPr>
        <w:tc>
          <w:tcPr>
            <w:tcW w:w="9300" w:type="dxa"/>
            <w:gridSpan w:val="2"/>
            <w:tcBorders>
              <w:top w:val="nil"/>
              <w:left w:val="nil"/>
              <w:bottom w:val="nil"/>
              <w:right w:val="nil"/>
            </w:tcBorders>
            <w:shd w:val="clear" w:color="auto" w:fill="auto"/>
            <w:noWrap/>
            <w:vAlign w:val="bottom"/>
            <w:hideMark/>
          </w:tcPr>
          <w:p w:rsidR="009300EE" w:rsidRDefault="009300EE">
            <w:pPr>
              <w:rPr>
                <w:rFonts w:ascii="Calibri" w:hAnsi="Calibri"/>
                <w:color w:val="000000"/>
                <w:sz w:val="16"/>
                <w:szCs w:val="16"/>
              </w:rPr>
            </w:pPr>
            <w:r>
              <w:rPr>
                <w:rFonts w:ascii="Calibri" w:hAnsi="Calibri"/>
                <w:color w:val="000000"/>
                <w:sz w:val="16"/>
                <w:szCs w:val="16"/>
              </w:rPr>
              <w:t>**CCDBG Cost is the portion of the rate increase that would be needed in this account. Other portion is in IE.</w:t>
            </w:r>
          </w:p>
        </w:tc>
      </w:tr>
      <w:tr w:rsidR="009300EE" w:rsidTr="009300EE">
        <w:trPr>
          <w:trHeight w:val="225"/>
        </w:trPr>
        <w:tc>
          <w:tcPr>
            <w:tcW w:w="9300" w:type="dxa"/>
            <w:gridSpan w:val="2"/>
            <w:tcBorders>
              <w:top w:val="nil"/>
              <w:left w:val="nil"/>
              <w:bottom w:val="nil"/>
              <w:right w:val="nil"/>
            </w:tcBorders>
            <w:shd w:val="clear" w:color="auto" w:fill="auto"/>
            <w:noWrap/>
            <w:vAlign w:val="bottom"/>
            <w:hideMark/>
          </w:tcPr>
          <w:p w:rsidR="009300EE" w:rsidRDefault="009300EE">
            <w:pPr>
              <w:rPr>
                <w:rFonts w:ascii="Calibri" w:hAnsi="Calibri"/>
                <w:color w:val="000000"/>
                <w:sz w:val="16"/>
                <w:szCs w:val="16"/>
              </w:rPr>
            </w:pPr>
            <w:r>
              <w:rPr>
                <w:rFonts w:ascii="Calibri" w:hAnsi="Calibri"/>
                <w:color w:val="000000"/>
                <w:sz w:val="16"/>
                <w:szCs w:val="16"/>
              </w:rPr>
              <w:t>***FY16 does not include $3.4M PAC. CCDBG Cost includes $13M for rates.</w:t>
            </w:r>
          </w:p>
        </w:tc>
      </w:tr>
      <w:tr w:rsidR="009300EE" w:rsidTr="009300EE">
        <w:trPr>
          <w:gridAfter w:val="1"/>
          <w:wAfter w:w="5340" w:type="dxa"/>
          <w:trHeight w:val="225"/>
        </w:trPr>
        <w:tc>
          <w:tcPr>
            <w:tcW w:w="3960" w:type="dxa"/>
            <w:tcBorders>
              <w:top w:val="nil"/>
              <w:left w:val="nil"/>
              <w:bottom w:val="nil"/>
              <w:right w:val="nil"/>
            </w:tcBorders>
            <w:shd w:val="clear" w:color="auto" w:fill="auto"/>
            <w:noWrap/>
            <w:vAlign w:val="bottom"/>
            <w:hideMark/>
          </w:tcPr>
          <w:p w:rsidR="009300EE" w:rsidRDefault="009300EE">
            <w:pPr>
              <w:rPr>
                <w:rFonts w:ascii="Calibri" w:hAnsi="Calibri"/>
                <w:color w:val="000000"/>
                <w:sz w:val="16"/>
                <w:szCs w:val="16"/>
              </w:rPr>
            </w:pPr>
            <w:r>
              <w:rPr>
                <w:rFonts w:ascii="Calibri" w:hAnsi="Calibri"/>
                <w:color w:val="000000"/>
                <w:sz w:val="16"/>
                <w:szCs w:val="16"/>
              </w:rPr>
              <w:t>*Includes adjustments made related to ERIP</w:t>
            </w:r>
          </w:p>
          <w:p w:rsidR="009300EE" w:rsidRDefault="009300EE">
            <w:pPr>
              <w:rPr>
                <w:rFonts w:ascii="Calibri" w:hAnsi="Calibri"/>
                <w:color w:val="000000"/>
                <w:sz w:val="16"/>
                <w:szCs w:val="16"/>
              </w:rPr>
            </w:pPr>
          </w:p>
        </w:tc>
      </w:tr>
    </w:tbl>
    <w:p w:rsidR="009300EE" w:rsidRDefault="009300EE" w:rsidP="00F41ADD">
      <w:pPr>
        <w:tabs>
          <w:tab w:val="left" w:pos="1020"/>
        </w:tabs>
      </w:pPr>
      <w:r>
        <w:t>Slide 26</w:t>
      </w:r>
    </w:p>
    <w:p w:rsidR="009300EE" w:rsidRDefault="009300EE" w:rsidP="00F41ADD">
      <w:pPr>
        <w:tabs>
          <w:tab w:val="left" w:pos="1020"/>
        </w:tabs>
        <w:rPr>
          <w:b/>
          <w:bCs/>
        </w:rPr>
      </w:pPr>
      <w:r w:rsidRPr="009300EE">
        <w:rPr>
          <w:b/>
          <w:bCs/>
        </w:rPr>
        <w:t>FY17 Budget - Discretionary Targets</w:t>
      </w:r>
    </w:p>
    <w:p w:rsidR="009300EE" w:rsidRPr="009300EE" w:rsidRDefault="009300EE" w:rsidP="009300EE">
      <w:pPr>
        <w:tabs>
          <w:tab w:val="left" w:pos="1020"/>
        </w:tabs>
      </w:pPr>
      <w:r w:rsidRPr="009300EE">
        <w:t>In addition to the funding that may be required to meet CCDBG mandates, EEC would like to offer the following as investments worthy of priority in no particular order above the base maintenance funding level:</w:t>
      </w:r>
    </w:p>
    <w:p w:rsidR="00000000" w:rsidRPr="009300EE" w:rsidRDefault="009300EE" w:rsidP="009300EE">
      <w:pPr>
        <w:numPr>
          <w:ilvl w:val="0"/>
          <w:numId w:val="26"/>
        </w:numPr>
        <w:tabs>
          <w:tab w:val="left" w:pos="1020"/>
        </w:tabs>
      </w:pPr>
      <w:r w:rsidRPr="009300EE">
        <w:rPr>
          <w:b/>
          <w:bCs/>
          <w:u w:val="single"/>
        </w:rPr>
        <w:t>Supportive-DTA Related Care:</w:t>
      </w:r>
      <w:r w:rsidRPr="009300EE">
        <w:rPr>
          <w:b/>
          <w:bCs/>
        </w:rPr>
        <w:t xml:space="preserve">  </w:t>
      </w:r>
      <w:r w:rsidRPr="009300EE">
        <w:t>Secure a Funding level adequate enough to fund all 2,100 children on DCF’s waitlist.</w:t>
      </w:r>
    </w:p>
    <w:p w:rsidR="00000000" w:rsidRPr="009300EE" w:rsidRDefault="009300EE" w:rsidP="009300EE">
      <w:pPr>
        <w:numPr>
          <w:ilvl w:val="1"/>
          <w:numId w:val="26"/>
        </w:numPr>
        <w:tabs>
          <w:tab w:val="left" w:pos="1020"/>
        </w:tabs>
      </w:pPr>
      <w:r w:rsidRPr="009300EE">
        <w:t>Our base maintenance cost, due to the historic rate used, includes an increase of 600 children so funding would be needed only to cover the cost of the remaining 1,500 c</w:t>
      </w:r>
      <w:r w:rsidRPr="009300EE">
        <w:t>hildren plus administrative funds for the CCRRs to manage the additional voucher caseload that would come with serving all children on DCF’s waitlist.</w:t>
      </w:r>
    </w:p>
    <w:p w:rsidR="00000000" w:rsidRPr="009300EE" w:rsidRDefault="009300EE" w:rsidP="009300EE">
      <w:pPr>
        <w:numPr>
          <w:ilvl w:val="1"/>
          <w:numId w:val="26"/>
        </w:numPr>
        <w:tabs>
          <w:tab w:val="left" w:pos="1020"/>
        </w:tabs>
      </w:pPr>
      <w:r w:rsidRPr="009300EE">
        <w:t xml:space="preserve">If fully funded to serve 1,500 children, the total estimated cost above maintenance is $15,005,210.  </w:t>
      </w:r>
    </w:p>
    <w:p w:rsidR="00000000" w:rsidRPr="009300EE" w:rsidRDefault="009300EE" w:rsidP="009300EE">
      <w:pPr>
        <w:numPr>
          <w:ilvl w:val="0"/>
          <w:numId w:val="26"/>
        </w:numPr>
        <w:tabs>
          <w:tab w:val="left" w:pos="1020"/>
        </w:tabs>
      </w:pPr>
      <w:r w:rsidRPr="009300EE">
        <w:rPr>
          <w:b/>
          <w:bCs/>
          <w:u w:val="single"/>
        </w:rPr>
        <w:t>Income Eligible</w:t>
      </w:r>
      <w:r w:rsidRPr="009300EE">
        <w:rPr>
          <w:b/>
          <w:bCs/>
        </w:rPr>
        <w:t xml:space="preserve">:  </w:t>
      </w:r>
      <w:r w:rsidRPr="009300EE">
        <w:t>Secure additional funding to place more children from the waitlist.  Funding options include:</w:t>
      </w:r>
    </w:p>
    <w:tbl>
      <w:tblPr>
        <w:tblStyle w:val="TableGrid"/>
        <w:tblW w:w="0" w:type="auto"/>
        <w:tblLook w:val="04A0"/>
      </w:tblPr>
      <w:tblGrid>
        <w:gridCol w:w="4788"/>
        <w:gridCol w:w="4788"/>
      </w:tblGrid>
      <w:tr w:rsidR="009300EE" w:rsidTr="006159D7">
        <w:tc>
          <w:tcPr>
            <w:tcW w:w="4788" w:type="dxa"/>
            <w:vAlign w:val="bottom"/>
          </w:tcPr>
          <w:p w:rsidR="009300EE" w:rsidRPr="009300EE" w:rsidRDefault="009300EE">
            <w:pPr>
              <w:jc w:val="center"/>
              <w:rPr>
                <w:rFonts w:ascii="Calibri" w:hAnsi="Calibri"/>
                <w:b/>
                <w:bCs/>
              </w:rPr>
            </w:pPr>
            <w:r w:rsidRPr="009300EE">
              <w:rPr>
                <w:rFonts w:ascii="Calibri" w:hAnsi="Calibri"/>
                <w:b/>
                <w:bCs/>
              </w:rPr>
              <w:t>Number of Vouchers</w:t>
            </w:r>
          </w:p>
        </w:tc>
        <w:tc>
          <w:tcPr>
            <w:tcW w:w="4788" w:type="dxa"/>
            <w:vAlign w:val="bottom"/>
          </w:tcPr>
          <w:p w:rsidR="009300EE" w:rsidRPr="009300EE" w:rsidRDefault="009300EE">
            <w:pPr>
              <w:jc w:val="center"/>
              <w:rPr>
                <w:rFonts w:ascii="Calibri" w:hAnsi="Calibri"/>
                <w:b/>
                <w:bCs/>
              </w:rPr>
            </w:pPr>
            <w:r w:rsidRPr="009300EE">
              <w:rPr>
                <w:rFonts w:ascii="Calibri" w:hAnsi="Calibri"/>
                <w:b/>
                <w:bCs/>
              </w:rPr>
              <w:t>Income Eligible Cost</w:t>
            </w:r>
          </w:p>
        </w:tc>
      </w:tr>
      <w:tr w:rsidR="009300EE" w:rsidTr="006159D7">
        <w:tc>
          <w:tcPr>
            <w:tcW w:w="4788" w:type="dxa"/>
            <w:vAlign w:val="bottom"/>
          </w:tcPr>
          <w:p w:rsidR="009300EE" w:rsidRPr="009300EE" w:rsidRDefault="009300EE">
            <w:pPr>
              <w:jc w:val="center"/>
              <w:rPr>
                <w:rFonts w:ascii="Calibri" w:hAnsi="Calibri"/>
                <w:b/>
                <w:bCs/>
              </w:rPr>
            </w:pPr>
            <w:r w:rsidRPr="009300EE">
              <w:rPr>
                <w:rFonts w:ascii="Calibri" w:hAnsi="Calibri"/>
                <w:b/>
                <w:bCs/>
              </w:rPr>
              <w:t>1,000</w:t>
            </w:r>
          </w:p>
        </w:tc>
        <w:tc>
          <w:tcPr>
            <w:tcW w:w="4788" w:type="dxa"/>
            <w:vAlign w:val="bottom"/>
          </w:tcPr>
          <w:p w:rsidR="009300EE" w:rsidRPr="009300EE" w:rsidRDefault="009300EE">
            <w:pPr>
              <w:jc w:val="center"/>
              <w:rPr>
                <w:rFonts w:ascii="Calibri" w:hAnsi="Calibri"/>
                <w:b/>
                <w:bCs/>
              </w:rPr>
            </w:pPr>
            <w:r w:rsidRPr="009300EE">
              <w:rPr>
                <w:rFonts w:ascii="Calibri" w:hAnsi="Calibri"/>
                <w:b/>
                <w:bCs/>
              </w:rPr>
              <w:t xml:space="preserve">$6,430,822 </w:t>
            </w:r>
          </w:p>
        </w:tc>
      </w:tr>
      <w:tr w:rsidR="009300EE" w:rsidTr="006159D7">
        <w:tc>
          <w:tcPr>
            <w:tcW w:w="4788" w:type="dxa"/>
            <w:vAlign w:val="bottom"/>
          </w:tcPr>
          <w:p w:rsidR="009300EE" w:rsidRPr="009300EE" w:rsidRDefault="009300EE">
            <w:pPr>
              <w:jc w:val="center"/>
              <w:rPr>
                <w:rFonts w:ascii="Calibri" w:hAnsi="Calibri"/>
                <w:b/>
                <w:bCs/>
              </w:rPr>
            </w:pPr>
            <w:r w:rsidRPr="009300EE">
              <w:rPr>
                <w:rFonts w:ascii="Calibri" w:hAnsi="Calibri"/>
                <w:b/>
                <w:bCs/>
              </w:rPr>
              <w:t>3,000</w:t>
            </w:r>
          </w:p>
        </w:tc>
        <w:tc>
          <w:tcPr>
            <w:tcW w:w="4788" w:type="dxa"/>
            <w:vAlign w:val="bottom"/>
          </w:tcPr>
          <w:p w:rsidR="009300EE" w:rsidRPr="009300EE" w:rsidRDefault="009300EE">
            <w:pPr>
              <w:jc w:val="center"/>
              <w:rPr>
                <w:rFonts w:ascii="Calibri" w:hAnsi="Calibri"/>
                <w:b/>
                <w:bCs/>
              </w:rPr>
            </w:pPr>
            <w:r w:rsidRPr="009300EE">
              <w:rPr>
                <w:rFonts w:ascii="Calibri" w:hAnsi="Calibri"/>
                <w:b/>
                <w:bCs/>
              </w:rPr>
              <w:t xml:space="preserve">$19,292,466 </w:t>
            </w:r>
          </w:p>
        </w:tc>
      </w:tr>
      <w:tr w:rsidR="009300EE" w:rsidTr="006159D7">
        <w:tc>
          <w:tcPr>
            <w:tcW w:w="4788" w:type="dxa"/>
            <w:vAlign w:val="bottom"/>
          </w:tcPr>
          <w:p w:rsidR="009300EE" w:rsidRPr="009300EE" w:rsidRDefault="009300EE">
            <w:pPr>
              <w:jc w:val="center"/>
              <w:rPr>
                <w:rFonts w:ascii="Calibri" w:hAnsi="Calibri"/>
                <w:b/>
                <w:bCs/>
              </w:rPr>
            </w:pPr>
            <w:r w:rsidRPr="009300EE">
              <w:rPr>
                <w:rFonts w:ascii="Calibri" w:hAnsi="Calibri"/>
                <w:b/>
                <w:bCs/>
              </w:rPr>
              <w:t>5,000</w:t>
            </w:r>
          </w:p>
        </w:tc>
        <w:tc>
          <w:tcPr>
            <w:tcW w:w="4788" w:type="dxa"/>
            <w:vAlign w:val="bottom"/>
          </w:tcPr>
          <w:p w:rsidR="009300EE" w:rsidRPr="009300EE" w:rsidRDefault="009300EE">
            <w:pPr>
              <w:jc w:val="center"/>
              <w:rPr>
                <w:rFonts w:ascii="Calibri" w:hAnsi="Calibri"/>
                <w:b/>
                <w:bCs/>
              </w:rPr>
            </w:pPr>
            <w:r w:rsidRPr="009300EE">
              <w:rPr>
                <w:rFonts w:ascii="Calibri" w:hAnsi="Calibri"/>
                <w:b/>
                <w:bCs/>
              </w:rPr>
              <w:t xml:space="preserve">$32,154,110 </w:t>
            </w:r>
          </w:p>
        </w:tc>
      </w:tr>
    </w:tbl>
    <w:p w:rsidR="009300EE" w:rsidRDefault="009300EE" w:rsidP="00F41ADD">
      <w:pPr>
        <w:tabs>
          <w:tab w:val="left" w:pos="1020"/>
        </w:tabs>
      </w:pPr>
    </w:p>
    <w:p w:rsidR="00000000" w:rsidRPr="009300EE" w:rsidRDefault="009300EE" w:rsidP="009300EE">
      <w:pPr>
        <w:numPr>
          <w:ilvl w:val="0"/>
          <w:numId w:val="26"/>
        </w:numPr>
        <w:tabs>
          <w:tab w:val="left" w:pos="1020"/>
        </w:tabs>
      </w:pPr>
      <w:r w:rsidRPr="009300EE">
        <w:rPr>
          <w:b/>
          <w:bCs/>
          <w:u w:val="single"/>
        </w:rPr>
        <w:t>Transportation funding:</w:t>
      </w:r>
      <w:r w:rsidRPr="009300EE">
        <w:t xml:space="preserve">  EEC has long advocated for an increase to the transportation reimbursement rate.  However, given the unknown real cost and benefit of providing transportation, EEC recommends the formation of a working group to study this issue and</w:t>
      </w:r>
      <w:r w:rsidRPr="009300EE">
        <w:t xml:space="preserve"> make recommendations.</w:t>
      </w:r>
      <w:r w:rsidRPr="009300EE">
        <w:rPr>
          <w:b/>
          <w:bCs/>
          <w:u w:val="single"/>
        </w:rPr>
        <w:t xml:space="preserve"> </w:t>
      </w:r>
    </w:p>
    <w:p w:rsidR="009300EE" w:rsidRDefault="009300EE" w:rsidP="00F41ADD">
      <w:pPr>
        <w:tabs>
          <w:tab w:val="left" w:pos="1020"/>
        </w:tabs>
      </w:pPr>
      <w:r>
        <w:t>Slide 27</w:t>
      </w:r>
    </w:p>
    <w:p w:rsidR="009300EE" w:rsidRDefault="009300EE" w:rsidP="00F41ADD">
      <w:pPr>
        <w:tabs>
          <w:tab w:val="left" w:pos="1020"/>
        </w:tabs>
        <w:rPr>
          <w:b/>
          <w:bCs/>
        </w:rPr>
      </w:pPr>
      <w:r w:rsidRPr="009300EE">
        <w:rPr>
          <w:b/>
          <w:bCs/>
        </w:rPr>
        <w:t>APPENDIX:</w:t>
      </w:r>
      <w:r>
        <w:rPr>
          <w:b/>
          <w:bCs/>
        </w:rPr>
        <w:t xml:space="preserve"> </w:t>
      </w:r>
      <w:r w:rsidRPr="009300EE">
        <w:rPr>
          <w:b/>
          <w:bCs/>
        </w:rPr>
        <w:t>EEC Waitlist</w:t>
      </w:r>
    </w:p>
    <w:tbl>
      <w:tblPr>
        <w:tblStyle w:val="TableGrid"/>
        <w:tblW w:w="0" w:type="auto"/>
        <w:tblLook w:val="04A0"/>
      </w:tblPr>
      <w:tblGrid>
        <w:gridCol w:w="1341"/>
        <w:gridCol w:w="625"/>
        <w:gridCol w:w="685"/>
        <w:gridCol w:w="685"/>
        <w:gridCol w:w="685"/>
        <w:gridCol w:w="624"/>
        <w:gridCol w:w="624"/>
        <w:gridCol w:w="563"/>
        <w:gridCol w:w="624"/>
        <w:gridCol w:w="624"/>
        <w:gridCol w:w="624"/>
        <w:gridCol w:w="624"/>
        <w:gridCol w:w="563"/>
        <w:gridCol w:w="685"/>
      </w:tblGrid>
      <w:tr w:rsidR="009300EE" w:rsidRPr="009300EE" w:rsidTr="009300EE">
        <w:trPr>
          <w:trHeight w:val="495"/>
        </w:trPr>
        <w:tc>
          <w:tcPr>
            <w:tcW w:w="0" w:type="auto"/>
            <w:hideMark/>
          </w:tcPr>
          <w:p w:rsidR="009300EE" w:rsidRPr="009300EE" w:rsidRDefault="009300EE" w:rsidP="009300EE">
            <w:pPr>
              <w:jc w:val="center"/>
              <w:rPr>
                <w:rFonts w:ascii="Calibri" w:eastAsia="Times New Roman" w:hAnsi="Calibri" w:cs="Times New Roman"/>
                <w:b/>
                <w:bCs/>
                <w:sz w:val="18"/>
                <w:szCs w:val="18"/>
              </w:rPr>
            </w:pPr>
            <w:r w:rsidRPr="009300EE">
              <w:rPr>
                <w:rFonts w:ascii="Calibri" w:eastAsia="Times New Roman" w:hAnsi="Calibri" w:cs="Times New Roman"/>
                <w:b/>
                <w:bCs/>
                <w:sz w:val="18"/>
                <w:szCs w:val="18"/>
              </w:rPr>
              <w:lastRenderedPageBreak/>
              <w:t>Priority</w:t>
            </w:r>
          </w:p>
        </w:tc>
        <w:tc>
          <w:tcPr>
            <w:tcW w:w="0" w:type="auto"/>
            <w:hideMark/>
          </w:tcPr>
          <w:p w:rsidR="009300EE" w:rsidRPr="009300EE" w:rsidRDefault="009300EE" w:rsidP="009300EE">
            <w:pPr>
              <w:jc w:val="center"/>
              <w:rPr>
                <w:rFonts w:ascii="Calibri" w:eastAsia="Times New Roman" w:hAnsi="Calibri" w:cs="Times New Roman"/>
                <w:b/>
                <w:bCs/>
                <w:sz w:val="18"/>
                <w:szCs w:val="18"/>
              </w:rPr>
            </w:pPr>
            <w:r w:rsidRPr="009300EE">
              <w:rPr>
                <w:rFonts w:ascii="Calibri" w:eastAsia="Times New Roman" w:hAnsi="Calibri" w:cs="Times New Roman"/>
                <w:b/>
                <w:bCs/>
                <w:sz w:val="18"/>
                <w:szCs w:val="18"/>
              </w:rPr>
              <w:t>9/29/14 Total</w:t>
            </w:r>
          </w:p>
        </w:tc>
        <w:tc>
          <w:tcPr>
            <w:tcW w:w="0" w:type="auto"/>
            <w:hideMark/>
          </w:tcPr>
          <w:p w:rsidR="009300EE" w:rsidRPr="009300EE" w:rsidRDefault="009300EE" w:rsidP="009300EE">
            <w:pPr>
              <w:jc w:val="center"/>
              <w:rPr>
                <w:rFonts w:ascii="Calibri" w:eastAsia="Times New Roman" w:hAnsi="Calibri" w:cs="Times New Roman"/>
                <w:b/>
                <w:bCs/>
                <w:sz w:val="18"/>
                <w:szCs w:val="18"/>
              </w:rPr>
            </w:pPr>
            <w:r w:rsidRPr="009300EE">
              <w:rPr>
                <w:rFonts w:ascii="Calibri" w:eastAsia="Times New Roman" w:hAnsi="Calibri" w:cs="Times New Roman"/>
                <w:b/>
                <w:bCs/>
                <w:sz w:val="18"/>
                <w:szCs w:val="18"/>
              </w:rPr>
              <w:t>10/28/14 Total</w:t>
            </w:r>
          </w:p>
        </w:tc>
        <w:tc>
          <w:tcPr>
            <w:tcW w:w="0" w:type="auto"/>
            <w:hideMark/>
          </w:tcPr>
          <w:p w:rsidR="009300EE" w:rsidRPr="009300EE" w:rsidRDefault="009300EE" w:rsidP="009300EE">
            <w:pPr>
              <w:jc w:val="center"/>
              <w:rPr>
                <w:rFonts w:ascii="Calibri" w:eastAsia="Times New Roman" w:hAnsi="Calibri" w:cs="Times New Roman"/>
                <w:b/>
                <w:bCs/>
                <w:sz w:val="18"/>
                <w:szCs w:val="18"/>
              </w:rPr>
            </w:pPr>
            <w:r w:rsidRPr="009300EE">
              <w:rPr>
                <w:rFonts w:ascii="Calibri" w:eastAsia="Times New Roman" w:hAnsi="Calibri" w:cs="Times New Roman"/>
                <w:b/>
                <w:bCs/>
                <w:sz w:val="18"/>
                <w:szCs w:val="18"/>
              </w:rPr>
              <w:t>11/21/14 Total</w:t>
            </w:r>
          </w:p>
        </w:tc>
        <w:tc>
          <w:tcPr>
            <w:tcW w:w="0" w:type="auto"/>
            <w:hideMark/>
          </w:tcPr>
          <w:p w:rsidR="009300EE" w:rsidRPr="009300EE" w:rsidRDefault="009300EE" w:rsidP="009300EE">
            <w:pPr>
              <w:jc w:val="center"/>
              <w:rPr>
                <w:rFonts w:ascii="Calibri" w:eastAsia="Times New Roman" w:hAnsi="Calibri" w:cs="Times New Roman"/>
                <w:b/>
                <w:bCs/>
                <w:sz w:val="18"/>
                <w:szCs w:val="18"/>
              </w:rPr>
            </w:pPr>
            <w:r w:rsidRPr="009300EE">
              <w:rPr>
                <w:rFonts w:ascii="Calibri" w:eastAsia="Times New Roman" w:hAnsi="Calibri" w:cs="Times New Roman"/>
                <w:b/>
                <w:bCs/>
                <w:sz w:val="18"/>
                <w:szCs w:val="18"/>
              </w:rPr>
              <w:t>12/29/14 Total</w:t>
            </w:r>
          </w:p>
        </w:tc>
        <w:tc>
          <w:tcPr>
            <w:tcW w:w="0" w:type="auto"/>
            <w:hideMark/>
          </w:tcPr>
          <w:p w:rsidR="009300EE" w:rsidRPr="009300EE" w:rsidRDefault="009300EE" w:rsidP="009300EE">
            <w:pPr>
              <w:jc w:val="center"/>
              <w:rPr>
                <w:rFonts w:ascii="Calibri" w:eastAsia="Times New Roman" w:hAnsi="Calibri" w:cs="Times New Roman"/>
                <w:b/>
                <w:bCs/>
                <w:sz w:val="18"/>
                <w:szCs w:val="18"/>
              </w:rPr>
            </w:pPr>
            <w:r w:rsidRPr="009300EE">
              <w:rPr>
                <w:rFonts w:ascii="Calibri" w:eastAsia="Times New Roman" w:hAnsi="Calibri" w:cs="Times New Roman"/>
                <w:b/>
                <w:bCs/>
                <w:sz w:val="18"/>
                <w:szCs w:val="18"/>
              </w:rPr>
              <w:t>1/29/14 Total</w:t>
            </w:r>
          </w:p>
        </w:tc>
        <w:tc>
          <w:tcPr>
            <w:tcW w:w="0" w:type="auto"/>
            <w:hideMark/>
          </w:tcPr>
          <w:p w:rsidR="009300EE" w:rsidRPr="009300EE" w:rsidRDefault="009300EE" w:rsidP="009300EE">
            <w:pPr>
              <w:jc w:val="center"/>
              <w:rPr>
                <w:rFonts w:ascii="Calibri" w:eastAsia="Times New Roman" w:hAnsi="Calibri" w:cs="Times New Roman"/>
                <w:b/>
                <w:bCs/>
                <w:sz w:val="18"/>
                <w:szCs w:val="18"/>
              </w:rPr>
            </w:pPr>
            <w:r w:rsidRPr="009300EE">
              <w:rPr>
                <w:rFonts w:ascii="Calibri" w:eastAsia="Times New Roman" w:hAnsi="Calibri" w:cs="Times New Roman"/>
                <w:b/>
                <w:bCs/>
                <w:sz w:val="18"/>
                <w:szCs w:val="18"/>
              </w:rPr>
              <w:t>2/26/15 Total</w:t>
            </w:r>
          </w:p>
        </w:tc>
        <w:tc>
          <w:tcPr>
            <w:tcW w:w="0" w:type="auto"/>
            <w:hideMark/>
          </w:tcPr>
          <w:p w:rsidR="009300EE" w:rsidRPr="009300EE" w:rsidRDefault="009300EE" w:rsidP="009300EE">
            <w:pPr>
              <w:jc w:val="center"/>
              <w:rPr>
                <w:rFonts w:ascii="Calibri" w:eastAsia="Times New Roman" w:hAnsi="Calibri" w:cs="Times New Roman"/>
                <w:b/>
                <w:bCs/>
                <w:sz w:val="18"/>
                <w:szCs w:val="18"/>
              </w:rPr>
            </w:pPr>
            <w:r w:rsidRPr="009300EE">
              <w:rPr>
                <w:rFonts w:ascii="Calibri" w:eastAsia="Times New Roman" w:hAnsi="Calibri" w:cs="Times New Roman"/>
                <w:b/>
                <w:bCs/>
                <w:sz w:val="18"/>
                <w:szCs w:val="18"/>
              </w:rPr>
              <w:t>4/1/15 Total</w:t>
            </w:r>
          </w:p>
        </w:tc>
        <w:tc>
          <w:tcPr>
            <w:tcW w:w="0" w:type="auto"/>
            <w:hideMark/>
          </w:tcPr>
          <w:p w:rsidR="009300EE" w:rsidRPr="009300EE" w:rsidRDefault="009300EE" w:rsidP="009300EE">
            <w:pPr>
              <w:jc w:val="center"/>
              <w:rPr>
                <w:rFonts w:ascii="Calibri" w:eastAsia="Times New Roman" w:hAnsi="Calibri" w:cs="Times New Roman"/>
                <w:b/>
                <w:bCs/>
                <w:sz w:val="18"/>
                <w:szCs w:val="18"/>
              </w:rPr>
            </w:pPr>
            <w:r w:rsidRPr="009300EE">
              <w:rPr>
                <w:rFonts w:ascii="Calibri" w:eastAsia="Times New Roman" w:hAnsi="Calibri" w:cs="Times New Roman"/>
                <w:b/>
                <w:bCs/>
                <w:sz w:val="18"/>
                <w:szCs w:val="18"/>
              </w:rPr>
              <w:t>4/28/15 Total</w:t>
            </w:r>
          </w:p>
        </w:tc>
        <w:tc>
          <w:tcPr>
            <w:tcW w:w="0" w:type="auto"/>
            <w:hideMark/>
          </w:tcPr>
          <w:p w:rsidR="009300EE" w:rsidRPr="009300EE" w:rsidRDefault="009300EE" w:rsidP="009300EE">
            <w:pPr>
              <w:jc w:val="center"/>
              <w:rPr>
                <w:rFonts w:ascii="Calibri" w:eastAsia="Times New Roman" w:hAnsi="Calibri" w:cs="Times New Roman"/>
                <w:b/>
                <w:bCs/>
                <w:sz w:val="18"/>
                <w:szCs w:val="18"/>
              </w:rPr>
            </w:pPr>
            <w:r w:rsidRPr="009300EE">
              <w:rPr>
                <w:rFonts w:ascii="Calibri" w:eastAsia="Times New Roman" w:hAnsi="Calibri" w:cs="Times New Roman"/>
                <w:b/>
                <w:bCs/>
                <w:sz w:val="18"/>
                <w:szCs w:val="18"/>
              </w:rPr>
              <w:t>5/28/15 Total</w:t>
            </w:r>
          </w:p>
        </w:tc>
        <w:tc>
          <w:tcPr>
            <w:tcW w:w="0" w:type="auto"/>
            <w:hideMark/>
          </w:tcPr>
          <w:p w:rsidR="009300EE" w:rsidRPr="009300EE" w:rsidRDefault="009300EE" w:rsidP="009300EE">
            <w:pPr>
              <w:jc w:val="center"/>
              <w:rPr>
                <w:rFonts w:ascii="Calibri" w:eastAsia="Times New Roman" w:hAnsi="Calibri" w:cs="Times New Roman"/>
                <w:b/>
                <w:bCs/>
                <w:sz w:val="18"/>
                <w:szCs w:val="18"/>
              </w:rPr>
            </w:pPr>
            <w:r w:rsidRPr="009300EE">
              <w:rPr>
                <w:rFonts w:ascii="Calibri" w:eastAsia="Times New Roman" w:hAnsi="Calibri" w:cs="Times New Roman"/>
                <w:b/>
                <w:bCs/>
                <w:sz w:val="18"/>
                <w:szCs w:val="18"/>
              </w:rPr>
              <w:t>6/30/15 Total</w:t>
            </w:r>
          </w:p>
        </w:tc>
        <w:tc>
          <w:tcPr>
            <w:tcW w:w="0" w:type="auto"/>
            <w:hideMark/>
          </w:tcPr>
          <w:p w:rsidR="009300EE" w:rsidRPr="009300EE" w:rsidRDefault="009300EE" w:rsidP="009300EE">
            <w:pPr>
              <w:jc w:val="center"/>
              <w:rPr>
                <w:rFonts w:ascii="Calibri" w:eastAsia="Times New Roman" w:hAnsi="Calibri" w:cs="Times New Roman"/>
                <w:b/>
                <w:bCs/>
                <w:sz w:val="18"/>
                <w:szCs w:val="18"/>
              </w:rPr>
            </w:pPr>
            <w:r w:rsidRPr="009300EE">
              <w:rPr>
                <w:rFonts w:ascii="Calibri" w:eastAsia="Times New Roman" w:hAnsi="Calibri" w:cs="Times New Roman"/>
                <w:b/>
                <w:bCs/>
                <w:sz w:val="18"/>
                <w:szCs w:val="18"/>
              </w:rPr>
              <w:t>7/31/15 Total</w:t>
            </w:r>
          </w:p>
        </w:tc>
        <w:tc>
          <w:tcPr>
            <w:tcW w:w="0" w:type="auto"/>
            <w:hideMark/>
          </w:tcPr>
          <w:p w:rsidR="009300EE" w:rsidRPr="009300EE" w:rsidRDefault="009300EE" w:rsidP="009300EE">
            <w:pPr>
              <w:jc w:val="center"/>
              <w:rPr>
                <w:rFonts w:ascii="Calibri" w:eastAsia="Times New Roman" w:hAnsi="Calibri" w:cs="Times New Roman"/>
                <w:b/>
                <w:bCs/>
                <w:sz w:val="18"/>
                <w:szCs w:val="18"/>
              </w:rPr>
            </w:pPr>
            <w:r w:rsidRPr="009300EE">
              <w:rPr>
                <w:rFonts w:ascii="Calibri" w:eastAsia="Times New Roman" w:hAnsi="Calibri" w:cs="Times New Roman"/>
                <w:b/>
                <w:bCs/>
                <w:sz w:val="18"/>
                <w:szCs w:val="18"/>
              </w:rPr>
              <w:t>9/9/15 Total</w:t>
            </w:r>
          </w:p>
        </w:tc>
        <w:tc>
          <w:tcPr>
            <w:tcW w:w="0" w:type="auto"/>
            <w:hideMark/>
          </w:tcPr>
          <w:p w:rsidR="009300EE" w:rsidRPr="009300EE" w:rsidRDefault="009300EE" w:rsidP="009300EE">
            <w:pPr>
              <w:jc w:val="center"/>
              <w:rPr>
                <w:rFonts w:ascii="Calibri" w:eastAsia="Times New Roman" w:hAnsi="Calibri" w:cs="Times New Roman"/>
                <w:b/>
                <w:bCs/>
                <w:sz w:val="18"/>
                <w:szCs w:val="18"/>
              </w:rPr>
            </w:pPr>
            <w:r w:rsidRPr="009300EE">
              <w:rPr>
                <w:rFonts w:ascii="Calibri" w:eastAsia="Times New Roman" w:hAnsi="Calibri" w:cs="Times New Roman"/>
                <w:b/>
                <w:bCs/>
                <w:sz w:val="18"/>
                <w:szCs w:val="18"/>
              </w:rPr>
              <w:t>10/28/15 Total</w:t>
            </w:r>
          </w:p>
        </w:tc>
      </w:tr>
      <w:tr w:rsidR="009300EE" w:rsidRPr="009300EE" w:rsidTr="009300EE">
        <w:trPr>
          <w:trHeight w:val="300"/>
        </w:trPr>
        <w:tc>
          <w:tcPr>
            <w:tcW w:w="0" w:type="auto"/>
            <w:hideMark/>
          </w:tcPr>
          <w:p w:rsidR="009300EE" w:rsidRPr="009300EE" w:rsidRDefault="009300EE" w:rsidP="009300EE">
            <w:pPr>
              <w:rPr>
                <w:rFonts w:ascii="Calibri" w:eastAsia="Times New Roman" w:hAnsi="Calibri" w:cs="Times New Roman"/>
                <w:sz w:val="18"/>
                <w:szCs w:val="18"/>
              </w:rPr>
            </w:pPr>
            <w:r w:rsidRPr="009300EE">
              <w:rPr>
                <w:rFonts w:ascii="Calibri" w:eastAsia="Times New Roman" w:hAnsi="Calibri" w:cs="Times New Roman"/>
                <w:sz w:val="18"/>
                <w:szCs w:val="18"/>
              </w:rPr>
              <w:t xml:space="preserve"> Child of Foster Care </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110</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104</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95</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109</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115</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117</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132</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123</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131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141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128</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133</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150</w:t>
            </w:r>
          </w:p>
        </w:tc>
      </w:tr>
      <w:tr w:rsidR="009300EE" w:rsidRPr="009300EE" w:rsidTr="009300EE">
        <w:trPr>
          <w:trHeight w:val="300"/>
        </w:trPr>
        <w:tc>
          <w:tcPr>
            <w:tcW w:w="0" w:type="auto"/>
            <w:hideMark/>
          </w:tcPr>
          <w:p w:rsidR="009300EE" w:rsidRPr="009300EE" w:rsidRDefault="009300EE" w:rsidP="009300EE">
            <w:pPr>
              <w:rPr>
                <w:rFonts w:ascii="Calibri" w:eastAsia="Times New Roman" w:hAnsi="Calibri" w:cs="Times New Roman"/>
                <w:sz w:val="18"/>
                <w:szCs w:val="18"/>
              </w:rPr>
            </w:pPr>
            <w:r w:rsidRPr="009300EE">
              <w:rPr>
                <w:rFonts w:ascii="Calibri" w:eastAsia="Times New Roman" w:hAnsi="Calibri" w:cs="Times New Roman"/>
                <w:sz w:val="18"/>
                <w:szCs w:val="18"/>
              </w:rPr>
              <w:t xml:space="preserve"> Child of Homeless family </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291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295</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291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284</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305</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305</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356</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359</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356</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346</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345</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338</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320</w:t>
            </w:r>
          </w:p>
        </w:tc>
      </w:tr>
      <w:tr w:rsidR="009300EE" w:rsidRPr="009300EE" w:rsidTr="009300EE">
        <w:trPr>
          <w:trHeight w:val="300"/>
        </w:trPr>
        <w:tc>
          <w:tcPr>
            <w:tcW w:w="0" w:type="auto"/>
            <w:hideMark/>
          </w:tcPr>
          <w:p w:rsidR="009300EE" w:rsidRPr="009300EE" w:rsidRDefault="009300EE" w:rsidP="009300EE">
            <w:pPr>
              <w:rPr>
                <w:rFonts w:ascii="Calibri" w:eastAsia="Times New Roman" w:hAnsi="Calibri" w:cs="Times New Roman"/>
                <w:sz w:val="18"/>
                <w:szCs w:val="18"/>
              </w:rPr>
            </w:pPr>
            <w:r w:rsidRPr="009300EE">
              <w:rPr>
                <w:rFonts w:ascii="Calibri" w:eastAsia="Times New Roman" w:hAnsi="Calibri" w:cs="Times New Roman"/>
                <w:sz w:val="18"/>
                <w:szCs w:val="18"/>
              </w:rPr>
              <w:t xml:space="preserve"> Child of Military Personnel </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56</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60</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49</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48</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55</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60</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62</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73</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76</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69</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72</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71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61</w:t>
            </w:r>
          </w:p>
        </w:tc>
      </w:tr>
      <w:tr w:rsidR="009300EE" w:rsidRPr="009300EE" w:rsidTr="009300EE">
        <w:trPr>
          <w:trHeight w:val="300"/>
        </w:trPr>
        <w:tc>
          <w:tcPr>
            <w:tcW w:w="0" w:type="auto"/>
            <w:hideMark/>
          </w:tcPr>
          <w:p w:rsidR="009300EE" w:rsidRPr="009300EE" w:rsidRDefault="009300EE" w:rsidP="009300EE">
            <w:pPr>
              <w:rPr>
                <w:rFonts w:ascii="Calibri" w:eastAsia="Times New Roman" w:hAnsi="Calibri" w:cs="Times New Roman"/>
                <w:sz w:val="18"/>
                <w:szCs w:val="18"/>
              </w:rPr>
            </w:pPr>
            <w:r w:rsidRPr="009300EE">
              <w:rPr>
                <w:rFonts w:ascii="Calibri" w:eastAsia="Times New Roman" w:hAnsi="Calibri" w:cs="Times New Roman"/>
                <w:sz w:val="18"/>
                <w:szCs w:val="18"/>
              </w:rPr>
              <w:t xml:space="preserve"> Child of Teen Parent </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205</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190</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177</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195</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266</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232</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245</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246</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257</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268</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288</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299</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286</w:t>
            </w:r>
          </w:p>
        </w:tc>
      </w:tr>
      <w:tr w:rsidR="009300EE" w:rsidRPr="009300EE" w:rsidTr="009300EE">
        <w:trPr>
          <w:trHeight w:val="300"/>
        </w:trPr>
        <w:tc>
          <w:tcPr>
            <w:tcW w:w="0" w:type="auto"/>
            <w:hideMark/>
          </w:tcPr>
          <w:p w:rsidR="009300EE" w:rsidRPr="009300EE" w:rsidRDefault="009300EE" w:rsidP="009300EE">
            <w:pPr>
              <w:rPr>
                <w:rFonts w:ascii="Calibri" w:eastAsia="Times New Roman" w:hAnsi="Calibri" w:cs="Times New Roman"/>
                <w:sz w:val="18"/>
                <w:szCs w:val="18"/>
              </w:rPr>
            </w:pPr>
            <w:r w:rsidRPr="009300EE">
              <w:rPr>
                <w:rFonts w:ascii="Calibri" w:eastAsia="Times New Roman" w:hAnsi="Calibri" w:cs="Times New Roman"/>
                <w:sz w:val="18"/>
                <w:szCs w:val="18"/>
              </w:rPr>
              <w:t xml:space="preserve"> Child with Special Needs </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1,357</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1,182</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1,031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934</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1,100</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1,081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1,158</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1,203</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1,281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1,248</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1,274</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1,233</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1,205</w:t>
            </w:r>
          </w:p>
        </w:tc>
      </w:tr>
      <w:tr w:rsidR="009300EE" w:rsidRPr="009300EE" w:rsidTr="009300EE">
        <w:trPr>
          <w:trHeight w:val="480"/>
        </w:trPr>
        <w:tc>
          <w:tcPr>
            <w:tcW w:w="0" w:type="auto"/>
            <w:hideMark/>
          </w:tcPr>
          <w:p w:rsidR="009300EE" w:rsidRPr="009300EE" w:rsidRDefault="009300EE" w:rsidP="009300EE">
            <w:pPr>
              <w:rPr>
                <w:rFonts w:ascii="Calibri" w:eastAsia="Times New Roman" w:hAnsi="Calibri" w:cs="Times New Roman"/>
                <w:sz w:val="18"/>
                <w:szCs w:val="18"/>
              </w:rPr>
            </w:pPr>
            <w:r w:rsidRPr="009300EE">
              <w:rPr>
                <w:rFonts w:ascii="Calibri" w:eastAsia="Times New Roman" w:hAnsi="Calibri" w:cs="Times New Roman"/>
                <w:sz w:val="18"/>
                <w:szCs w:val="18"/>
              </w:rPr>
              <w:t xml:space="preserve"> Continuity of Care:  Prior Year Summer Only </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282</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267</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249</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249</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360</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255</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246</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243</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232</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90</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55</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43</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73</w:t>
            </w:r>
          </w:p>
        </w:tc>
      </w:tr>
      <w:tr w:rsidR="009300EE" w:rsidRPr="009300EE" w:rsidTr="009300EE">
        <w:trPr>
          <w:trHeight w:val="300"/>
        </w:trPr>
        <w:tc>
          <w:tcPr>
            <w:tcW w:w="0" w:type="auto"/>
            <w:hideMark/>
          </w:tcPr>
          <w:p w:rsidR="009300EE" w:rsidRPr="009300EE" w:rsidRDefault="009300EE" w:rsidP="009300EE">
            <w:pPr>
              <w:rPr>
                <w:rFonts w:ascii="Calibri" w:eastAsia="Times New Roman" w:hAnsi="Calibri" w:cs="Times New Roman"/>
                <w:sz w:val="18"/>
                <w:szCs w:val="18"/>
              </w:rPr>
            </w:pPr>
            <w:r w:rsidRPr="009300EE">
              <w:rPr>
                <w:rFonts w:ascii="Calibri" w:eastAsia="Times New Roman" w:hAnsi="Calibri" w:cs="Times New Roman"/>
                <w:sz w:val="18"/>
                <w:szCs w:val="18"/>
              </w:rPr>
              <w:t xml:space="preserve"> Continuity of Care: Aging Out </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160</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137</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116</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118</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122</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118</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117</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117</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127</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121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120</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99</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88</w:t>
            </w:r>
          </w:p>
        </w:tc>
      </w:tr>
      <w:tr w:rsidR="009300EE" w:rsidRPr="009300EE" w:rsidTr="009300EE">
        <w:trPr>
          <w:trHeight w:val="480"/>
        </w:trPr>
        <w:tc>
          <w:tcPr>
            <w:tcW w:w="0" w:type="auto"/>
            <w:hideMark/>
          </w:tcPr>
          <w:p w:rsidR="009300EE" w:rsidRPr="009300EE" w:rsidRDefault="009300EE" w:rsidP="009300EE">
            <w:pPr>
              <w:rPr>
                <w:rFonts w:ascii="Calibri" w:eastAsia="Times New Roman" w:hAnsi="Calibri" w:cs="Times New Roman"/>
                <w:sz w:val="18"/>
                <w:szCs w:val="18"/>
              </w:rPr>
            </w:pPr>
            <w:r w:rsidRPr="009300EE">
              <w:rPr>
                <w:rFonts w:ascii="Calibri" w:eastAsia="Times New Roman" w:hAnsi="Calibri" w:cs="Times New Roman"/>
                <w:sz w:val="18"/>
                <w:szCs w:val="18"/>
              </w:rPr>
              <w:t xml:space="preserve"> Continuity of Care: Approved Break in Service </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260</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225</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210</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184</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206</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194</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192</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182</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210</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226</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252</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227</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186</w:t>
            </w:r>
          </w:p>
        </w:tc>
      </w:tr>
      <w:tr w:rsidR="009300EE" w:rsidRPr="009300EE" w:rsidTr="009300EE">
        <w:trPr>
          <w:trHeight w:val="300"/>
        </w:trPr>
        <w:tc>
          <w:tcPr>
            <w:tcW w:w="0" w:type="auto"/>
            <w:hideMark/>
          </w:tcPr>
          <w:p w:rsidR="009300EE" w:rsidRPr="009300EE" w:rsidRDefault="009300EE" w:rsidP="009300EE">
            <w:pPr>
              <w:rPr>
                <w:rFonts w:ascii="Calibri" w:eastAsia="Times New Roman" w:hAnsi="Calibri" w:cs="Times New Roman"/>
                <w:sz w:val="18"/>
                <w:szCs w:val="18"/>
              </w:rPr>
            </w:pPr>
            <w:r w:rsidRPr="009300EE">
              <w:rPr>
                <w:rFonts w:ascii="Calibri" w:eastAsia="Times New Roman" w:hAnsi="Calibri" w:cs="Times New Roman"/>
                <w:sz w:val="18"/>
                <w:szCs w:val="18"/>
              </w:rPr>
              <w:t xml:space="preserve"> Continuity of Care: ARRA </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16</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13</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13</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15</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19</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19</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18</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19</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16</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18</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20</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31</w:t>
            </w:r>
          </w:p>
        </w:tc>
      </w:tr>
      <w:tr w:rsidR="009300EE" w:rsidRPr="009300EE" w:rsidTr="009300EE">
        <w:trPr>
          <w:trHeight w:val="480"/>
        </w:trPr>
        <w:tc>
          <w:tcPr>
            <w:tcW w:w="0" w:type="auto"/>
            <w:hideMark/>
          </w:tcPr>
          <w:p w:rsidR="009300EE" w:rsidRPr="009300EE" w:rsidRDefault="009300EE" w:rsidP="009300EE">
            <w:pPr>
              <w:rPr>
                <w:rFonts w:ascii="Calibri" w:eastAsia="Times New Roman" w:hAnsi="Calibri" w:cs="Times New Roman"/>
                <w:sz w:val="18"/>
                <w:szCs w:val="18"/>
              </w:rPr>
            </w:pPr>
            <w:r w:rsidRPr="009300EE">
              <w:rPr>
                <w:rFonts w:ascii="Calibri" w:eastAsia="Times New Roman" w:hAnsi="Calibri" w:cs="Times New Roman"/>
                <w:sz w:val="18"/>
                <w:szCs w:val="18"/>
              </w:rPr>
              <w:t xml:space="preserve"> Continuity of Care: Geographic Relocation </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91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93</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101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96</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93</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97</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101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100</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101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97</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91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77</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61</w:t>
            </w:r>
          </w:p>
        </w:tc>
      </w:tr>
      <w:tr w:rsidR="009300EE" w:rsidRPr="009300EE" w:rsidTr="009300EE">
        <w:trPr>
          <w:trHeight w:val="480"/>
        </w:trPr>
        <w:tc>
          <w:tcPr>
            <w:tcW w:w="0" w:type="auto"/>
            <w:hideMark/>
          </w:tcPr>
          <w:p w:rsidR="009300EE" w:rsidRPr="009300EE" w:rsidRDefault="009300EE" w:rsidP="009300EE">
            <w:pPr>
              <w:rPr>
                <w:rFonts w:ascii="Calibri" w:eastAsia="Times New Roman" w:hAnsi="Calibri" w:cs="Times New Roman"/>
                <w:sz w:val="18"/>
                <w:szCs w:val="18"/>
              </w:rPr>
            </w:pPr>
            <w:r w:rsidRPr="009300EE">
              <w:rPr>
                <w:rFonts w:ascii="Calibri" w:eastAsia="Times New Roman" w:hAnsi="Calibri" w:cs="Times New Roman"/>
                <w:sz w:val="18"/>
                <w:szCs w:val="18"/>
              </w:rPr>
              <w:t xml:space="preserve"> Continuity of Care: Homeless Contract </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20</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22</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23</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25</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25</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24</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23</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29</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30</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22</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27</w:t>
            </w:r>
          </w:p>
        </w:tc>
      </w:tr>
      <w:tr w:rsidR="009300EE" w:rsidRPr="009300EE" w:rsidTr="009300EE">
        <w:trPr>
          <w:trHeight w:val="480"/>
        </w:trPr>
        <w:tc>
          <w:tcPr>
            <w:tcW w:w="0" w:type="auto"/>
            <w:hideMark/>
          </w:tcPr>
          <w:p w:rsidR="009300EE" w:rsidRPr="009300EE" w:rsidRDefault="009300EE" w:rsidP="009300EE">
            <w:pPr>
              <w:rPr>
                <w:rFonts w:ascii="Calibri" w:eastAsia="Times New Roman" w:hAnsi="Calibri" w:cs="Times New Roman"/>
                <w:sz w:val="18"/>
                <w:szCs w:val="18"/>
              </w:rPr>
            </w:pPr>
            <w:r w:rsidRPr="009300EE">
              <w:rPr>
                <w:rFonts w:ascii="Calibri" w:eastAsia="Times New Roman" w:hAnsi="Calibri" w:cs="Times New Roman"/>
                <w:sz w:val="18"/>
                <w:szCs w:val="18"/>
              </w:rPr>
              <w:t xml:space="preserve"> Continuity of Care: Supportive Referral </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149</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143</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149</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138</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167</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160</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162</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161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161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147</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196</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209</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192</w:t>
            </w:r>
          </w:p>
        </w:tc>
      </w:tr>
      <w:tr w:rsidR="009300EE" w:rsidRPr="009300EE" w:rsidTr="009300EE">
        <w:trPr>
          <w:trHeight w:val="480"/>
        </w:trPr>
        <w:tc>
          <w:tcPr>
            <w:tcW w:w="0" w:type="auto"/>
            <w:hideMark/>
          </w:tcPr>
          <w:p w:rsidR="009300EE" w:rsidRPr="009300EE" w:rsidRDefault="009300EE" w:rsidP="009300EE">
            <w:pPr>
              <w:rPr>
                <w:rFonts w:ascii="Calibri" w:eastAsia="Times New Roman" w:hAnsi="Calibri" w:cs="Times New Roman"/>
                <w:sz w:val="18"/>
                <w:szCs w:val="18"/>
              </w:rPr>
            </w:pPr>
            <w:r w:rsidRPr="009300EE">
              <w:rPr>
                <w:rFonts w:ascii="Calibri" w:eastAsia="Times New Roman" w:hAnsi="Calibri" w:cs="Times New Roman"/>
                <w:sz w:val="18"/>
                <w:szCs w:val="18"/>
              </w:rPr>
              <w:t xml:space="preserve"> Continuity of Care: Teen Parent Contract </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9</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9</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9</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7</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8</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7</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8</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12</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19</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10</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12</w:t>
            </w:r>
          </w:p>
        </w:tc>
      </w:tr>
      <w:tr w:rsidR="009300EE" w:rsidRPr="009300EE" w:rsidTr="009300EE">
        <w:trPr>
          <w:trHeight w:val="300"/>
        </w:trPr>
        <w:tc>
          <w:tcPr>
            <w:tcW w:w="0" w:type="auto"/>
            <w:hideMark/>
          </w:tcPr>
          <w:p w:rsidR="009300EE" w:rsidRPr="009300EE" w:rsidRDefault="009300EE" w:rsidP="009300EE">
            <w:pPr>
              <w:rPr>
                <w:rFonts w:ascii="Calibri" w:eastAsia="Times New Roman" w:hAnsi="Calibri" w:cs="Times New Roman"/>
                <w:sz w:val="18"/>
                <w:szCs w:val="18"/>
              </w:rPr>
            </w:pPr>
            <w:r w:rsidRPr="009300EE">
              <w:rPr>
                <w:rFonts w:ascii="Calibri" w:eastAsia="Times New Roman" w:hAnsi="Calibri" w:cs="Times New Roman"/>
                <w:sz w:val="18"/>
                <w:szCs w:val="18"/>
              </w:rPr>
              <w:t xml:space="preserve"> General Priority </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23,341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21,484</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19,574</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18,405</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21,197</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20,828</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22,081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22,763</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23,824</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23,191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23,592</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23,444</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22,865</w:t>
            </w:r>
          </w:p>
        </w:tc>
      </w:tr>
      <w:tr w:rsidR="009300EE" w:rsidRPr="009300EE" w:rsidTr="009300EE">
        <w:trPr>
          <w:trHeight w:val="300"/>
        </w:trPr>
        <w:tc>
          <w:tcPr>
            <w:tcW w:w="0" w:type="auto"/>
            <w:hideMark/>
          </w:tcPr>
          <w:p w:rsidR="009300EE" w:rsidRPr="009300EE" w:rsidRDefault="009300EE" w:rsidP="009300EE">
            <w:pPr>
              <w:rPr>
                <w:rFonts w:ascii="Calibri" w:eastAsia="Times New Roman" w:hAnsi="Calibri" w:cs="Times New Roman"/>
                <w:sz w:val="18"/>
                <w:szCs w:val="18"/>
              </w:rPr>
            </w:pPr>
            <w:r w:rsidRPr="009300EE">
              <w:rPr>
                <w:rFonts w:ascii="Calibri" w:eastAsia="Times New Roman" w:hAnsi="Calibri" w:cs="Times New Roman"/>
                <w:sz w:val="18"/>
                <w:szCs w:val="18"/>
              </w:rPr>
              <w:t xml:space="preserve"> Grandparent/Guardian Families </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205</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183</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176</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173</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199</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204</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212</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207</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211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194</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185</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174</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179</w:t>
            </w:r>
          </w:p>
        </w:tc>
      </w:tr>
      <w:tr w:rsidR="009300EE" w:rsidRPr="009300EE" w:rsidTr="009300EE">
        <w:trPr>
          <w:trHeight w:val="480"/>
        </w:trPr>
        <w:tc>
          <w:tcPr>
            <w:tcW w:w="0" w:type="auto"/>
            <w:hideMark/>
          </w:tcPr>
          <w:p w:rsidR="009300EE" w:rsidRPr="009300EE" w:rsidRDefault="009300EE" w:rsidP="009300EE">
            <w:pPr>
              <w:rPr>
                <w:rFonts w:ascii="Calibri" w:eastAsia="Times New Roman" w:hAnsi="Calibri" w:cs="Times New Roman"/>
                <w:sz w:val="18"/>
                <w:szCs w:val="18"/>
              </w:rPr>
            </w:pPr>
            <w:r w:rsidRPr="009300EE">
              <w:rPr>
                <w:rFonts w:ascii="Calibri" w:eastAsia="Times New Roman" w:hAnsi="Calibri" w:cs="Times New Roman"/>
                <w:sz w:val="18"/>
                <w:szCs w:val="18"/>
              </w:rPr>
              <w:t xml:space="preserve"> Head Start Wrap Around - HS Enrolled Only </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27</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12</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13</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12</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16</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19</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23</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30</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16</w:t>
            </w:r>
          </w:p>
        </w:tc>
      </w:tr>
      <w:tr w:rsidR="009300EE" w:rsidRPr="009300EE" w:rsidTr="009300EE">
        <w:trPr>
          <w:trHeight w:val="480"/>
        </w:trPr>
        <w:tc>
          <w:tcPr>
            <w:tcW w:w="0" w:type="auto"/>
            <w:hideMark/>
          </w:tcPr>
          <w:p w:rsidR="009300EE" w:rsidRPr="009300EE" w:rsidRDefault="009300EE" w:rsidP="009300EE">
            <w:pPr>
              <w:rPr>
                <w:rFonts w:ascii="Calibri" w:eastAsia="Times New Roman" w:hAnsi="Calibri" w:cs="Times New Roman"/>
                <w:sz w:val="18"/>
                <w:szCs w:val="18"/>
              </w:rPr>
            </w:pPr>
            <w:r w:rsidRPr="009300EE">
              <w:rPr>
                <w:rFonts w:ascii="Calibri" w:eastAsia="Times New Roman" w:hAnsi="Calibri" w:cs="Times New Roman"/>
                <w:sz w:val="18"/>
                <w:szCs w:val="18"/>
              </w:rPr>
              <w:lastRenderedPageBreak/>
              <w:t xml:space="preserve"> No Priority - Other Family Member </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191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186</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170</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160</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161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157</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157</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154</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163</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155</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150</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155</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177</w:t>
            </w:r>
          </w:p>
        </w:tc>
      </w:tr>
      <w:tr w:rsidR="009300EE" w:rsidRPr="009300EE" w:rsidTr="009300EE">
        <w:trPr>
          <w:trHeight w:val="300"/>
        </w:trPr>
        <w:tc>
          <w:tcPr>
            <w:tcW w:w="0" w:type="auto"/>
            <w:hideMark/>
          </w:tcPr>
          <w:p w:rsidR="009300EE" w:rsidRPr="009300EE" w:rsidRDefault="009300EE" w:rsidP="009300EE">
            <w:pPr>
              <w:rPr>
                <w:rFonts w:ascii="Calibri" w:eastAsia="Times New Roman" w:hAnsi="Calibri" w:cs="Times New Roman"/>
                <w:sz w:val="18"/>
                <w:szCs w:val="18"/>
              </w:rPr>
            </w:pPr>
            <w:r w:rsidRPr="009300EE">
              <w:rPr>
                <w:rFonts w:ascii="Calibri" w:eastAsia="Times New Roman" w:hAnsi="Calibri" w:cs="Times New Roman"/>
                <w:sz w:val="18"/>
                <w:szCs w:val="18"/>
              </w:rPr>
              <w:t xml:space="preserve"> Parent with Special Needs </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168</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153</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145</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136</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155</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164</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159</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151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160</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150</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153</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150</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120</w:t>
            </w:r>
          </w:p>
        </w:tc>
      </w:tr>
      <w:tr w:rsidR="009300EE" w:rsidRPr="009300EE" w:rsidTr="009300EE">
        <w:trPr>
          <w:trHeight w:val="300"/>
        </w:trPr>
        <w:tc>
          <w:tcPr>
            <w:tcW w:w="0" w:type="auto"/>
            <w:hideMark/>
          </w:tcPr>
          <w:p w:rsidR="009300EE" w:rsidRPr="009300EE" w:rsidRDefault="009300EE" w:rsidP="009300EE">
            <w:pPr>
              <w:rPr>
                <w:rFonts w:ascii="Calibri" w:eastAsia="Times New Roman" w:hAnsi="Calibri" w:cs="Times New Roman"/>
                <w:sz w:val="18"/>
                <w:szCs w:val="18"/>
              </w:rPr>
            </w:pPr>
            <w:r w:rsidRPr="009300EE">
              <w:rPr>
                <w:rFonts w:ascii="Calibri" w:eastAsia="Times New Roman" w:hAnsi="Calibri" w:cs="Times New Roman"/>
                <w:sz w:val="18"/>
                <w:szCs w:val="18"/>
              </w:rPr>
              <w:t xml:space="preserve"> Sibling: Contract </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288</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315</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287</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262</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339</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296</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306</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302</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301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286</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267</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253</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229</w:t>
            </w:r>
          </w:p>
        </w:tc>
      </w:tr>
      <w:tr w:rsidR="009300EE" w:rsidRPr="009300EE" w:rsidTr="009300EE">
        <w:trPr>
          <w:trHeight w:val="300"/>
        </w:trPr>
        <w:tc>
          <w:tcPr>
            <w:tcW w:w="0" w:type="auto"/>
            <w:hideMark/>
          </w:tcPr>
          <w:p w:rsidR="009300EE" w:rsidRPr="009300EE" w:rsidRDefault="009300EE" w:rsidP="009300EE">
            <w:pPr>
              <w:rPr>
                <w:rFonts w:ascii="Calibri" w:eastAsia="Times New Roman" w:hAnsi="Calibri" w:cs="Times New Roman"/>
                <w:sz w:val="18"/>
                <w:szCs w:val="18"/>
              </w:rPr>
            </w:pPr>
            <w:r w:rsidRPr="009300EE">
              <w:rPr>
                <w:rFonts w:ascii="Calibri" w:eastAsia="Times New Roman" w:hAnsi="Calibri" w:cs="Times New Roman"/>
                <w:sz w:val="18"/>
                <w:szCs w:val="18"/>
              </w:rPr>
              <w:t xml:space="preserve"> Sibling: Voucher </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303</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331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354</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346</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417</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356</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352</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354</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339</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321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295</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265</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251</w:t>
            </w:r>
          </w:p>
        </w:tc>
      </w:tr>
      <w:tr w:rsidR="009300EE" w:rsidRPr="009300EE" w:rsidTr="009300EE">
        <w:trPr>
          <w:trHeight w:val="300"/>
        </w:trPr>
        <w:tc>
          <w:tcPr>
            <w:tcW w:w="0" w:type="auto"/>
            <w:hideMark/>
          </w:tcPr>
          <w:p w:rsidR="009300EE" w:rsidRPr="009300EE" w:rsidRDefault="009300EE" w:rsidP="009300EE">
            <w:pPr>
              <w:rPr>
                <w:rFonts w:ascii="Calibri" w:eastAsia="Times New Roman" w:hAnsi="Calibri" w:cs="Times New Roman"/>
                <w:sz w:val="18"/>
                <w:szCs w:val="18"/>
              </w:rPr>
            </w:pPr>
            <w:r w:rsidRPr="009300EE">
              <w:rPr>
                <w:rFonts w:ascii="Calibri" w:eastAsia="Times New Roman" w:hAnsi="Calibri" w:cs="Times New Roman"/>
                <w:sz w:val="18"/>
                <w:szCs w:val="18"/>
              </w:rPr>
              <w:t xml:space="preserve"> Summer only care </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728</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723</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716</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688</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814</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721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829</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899</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1,156</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1,016</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618</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502</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532</w:t>
            </w:r>
          </w:p>
        </w:tc>
      </w:tr>
      <w:tr w:rsidR="009300EE" w:rsidRPr="009300EE" w:rsidTr="009300EE">
        <w:trPr>
          <w:trHeight w:val="300"/>
        </w:trPr>
        <w:tc>
          <w:tcPr>
            <w:tcW w:w="0" w:type="auto"/>
            <w:hideMark/>
          </w:tcPr>
          <w:p w:rsidR="009300EE" w:rsidRPr="009300EE" w:rsidRDefault="009300EE" w:rsidP="009300EE">
            <w:pPr>
              <w:rPr>
                <w:rFonts w:ascii="Calibri" w:eastAsia="Times New Roman" w:hAnsi="Calibri" w:cs="Times New Roman"/>
                <w:sz w:val="18"/>
                <w:szCs w:val="18"/>
              </w:rPr>
            </w:pPr>
            <w:r w:rsidRPr="009300EE">
              <w:rPr>
                <w:rFonts w:ascii="Calibri" w:eastAsia="Times New Roman" w:hAnsi="Calibri" w:cs="Times New Roman"/>
                <w:sz w:val="18"/>
                <w:szCs w:val="18"/>
              </w:rPr>
              <w:t xml:space="preserve"> N/A </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16</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12</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11</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10</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9</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9</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9</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9</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9</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12</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10</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14</w:t>
            </w:r>
          </w:p>
        </w:tc>
        <w:tc>
          <w:tcPr>
            <w:tcW w:w="0" w:type="auto"/>
            <w:hideMark/>
          </w:tcPr>
          <w:p w:rsidR="009300EE" w:rsidRPr="009300EE" w:rsidRDefault="009300EE" w:rsidP="009300EE">
            <w:pPr>
              <w:jc w:val="right"/>
              <w:rPr>
                <w:rFonts w:ascii="Calibri" w:eastAsia="Times New Roman" w:hAnsi="Calibri" w:cs="Times New Roman"/>
                <w:sz w:val="18"/>
                <w:szCs w:val="18"/>
              </w:rPr>
            </w:pPr>
            <w:r w:rsidRPr="009300EE">
              <w:rPr>
                <w:rFonts w:ascii="Calibri" w:eastAsia="Times New Roman" w:hAnsi="Calibri" w:cs="Times New Roman"/>
                <w:sz w:val="18"/>
                <w:szCs w:val="18"/>
              </w:rPr>
              <w:t>11</w:t>
            </w:r>
          </w:p>
        </w:tc>
      </w:tr>
      <w:tr w:rsidR="009300EE" w:rsidRPr="009300EE" w:rsidTr="009300EE">
        <w:trPr>
          <w:trHeight w:val="300"/>
        </w:trPr>
        <w:tc>
          <w:tcPr>
            <w:tcW w:w="0" w:type="auto"/>
            <w:hideMark/>
          </w:tcPr>
          <w:p w:rsidR="009300EE" w:rsidRPr="009300EE" w:rsidRDefault="009300EE" w:rsidP="009300EE">
            <w:pPr>
              <w:rPr>
                <w:rFonts w:ascii="Calibri" w:eastAsia="Times New Roman" w:hAnsi="Calibri" w:cs="Times New Roman"/>
                <w:b/>
                <w:bCs/>
                <w:color w:val="FFFFFF"/>
                <w:sz w:val="18"/>
                <w:szCs w:val="18"/>
              </w:rPr>
            </w:pPr>
            <w:r w:rsidRPr="009300EE">
              <w:rPr>
                <w:rFonts w:ascii="Calibri" w:eastAsia="Times New Roman" w:hAnsi="Calibri" w:cs="Times New Roman"/>
                <w:b/>
                <w:bCs/>
                <w:color w:val="FFFFFF"/>
                <w:sz w:val="18"/>
                <w:szCs w:val="18"/>
              </w:rPr>
              <w:t>Grand Total</w:t>
            </w:r>
          </w:p>
        </w:tc>
        <w:tc>
          <w:tcPr>
            <w:tcW w:w="0" w:type="auto"/>
            <w:hideMark/>
          </w:tcPr>
          <w:p w:rsidR="009300EE" w:rsidRPr="009300EE" w:rsidRDefault="009300EE" w:rsidP="009300EE">
            <w:pPr>
              <w:rPr>
                <w:rFonts w:ascii="Calibri" w:eastAsia="Times New Roman" w:hAnsi="Calibri" w:cs="Times New Roman"/>
                <w:b/>
                <w:bCs/>
                <w:color w:val="FFFFFF"/>
                <w:sz w:val="18"/>
                <w:szCs w:val="18"/>
              </w:rPr>
            </w:pPr>
            <w:r w:rsidRPr="009300EE">
              <w:rPr>
                <w:rFonts w:ascii="Calibri" w:eastAsia="Times New Roman" w:hAnsi="Calibri" w:cs="Times New Roman"/>
                <w:b/>
                <w:bCs/>
                <w:color w:val="FFFFFF"/>
                <w:sz w:val="18"/>
                <w:szCs w:val="18"/>
              </w:rPr>
              <w:t xml:space="preserve">          28,273 </w:t>
            </w:r>
          </w:p>
        </w:tc>
        <w:tc>
          <w:tcPr>
            <w:tcW w:w="0" w:type="auto"/>
            <w:hideMark/>
          </w:tcPr>
          <w:p w:rsidR="009300EE" w:rsidRPr="009300EE" w:rsidRDefault="009300EE" w:rsidP="009300EE">
            <w:pPr>
              <w:rPr>
                <w:rFonts w:ascii="Calibri" w:eastAsia="Times New Roman" w:hAnsi="Calibri" w:cs="Times New Roman"/>
                <w:b/>
                <w:bCs/>
                <w:color w:val="FFFFFF"/>
                <w:sz w:val="18"/>
                <w:szCs w:val="18"/>
              </w:rPr>
            </w:pPr>
            <w:r w:rsidRPr="009300EE">
              <w:rPr>
                <w:rFonts w:ascii="Calibri" w:eastAsia="Times New Roman" w:hAnsi="Calibri" w:cs="Times New Roman"/>
                <w:b/>
                <w:bCs/>
                <w:color w:val="FFFFFF"/>
                <w:sz w:val="18"/>
                <w:szCs w:val="18"/>
              </w:rPr>
              <w:t xml:space="preserve">         26,141 </w:t>
            </w:r>
          </w:p>
        </w:tc>
        <w:tc>
          <w:tcPr>
            <w:tcW w:w="0" w:type="auto"/>
            <w:hideMark/>
          </w:tcPr>
          <w:p w:rsidR="009300EE" w:rsidRPr="009300EE" w:rsidRDefault="009300EE" w:rsidP="009300EE">
            <w:pPr>
              <w:rPr>
                <w:rFonts w:ascii="Calibri" w:eastAsia="Times New Roman" w:hAnsi="Calibri" w:cs="Times New Roman"/>
                <w:b/>
                <w:bCs/>
                <w:color w:val="FFFFFF"/>
                <w:sz w:val="18"/>
                <w:szCs w:val="18"/>
              </w:rPr>
            </w:pPr>
            <w:r w:rsidRPr="009300EE">
              <w:rPr>
                <w:rFonts w:ascii="Calibri" w:eastAsia="Times New Roman" w:hAnsi="Calibri" w:cs="Times New Roman"/>
                <w:b/>
                <w:bCs/>
                <w:color w:val="FFFFFF"/>
                <w:sz w:val="18"/>
                <w:szCs w:val="18"/>
              </w:rPr>
              <w:t xml:space="preserve">          23,961 </w:t>
            </w:r>
          </w:p>
        </w:tc>
        <w:tc>
          <w:tcPr>
            <w:tcW w:w="0" w:type="auto"/>
            <w:hideMark/>
          </w:tcPr>
          <w:p w:rsidR="009300EE" w:rsidRPr="009300EE" w:rsidRDefault="009300EE" w:rsidP="009300EE">
            <w:pPr>
              <w:rPr>
                <w:rFonts w:ascii="Calibri" w:eastAsia="Times New Roman" w:hAnsi="Calibri" w:cs="Times New Roman"/>
                <w:b/>
                <w:bCs/>
                <w:color w:val="FFFFFF"/>
                <w:sz w:val="18"/>
                <w:szCs w:val="18"/>
              </w:rPr>
            </w:pPr>
            <w:r w:rsidRPr="009300EE">
              <w:rPr>
                <w:rFonts w:ascii="Calibri" w:eastAsia="Times New Roman" w:hAnsi="Calibri" w:cs="Times New Roman"/>
                <w:b/>
                <w:bCs/>
                <w:color w:val="FFFFFF"/>
                <w:sz w:val="18"/>
                <w:szCs w:val="18"/>
              </w:rPr>
              <w:t xml:space="preserve">          22,595 </w:t>
            </w:r>
          </w:p>
        </w:tc>
        <w:tc>
          <w:tcPr>
            <w:tcW w:w="0" w:type="auto"/>
            <w:hideMark/>
          </w:tcPr>
          <w:p w:rsidR="009300EE" w:rsidRPr="009300EE" w:rsidRDefault="009300EE" w:rsidP="009300EE">
            <w:pPr>
              <w:rPr>
                <w:rFonts w:ascii="Calibri" w:eastAsia="Times New Roman" w:hAnsi="Calibri" w:cs="Times New Roman"/>
                <w:b/>
                <w:bCs/>
                <w:color w:val="FFFFFF"/>
                <w:sz w:val="18"/>
                <w:szCs w:val="18"/>
              </w:rPr>
            </w:pPr>
            <w:r w:rsidRPr="009300EE">
              <w:rPr>
                <w:rFonts w:ascii="Calibri" w:eastAsia="Times New Roman" w:hAnsi="Calibri" w:cs="Times New Roman"/>
                <w:b/>
                <w:bCs/>
                <w:color w:val="FFFFFF"/>
                <w:sz w:val="18"/>
                <w:szCs w:val="18"/>
              </w:rPr>
              <w:t xml:space="preserve">          26,147 </w:t>
            </w:r>
          </w:p>
        </w:tc>
        <w:tc>
          <w:tcPr>
            <w:tcW w:w="0" w:type="auto"/>
            <w:hideMark/>
          </w:tcPr>
          <w:p w:rsidR="009300EE" w:rsidRPr="009300EE" w:rsidRDefault="009300EE" w:rsidP="009300EE">
            <w:pPr>
              <w:rPr>
                <w:rFonts w:ascii="Calibri" w:eastAsia="Times New Roman" w:hAnsi="Calibri" w:cs="Times New Roman"/>
                <w:b/>
                <w:bCs/>
                <w:color w:val="FFFFFF"/>
                <w:sz w:val="18"/>
                <w:szCs w:val="18"/>
              </w:rPr>
            </w:pPr>
            <w:r w:rsidRPr="009300EE">
              <w:rPr>
                <w:rFonts w:ascii="Calibri" w:eastAsia="Times New Roman" w:hAnsi="Calibri" w:cs="Times New Roman"/>
                <w:b/>
                <w:bCs/>
                <w:color w:val="FFFFFF"/>
                <w:sz w:val="18"/>
                <w:szCs w:val="18"/>
              </w:rPr>
              <w:t xml:space="preserve">          25,412 </w:t>
            </w:r>
          </w:p>
        </w:tc>
        <w:tc>
          <w:tcPr>
            <w:tcW w:w="0" w:type="auto"/>
            <w:hideMark/>
          </w:tcPr>
          <w:p w:rsidR="009300EE" w:rsidRPr="009300EE" w:rsidRDefault="009300EE" w:rsidP="009300EE">
            <w:pPr>
              <w:rPr>
                <w:rFonts w:ascii="Calibri" w:eastAsia="Times New Roman" w:hAnsi="Calibri" w:cs="Times New Roman"/>
                <w:b/>
                <w:bCs/>
                <w:color w:val="FFFFFF"/>
                <w:sz w:val="18"/>
                <w:szCs w:val="18"/>
              </w:rPr>
            </w:pPr>
            <w:r w:rsidRPr="009300EE">
              <w:rPr>
                <w:rFonts w:ascii="Calibri" w:eastAsia="Times New Roman" w:hAnsi="Calibri" w:cs="Times New Roman"/>
                <w:b/>
                <w:bCs/>
                <w:color w:val="FFFFFF"/>
                <w:sz w:val="18"/>
                <w:szCs w:val="18"/>
              </w:rPr>
              <w:t xml:space="preserve">          26,938 </w:t>
            </w:r>
          </w:p>
        </w:tc>
        <w:tc>
          <w:tcPr>
            <w:tcW w:w="0" w:type="auto"/>
            <w:hideMark/>
          </w:tcPr>
          <w:p w:rsidR="009300EE" w:rsidRPr="009300EE" w:rsidRDefault="009300EE" w:rsidP="009300EE">
            <w:pPr>
              <w:rPr>
                <w:rFonts w:ascii="Calibri" w:eastAsia="Times New Roman" w:hAnsi="Calibri" w:cs="Times New Roman"/>
                <w:b/>
                <w:bCs/>
                <w:color w:val="FFFFFF"/>
                <w:sz w:val="18"/>
                <w:szCs w:val="18"/>
              </w:rPr>
            </w:pPr>
            <w:r w:rsidRPr="009300EE">
              <w:rPr>
                <w:rFonts w:ascii="Calibri" w:eastAsia="Times New Roman" w:hAnsi="Calibri" w:cs="Times New Roman"/>
                <w:b/>
                <w:bCs/>
                <w:color w:val="FFFFFF"/>
                <w:sz w:val="18"/>
                <w:szCs w:val="18"/>
              </w:rPr>
              <w:t xml:space="preserve">          27,708 </w:t>
            </w:r>
          </w:p>
        </w:tc>
        <w:tc>
          <w:tcPr>
            <w:tcW w:w="0" w:type="auto"/>
            <w:hideMark/>
          </w:tcPr>
          <w:p w:rsidR="009300EE" w:rsidRPr="009300EE" w:rsidRDefault="009300EE" w:rsidP="009300EE">
            <w:pPr>
              <w:rPr>
                <w:rFonts w:ascii="Calibri" w:eastAsia="Times New Roman" w:hAnsi="Calibri" w:cs="Times New Roman"/>
                <w:b/>
                <w:bCs/>
                <w:color w:val="FFFFFF"/>
                <w:sz w:val="18"/>
                <w:szCs w:val="18"/>
              </w:rPr>
            </w:pPr>
            <w:r w:rsidRPr="009300EE">
              <w:rPr>
                <w:rFonts w:ascii="Calibri" w:eastAsia="Times New Roman" w:hAnsi="Calibri" w:cs="Times New Roman"/>
                <w:b/>
                <w:bCs/>
                <w:color w:val="FFFFFF"/>
                <w:sz w:val="18"/>
                <w:szCs w:val="18"/>
              </w:rPr>
              <w:t xml:space="preserve">          29,164 </w:t>
            </w:r>
          </w:p>
        </w:tc>
        <w:tc>
          <w:tcPr>
            <w:tcW w:w="0" w:type="auto"/>
            <w:hideMark/>
          </w:tcPr>
          <w:p w:rsidR="009300EE" w:rsidRPr="009300EE" w:rsidRDefault="009300EE" w:rsidP="009300EE">
            <w:pPr>
              <w:rPr>
                <w:rFonts w:ascii="Calibri" w:eastAsia="Times New Roman" w:hAnsi="Calibri" w:cs="Times New Roman"/>
                <w:b/>
                <w:bCs/>
                <w:color w:val="FFFFFF"/>
                <w:sz w:val="18"/>
                <w:szCs w:val="18"/>
              </w:rPr>
            </w:pPr>
            <w:r w:rsidRPr="009300EE">
              <w:rPr>
                <w:rFonts w:ascii="Calibri" w:eastAsia="Times New Roman" w:hAnsi="Calibri" w:cs="Times New Roman"/>
                <w:b/>
                <w:bCs/>
                <w:color w:val="FFFFFF"/>
                <w:sz w:val="18"/>
                <w:szCs w:val="18"/>
              </w:rPr>
              <w:t xml:space="preserve">          28,158 </w:t>
            </w:r>
          </w:p>
        </w:tc>
        <w:tc>
          <w:tcPr>
            <w:tcW w:w="0" w:type="auto"/>
            <w:hideMark/>
          </w:tcPr>
          <w:p w:rsidR="009300EE" w:rsidRPr="009300EE" w:rsidRDefault="009300EE" w:rsidP="009300EE">
            <w:pPr>
              <w:rPr>
                <w:rFonts w:ascii="Calibri" w:eastAsia="Times New Roman" w:hAnsi="Calibri" w:cs="Times New Roman"/>
                <w:b/>
                <w:bCs/>
                <w:color w:val="FFFFFF"/>
                <w:sz w:val="18"/>
                <w:szCs w:val="18"/>
              </w:rPr>
            </w:pPr>
            <w:r w:rsidRPr="009300EE">
              <w:rPr>
                <w:rFonts w:ascii="Calibri" w:eastAsia="Times New Roman" w:hAnsi="Calibri" w:cs="Times New Roman"/>
                <w:b/>
                <w:bCs/>
                <w:color w:val="FFFFFF"/>
                <w:sz w:val="18"/>
                <w:szCs w:val="18"/>
              </w:rPr>
              <w:t xml:space="preserve">          28,179 </w:t>
            </w:r>
          </w:p>
        </w:tc>
        <w:tc>
          <w:tcPr>
            <w:tcW w:w="0" w:type="auto"/>
            <w:hideMark/>
          </w:tcPr>
          <w:p w:rsidR="009300EE" w:rsidRPr="009300EE" w:rsidRDefault="009300EE" w:rsidP="009300EE">
            <w:pPr>
              <w:rPr>
                <w:rFonts w:ascii="Calibri" w:eastAsia="Times New Roman" w:hAnsi="Calibri" w:cs="Times New Roman"/>
                <w:b/>
                <w:bCs/>
                <w:color w:val="FFFFFF"/>
                <w:sz w:val="18"/>
                <w:szCs w:val="18"/>
              </w:rPr>
            </w:pPr>
            <w:r w:rsidRPr="009300EE">
              <w:rPr>
                <w:rFonts w:ascii="Calibri" w:eastAsia="Times New Roman" w:hAnsi="Calibri" w:cs="Times New Roman"/>
                <w:b/>
                <w:bCs/>
                <w:color w:val="FFFFFF"/>
                <w:sz w:val="18"/>
                <w:szCs w:val="18"/>
              </w:rPr>
              <w:t xml:space="preserve">          27,768 </w:t>
            </w:r>
          </w:p>
        </w:tc>
        <w:tc>
          <w:tcPr>
            <w:tcW w:w="0" w:type="auto"/>
            <w:hideMark/>
          </w:tcPr>
          <w:p w:rsidR="009300EE" w:rsidRPr="009300EE" w:rsidRDefault="009300EE" w:rsidP="009300EE">
            <w:pPr>
              <w:rPr>
                <w:rFonts w:ascii="Calibri" w:eastAsia="Times New Roman" w:hAnsi="Calibri" w:cs="Times New Roman"/>
                <w:b/>
                <w:bCs/>
                <w:color w:val="FFFFFF"/>
                <w:sz w:val="18"/>
                <w:szCs w:val="18"/>
              </w:rPr>
            </w:pPr>
            <w:r w:rsidRPr="009300EE">
              <w:rPr>
                <w:rFonts w:ascii="Calibri" w:eastAsia="Times New Roman" w:hAnsi="Calibri" w:cs="Times New Roman"/>
                <w:b/>
                <w:bCs/>
                <w:color w:val="FFFFFF"/>
                <w:sz w:val="18"/>
                <w:szCs w:val="18"/>
              </w:rPr>
              <w:t xml:space="preserve">          27,072 </w:t>
            </w:r>
          </w:p>
        </w:tc>
      </w:tr>
    </w:tbl>
    <w:p w:rsidR="009300EE" w:rsidRDefault="009300EE" w:rsidP="00F41ADD">
      <w:pPr>
        <w:tabs>
          <w:tab w:val="left" w:pos="1020"/>
        </w:tabs>
      </w:pPr>
    </w:p>
    <w:p w:rsidR="009300EE" w:rsidRPr="009300EE" w:rsidRDefault="009300EE" w:rsidP="009300EE">
      <w:pPr>
        <w:tabs>
          <w:tab w:val="left" w:pos="1020"/>
        </w:tabs>
      </w:pPr>
      <w:r w:rsidRPr="009300EE">
        <w:t>Data Report created on  October 28, 2015</w:t>
      </w:r>
    </w:p>
    <w:p w:rsidR="009300EE" w:rsidRPr="009300EE" w:rsidRDefault="009300EE" w:rsidP="009300EE">
      <w:pPr>
        <w:tabs>
          <w:tab w:val="left" w:pos="1020"/>
        </w:tabs>
      </w:pPr>
      <w:r w:rsidRPr="009300EE">
        <w:t>** Excludes Unborn children, Children 13 or older, “0” zip codes and towns out of state</w:t>
      </w:r>
    </w:p>
    <w:p w:rsidR="009300EE" w:rsidRDefault="009300EE" w:rsidP="00F41ADD">
      <w:pPr>
        <w:tabs>
          <w:tab w:val="left" w:pos="1020"/>
        </w:tabs>
      </w:pPr>
      <w:r>
        <w:t>Slide 28</w:t>
      </w:r>
    </w:p>
    <w:p w:rsidR="009300EE" w:rsidRPr="00C80984" w:rsidRDefault="009300EE" w:rsidP="009300EE">
      <w:pPr>
        <w:rPr>
          <w:bCs/>
        </w:rPr>
      </w:pPr>
      <w:r w:rsidRPr="00C80984">
        <w:rPr>
          <w:bCs/>
        </w:rPr>
        <w:t>Image of a line graph that compares the historical counts of the waitlist going back to June 2013 with the number of children served in the income eligible account.</w:t>
      </w:r>
    </w:p>
    <w:p w:rsidR="009300EE" w:rsidRPr="00C80984" w:rsidRDefault="009300EE" w:rsidP="009300EE">
      <w:pPr>
        <w:rPr>
          <w:bCs/>
        </w:rPr>
      </w:pPr>
      <w:r>
        <w:rPr>
          <w:bCs/>
        </w:rPr>
        <w:t>Slide 2</w:t>
      </w:r>
      <w:r w:rsidRPr="00C80984">
        <w:rPr>
          <w:bCs/>
        </w:rPr>
        <w:t>9</w:t>
      </w:r>
    </w:p>
    <w:p w:rsidR="009300EE" w:rsidRPr="00C80984" w:rsidRDefault="009300EE" w:rsidP="009300EE">
      <w:pPr>
        <w:rPr>
          <w:bCs/>
        </w:rPr>
      </w:pPr>
      <w:r w:rsidRPr="00C80984">
        <w:rPr>
          <w:bCs/>
        </w:rPr>
        <w:t>Image of a line graph that tracks the number of DTA children served in fiscals years 2010 through 2015.</w:t>
      </w:r>
    </w:p>
    <w:p w:rsidR="009300EE" w:rsidRPr="00C80984" w:rsidRDefault="009300EE" w:rsidP="009300EE">
      <w:pPr>
        <w:rPr>
          <w:bCs/>
        </w:rPr>
      </w:pPr>
      <w:r>
        <w:rPr>
          <w:bCs/>
        </w:rPr>
        <w:t>Slide 3</w:t>
      </w:r>
      <w:r w:rsidRPr="00C80984">
        <w:rPr>
          <w:bCs/>
        </w:rPr>
        <w:t>0</w:t>
      </w:r>
    </w:p>
    <w:p w:rsidR="009300EE" w:rsidRPr="00C80984" w:rsidRDefault="009300EE" w:rsidP="009300EE">
      <w:pPr>
        <w:rPr>
          <w:bCs/>
        </w:rPr>
      </w:pPr>
      <w:r w:rsidRPr="00C80984">
        <w:rPr>
          <w:bCs/>
        </w:rPr>
        <w:t>Image of a line graph that tracks the number of DCF children served in fiscals years 2010 through 2015.</w:t>
      </w:r>
    </w:p>
    <w:p w:rsidR="009300EE" w:rsidRPr="00F41ADD" w:rsidRDefault="009300EE" w:rsidP="00F41ADD">
      <w:pPr>
        <w:tabs>
          <w:tab w:val="left" w:pos="1020"/>
        </w:tabs>
      </w:pPr>
    </w:p>
    <w:sectPr w:rsidR="009300EE" w:rsidRPr="00F41ADD" w:rsidSect="00723A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D3A4A"/>
    <w:multiLevelType w:val="hybridMultilevel"/>
    <w:tmpl w:val="BD108DA4"/>
    <w:lvl w:ilvl="0" w:tplc="5CCC5472">
      <w:start w:val="1"/>
      <w:numFmt w:val="decimal"/>
      <w:lvlText w:val="%1."/>
      <w:lvlJc w:val="left"/>
      <w:pPr>
        <w:tabs>
          <w:tab w:val="num" w:pos="720"/>
        </w:tabs>
        <w:ind w:left="720" w:hanging="360"/>
      </w:pPr>
    </w:lvl>
    <w:lvl w:ilvl="1" w:tplc="0B7CFE78" w:tentative="1">
      <w:start w:val="1"/>
      <w:numFmt w:val="decimal"/>
      <w:lvlText w:val="%2."/>
      <w:lvlJc w:val="left"/>
      <w:pPr>
        <w:tabs>
          <w:tab w:val="num" w:pos="1440"/>
        </w:tabs>
        <w:ind w:left="1440" w:hanging="360"/>
      </w:pPr>
    </w:lvl>
    <w:lvl w:ilvl="2" w:tplc="F9C80916" w:tentative="1">
      <w:start w:val="1"/>
      <w:numFmt w:val="decimal"/>
      <w:lvlText w:val="%3."/>
      <w:lvlJc w:val="left"/>
      <w:pPr>
        <w:tabs>
          <w:tab w:val="num" w:pos="2160"/>
        </w:tabs>
        <w:ind w:left="2160" w:hanging="360"/>
      </w:pPr>
    </w:lvl>
    <w:lvl w:ilvl="3" w:tplc="F02ED354" w:tentative="1">
      <w:start w:val="1"/>
      <w:numFmt w:val="decimal"/>
      <w:lvlText w:val="%4."/>
      <w:lvlJc w:val="left"/>
      <w:pPr>
        <w:tabs>
          <w:tab w:val="num" w:pos="2880"/>
        </w:tabs>
        <w:ind w:left="2880" w:hanging="360"/>
      </w:pPr>
    </w:lvl>
    <w:lvl w:ilvl="4" w:tplc="D5FE2C4C" w:tentative="1">
      <w:start w:val="1"/>
      <w:numFmt w:val="decimal"/>
      <w:lvlText w:val="%5."/>
      <w:lvlJc w:val="left"/>
      <w:pPr>
        <w:tabs>
          <w:tab w:val="num" w:pos="3600"/>
        </w:tabs>
        <w:ind w:left="3600" w:hanging="360"/>
      </w:pPr>
    </w:lvl>
    <w:lvl w:ilvl="5" w:tplc="B39A9C5A" w:tentative="1">
      <w:start w:val="1"/>
      <w:numFmt w:val="decimal"/>
      <w:lvlText w:val="%6."/>
      <w:lvlJc w:val="left"/>
      <w:pPr>
        <w:tabs>
          <w:tab w:val="num" w:pos="4320"/>
        </w:tabs>
        <w:ind w:left="4320" w:hanging="360"/>
      </w:pPr>
    </w:lvl>
    <w:lvl w:ilvl="6" w:tplc="BF826FE0" w:tentative="1">
      <w:start w:val="1"/>
      <w:numFmt w:val="decimal"/>
      <w:lvlText w:val="%7."/>
      <w:lvlJc w:val="left"/>
      <w:pPr>
        <w:tabs>
          <w:tab w:val="num" w:pos="5040"/>
        </w:tabs>
        <w:ind w:left="5040" w:hanging="360"/>
      </w:pPr>
    </w:lvl>
    <w:lvl w:ilvl="7" w:tplc="771A8B8E" w:tentative="1">
      <w:start w:val="1"/>
      <w:numFmt w:val="decimal"/>
      <w:lvlText w:val="%8."/>
      <w:lvlJc w:val="left"/>
      <w:pPr>
        <w:tabs>
          <w:tab w:val="num" w:pos="5760"/>
        </w:tabs>
        <w:ind w:left="5760" w:hanging="360"/>
      </w:pPr>
    </w:lvl>
    <w:lvl w:ilvl="8" w:tplc="71486C22" w:tentative="1">
      <w:start w:val="1"/>
      <w:numFmt w:val="decimal"/>
      <w:lvlText w:val="%9."/>
      <w:lvlJc w:val="left"/>
      <w:pPr>
        <w:tabs>
          <w:tab w:val="num" w:pos="6480"/>
        </w:tabs>
        <w:ind w:left="6480" w:hanging="360"/>
      </w:pPr>
    </w:lvl>
  </w:abstractNum>
  <w:abstractNum w:abstractNumId="1">
    <w:nsid w:val="0D4B1A48"/>
    <w:multiLevelType w:val="hybridMultilevel"/>
    <w:tmpl w:val="F31894AC"/>
    <w:lvl w:ilvl="0" w:tplc="0FF0EA80">
      <w:start w:val="1"/>
      <w:numFmt w:val="bullet"/>
      <w:lvlText w:val=""/>
      <w:lvlJc w:val="left"/>
      <w:pPr>
        <w:tabs>
          <w:tab w:val="num" w:pos="720"/>
        </w:tabs>
        <w:ind w:left="720" w:hanging="360"/>
      </w:pPr>
      <w:rPr>
        <w:rFonts w:ascii="Wingdings" w:hAnsi="Wingdings" w:hint="default"/>
      </w:rPr>
    </w:lvl>
    <w:lvl w:ilvl="1" w:tplc="B400FB4E">
      <w:start w:val="1"/>
      <w:numFmt w:val="bullet"/>
      <w:lvlText w:val=""/>
      <w:lvlJc w:val="left"/>
      <w:pPr>
        <w:tabs>
          <w:tab w:val="num" w:pos="1440"/>
        </w:tabs>
        <w:ind w:left="1440" w:hanging="360"/>
      </w:pPr>
      <w:rPr>
        <w:rFonts w:ascii="Wingdings" w:hAnsi="Wingdings" w:hint="default"/>
      </w:rPr>
    </w:lvl>
    <w:lvl w:ilvl="2" w:tplc="9AFC3A46" w:tentative="1">
      <w:start w:val="1"/>
      <w:numFmt w:val="bullet"/>
      <w:lvlText w:val=""/>
      <w:lvlJc w:val="left"/>
      <w:pPr>
        <w:tabs>
          <w:tab w:val="num" w:pos="2160"/>
        </w:tabs>
        <w:ind w:left="2160" w:hanging="360"/>
      </w:pPr>
      <w:rPr>
        <w:rFonts w:ascii="Wingdings" w:hAnsi="Wingdings" w:hint="default"/>
      </w:rPr>
    </w:lvl>
    <w:lvl w:ilvl="3" w:tplc="F01E43F8" w:tentative="1">
      <w:start w:val="1"/>
      <w:numFmt w:val="bullet"/>
      <w:lvlText w:val=""/>
      <w:lvlJc w:val="left"/>
      <w:pPr>
        <w:tabs>
          <w:tab w:val="num" w:pos="2880"/>
        </w:tabs>
        <w:ind w:left="2880" w:hanging="360"/>
      </w:pPr>
      <w:rPr>
        <w:rFonts w:ascii="Wingdings" w:hAnsi="Wingdings" w:hint="default"/>
      </w:rPr>
    </w:lvl>
    <w:lvl w:ilvl="4" w:tplc="ECF86568" w:tentative="1">
      <w:start w:val="1"/>
      <w:numFmt w:val="bullet"/>
      <w:lvlText w:val=""/>
      <w:lvlJc w:val="left"/>
      <w:pPr>
        <w:tabs>
          <w:tab w:val="num" w:pos="3600"/>
        </w:tabs>
        <w:ind w:left="3600" w:hanging="360"/>
      </w:pPr>
      <w:rPr>
        <w:rFonts w:ascii="Wingdings" w:hAnsi="Wingdings" w:hint="default"/>
      </w:rPr>
    </w:lvl>
    <w:lvl w:ilvl="5" w:tplc="D82EE9A4" w:tentative="1">
      <w:start w:val="1"/>
      <w:numFmt w:val="bullet"/>
      <w:lvlText w:val=""/>
      <w:lvlJc w:val="left"/>
      <w:pPr>
        <w:tabs>
          <w:tab w:val="num" w:pos="4320"/>
        </w:tabs>
        <w:ind w:left="4320" w:hanging="360"/>
      </w:pPr>
      <w:rPr>
        <w:rFonts w:ascii="Wingdings" w:hAnsi="Wingdings" w:hint="default"/>
      </w:rPr>
    </w:lvl>
    <w:lvl w:ilvl="6" w:tplc="EF6CB566" w:tentative="1">
      <w:start w:val="1"/>
      <w:numFmt w:val="bullet"/>
      <w:lvlText w:val=""/>
      <w:lvlJc w:val="left"/>
      <w:pPr>
        <w:tabs>
          <w:tab w:val="num" w:pos="5040"/>
        </w:tabs>
        <w:ind w:left="5040" w:hanging="360"/>
      </w:pPr>
      <w:rPr>
        <w:rFonts w:ascii="Wingdings" w:hAnsi="Wingdings" w:hint="default"/>
      </w:rPr>
    </w:lvl>
    <w:lvl w:ilvl="7" w:tplc="BCA801F0" w:tentative="1">
      <w:start w:val="1"/>
      <w:numFmt w:val="bullet"/>
      <w:lvlText w:val=""/>
      <w:lvlJc w:val="left"/>
      <w:pPr>
        <w:tabs>
          <w:tab w:val="num" w:pos="5760"/>
        </w:tabs>
        <w:ind w:left="5760" w:hanging="360"/>
      </w:pPr>
      <w:rPr>
        <w:rFonts w:ascii="Wingdings" w:hAnsi="Wingdings" w:hint="default"/>
      </w:rPr>
    </w:lvl>
    <w:lvl w:ilvl="8" w:tplc="C6CAE094" w:tentative="1">
      <w:start w:val="1"/>
      <w:numFmt w:val="bullet"/>
      <w:lvlText w:val=""/>
      <w:lvlJc w:val="left"/>
      <w:pPr>
        <w:tabs>
          <w:tab w:val="num" w:pos="6480"/>
        </w:tabs>
        <w:ind w:left="6480" w:hanging="360"/>
      </w:pPr>
      <w:rPr>
        <w:rFonts w:ascii="Wingdings" w:hAnsi="Wingdings" w:hint="default"/>
      </w:rPr>
    </w:lvl>
  </w:abstractNum>
  <w:abstractNum w:abstractNumId="2">
    <w:nsid w:val="0DD14967"/>
    <w:multiLevelType w:val="hybridMultilevel"/>
    <w:tmpl w:val="64DEF432"/>
    <w:lvl w:ilvl="0" w:tplc="CC34949A">
      <w:start w:val="1"/>
      <w:numFmt w:val="bullet"/>
      <w:lvlText w:val=""/>
      <w:lvlJc w:val="left"/>
      <w:pPr>
        <w:tabs>
          <w:tab w:val="num" w:pos="720"/>
        </w:tabs>
        <w:ind w:left="720" w:hanging="360"/>
      </w:pPr>
      <w:rPr>
        <w:rFonts w:ascii="Wingdings" w:hAnsi="Wingdings" w:hint="default"/>
      </w:rPr>
    </w:lvl>
    <w:lvl w:ilvl="1" w:tplc="5CCEC25C">
      <w:start w:val="2049"/>
      <w:numFmt w:val="bullet"/>
      <w:lvlText w:val=""/>
      <w:lvlJc w:val="left"/>
      <w:pPr>
        <w:tabs>
          <w:tab w:val="num" w:pos="1440"/>
        </w:tabs>
        <w:ind w:left="1440" w:hanging="360"/>
      </w:pPr>
      <w:rPr>
        <w:rFonts w:ascii="Wingdings" w:hAnsi="Wingdings" w:hint="default"/>
      </w:rPr>
    </w:lvl>
    <w:lvl w:ilvl="2" w:tplc="C6CC0DA6">
      <w:start w:val="1"/>
      <w:numFmt w:val="decimal"/>
      <w:lvlText w:val="%3."/>
      <w:lvlJc w:val="left"/>
      <w:pPr>
        <w:tabs>
          <w:tab w:val="num" w:pos="2160"/>
        </w:tabs>
        <w:ind w:left="2160" w:hanging="360"/>
      </w:pPr>
    </w:lvl>
    <w:lvl w:ilvl="3" w:tplc="DED65B40" w:tentative="1">
      <w:start w:val="1"/>
      <w:numFmt w:val="bullet"/>
      <w:lvlText w:val=""/>
      <w:lvlJc w:val="left"/>
      <w:pPr>
        <w:tabs>
          <w:tab w:val="num" w:pos="2880"/>
        </w:tabs>
        <w:ind w:left="2880" w:hanging="360"/>
      </w:pPr>
      <w:rPr>
        <w:rFonts w:ascii="Wingdings" w:hAnsi="Wingdings" w:hint="default"/>
      </w:rPr>
    </w:lvl>
    <w:lvl w:ilvl="4" w:tplc="FDCAC61A" w:tentative="1">
      <w:start w:val="1"/>
      <w:numFmt w:val="bullet"/>
      <w:lvlText w:val=""/>
      <w:lvlJc w:val="left"/>
      <w:pPr>
        <w:tabs>
          <w:tab w:val="num" w:pos="3600"/>
        </w:tabs>
        <w:ind w:left="3600" w:hanging="360"/>
      </w:pPr>
      <w:rPr>
        <w:rFonts w:ascii="Wingdings" w:hAnsi="Wingdings" w:hint="default"/>
      </w:rPr>
    </w:lvl>
    <w:lvl w:ilvl="5" w:tplc="4F1EBD40" w:tentative="1">
      <w:start w:val="1"/>
      <w:numFmt w:val="bullet"/>
      <w:lvlText w:val=""/>
      <w:lvlJc w:val="left"/>
      <w:pPr>
        <w:tabs>
          <w:tab w:val="num" w:pos="4320"/>
        </w:tabs>
        <w:ind w:left="4320" w:hanging="360"/>
      </w:pPr>
      <w:rPr>
        <w:rFonts w:ascii="Wingdings" w:hAnsi="Wingdings" w:hint="default"/>
      </w:rPr>
    </w:lvl>
    <w:lvl w:ilvl="6" w:tplc="D2EC5828" w:tentative="1">
      <w:start w:val="1"/>
      <w:numFmt w:val="bullet"/>
      <w:lvlText w:val=""/>
      <w:lvlJc w:val="left"/>
      <w:pPr>
        <w:tabs>
          <w:tab w:val="num" w:pos="5040"/>
        </w:tabs>
        <w:ind w:left="5040" w:hanging="360"/>
      </w:pPr>
      <w:rPr>
        <w:rFonts w:ascii="Wingdings" w:hAnsi="Wingdings" w:hint="default"/>
      </w:rPr>
    </w:lvl>
    <w:lvl w:ilvl="7" w:tplc="697080B6" w:tentative="1">
      <w:start w:val="1"/>
      <w:numFmt w:val="bullet"/>
      <w:lvlText w:val=""/>
      <w:lvlJc w:val="left"/>
      <w:pPr>
        <w:tabs>
          <w:tab w:val="num" w:pos="5760"/>
        </w:tabs>
        <w:ind w:left="5760" w:hanging="360"/>
      </w:pPr>
      <w:rPr>
        <w:rFonts w:ascii="Wingdings" w:hAnsi="Wingdings" w:hint="default"/>
      </w:rPr>
    </w:lvl>
    <w:lvl w:ilvl="8" w:tplc="50AE7420" w:tentative="1">
      <w:start w:val="1"/>
      <w:numFmt w:val="bullet"/>
      <w:lvlText w:val=""/>
      <w:lvlJc w:val="left"/>
      <w:pPr>
        <w:tabs>
          <w:tab w:val="num" w:pos="6480"/>
        </w:tabs>
        <w:ind w:left="6480" w:hanging="360"/>
      </w:pPr>
      <w:rPr>
        <w:rFonts w:ascii="Wingdings" w:hAnsi="Wingdings" w:hint="default"/>
      </w:rPr>
    </w:lvl>
  </w:abstractNum>
  <w:abstractNum w:abstractNumId="3">
    <w:nsid w:val="0EA91468"/>
    <w:multiLevelType w:val="hybridMultilevel"/>
    <w:tmpl w:val="0E0E8BB8"/>
    <w:lvl w:ilvl="0" w:tplc="AC6C5D82">
      <w:start w:val="1"/>
      <w:numFmt w:val="bullet"/>
      <w:lvlText w:val=""/>
      <w:lvlJc w:val="left"/>
      <w:pPr>
        <w:tabs>
          <w:tab w:val="num" w:pos="720"/>
        </w:tabs>
        <w:ind w:left="720" w:hanging="360"/>
      </w:pPr>
      <w:rPr>
        <w:rFonts w:ascii="Wingdings" w:hAnsi="Wingdings" w:hint="default"/>
      </w:rPr>
    </w:lvl>
    <w:lvl w:ilvl="1" w:tplc="B7385A60">
      <w:start w:val="1705"/>
      <w:numFmt w:val="bullet"/>
      <w:lvlText w:val=""/>
      <w:lvlJc w:val="left"/>
      <w:pPr>
        <w:tabs>
          <w:tab w:val="num" w:pos="1440"/>
        </w:tabs>
        <w:ind w:left="1440" w:hanging="360"/>
      </w:pPr>
      <w:rPr>
        <w:rFonts w:ascii="Wingdings" w:hAnsi="Wingdings" w:hint="default"/>
      </w:rPr>
    </w:lvl>
    <w:lvl w:ilvl="2" w:tplc="6A06DE28" w:tentative="1">
      <w:start w:val="1"/>
      <w:numFmt w:val="bullet"/>
      <w:lvlText w:val=""/>
      <w:lvlJc w:val="left"/>
      <w:pPr>
        <w:tabs>
          <w:tab w:val="num" w:pos="2160"/>
        </w:tabs>
        <w:ind w:left="2160" w:hanging="360"/>
      </w:pPr>
      <w:rPr>
        <w:rFonts w:ascii="Wingdings" w:hAnsi="Wingdings" w:hint="default"/>
      </w:rPr>
    </w:lvl>
    <w:lvl w:ilvl="3" w:tplc="531CF23A" w:tentative="1">
      <w:start w:val="1"/>
      <w:numFmt w:val="bullet"/>
      <w:lvlText w:val=""/>
      <w:lvlJc w:val="left"/>
      <w:pPr>
        <w:tabs>
          <w:tab w:val="num" w:pos="2880"/>
        </w:tabs>
        <w:ind w:left="2880" w:hanging="360"/>
      </w:pPr>
      <w:rPr>
        <w:rFonts w:ascii="Wingdings" w:hAnsi="Wingdings" w:hint="default"/>
      </w:rPr>
    </w:lvl>
    <w:lvl w:ilvl="4" w:tplc="22BE5B4C" w:tentative="1">
      <w:start w:val="1"/>
      <w:numFmt w:val="bullet"/>
      <w:lvlText w:val=""/>
      <w:lvlJc w:val="left"/>
      <w:pPr>
        <w:tabs>
          <w:tab w:val="num" w:pos="3600"/>
        </w:tabs>
        <w:ind w:left="3600" w:hanging="360"/>
      </w:pPr>
      <w:rPr>
        <w:rFonts w:ascii="Wingdings" w:hAnsi="Wingdings" w:hint="default"/>
      </w:rPr>
    </w:lvl>
    <w:lvl w:ilvl="5" w:tplc="F72022C4" w:tentative="1">
      <w:start w:val="1"/>
      <w:numFmt w:val="bullet"/>
      <w:lvlText w:val=""/>
      <w:lvlJc w:val="left"/>
      <w:pPr>
        <w:tabs>
          <w:tab w:val="num" w:pos="4320"/>
        </w:tabs>
        <w:ind w:left="4320" w:hanging="360"/>
      </w:pPr>
      <w:rPr>
        <w:rFonts w:ascii="Wingdings" w:hAnsi="Wingdings" w:hint="default"/>
      </w:rPr>
    </w:lvl>
    <w:lvl w:ilvl="6" w:tplc="1F706C68" w:tentative="1">
      <w:start w:val="1"/>
      <w:numFmt w:val="bullet"/>
      <w:lvlText w:val=""/>
      <w:lvlJc w:val="left"/>
      <w:pPr>
        <w:tabs>
          <w:tab w:val="num" w:pos="5040"/>
        </w:tabs>
        <w:ind w:left="5040" w:hanging="360"/>
      </w:pPr>
      <w:rPr>
        <w:rFonts w:ascii="Wingdings" w:hAnsi="Wingdings" w:hint="default"/>
      </w:rPr>
    </w:lvl>
    <w:lvl w:ilvl="7" w:tplc="31D89A4A" w:tentative="1">
      <w:start w:val="1"/>
      <w:numFmt w:val="bullet"/>
      <w:lvlText w:val=""/>
      <w:lvlJc w:val="left"/>
      <w:pPr>
        <w:tabs>
          <w:tab w:val="num" w:pos="5760"/>
        </w:tabs>
        <w:ind w:left="5760" w:hanging="360"/>
      </w:pPr>
      <w:rPr>
        <w:rFonts w:ascii="Wingdings" w:hAnsi="Wingdings" w:hint="default"/>
      </w:rPr>
    </w:lvl>
    <w:lvl w:ilvl="8" w:tplc="B3487252" w:tentative="1">
      <w:start w:val="1"/>
      <w:numFmt w:val="bullet"/>
      <w:lvlText w:val=""/>
      <w:lvlJc w:val="left"/>
      <w:pPr>
        <w:tabs>
          <w:tab w:val="num" w:pos="6480"/>
        </w:tabs>
        <w:ind w:left="6480" w:hanging="360"/>
      </w:pPr>
      <w:rPr>
        <w:rFonts w:ascii="Wingdings" w:hAnsi="Wingdings" w:hint="default"/>
      </w:rPr>
    </w:lvl>
  </w:abstractNum>
  <w:abstractNum w:abstractNumId="4">
    <w:nsid w:val="15F87C6C"/>
    <w:multiLevelType w:val="hybridMultilevel"/>
    <w:tmpl w:val="0CC43BEA"/>
    <w:lvl w:ilvl="0" w:tplc="EFFAF744">
      <w:start w:val="1"/>
      <w:numFmt w:val="bullet"/>
      <w:lvlText w:val="•"/>
      <w:lvlJc w:val="left"/>
      <w:pPr>
        <w:tabs>
          <w:tab w:val="num" w:pos="720"/>
        </w:tabs>
        <w:ind w:left="720" w:hanging="360"/>
      </w:pPr>
      <w:rPr>
        <w:rFonts w:ascii="Arial" w:hAnsi="Arial" w:hint="default"/>
      </w:rPr>
    </w:lvl>
    <w:lvl w:ilvl="1" w:tplc="9CFE2ECA">
      <w:start w:val="1"/>
      <w:numFmt w:val="bullet"/>
      <w:lvlText w:val="•"/>
      <w:lvlJc w:val="left"/>
      <w:pPr>
        <w:tabs>
          <w:tab w:val="num" w:pos="1440"/>
        </w:tabs>
        <w:ind w:left="1440" w:hanging="360"/>
      </w:pPr>
      <w:rPr>
        <w:rFonts w:ascii="Arial" w:hAnsi="Arial" w:hint="default"/>
      </w:rPr>
    </w:lvl>
    <w:lvl w:ilvl="2" w:tplc="589A841A" w:tentative="1">
      <w:start w:val="1"/>
      <w:numFmt w:val="bullet"/>
      <w:lvlText w:val="•"/>
      <w:lvlJc w:val="left"/>
      <w:pPr>
        <w:tabs>
          <w:tab w:val="num" w:pos="2160"/>
        </w:tabs>
        <w:ind w:left="2160" w:hanging="360"/>
      </w:pPr>
      <w:rPr>
        <w:rFonts w:ascii="Arial" w:hAnsi="Arial" w:hint="default"/>
      </w:rPr>
    </w:lvl>
    <w:lvl w:ilvl="3" w:tplc="57EA1764" w:tentative="1">
      <w:start w:val="1"/>
      <w:numFmt w:val="bullet"/>
      <w:lvlText w:val="•"/>
      <w:lvlJc w:val="left"/>
      <w:pPr>
        <w:tabs>
          <w:tab w:val="num" w:pos="2880"/>
        </w:tabs>
        <w:ind w:left="2880" w:hanging="360"/>
      </w:pPr>
      <w:rPr>
        <w:rFonts w:ascii="Arial" w:hAnsi="Arial" w:hint="default"/>
      </w:rPr>
    </w:lvl>
    <w:lvl w:ilvl="4" w:tplc="9886C214" w:tentative="1">
      <w:start w:val="1"/>
      <w:numFmt w:val="bullet"/>
      <w:lvlText w:val="•"/>
      <w:lvlJc w:val="left"/>
      <w:pPr>
        <w:tabs>
          <w:tab w:val="num" w:pos="3600"/>
        </w:tabs>
        <w:ind w:left="3600" w:hanging="360"/>
      </w:pPr>
      <w:rPr>
        <w:rFonts w:ascii="Arial" w:hAnsi="Arial" w:hint="default"/>
      </w:rPr>
    </w:lvl>
    <w:lvl w:ilvl="5" w:tplc="2DFEB292" w:tentative="1">
      <w:start w:val="1"/>
      <w:numFmt w:val="bullet"/>
      <w:lvlText w:val="•"/>
      <w:lvlJc w:val="left"/>
      <w:pPr>
        <w:tabs>
          <w:tab w:val="num" w:pos="4320"/>
        </w:tabs>
        <w:ind w:left="4320" w:hanging="360"/>
      </w:pPr>
      <w:rPr>
        <w:rFonts w:ascii="Arial" w:hAnsi="Arial" w:hint="default"/>
      </w:rPr>
    </w:lvl>
    <w:lvl w:ilvl="6" w:tplc="2A8A5D92" w:tentative="1">
      <w:start w:val="1"/>
      <w:numFmt w:val="bullet"/>
      <w:lvlText w:val="•"/>
      <w:lvlJc w:val="left"/>
      <w:pPr>
        <w:tabs>
          <w:tab w:val="num" w:pos="5040"/>
        </w:tabs>
        <w:ind w:left="5040" w:hanging="360"/>
      </w:pPr>
      <w:rPr>
        <w:rFonts w:ascii="Arial" w:hAnsi="Arial" w:hint="default"/>
      </w:rPr>
    </w:lvl>
    <w:lvl w:ilvl="7" w:tplc="2098E548" w:tentative="1">
      <w:start w:val="1"/>
      <w:numFmt w:val="bullet"/>
      <w:lvlText w:val="•"/>
      <w:lvlJc w:val="left"/>
      <w:pPr>
        <w:tabs>
          <w:tab w:val="num" w:pos="5760"/>
        </w:tabs>
        <w:ind w:left="5760" w:hanging="360"/>
      </w:pPr>
      <w:rPr>
        <w:rFonts w:ascii="Arial" w:hAnsi="Arial" w:hint="default"/>
      </w:rPr>
    </w:lvl>
    <w:lvl w:ilvl="8" w:tplc="8A101BAE" w:tentative="1">
      <w:start w:val="1"/>
      <w:numFmt w:val="bullet"/>
      <w:lvlText w:val="•"/>
      <w:lvlJc w:val="left"/>
      <w:pPr>
        <w:tabs>
          <w:tab w:val="num" w:pos="6480"/>
        </w:tabs>
        <w:ind w:left="6480" w:hanging="360"/>
      </w:pPr>
      <w:rPr>
        <w:rFonts w:ascii="Arial" w:hAnsi="Arial" w:hint="default"/>
      </w:rPr>
    </w:lvl>
  </w:abstractNum>
  <w:abstractNum w:abstractNumId="5">
    <w:nsid w:val="1804195E"/>
    <w:multiLevelType w:val="hybridMultilevel"/>
    <w:tmpl w:val="DFB8303C"/>
    <w:lvl w:ilvl="0" w:tplc="C00862C8">
      <w:start w:val="1"/>
      <w:numFmt w:val="bullet"/>
      <w:lvlText w:val=""/>
      <w:lvlJc w:val="left"/>
      <w:pPr>
        <w:tabs>
          <w:tab w:val="num" w:pos="720"/>
        </w:tabs>
        <w:ind w:left="720" w:hanging="360"/>
      </w:pPr>
      <w:rPr>
        <w:rFonts w:ascii="Wingdings" w:hAnsi="Wingdings" w:hint="default"/>
      </w:rPr>
    </w:lvl>
    <w:lvl w:ilvl="1" w:tplc="EF6C8F3A">
      <w:start w:val="1"/>
      <w:numFmt w:val="bullet"/>
      <w:lvlText w:val=""/>
      <w:lvlJc w:val="left"/>
      <w:pPr>
        <w:tabs>
          <w:tab w:val="num" w:pos="1440"/>
        </w:tabs>
        <w:ind w:left="1440" w:hanging="360"/>
      </w:pPr>
      <w:rPr>
        <w:rFonts w:ascii="Wingdings" w:hAnsi="Wingdings" w:hint="default"/>
      </w:rPr>
    </w:lvl>
    <w:lvl w:ilvl="2" w:tplc="239EB2B8" w:tentative="1">
      <w:start w:val="1"/>
      <w:numFmt w:val="bullet"/>
      <w:lvlText w:val=""/>
      <w:lvlJc w:val="left"/>
      <w:pPr>
        <w:tabs>
          <w:tab w:val="num" w:pos="2160"/>
        </w:tabs>
        <w:ind w:left="2160" w:hanging="360"/>
      </w:pPr>
      <w:rPr>
        <w:rFonts w:ascii="Wingdings" w:hAnsi="Wingdings" w:hint="default"/>
      </w:rPr>
    </w:lvl>
    <w:lvl w:ilvl="3" w:tplc="BE96FF86" w:tentative="1">
      <w:start w:val="1"/>
      <w:numFmt w:val="bullet"/>
      <w:lvlText w:val=""/>
      <w:lvlJc w:val="left"/>
      <w:pPr>
        <w:tabs>
          <w:tab w:val="num" w:pos="2880"/>
        </w:tabs>
        <w:ind w:left="2880" w:hanging="360"/>
      </w:pPr>
      <w:rPr>
        <w:rFonts w:ascii="Wingdings" w:hAnsi="Wingdings" w:hint="default"/>
      </w:rPr>
    </w:lvl>
    <w:lvl w:ilvl="4" w:tplc="6B40F8FC" w:tentative="1">
      <w:start w:val="1"/>
      <w:numFmt w:val="bullet"/>
      <w:lvlText w:val=""/>
      <w:lvlJc w:val="left"/>
      <w:pPr>
        <w:tabs>
          <w:tab w:val="num" w:pos="3600"/>
        </w:tabs>
        <w:ind w:left="3600" w:hanging="360"/>
      </w:pPr>
      <w:rPr>
        <w:rFonts w:ascii="Wingdings" w:hAnsi="Wingdings" w:hint="default"/>
      </w:rPr>
    </w:lvl>
    <w:lvl w:ilvl="5" w:tplc="A3BE35C8" w:tentative="1">
      <w:start w:val="1"/>
      <w:numFmt w:val="bullet"/>
      <w:lvlText w:val=""/>
      <w:lvlJc w:val="left"/>
      <w:pPr>
        <w:tabs>
          <w:tab w:val="num" w:pos="4320"/>
        </w:tabs>
        <w:ind w:left="4320" w:hanging="360"/>
      </w:pPr>
      <w:rPr>
        <w:rFonts w:ascii="Wingdings" w:hAnsi="Wingdings" w:hint="default"/>
      </w:rPr>
    </w:lvl>
    <w:lvl w:ilvl="6" w:tplc="89620D86" w:tentative="1">
      <w:start w:val="1"/>
      <w:numFmt w:val="bullet"/>
      <w:lvlText w:val=""/>
      <w:lvlJc w:val="left"/>
      <w:pPr>
        <w:tabs>
          <w:tab w:val="num" w:pos="5040"/>
        </w:tabs>
        <w:ind w:left="5040" w:hanging="360"/>
      </w:pPr>
      <w:rPr>
        <w:rFonts w:ascii="Wingdings" w:hAnsi="Wingdings" w:hint="default"/>
      </w:rPr>
    </w:lvl>
    <w:lvl w:ilvl="7" w:tplc="16FAC32E" w:tentative="1">
      <w:start w:val="1"/>
      <w:numFmt w:val="bullet"/>
      <w:lvlText w:val=""/>
      <w:lvlJc w:val="left"/>
      <w:pPr>
        <w:tabs>
          <w:tab w:val="num" w:pos="5760"/>
        </w:tabs>
        <w:ind w:left="5760" w:hanging="360"/>
      </w:pPr>
      <w:rPr>
        <w:rFonts w:ascii="Wingdings" w:hAnsi="Wingdings" w:hint="default"/>
      </w:rPr>
    </w:lvl>
    <w:lvl w:ilvl="8" w:tplc="4BB23E90" w:tentative="1">
      <w:start w:val="1"/>
      <w:numFmt w:val="bullet"/>
      <w:lvlText w:val=""/>
      <w:lvlJc w:val="left"/>
      <w:pPr>
        <w:tabs>
          <w:tab w:val="num" w:pos="6480"/>
        </w:tabs>
        <w:ind w:left="6480" w:hanging="360"/>
      </w:pPr>
      <w:rPr>
        <w:rFonts w:ascii="Wingdings" w:hAnsi="Wingdings" w:hint="default"/>
      </w:rPr>
    </w:lvl>
  </w:abstractNum>
  <w:abstractNum w:abstractNumId="6">
    <w:nsid w:val="181A5A50"/>
    <w:multiLevelType w:val="hybridMultilevel"/>
    <w:tmpl w:val="EC02C0FC"/>
    <w:lvl w:ilvl="0" w:tplc="08668E40">
      <w:start w:val="1"/>
      <w:numFmt w:val="bullet"/>
      <w:lvlText w:val="•"/>
      <w:lvlJc w:val="left"/>
      <w:pPr>
        <w:tabs>
          <w:tab w:val="num" w:pos="720"/>
        </w:tabs>
        <w:ind w:left="720" w:hanging="360"/>
      </w:pPr>
      <w:rPr>
        <w:rFonts w:ascii="Times New Roman" w:hAnsi="Times New Roman" w:hint="default"/>
      </w:rPr>
    </w:lvl>
    <w:lvl w:ilvl="1" w:tplc="AC4679B4" w:tentative="1">
      <w:start w:val="1"/>
      <w:numFmt w:val="bullet"/>
      <w:lvlText w:val="•"/>
      <w:lvlJc w:val="left"/>
      <w:pPr>
        <w:tabs>
          <w:tab w:val="num" w:pos="1440"/>
        </w:tabs>
        <w:ind w:left="1440" w:hanging="360"/>
      </w:pPr>
      <w:rPr>
        <w:rFonts w:ascii="Times New Roman" w:hAnsi="Times New Roman" w:hint="default"/>
      </w:rPr>
    </w:lvl>
    <w:lvl w:ilvl="2" w:tplc="4B28AE96" w:tentative="1">
      <w:start w:val="1"/>
      <w:numFmt w:val="bullet"/>
      <w:lvlText w:val="•"/>
      <w:lvlJc w:val="left"/>
      <w:pPr>
        <w:tabs>
          <w:tab w:val="num" w:pos="2160"/>
        </w:tabs>
        <w:ind w:left="2160" w:hanging="360"/>
      </w:pPr>
      <w:rPr>
        <w:rFonts w:ascii="Times New Roman" w:hAnsi="Times New Roman" w:hint="default"/>
      </w:rPr>
    </w:lvl>
    <w:lvl w:ilvl="3" w:tplc="39E44FB8" w:tentative="1">
      <w:start w:val="1"/>
      <w:numFmt w:val="bullet"/>
      <w:lvlText w:val="•"/>
      <w:lvlJc w:val="left"/>
      <w:pPr>
        <w:tabs>
          <w:tab w:val="num" w:pos="2880"/>
        </w:tabs>
        <w:ind w:left="2880" w:hanging="360"/>
      </w:pPr>
      <w:rPr>
        <w:rFonts w:ascii="Times New Roman" w:hAnsi="Times New Roman" w:hint="default"/>
      </w:rPr>
    </w:lvl>
    <w:lvl w:ilvl="4" w:tplc="DBE45ABA" w:tentative="1">
      <w:start w:val="1"/>
      <w:numFmt w:val="bullet"/>
      <w:lvlText w:val="•"/>
      <w:lvlJc w:val="left"/>
      <w:pPr>
        <w:tabs>
          <w:tab w:val="num" w:pos="3600"/>
        </w:tabs>
        <w:ind w:left="3600" w:hanging="360"/>
      </w:pPr>
      <w:rPr>
        <w:rFonts w:ascii="Times New Roman" w:hAnsi="Times New Roman" w:hint="default"/>
      </w:rPr>
    </w:lvl>
    <w:lvl w:ilvl="5" w:tplc="EEF00312" w:tentative="1">
      <w:start w:val="1"/>
      <w:numFmt w:val="bullet"/>
      <w:lvlText w:val="•"/>
      <w:lvlJc w:val="left"/>
      <w:pPr>
        <w:tabs>
          <w:tab w:val="num" w:pos="4320"/>
        </w:tabs>
        <w:ind w:left="4320" w:hanging="360"/>
      </w:pPr>
      <w:rPr>
        <w:rFonts w:ascii="Times New Roman" w:hAnsi="Times New Roman" w:hint="default"/>
      </w:rPr>
    </w:lvl>
    <w:lvl w:ilvl="6" w:tplc="2E1C43E6" w:tentative="1">
      <w:start w:val="1"/>
      <w:numFmt w:val="bullet"/>
      <w:lvlText w:val="•"/>
      <w:lvlJc w:val="left"/>
      <w:pPr>
        <w:tabs>
          <w:tab w:val="num" w:pos="5040"/>
        </w:tabs>
        <w:ind w:left="5040" w:hanging="360"/>
      </w:pPr>
      <w:rPr>
        <w:rFonts w:ascii="Times New Roman" w:hAnsi="Times New Roman" w:hint="default"/>
      </w:rPr>
    </w:lvl>
    <w:lvl w:ilvl="7" w:tplc="54EC449E" w:tentative="1">
      <w:start w:val="1"/>
      <w:numFmt w:val="bullet"/>
      <w:lvlText w:val="•"/>
      <w:lvlJc w:val="left"/>
      <w:pPr>
        <w:tabs>
          <w:tab w:val="num" w:pos="5760"/>
        </w:tabs>
        <w:ind w:left="5760" w:hanging="360"/>
      </w:pPr>
      <w:rPr>
        <w:rFonts w:ascii="Times New Roman" w:hAnsi="Times New Roman" w:hint="default"/>
      </w:rPr>
    </w:lvl>
    <w:lvl w:ilvl="8" w:tplc="ADE60492" w:tentative="1">
      <w:start w:val="1"/>
      <w:numFmt w:val="bullet"/>
      <w:lvlText w:val="•"/>
      <w:lvlJc w:val="left"/>
      <w:pPr>
        <w:tabs>
          <w:tab w:val="num" w:pos="6480"/>
        </w:tabs>
        <w:ind w:left="6480" w:hanging="360"/>
      </w:pPr>
      <w:rPr>
        <w:rFonts w:ascii="Times New Roman" w:hAnsi="Times New Roman" w:hint="default"/>
      </w:rPr>
    </w:lvl>
  </w:abstractNum>
  <w:abstractNum w:abstractNumId="7">
    <w:nsid w:val="1B136197"/>
    <w:multiLevelType w:val="hybridMultilevel"/>
    <w:tmpl w:val="40BE4D8E"/>
    <w:lvl w:ilvl="0" w:tplc="D72EA5F2">
      <w:start w:val="1"/>
      <w:numFmt w:val="bullet"/>
      <w:lvlText w:val=""/>
      <w:lvlJc w:val="left"/>
      <w:pPr>
        <w:tabs>
          <w:tab w:val="num" w:pos="720"/>
        </w:tabs>
        <w:ind w:left="720" w:hanging="360"/>
      </w:pPr>
      <w:rPr>
        <w:rFonts w:ascii="Wingdings" w:hAnsi="Wingdings" w:hint="default"/>
      </w:rPr>
    </w:lvl>
    <w:lvl w:ilvl="1" w:tplc="E39ED27A" w:tentative="1">
      <w:start w:val="1"/>
      <w:numFmt w:val="bullet"/>
      <w:lvlText w:val=""/>
      <w:lvlJc w:val="left"/>
      <w:pPr>
        <w:tabs>
          <w:tab w:val="num" w:pos="1440"/>
        </w:tabs>
        <w:ind w:left="1440" w:hanging="360"/>
      </w:pPr>
      <w:rPr>
        <w:rFonts w:ascii="Wingdings" w:hAnsi="Wingdings" w:hint="default"/>
      </w:rPr>
    </w:lvl>
    <w:lvl w:ilvl="2" w:tplc="4CB08A7C" w:tentative="1">
      <w:start w:val="1"/>
      <w:numFmt w:val="bullet"/>
      <w:lvlText w:val=""/>
      <w:lvlJc w:val="left"/>
      <w:pPr>
        <w:tabs>
          <w:tab w:val="num" w:pos="2160"/>
        </w:tabs>
        <w:ind w:left="2160" w:hanging="360"/>
      </w:pPr>
      <w:rPr>
        <w:rFonts w:ascii="Wingdings" w:hAnsi="Wingdings" w:hint="default"/>
      </w:rPr>
    </w:lvl>
    <w:lvl w:ilvl="3" w:tplc="3B966ACC">
      <w:start w:val="1"/>
      <w:numFmt w:val="decimal"/>
      <w:lvlText w:val="%4."/>
      <w:lvlJc w:val="left"/>
      <w:pPr>
        <w:tabs>
          <w:tab w:val="num" w:pos="2880"/>
        </w:tabs>
        <w:ind w:left="2880" w:hanging="360"/>
      </w:pPr>
    </w:lvl>
    <w:lvl w:ilvl="4" w:tplc="A4969322" w:tentative="1">
      <w:start w:val="1"/>
      <w:numFmt w:val="bullet"/>
      <w:lvlText w:val=""/>
      <w:lvlJc w:val="left"/>
      <w:pPr>
        <w:tabs>
          <w:tab w:val="num" w:pos="3600"/>
        </w:tabs>
        <w:ind w:left="3600" w:hanging="360"/>
      </w:pPr>
      <w:rPr>
        <w:rFonts w:ascii="Wingdings" w:hAnsi="Wingdings" w:hint="default"/>
      </w:rPr>
    </w:lvl>
    <w:lvl w:ilvl="5" w:tplc="2AFEE192" w:tentative="1">
      <w:start w:val="1"/>
      <w:numFmt w:val="bullet"/>
      <w:lvlText w:val=""/>
      <w:lvlJc w:val="left"/>
      <w:pPr>
        <w:tabs>
          <w:tab w:val="num" w:pos="4320"/>
        </w:tabs>
        <w:ind w:left="4320" w:hanging="360"/>
      </w:pPr>
      <w:rPr>
        <w:rFonts w:ascii="Wingdings" w:hAnsi="Wingdings" w:hint="default"/>
      </w:rPr>
    </w:lvl>
    <w:lvl w:ilvl="6" w:tplc="5AE80DA2" w:tentative="1">
      <w:start w:val="1"/>
      <w:numFmt w:val="bullet"/>
      <w:lvlText w:val=""/>
      <w:lvlJc w:val="left"/>
      <w:pPr>
        <w:tabs>
          <w:tab w:val="num" w:pos="5040"/>
        </w:tabs>
        <w:ind w:left="5040" w:hanging="360"/>
      </w:pPr>
      <w:rPr>
        <w:rFonts w:ascii="Wingdings" w:hAnsi="Wingdings" w:hint="default"/>
      </w:rPr>
    </w:lvl>
    <w:lvl w:ilvl="7" w:tplc="5CCA11A4" w:tentative="1">
      <w:start w:val="1"/>
      <w:numFmt w:val="bullet"/>
      <w:lvlText w:val=""/>
      <w:lvlJc w:val="left"/>
      <w:pPr>
        <w:tabs>
          <w:tab w:val="num" w:pos="5760"/>
        </w:tabs>
        <w:ind w:left="5760" w:hanging="360"/>
      </w:pPr>
      <w:rPr>
        <w:rFonts w:ascii="Wingdings" w:hAnsi="Wingdings" w:hint="default"/>
      </w:rPr>
    </w:lvl>
    <w:lvl w:ilvl="8" w:tplc="12D24C44" w:tentative="1">
      <w:start w:val="1"/>
      <w:numFmt w:val="bullet"/>
      <w:lvlText w:val=""/>
      <w:lvlJc w:val="left"/>
      <w:pPr>
        <w:tabs>
          <w:tab w:val="num" w:pos="6480"/>
        </w:tabs>
        <w:ind w:left="6480" w:hanging="360"/>
      </w:pPr>
      <w:rPr>
        <w:rFonts w:ascii="Wingdings" w:hAnsi="Wingdings" w:hint="default"/>
      </w:rPr>
    </w:lvl>
  </w:abstractNum>
  <w:abstractNum w:abstractNumId="8">
    <w:nsid w:val="1E9E4504"/>
    <w:multiLevelType w:val="hybridMultilevel"/>
    <w:tmpl w:val="BC36FDE8"/>
    <w:lvl w:ilvl="0" w:tplc="3336EA0C">
      <w:start w:val="1"/>
      <w:numFmt w:val="bullet"/>
      <w:lvlText w:val="•"/>
      <w:lvlJc w:val="left"/>
      <w:pPr>
        <w:tabs>
          <w:tab w:val="num" w:pos="720"/>
        </w:tabs>
        <w:ind w:left="720" w:hanging="360"/>
      </w:pPr>
      <w:rPr>
        <w:rFonts w:ascii="Times New Roman" w:hAnsi="Times New Roman" w:hint="default"/>
      </w:rPr>
    </w:lvl>
    <w:lvl w:ilvl="1" w:tplc="840C4522">
      <w:start w:val="1336"/>
      <w:numFmt w:val="bullet"/>
      <w:lvlText w:val="–"/>
      <w:lvlJc w:val="left"/>
      <w:pPr>
        <w:tabs>
          <w:tab w:val="num" w:pos="1440"/>
        </w:tabs>
        <w:ind w:left="1440" w:hanging="360"/>
      </w:pPr>
      <w:rPr>
        <w:rFonts w:ascii="Arial" w:hAnsi="Arial" w:hint="default"/>
      </w:rPr>
    </w:lvl>
    <w:lvl w:ilvl="2" w:tplc="84EE210A" w:tentative="1">
      <w:start w:val="1"/>
      <w:numFmt w:val="bullet"/>
      <w:lvlText w:val="•"/>
      <w:lvlJc w:val="left"/>
      <w:pPr>
        <w:tabs>
          <w:tab w:val="num" w:pos="2160"/>
        </w:tabs>
        <w:ind w:left="2160" w:hanging="360"/>
      </w:pPr>
      <w:rPr>
        <w:rFonts w:ascii="Times New Roman" w:hAnsi="Times New Roman" w:hint="default"/>
      </w:rPr>
    </w:lvl>
    <w:lvl w:ilvl="3" w:tplc="F926AA70" w:tentative="1">
      <w:start w:val="1"/>
      <w:numFmt w:val="bullet"/>
      <w:lvlText w:val="•"/>
      <w:lvlJc w:val="left"/>
      <w:pPr>
        <w:tabs>
          <w:tab w:val="num" w:pos="2880"/>
        </w:tabs>
        <w:ind w:left="2880" w:hanging="360"/>
      </w:pPr>
      <w:rPr>
        <w:rFonts w:ascii="Times New Roman" w:hAnsi="Times New Roman" w:hint="default"/>
      </w:rPr>
    </w:lvl>
    <w:lvl w:ilvl="4" w:tplc="01D6E7C2" w:tentative="1">
      <w:start w:val="1"/>
      <w:numFmt w:val="bullet"/>
      <w:lvlText w:val="•"/>
      <w:lvlJc w:val="left"/>
      <w:pPr>
        <w:tabs>
          <w:tab w:val="num" w:pos="3600"/>
        </w:tabs>
        <w:ind w:left="3600" w:hanging="360"/>
      </w:pPr>
      <w:rPr>
        <w:rFonts w:ascii="Times New Roman" w:hAnsi="Times New Roman" w:hint="default"/>
      </w:rPr>
    </w:lvl>
    <w:lvl w:ilvl="5" w:tplc="A462F0A2" w:tentative="1">
      <w:start w:val="1"/>
      <w:numFmt w:val="bullet"/>
      <w:lvlText w:val="•"/>
      <w:lvlJc w:val="left"/>
      <w:pPr>
        <w:tabs>
          <w:tab w:val="num" w:pos="4320"/>
        </w:tabs>
        <w:ind w:left="4320" w:hanging="360"/>
      </w:pPr>
      <w:rPr>
        <w:rFonts w:ascii="Times New Roman" w:hAnsi="Times New Roman" w:hint="default"/>
      </w:rPr>
    </w:lvl>
    <w:lvl w:ilvl="6" w:tplc="004CDF9C" w:tentative="1">
      <w:start w:val="1"/>
      <w:numFmt w:val="bullet"/>
      <w:lvlText w:val="•"/>
      <w:lvlJc w:val="left"/>
      <w:pPr>
        <w:tabs>
          <w:tab w:val="num" w:pos="5040"/>
        </w:tabs>
        <w:ind w:left="5040" w:hanging="360"/>
      </w:pPr>
      <w:rPr>
        <w:rFonts w:ascii="Times New Roman" w:hAnsi="Times New Roman" w:hint="default"/>
      </w:rPr>
    </w:lvl>
    <w:lvl w:ilvl="7" w:tplc="1FDEED04" w:tentative="1">
      <w:start w:val="1"/>
      <w:numFmt w:val="bullet"/>
      <w:lvlText w:val="•"/>
      <w:lvlJc w:val="left"/>
      <w:pPr>
        <w:tabs>
          <w:tab w:val="num" w:pos="5760"/>
        </w:tabs>
        <w:ind w:left="5760" w:hanging="360"/>
      </w:pPr>
      <w:rPr>
        <w:rFonts w:ascii="Times New Roman" w:hAnsi="Times New Roman" w:hint="default"/>
      </w:rPr>
    </w:lvl>
    <w:lvl w:ilvl="8" w:tplc="6E96D2C8" w:tentative="1">
      <w:start w:val="1"/>
      <w:numFmt w:val="bullet"/>
      <w:lvlText w:val="•"/>
      <w:lvlJc w:val="left"/>
      <w:pPr>
        <w:tabs>
          <w:tab w:val="num" w:pos="6480"/>
        </w:tabs>
        <w:ind w:left="6480" w:hanging="360"/>
      </w:pPr>
      <w:rPr>
        <w:rFonts w:ascii="Times New Roman" w:hAnsi="Times New Roman" w:hint="default"/>
      </w:rPr>
    </w:lvl>
  </w:abstractNum>
  <w:abstractNum w:abstractNumId="9">
    <w:nsid w:val="2183492B"/>
    <w:multiLevelType w:val="hybridMultilevel"/>
    <w:tmpl w:val="83A48FDE"/>
    <w:lvl w:ilvl="0" w:tplc="E5441758">
      <w:start w:val="1"/>
      <w:numFmt w:val="bullet"/>
      <w:lvlText w:val=""/>
      <w:lvlJc w:val="left"/>
      <w:pPr>
        <w:tabs>
          <w:tab w:val="num" w:pos="720"/>
        </w:tabs>
        <w:ind w:left="720" w:hanging="360"/>
      </w:pPr>
      <w:rPr>
        <w:rFonts w:ascii="Wingdings" w:hAnsi="Wingdings" w:hint="default"/>
      </w:rPr>
    </w:lvl>
    <w:lvl w:ilvl="1" w:tplc="01B27C0C">
      <w:start w:val="1705"/>
      <w:numFmt w:val="bullet"/>
      <w:lvlText w:val=""/>
      <w:lvlJc w:val="left"/>
      <w:pPr>
        <w:tabs>
          <w:tab w:val="num" w:pos="1440"/>
        </w:tabs>
        <w:ind w:left="1440" w:hanging="360"/>
      </w:pPr>
      <w:rPr>
        <w:rFonts w:ascii="Wingdings" w:hAnsi="Wingdings" w:hint="default"/>
      </w:rPr>
    </w:lvl>
    <w:lvl w:ilvl="2" w:tplc="4DA2C57E">
      <w:start w:val="1705"/>
      <w:numFmt w:val="bullet"/>
      <w:lvlText w:val="o"/>
      <w:lvlJc w:val="left"/>
      <w:pPr>
        <w:tabs>
          <w:tab w:val="num" w:pos="2160"/>
        </w:tabs>
        <w:ind w:left="2160" w:hanging="360"/>
      </w:pPr>
      <w:rPr>
        <w:rFonts w:ascii="Courier New" w:hAnsi="Courier New" w:hint="default"/>
      </w:rPr>
    </w:lvl>
    <w:lvl w:ilvl="3" w:tplc="067C17BC" w:tentative="1">
      <w:start w:val="1"/>
      <w:numFmt w:val="bullet"/>
      <w:lvlText w:val=""/>
      <w:lvlJc w:val="left"/>
      <w:pPr>
        <w:tabs>
          <w:tab w:val="num" w:pos="2880"/>
        </w:tabs>
        <w:ind w:left="2880" w:hanging="360"/>
      </w:pPr>
      <w:rPr>
        <w:rFonts w:ascii="Wingdings" w:hAnsi="Wingdings" w:hint="default"/>
      </w:rPr>
    </w:lvl>
    <w:lvl w:ilvl="4" w:tplc="044660D2" w:tentative="1">
      <w:start w:val="1"/>
      <w:numFmt w:val="bullet"/>
      <w:lvlText w:val=""/>
      <w:lvlJc w:val="left"/>
      <w:pPr>
        <w:tabs>
          <w:tab w:val="num" w:pos="3600"/>
        </w:tabs>
        <w:ind w:left="3600" w:hanging="360"/>
      </w:pPr>
      <w:rPr>
        <w:rFonts w:ascii="Wingdings" w:hAnsi="Wingdings" w:hint="default"/>
      </w:rPr>
    </w:lvl>
    <w:lvl w:ilvl="5" w:tplc="CC7A0E1E" w:tentative="1">
      <w:start w:val="1"/>
      <w:numFmt w:val="bullet"/>
      <w:lvlText w:val=""/>
      <w:lvlJc w:val="left"/>
      <w:pPr>
        <w:tabs>
          <w:tab w:val="num" w:pos="4320"/>
        </w:tabs>
        <w:ind w:left="4320" w:hanging="360"/>
      </w:pPr>
      <w:rPr>
        <w:rFonts w:ascii="Wingdings" w:hAnsi="Wingdings" w:hint="default"/>
      </w:rPr>
    </w:lvl>
    <w:lvl w:ilvl="6" w:tplc="00340304" w:tentative="1">
      <w:start w:val="1"/>
      <w:numFmt w:val="bullet"/>
      <w:lvlText w:val=""/>
      <w:lvlJc w:val="left"/>
      <w:pPr>
        <w:tabs>
          <w:tab w:val="num" w:pos="5040"/>
        </w:tabs>
        <w:ind w:left="5040" w:hanging="360"/>
      </w:pPr>
      <w:rPr>
        <w:rFonts w:ascii="Wingdings" w:hAnsi="Wingdings" w:hint="default"/>
      </w:rPr>
    </w:lvl>
    <w:lvl w:ilvl="7" w:tplc="0FEC1BE4" w:tentative="1">
      <w:start w:val="1"/>
      <w:numFmt w:val="bullet"/>
      <w:lvlText w:val=""/>
      <w:lvlJc w:val="left"/>
      <w:pPr>
        <w:tabs>
          <w:tab w:val="num" w:pos="5760"/>
        </w:tabs>
        <w:ind w:left="5760" w:hanging="360"/>
      </w:pPr>
      <w:rPr>
        <w:rFonts w:ascii="Wingdings" w:hAnsi="Wingdings" w:hint="default"/>
      </w:rPr>
    </w:lvl>
    <w:lvl w:ilvl="8" w:tplc="6D50F6C6" w:tentative="1">
      <w:start w:val="1"/>
      <w:numFmt w:val="bullet"/>
      <w:lvlText w:val=""/>
      <w:lvlJc w:val="left"/>
      <w:pPr>
        <w:tabs>
          <w:tab w:val="num" w:pos="6480"/>
        </w:tabs>
        <w:ind w:left="6480" w:hanging="360"/>
      </w:pPr>
      <w:rPr>
        <w:rFonts w:ascii="Wingdings" w:hAnsi="Wingdings" w:hint="default"/>
      </w:rPr>
    </w:lvl>
  </w:abstractNum>
  <w:abstractNum w:abstractNumId="10">
    <w:nsid w:val="25FB53E7"/>
    <w:multiLevelType w:val="hybridMultilevel"/>
    <w:tmpl w:val="1FBCE1B0"/>
    <w:lvl w:ilvl="0" w:tplc="CDEECA22">
      <w:start w:val="1"/>
      <w:numFmt w:val="bullet"/>
      <w:lvlText w:val=""/>
      <w:lvlJc w:val="left"/>
      <w:pPr>
        <w:tabs>
          <w:tab w:val="num" w:pos="720"/>
        </w:tabs>
        <w:ind w:left="720" w:hanging="360"/>
      </w:pPr>
      <w:rPr>
        <w:rFonts w:ascii="Wingdings" w:hAnsi="Wingdings" w:hint="default"/>
      </w:rPr>
    </w:lvl>
    <w:lvl w:ilvl="1" w:tplc="1DBAEE4E">
      <w:start w:val="1530"/>
      <w:numFmt w:val="bullet"/>
      <w:lvlText w:val=""/>
      <w:lvlJc w:val="left"/>
      <w:pPr>
        <w:tabs>
          <w:tab w:val="num" w:pos="1440"/>
        </w:tabs>
        <w:ind w:left="1440" w:hanging="360"/>
      </w:pPr>
      <w:rPr>
        <w:rFonts w:ascii="Wingdings" w:hAnsi="Wingdings" w:hint="default"/>
      </w:rPr>
    </w:lvl>
    <w:lvl w:ilvl="2" w:tplc="DED88FA4" w:tentative="1">
      <w:start w:val="1"/>
      <w:numFmt w:val="bullet"/>
      <w:lvlText w:val=""/>
      <w:lvlJc w:val="left"/>
      <w:pPr>
        <w:tabs>
          <w:tab w:val="num" w:pos="2160"/>
        </w:tabs>
        <w:ind w:left="2160" w:hanging="360"/>
      </w:pPr>
      <w:rPr>
        <w:rFonts w:ascii="Wingdings" w:hAnsi="Wingdings" w:hint="default"/>
      </w:rPr>
    </w:lvl>
    <w:lvl w:ilvl="3" w:tplc="309651E6" w:tentative="1">
      <w:start w:val="1"/>
      <w:numFmt w:val="bullet"/>
      <w:lvlText w:val=""/>
      <w:lvlJc w:val="left"/>
      <w:pPr>
        <w:tabs>
          <w:tab w:val="num" w:pos="2880"/>
        </w:tabs>
        <w:ind w:left="2880" w:hanging="360"/>
      </w:pPr>
      <w:rPr>
        <w:rFonts w:ascii="Wingdings" w:hAnsi="Wingdings" w:hint="default"/>
      </w:rPr>
    </w:lvl>
    <w:lvl w:ilvl="4" w:tplc="71E4BC18" w:tentative="1">
      <w:start w:val="1"/>
      <w:numFmt w:val="bullet"/>
      <w:lvlText w:val=""/>
      <w:lvlJc w:val="left"/>
      <w:pPr>
        <w:tabs>
          <w:tab w:val="num" w:pos="3600"/>
        </w:tabs>
        <w:ind w:left="3600" w:hanging="360"/>
      </w:pPr>
      <w:rPr>
        <w:rFonts w:ascii="Wingdings" w:hAnsi="Wingdings" w:hint="default"/>
      </w:rPr>
    </w:lvl>
    <w:lvl w:ilvl="5" w:tplc="98B02060" w:tentative="1">
      <w:start w:val="1"/>
      <w:numFmt w:val="bullet"/>
      <w:lvlText w:val=""/>
      <w:lvlJc w:val="left"/>
      <w:pPr>
        <w:tabs>
          <w:tab w:val="num" w:pos="4320"/>
        </w:tabs>
        <w:ind w:left="4320" w:hanging="360"/>
      </w:pPr>
      <w:rPr>
        <w:rFonts w:ascii="Wingdings" w:hAnsi="Wingdings" w:hint="default"/>
      </w:rPr>
    </w:lvl>
    <w:lvl w:ilvl="6" w:tplc="4C2A46E8" w:tentative="1">
      <w:start w:val="1"/>
      <w:numFmt w:val="bullet"/>
      <w:lvlText w:val=""/>
      <w:lvlJc w:val="left"/>
      <w:pPr>
        <w:tabs>
          <w:tab w:val="num" w:pos="5040"/>
        </w:tabs>
        <w:ind w:left="5040" w:hanging="360"/>
      </w:pPr>
      <w:rPr>
        <w:rFonts w:ascii="Wingdings" w:hAnsi="Wingdings" w:hint="default"/>
      </w:rPr>
    </w:lvl>
    <w:lvl w:ilvl="7" w:tplc="85D02468" w:tentative="1">
      <w:start w:val="1"/>
      <w:numFmt w:val="bullet"/>
      <w:lvlText w:val=""/>
      <w:lvlJc w:val="left"/>
      <w:pPr>
        <w:tabs>
          <w:tab w:val="num" w:pos="5760"/>
        </w:tabs>
        <w:ind w:left="5760" w:hanging="360"/>
      </w:pPr>
      <w:rPr>
        <w:rFonts w:ascii="Wingdings" w:hAnsi="Wingdings" w:hint="default"/>
      </w:rPr>
    </w:lvl>
    <w:lvl w:ilvl="8" w:tplc="17DE0C6C" w:tentative="1">
      <w:start w:val="1"/>
      <w:numFmt w:val="bullet"/>
      <w:lvlText w:val=""/>
      <w:lvlJc w:val="left"/>
      <w:pPr>
        <w:tabs>
          <w:tab w:val="num" w:pos="6480"/>
        </w:tabs>
        <w:ind w:left="6480" w:hanging="360"/>
      </w:pPr>
      <w:rPr>
        <w:rFonts w:ascii="Wingdings" w:hAnsi="Wingdings" w:hint="default"/>
      </w:rPr>
    </w:lvl>
  </w:abstractNum>
  <w:abstractNum w:abstractNumId="11">
    <w:nsid w:val="2A830D9E"/>
    <w:multiLevelType w:val="hybridMultilevel"/>
    <w:tmpl w:val="1F58E320"/>
    <w:lvl w:ilvl="0" w:tplc="055616BA">
      <w:start w:val="1"/>
      <w:numFmt w:val="bullet"/>
      <w:lvlText w:val=""/>
      <w:lvlJc w:val="left"/>
      <w:pPr>
        <w:tabs>
          <w:tab w:val="num" w:pos="720"/>
        </w:tabs>
        <w:ind w:left="720" w:hanging="360"/>
      </w:pPr>
      <w:rPr>
        <w:rFonts w:ascii="Wingdings" w:hAnsi="Wingdings" w:hint="default"/>
      </w:rPr>
    </w:lvl>
    <w:lvl w:ilvl="1" w:tplc="4F3AB860">
      <w:start w:val="1705"/>
      <w:numFmt w:val="bullet"/>
      <w:lvlText w:val=""/>
      <w:lvlJc w:val="left"/>
      <w:pPr>
        <w:tabs>
          <w:tab w:val="num" w:pos="1440"/>
        </w:tabs>
        <w:ind w:left="1440" w:hanging="360"/>
      </w:pPr>
      <w:rPr>
        <w:rFonts w:ascii="Wingdings" w:hAnsi="Wingdings" w:hint="default"/>
      </w:rPr>
    </w:lvl>
    <w:lvl w:ilvl="2" w:tplc="B4F0D676">
      <w:start w:val="1705"/>
      <w:numFmt w:val="bullet"/>
      <w:lvlText w:val="o"/>
      <w:lvlJc w:val="left"/>
      <w:pPr>
        <w:tabs>
          <w:tab w:val="num" w:pos="2160"/>
        </w:tabs>
        <w:ind w:left="2160" w:hanging="360"/>
      </w:pPr>
      <w:rPr>
        <w:rFonts w:ascii="Courier New" w:hAnsi="Courier New" w:hint="default"/>
      </w:rPr>
    </w:lvl>
    <w:lvl w:ilvl="3" w:tplc="1AB607AA" w:tentative="1">
      <w:start w:val="1"/>
      <w:numFmt w:val="bullet"/>
      <w:lvlText w:val=""/>
      <w:lvlJc w:val="left"/>
      <w:pPr>
        <w:tabs>
          <w:tab w:val="num" w:pos="2880"/>
        </w:tabs>
        <w:ind w:left="2880" w:hanging="360"/>
      </w:pPr>
      <w:rPr>
        <w:rFonts w:ascii="Wingdings" w:hAnsi="Wingdings" w:hint="default"/>
      </w:rPr>
    </w:lvl>
    <w:lvl w:ilvl="4" w:tplc="4B02F634" w:tentative="1">
      <w:start w:val="1"/>
      <w:numFmt w:val="bullet"/>
      <w:lvlText w:val=""/>
      <w:lvlJc w:val="left"/>
      <w:pPr>
        <w:tabs>
          <w:tab w:val="num" w:pos="3600"/>
        </w:tabs>
        <w:ind w:left="3600" w:hanging="360"/>
      </w:pPr>
      <w:rPr>
        <w:rFonts w:ascii="Wingdings" w:hAnsi="Wingdings" w:hint="default"/>
      </w:rPr>
    </w:lvl>
    <w:lvl w:ilvl="5" w:tplc="CC7C269A" w:tentative="1">
      <w:start w:val="1"/>
      <w:numFmt w:val="bullet"/>
      <w:lvlText w:val=""/>
      <w:lvlJc w:val="left"/>
      <w:pPr>
        <w:tabs>
          <w:tab w:val="num" w:pos="4320"/>
        </w:tabs>
        <w:ind w:left="4320" w:hanging="360"/>
      </w:pPr>
      <w:rPr>
        <w:rFonts w:ascii="Wingdings" w:hAnsi="Wingdings" w:hint="default"/>
      </w:rPr>
    </w:lvl>
    <w:lvl w:ilvl="6" w:tplc="508225BA" w:tentative="1">
      <w:start w:val="1"/>
      <w:numFmt w:val="bullet"/>
      <w:lvlText w:val=""/>
      <w:lvlJc w:val="left"/>
      <w:pPr>
        <w:tabs>
          <w:tab w:val="num" w:pos="5040"/>
        </w:tabs>
        <w:ind w:left="5040" w:hanging="360"/>
      </w:pPr>
      <w:rPr>
        <w:rFonts w:ascii="Wingdings" w:hAnsi="Wingdings" w:hint="default"/>
      </w:rPr>
    </w:lvl>
    <w:lvl w:ilvl="7" w:tplc="BD3AD2E4" w:tentative="1">
      <w:start w:val="1"/>
      <w:numFmt w:val="bullet"/>
      <w:lvlText w:val=""/>
      <w:lvlJc w:val="left"/>
      <w:pPr>
        <w:tabs>
          <w:tab w:val="num" w:pos="5760"/>
        </w:tabs>
        <w:ind w:left="5760" w:hanging="360"/>
      </w:pPr>
      <w:rPr>
        <w:rFonts w:ascii="Wingdings" w:hAnsi="Wingdings" w:hint="default"/>
      </w:rPr>
    </w:lvl>
    <w:lvl w:ilvl="8" w:tplc="13642D9A" w:tentative="1">
      <w:start w:val="1"/>
      <w:numFmt w:val="bullet"/>
      <w:lvlText w:val=""/>
      <w:lvlJc w:val="left"/>
      <w:pPr>
        <w:tabs>
          <w:tab w:val="num" w:pos="6480"/>
        </w:tabs>
        <w:ind w:left="6480" w:hanging="360"/>
      </w:pPr>
      <w:rPr>
        <w:rFonts w:ascii="Wingdings" w:hAnsi="Wingdings" w:hint="default"/>
      </w:rPr>
    </w:lvl>
  </w:abstractNum>
  <w:abstractNum w:abstractNumId="12">
    <w:nsid w:val="2B786736"/>
    <w:multiLevelType w:val="hybridMultilevel"/>
    <w:tmpl w:val="BBEA7E48"/>
    <w:lvl w:ilvl="0" w:tplc="17740006">
      <w:start w:val="1"/>
      <w:numFmt w:val="bullet"/>
      <w:lvlText w:val=""/>
      <w:lvlJc w:val="left"/>
      <w:pPr>
        <w:tabs>
          <w:tab w:val="num" w:pos="720"/>
        </w:tabs>
        <w:ind w:left="720" w:hanging="360"/>
      </w:pPr>
      <w:rPr>
        <w:rFonts w:ascii="Wingdings" w:hAnsi="Wingdings" w:hint="default"/>
      </w:rPr>
    </w:lvl>
    <w:lvl w:ilvl="1" w:tplc="33C2E152">
      <w:start w:val="1"/>
      <w:numFmt w:val="bullet"/>
      <w:lvlText w:val=""/>
      <w:lvlJc w:val="left"/>
      <w:pPr>
        <w:tabs>
          <w:tab w:val="num" w:pos="1440"/>
        </w:tabs>
        <w:ind w:left="1440" w:hanging="360"/>
      </w:pPr>
      <w:rPr>
        <w:rFonts w:ascii="Wingdings" w:hAnsi="Wingdings" w:hint="default"/>
      </w:rPr>
    </w:lvl>
    <w:lvl w:ilvl="2" w:tplc="B7769D46" w:tentative="1">
      <w:start w:val="1"/>
      <w:numFmt w:val="bullet"/>
      <w:lvlText w:val=""/>
      <w:lvlJc w:val="left"/>
      <w:pPr>
        <w:tabs>
          <w:tab w:val="num" w:pos="2160"/>
        </w:tabs>
        <w:ind w:left="2160" w:hanging="360"/>
      </w:pPr>
      <w:rPr>
        <w:rFonts w:ascii="Wingdings" w:hAnsi="Wingdings" w:hint="default"/>
      </w:rPr>
    </w:lvl>
    <w:lvl w:ilvl="3" w:tplc="1ECAAF84" w:tentative="1">
      <w:start w:val="1"/>
      <w:numFmt w:val="bullet"/>
      <w:lvlText w:val=""/>
      <w:lvlJc w:val="left"/>
      <w:pPr>
        <w:tabs>
          <w:tab w:val="num" w:pos="2880"/>
        </w:tabs>
        <w:ind w:left="2880" w:hanging="360"/>
      </w:pPr>
      <w:rPr>
        <w:rFonts w:ascii="Wingdings" w:hAnsi="Wingdings" w:hint="default"/>
      </w:rPr>
    </w:lvl>
    <w:lvl w:ilvl="4" w:tplc="E8745F3E" w:tentative="1">
      <w:start w:val="1"/>
      <w:numFmt w:val="bullet"/>
      <w:lvlText w:val=""/>
      <w:lvlJc w:val="left"/>
      <w:pPr>
        <w:tabs>
          <w:tab w:val="num" w:pos="3600"/>
        </w:tabs>
        <w:ind w:left="3600" w:hanging="360"/>
      </w:pPr>
      <w:rPr>
        <w:rFonts w:ascii="Wingdings" w:hAnsi="Wingdings" w:hint="default"/>
      </w:rPr>
    </w:lvl>
    <w:lvl w:ilvl="5" w:tplc="4A4CDB18" w:tentative="1">
      <w:start w:val="1"/>
      <w:numFmt w:val="bullet"/>
      <w:lvlText w:val=""/>
      <w:lvlJc w:val="left"/>
      <w:pPr>
        <w:tabs>
          <w:tab w:val="num" w:pos="4320"/>
        </w:tabs>
        <w:ind w:left="4320" w:hanging="360"/>
      </w:pPr>
      <w:rPr>
        <w:rFonts w:ascii="Wingdings" w:hAnsi="Wingdings" w:hint="default"/>
      </w:rPr>
    </w:lvl>
    <w:lvl w:ilvl="6" w:tplc="D9983442" w:tentative="1">
      <w:start w:val="1"/>
      <w:numFmt w:val="bullet"/>
      <w:lvlText w:val=""/>
      <w:lvlJc w:val="left"/>
      <w:pPr>
        <w:tabs>
          <w:tab w:val="num" w:pos="5040"/>
        </w:tabs>
        <w:ind w:left="5040" w:hanging="360"/>
      </w:pPr>
      <w:rPr>
        <w:rFonts w:ascii="Wingdings" w:hAnsi="Wingdings" w:hint="default"/>
      </w:rPr>
    </w:lvl>
    <w:lvl w:ilvl="7" w:tplc="3504611A" w:tentative="1">
      <w:start w:val="1"/>
      <w:numFmt w:val="bullet"/>
      <w:lvlText w:val=""/>
      <w:lvlJc w:val="left"/>
      <w:pPr>
        <w:tabs>
          <w:tab w:val="num" w:pos="5760"/>
        </w:tabs>
        <w:ind w:left="5760" w:hanging="360"/>
      </w:pPr>
      <w:rPr>
        <w:rFonts w:ascii="Wingdings" w:hAnsi="Wingdings" w:hint="default"/>
      </w:rPr>
    </w:lvl>
    <w:lvl w:ilvl="8" w:tplc="99E4431E" w:tentative="1">
      <w:start w:val="1"/>
      <w:numFmt w:val="bullet"/>
      <w:lvlText w:val=""/>
      <w:lvlJc w:val="left"/>
      <w:pPr>
        <w:tabs>
          <w:tab w:val="num" w:pos="6480"/>
        </w:tabs>
        <w:ind w:left="6480" w:hanging="360"/>
      </w:pPr>
      <w:rPr>
        <w:rFonts w:ascii="Wingdings" w:hAnsi="Wingdings" w:hint="default"/>
      </w:rPr>
    </w:lvl>
  </w:abstractNum>
  <w:abstractNum w:abstractNumId="13">
    <w:nsid w:val="374F045D"/>
    <w:multiLevelType w:val="hybridMultilevel"/>
    <w:tmpl w:val="1792B64C"/>
    <w:lvl w:ilvl="0" w:tplc="2D1858D8">
      <w:start w:val="1"/>
      <w:numFmt w:val="bullet"/>
      <w:lvlText w:val="•"/>
      <w:lvlJc w:val="left"/>
      <w:pPr>
        <w:tabs>
          <w:tab w:val="num" w:pos="720"/>
        </w:tabs>
        <w:ind w:left="720" w:hanging="360"/>
      </w:pPr>
      <w:rPr>
        <w:rFonts w:ascii="Arial" w:hAnsi="Arial" w:hint="default"/>
      </w:rPr>
    </w:lvl>
    <w:lvl w:ilvl="1" w:tplc="F0B4E4F2">
      <w:start w:val="1"/>
      <w:numFmt w:val="bullet"/>
      <w:lvlText w:val="•"/>
      <w:lvlJc w:val="left"/>
      <w:pPr>
        <w:tabs>
          <w:tab w:val="num" w:pos="1440"/>
        </w:tabs>
        <w:ind w:left="1440" w:hanging="360"/>
      </w:pPr>
      <w:rPr>
        <w:rFonts w:ascii="Arial" w:hAnsi="Arial" w:hint="default"/>
      </w:rPr>
    </w:lvl>
    <w:lvl w:ilvl="2" w:tplc="A686DF5C" w:tentative="1">
      <w:start w:val="1"/>
      <w:numFmt w:val="bullet"/>
      <w:lvlText w:val="•"/>
      <w:lvlJc w:val="left"/>
      <w:pPr>
        <w:tabs>
          <w:tab w:val="num" w:pos="2160"/>
        </w:tabs>
        <w:ind w:left="2160" w:hanging="360"/>
      </w:pPr>
      <w:rPr>
        <w:rFonts w:ascii="Arial" w:hAnsi="Arial" w:hint="default"/>
      </w:rPr>
    </w:lvl>
    <w:lvl w:ilvl="3" w:tplc="73A29E38" w:tentative="1">
      <w:start w:val="1"/>
      <w:numFmt w:val="bullet"/>
      <w:lvlText w:val="•"/>
      <w:lvlJc w:val="left"/>
      <w:pPr>
        <w:tabs>
          <w:tab w:val="num" w:pos="2880"/>
        </w:tabs>
        <w:ind w:left="2880" w:hanging="360"/>
      </w:pPr>
      <w:rPr>
        <w:rFonts w:ascii="Arial" w:hAnsi="Arial" w:hint="default"/>
      </w:rPr>
    </w:lvl>
    <w:lvl w:ilvl="4" w:tplc="4CEEDBDE" w:tentative="1">
      <w:start w:val="1"/>
      <w:numFmt w:val="bullet"/>
      <w:lvlText w:val="•"/>
      <w:lvlJc w:val="left"/>
      <w:pPr>
        <w:tabs>
          <w:tab w:val="num" w:pos="3600"/>
        </w:tabs>
        <w:ind w:left="3600" w:hanging="360"/>
      </w:pPr>
      <w:rPr>
        <w:rFonts w:ascii="Arial" w:hAnsi="Arial" w:hint="default"/>
      </w:rPr>
    </w:lvl>
    <w:lvl w:ilvl="5" w:tplc="5E1E050C" w:tentative="1">
      <w:start w:val="1"/>
      <w:numFmt w:val="bullet"/>
      <w:lvlText w:val="•"/>
      <w:lvlJc w:val="left"/>
      <w:pPr>
        <w:tabs>
          <w:tab w:val="num" w:pos="4320"/>
        </w:tabs>
        <w:ind w:left="4320" w:hanging="360"/>
      </w:pPr>
      <w:rPr>
        <w:rFonts w:ascii="Arial" w:hAnsi="Arial" w:hint="default"/>
      </w:rPr>
    </w:lvl>
    <w:lvl w:ilvl="6" w:tplc="FB3CCF28" w:tentative="1">
      <w:start w:val="1"/>
      <w:numFmt w:val="bullet"/>
      <w:lvlText w:val="•"/>
      <w:lvlJc w:val="left"/>
      <w:pPr>
        <w:tabs>
          <w:tab w:val="num" w:pos="5040"/>
        </w:tabs>
        <w:ind w:left="5040" w:hanging="360"/>
      </w:pPr>
      <w:rPr>
        <w:rFonts w:ascii="Arial" w:hAnsi="Arial" w:hint="default"/>
      </w:rPr>
    </w:lvl>
    <w:lvl w:ilvl="7" w:tplc="EEACD624" w:tentative="1">
      <w:start w:val="1"/>
      <w:numFmt w:val="bullet"/>
      <w:lvlText w:val="•"/>
      <w:lvlJc w:val="left"/>
      <w:pPr>
        <w:tabs>
          <w:tab w:val="num" w:pos="5760"/>
        </w:tabs>
        <w:ind w:left="5760" w:hanging="360"/>
      </w:pPr>
      <w:rPr>
        <w:rFonts w:ascii="Arial" w:hAnsi="Arial" w:hint="default"/>
      </w:rPr>
    </w:lvl>
    <w:lvl w:ilvl="8" w:tplc="CFA459E8" w:tentative="1">
      <w:start w:val="1"/>
      <w:numFmt w:val="bullet"/>
      <w:lvlText w:val="•"/>
      <w:lvlJc w:val="left"/>
      <w:pPr>
        <w:tabs>
          <w:tab w:val="num" w:pos="6480"/>
        </w:tabs>
        <w:ind w:left="6480" w:hanging="360"/>
      </w:pPr>
      <w:rPr>
        <w:rFonts w:ascii="Arial" w:hAnsi="Arial" w:hint="default"/>
      </w:rPr>
    </w:lvl>
  </w:abstractNum>
  <w:abstractNum w:abstractNumId="14">
    <w:nsid w:val="379E79CF"/>
    <w:multiLevelType w:val="hybridMultilevel"/>
    <w:tmpl w:val="BDE8E448"/>
    <w:lvl w:ilvl="0" w:tplc="303A8CF0">
      <w:start w:val="1"/>
      <w:numFmt w:val="bullet"/>
      <w:lvlText w:val=""/>
      <w:lvlJc w:val="left"/>
      <w:pPr>
        <w:tabs>
          <w:tab w:val="num" w:pos="720"/>
        </w:tabs>
        <w:ind w:left="720" w:hanging="360"/>
      </w:pPr>
      <w:rPr>
        <w:rFonts w:ascii="Wingdings" w:hAnsi="Wingdings" w:hint="default"/>
      </w:rPr>
    </w:lvl>
    <w:lvl w:ilvl="1" w:tplc="383E12B0">
      <w:start w:val="1819"/>
      <w:numFmt w:val="bullet"/>
      <w:lvlText w:val=""/>
      <w:lvlJc w:val="left"/>
      <w:pPr>
        <w:tabs>
          <w:tab w:val="num" w:pos="1440"/>
        </w:tabs>
        <w:ind w:left="1440" w:hanging="360"/>
      </w:pPr>
      <w:rPr>
        <w:rFonts w:ascii="Wingdings" w:hAnsi="Wingdings" w:hint="default"/>
      </w:rPr>
    </w:lvl>
    <w:lvl w:ilvl="2" w:tplc="2F5EA5E2">
      <w:start w:val="1"/>
      <w:numFmt w:val="decimal"/>
      <w:lvlText w:val="%3."/>
      <w:lvlJc w:val="left"/>
      <w:pPr>
        <w:tabs>
          <w:tab w:val="num" w:pos="2160"/>
        </w:tabs>
        <w:ind w:left="2160" w:hanging="360"/>
      </w:pPr>
    </w:lvl>
    <w:lvl w:ilvl="3" w:tplc="77F8FF7E" w:tentative="1">
      <w:start w:val="1"/>
      <w:numFmt w:val="bullet"/>
      <w:lvlText w:val=""/>
      <w:lvlJc w:val="left"/>
      <w:pPr>
        <w:tabs>
          <w:tab w:val="num" w:pos="2880"/>
        </w:tabs>
        <w:ind w:left="2880" w:hanging="360"/>
      </w:pPr>
      <w:rPr>
        <w:rFonts w:ascii="Wingdings" w:hAnsi="Wingdings" w:hint="default"/>
      </w:rPr>
    </w:lvl>
    <w:lvl w:ilvl="4" w:tplc="10107504" w:tentative="1">
      <w:start w:val="1"/>
      <w:numFmt w:val="bullet"/>
      <w:lvlText w:val=""/>
      <w:lvlJc w:val="left"/>
      <w:pPr>
        <w:tabs>
          <w:tab w:val="num" w:pos="3600"/>
        </w:tabs>
        <w:ind w:left="3600" w:hanging="360"/>
      </w:pPr>
      <w:rPr>
        <w:rFonts w:ascii="Wingdings" w:hAnsi="Wingdings" w:hint="default"/>
      </w:rPr>
    </w:lvl>
    <w:lvl w:ilvl="5" w:tplc="7938FBE0" w:tentative="1">
      <w:start w:val="1"/>
      <w:numFmt w:val="bullet"/>
      <w:lvlText w:val=""/>
      <w:lvlJc w:val="left"/>
      <w:pPr>
        <w:tabs>
          <w:tab w:val="num" w:pos="4320"/>
        </w:tabs>
        <w:ind w:left="4320" w:hanging="360"/>
      </w:pPr>
      <w:rPr>
        <w:rFonts w:ascii="Wingdings" w:hAnsi="Wingdings" w:hint="default"/>
      </w:rPr>
    </w:lvl>
    <w:lvl w:ilvl="6" w:tplc="690203B0" w:tentative="1">
      <w:start w:val="1"/>
      <w:numFmt w:val="bullet"/>
      <w:lvlText w:val=""/>
      <w:lvlJc w:val="left"/>
      <w:pPr>
        <w:tabs>
          <w:tab w:val="num" w:pos="5040"/>
        </w:tabs>
        <w:ind w:left="5040" w:hanging="360"/>
      </w:pPr>
      <w:rPr>
        <w:rFonts w:ascii="Wingdings" w:hAnsi="Wingdings" w:hint="default"/>
      </w:rPr>
    </w:lvl>
    <w:lvl w:ilvl="7" w:tplc="C65C2A26" w:tentative="1">
      <w:start w:val="1"/>
      <w:numFmt w:val="bullet"/>
      <w:lvlText w:val=""/>
      <w:lvlJc w:val="left"/>
      <w:pPr>
        <w:tabs>
          <w:tab w:val="num" w:pos="5760"/>
        </w:tabs>
        <w:ind w:left="5760" w:hanging="360"/>
      </w:pPr>
      <w:rPr>
        <w:rFonts w:ascii="Wingdings" w:hAnsi="Wingdings" w:hint="default"/>
      </w:rPr>
    </w:lvl>
    <w:lvl w:ilvl="8" w:tplc="70BA1CD0" w:tentative="1">
      <w:start w:val="1"/>
      <w:numFmt w:val="bullet"/>
      <w:lvlText w:val=""/>
      <w:lvlJc w:val="left"/>
      <w:pPr>
        <w:tabs>
          <w:tab w:val="num" w:pos="6480"/>
        </w:tabs>
        <w:ind w:left="6480" w:hanging="360"/>
      </w:pPr>
      <w:rPr>
        <w:rFonts w:ascii="Wingdings" w:hAnsi="Wingdings" w:hint="default"/>
      </w:rPr>
    </w:lvl>
  </w:abstractNum>
  <w:abstractNum w:abstractNumId="15">
    <w:nsid w:val="44856A73"/>
    <w:multiLevelType w:val="hybridMultilevel"/>
    <w:tmpl w:val="3BE0699C"/>
    <w:lvl w:ilvl="0" w:tplc="14428CB8">
      <w:start w:val="1"/>
      <w:numFmt w:val="bullet"/>
      <w:lvlText w:val=""/>
      <w:lvlJc w:val="left"/>
      <w:pPr>
        <w:tabs>
          <w:tab w:val="num" w:pos="720"/>
        </w:tabs>
        <w:ind w:left="720" w:hanging="360"/>
      </w:pPr>
      <w:rPr>
        <w:rFonts w:ascii="Wingdings" w:hAnsi="Wingdings" w:hint="default"/>
      </w:rPr>
    </w:lvl>
    <w:lvl w:ilvl="1" w:tplc="D9ECE3E2">
      <w:start w:val="1705"/>
      <w:numFmt w:val="bullet"/>
      <w:lvlText w:val=""/>
      <w:lvlJc w:val="left"/>
      <w:pPr>
        <w:tabs>
          <w:tab w:val="num" w:pos="1440"/>
        </w:tabs>
        <w:ind w:left="1440" w:hanging="360"/>
      </w:pPr>
      <w:rPr>
        <w:rFonts w:ascii="Wingdings" w:hAnsi="Wingdings" w:hint="default"/>
      </w:rPr>
    </w:lvl>
    <w:lvl w:ilvl="2" w:tplc="F45652B8">
      <w:start w:val="1"/>
      <w:numFmt w:val="decimal"/>
      <w:lvlText w:val="%3."/>
      <w:lvlJc w:val="left"/>
      <w:pPr>
        <w:tabs>
          <w:tab w:val="num" w:pos="2160"/>
        </w:tabs>
        <w:ind w:left="2160" w:hanging="360"/>
      </w:pPr>
    </w:lvl>
    <w:lvl w:ilvl="3" w:tplc="BBE6F5BE" w:tentative="1">
      <w:start w:val="1"/>
      <w:numFmt w:val="bullet"/>
      <w:lvlText w:val=""/>
      <w:lvlJc w:val="left"/>
      <w:pPr>
        <w:tabs>
          <w:tab w:val="num" w:pos="2880"/>
        </w:tabs>
        <w:ind w:left="2880" w:hanging="360"/>
      </w:pPr>
      <w:rPr>
        <w:rFonts w:ascii="Wingdings" w:hAnsi="Wingdings" w:hint="default"/>
      </w:rPr>
    </w:lvl>
    <w:lvl w:ilvl="4" w:tplc="450E7C08" w:tentative="1">
      <w:start w:val="1"/>
      <w:numFmt w:val="bullet"/>
      <w:lvlText w:val=""/>
      <w:lvlJc w:val="left"/>
      <w:pPr>
        <w:tabs>
          <w:tab w:val="num" w:pos="3600"/>
        </w:tabs>
        <w:ind w:left="3600" w:hanging="360"/>
      </w:pPr>
      <w:rPr>
        <w:rFonts w:ascii="Wingdings" w:hAnsi="Wingdings" w:hint="default"/>
      </w:rPr>
    </w:lvl>
    <w:lvl w:ilvl="5" w:tplc="C8784FAE" w:tentative="1">
      <w:start w:val="1"/>
      <w:numFmt w:val="bullet"/>
      <w:lvlText w:val=""/>
      <w:lvlJc w:val="left"/>
      <w:pPr>
        <w:tabs>
          <w:tab w:val="num" w:pos="4320"/>
        </w:tabs>
        <w:ind w:left="4320" w:hanging="360"/>
      </w:pPr>
      <w:rPr>
        <w:rFonts w:ascii="Wingdings" w:hAnsi="Wingdings" w:hint="default"/>
      </w:rPr>
    </w:lvl>
    <w:lvl w:ilvl="6" w:tplc="4B00B72E" w:tentative="1">
      <w:start w:val="1"/>
      <w:numFmt w:val="bullet"/>
      <w:lvlText w:val=""/>
      <w:lvlJc w:val="left"/>
      <w:pPr>
        <w:tabs>
          <w:tab w:val="num" w:pos="5040"/>
        </w:tabs>
        <w:ind w:left="5040" w:hanging="360"/>
      </w:pPr>
      <w:rPr>
        <w:rFonts w:ascii="Wingdings" w:hAnsi="Wingdings" w:hint="default"/>
      </w:rPr>
    </w:lvl>
    <w:lvl w:ilvl="7" w:tplc="0AEC49C8" w:tentative="1">
      <w:start w:val="1"/>
      <w:numFmt w:val="bullet"/>
      <w:lvlText w:val=""/>
      <w:lvlJc w:val="left"/>
      <w:pPr>
        <w:tabs>
          <w:tab w:val="num" w:pos="5760"/>
        </w:tabs>
        <w:ind w:left="5760" w:hanging="360"/>
      </w:pPr>
      <w:rPr>
        <w:rFonts w:ascii="Wingdings" w:hAnsi="Wingdings" w:hint="default"/>
      </w:rPr>
    </w:lvl>
    <w:lvl w:ilvl="8" w:tplc="F672017A" w:tentative="1">
      <w:start w:val="1"/>
      <w:numFmt w:val="bullet"/>
      <w:lvlText w:val=""/>
      <w:lvlJc w:val="left"/>
      <w:pPr>
        <w:tabs>
          <w:tab w:val="num" w:pos="6480"/>
        </w:tabs>
        <w:ind w:left="6480" w:hanging="360"/>
      </w:pPr>
      <w:rPr>
        <w:rFonts w:ascii="Wingdings" w:hAnsi="Wingdings" w:hint="default"/>
      </w:rPr>
    </w:lvl>
  </w:abstractNum>
  <w:abstractNum w:abstractNumId="16">
    <w:nsid w:val="4A2F32C7"/>
    <w:multiLevelType w:val="hybridMultilevel"/>
    <w:tmpl w:val="57467942"/>
    <w:lvl w:ilvl="0" w:tplc="47283030">
      <w:start w:val="1"/>
      <w:numFmt w:val="bullet"/>
      <w:lvlText w:val=""/>
      <w:lvlJc w:val="left"/>
      <w:pPr>
        <w:tabs>
          <w:tab w:val="num" w:pos="720"/>
        </w:tabs>
        <w:ind w:left="720" w:hanging="360"/>
      </w:pPr>
      <w:rPr>
        <w:rFonts w:ascii="Wingdings" w:hAnsi="Wingdings" w:hint="default"/>
      </w:rPr>
    </w:lvl>
    <w:lvl w:ilvl="1" w:tplc="0D54C634">
      <w:start w:val="1705"/>
      <w:numFmt w:val="bullet"/>
      <w:lvlText w:val=""/>
      <w:lvlJc w:val="left"/>
      <w:pPr>
        <w:tabs>
          <w:tab w:val="num" w:pos="1440"/>
        </w:tabs>
        <w:ind w:left="1440" w:hanging="360"/>
      </w:pPr>
      <w:rPr>
        <w:rFonts w:ascii="Wingdings" w:hAnsi="Wingdings" w:hint="default"/>
      </w:rPr>
    </w:lvl>
    <w:lvl w:ilvl="2" w:tplc="2CEA763E">
      <w:start w:val="1705"/>
      <w:numFmt w:val="bullet"/>
      <w:lvlText w:val=""/>
      <w:lvlJc w:val="left"/>
      <w:pPr>
        <w:tabs>
          <w:tab w:val="num" w:pos="2160"/>
        </w:tabs>
        <w:ind w:left="2160" w:hanging="360"/>
      </w:pPr>
      <w:rPr>
        <w:rFonts w:ascii="Wingdings" w:hAnsi="Wingdings" w:hint="default"/>
      </w:rPr>
    </w:lvl>
    <w:lvl w:ilvl="3" w:tplc="B2E8F70A">
      <w:start w:val="1705"/>
      <w:numFmt w:val="bullet"/>
      <w:lvlText w:val="–"/>
      <w:lvlJc w:val="left"/>
      <w:pPr>
        <w:tabs>
          <w:tab w:val="num" w:pos="2880"/>
        </w:tabs>
        <w:ind w:left="2880" w:hanging="360"/>
      </w:pPr>
      <w:rPr>
        <w:rFonts w:ascii="Times New Roman" w:hAnsi="Times New Roman" w:hint="default"/>
      </w:rPr>
    </w:lvl>
    <w:lvl w:ilvl="4" w:tplc="D79AB32A" w:tentative="1">
      <w:start w:val="1"/>
      <w:numFmt w:val="bullet"/>
      <w:lvlText w:val=""/>
      <w:lvlJc w:val="left"/>
      <w:pPr>
        <w:tabs>
          <w:tab w:val="num" w:pos="3600"/>
        </w:tabs>
        <w:ind w:left="3600" w:hanging="360"/>
      </w:pPr>
      <w:rPr>
        <w:rFonts w:ascii="Wingdings" w:hAnsi="Wingdings" w:hint="default"/>
      </w:rPr>
    </w:lvl>
    <w:lvl w:ilvl="5" w:tplc="D8EC5E32" w:tentative="1">
      <w:start w:val="1"/>
      <w:numFmt w:val="bullet"/>
      <w:lvlText w:val=""/>
      <w:lvlJc w:val="left"/>
      <w:pPr>
        <w:tabs>
          <w:tab w:val="num" w:pos="4320"/>
        </w:tabs>
        <w:ind w:left="4320" w:hanging="360"/>
      </w:pPr>
      <w:rPr>
        <w:rFonts w:ascii="Wingdings" w:hAnsi="Wingdings" w:hint="default"/>
      </w:rPr>
    </w:lvl>
    <w:lvl w:ilvl="6" w:tplc="3DB81CCC" w:tentative="1">
      <w:start w:val="1"/>
      <w:numFmt w:val="bullet"/>
      <w:lvlText w:val=""/>
      <w:lvlJc w:val="left"/>
      <w:pPr>
        <w:tabs>
          <w:tab w:val="num" w:pos="5040"/>
        </w:tabs>
        <w:ind w:left="5040" w:hanging="360"/>
      </w:pPr>
      <w:rPr>
        <w:rFonts w:ascii="Wingdings" w:hAnsi="Wingdings" w:hint="default"/>
      </w:rPr>
    </w:lvl>
    <w:lvl w:ilvl="7" w:tplc="05BE9400" w:tentative="1">
      <w:start w:val="1"/>
      <w:numFmt w:val="bullet"/>
      <w:lvlText w:val=""/>
      <w:lvlJc w:val="left"/>
      <w:pPr>
        <w:tabs>
          <w:tab w:val="num" w:pos="5760"/>
        </w:tabs>
        <w:ind w:left="5760" w:hanging="360"/>
      </w:pPr>
      <w:rPr>
        <w:rFonts w:ascii="Wingdings" w:hAnsi="Wingdings" w:hint="default"/>
      </w:rPr>
    </w:lvl>
    <w:lvl w:ilvl="8" w:tplc="5C76B800" w:tentative="1">
      <w:start w:val="1"/>
      <w:numFmt w:val="bullet"/>
      <w:lvlText w:val=""/>
      <w:lvlJc w:val="left"/>
      <w:pPr>
        <w:tabs>
          <w:tab w:val="num" w:pos="6480"/>
        </w:tabs>
        <w:ind w:left="6480" w:hanging="360"/>
      </w:pPr>
      <w:rPr>
        <w:rFonts w:ascii="Wingdings" w:hAnsi="Wingdings" w:hint="default"/>
      </w:rPr>
    </w:lvl>
  </w:abstractNum>
  <w:abstractNum w:abstractNumId="17">
    <w:nsid w:val="52E30F56"/>
    <w:multiLevelType w:val="hybridMultilevel"/>
    <w:tmpl w:val="0644D5E4"/>
    <w:lvl w:ilvl="0" w:tplc="4A540708">
      <w:start w:val="1"/>
      <w:numFmt w:val="bullet"/>
      <w:lvlText w:val=""/>
      <w:lvlJc w:val="left"/>
      <w:pPr>
        <w:tabs>
          <w:tab w:val="num" w:pos="720"/>
        </w:tabs>
        <w:ind w:left="720" w:hanging="360"/>
      </w:pPr>
      <w:rPr>
        <w:rFonts w:ascii="Wingdings" w:hAnsi="Wingdings" w:hint="default"/>
      </w:rPr>
    </w:lvl>
    <w:lvl w:ilvl="1" w:tplc="1F1602D4" w:tentative="1">
      <w:start w:val="1"/>
      <w:numFmt w:val="bullet"/>
      <w:lvlText w:val=""/>
      <w:lvlJc w:val="left"/>
      <w:pPr>
        <w:tabs>
          <w:tab w:val="num" w:pos="1440"/>
        </w:tabs>
        <w:ind w:left="1440" w:hanging="360"/>
      </w:pPr>
      <w:rPr>
        <w:rFonts w:ascii="Wingdings" w:hAnsi="Wingdings" w:hint="default"/>
      </w:rPr>
    </w:lvl>
    <w:lvl w:ilvl="2" w:tplc="FED4988A" w:tentative="1">
      <w:start w:val="1"/>
      <w:numFmt w:val="bullet"/>
      <w:lvlText w:val=""/>
      <w:lvlJc w:val="left"/>
      <w:pPr>
        <w:tabs>
          <w:tab w:val="num" w:pos="2160"/>
        </w:tabs>
        <w:ind w:left="2160" w:hanging="360"/>
      </w:pPr>
      <w:rPr>
        <w:rFonts w:ascii="Wingdings" w:hAnsi="Wingdings" w:hint="default"/>
      </w:rPr>
    </w:lvl>
    <w:lvl w:ilvl="3" w:tplc="8FB802BC" w:tentative="1">
      <w:start w:val="1"/>
      <w:numFmt w:val="bullet"/>
      <w:lvlText w:val=""/>
      <w:lvlJc w:val="left"/>
      <w:pPr>
        <w:tabs>
          <w:tab w:val="num" w:pos="2880"/>
        </w:tabs>
        <w:ind w:left="2880" w:hanging="360"/>
      </w:pPr>
      <w:rPr>
        <w:rFonts w:ascii="Wingdings" w:hAnsi="Wingdings" w:hint="default"/>
      </w:rPr>
    </w:lvl>
    <w:lvl w:ilvl="4" w:tplc="37D65FC4" w:tentative="1">
      <w:start w:val="1"/>
      <w:numFmt w:val="bullet"/>
      <w:lvlText w:val=""/>
      <w:lvlJc w:val="left"/>
      <w:pPr>
        <w:tabs>
          <w:tab w:val="num" w:pos="3600"/>
        </w:tabs>
        <w:ind w:left="3600" w:hanging="360"/>
      </w:pPr>
      <w:rPr>
        <w:rFonts w:ascii="Wingdings" w:hAnsi="Wingdings" w:hint="default"/>
      </w:rPr>
    </w:lvl>
    <w:lvl w:ilvl="5" w:tplc="664CD914" w:tentative="1">
      <w:start w:val="1"/>
      <w:numFmt w:val="bullet"/>
      <w:lvlText w:val=""/>
      <w:lvlJc w:val="left"/>
      <w:pPr>
        <w:tabs>
          <w:tab w:val="num" w:pos="4320"/>
        </w:tabs>
        <w:ind w:left="4320" w:hanging="360"/>
      </w:pPr>
      <w:rPr>
        <w:rFonts w:ascii="Wingdings" w:hAnsi="Wingdings" w:hint="default"/>
      </w:rPr>
    </w:lvl>
    <w:lvl w:ilvl="6" w:tplc="8D0C9EE6" w:tentative="1">
      <w:start w:val="1"/>
      <w:numFmt w:val="bullet"/>
      <w:lvlText w:val=""/>
      <w:lvlJc w:val="left"/>
      <w:pPr>
        <w:tabs>
          <w:tab w:val="num" w:pos="5040"/>
        </w:tabs>
        <w:ind w:left="5040" w:hanging="360"/>
      </w:pPr>
      <w:rPr>
        <w:rFonts w:ascii="Wingdings" w:hAnsi="Wingdings" w:hint="default"/>
      </w:rPr>
    </w:lvl>
    <w:lvl w:ilvl="7" w:tplc="4A865F6C" w:tentative="1">
      <w:start w:val="1"/>
      <w:numFmt w:val="bullet"/>
      <w:lvlText w:val=""/>
      <w:lvlJc w:val="left"/>
      <w:pPr>
        <w:tabs>
          <w:tab w:val="num" w:pos="5760"/>
        </w:tabs>
        <w:ind w:left="5760" w:hanging="360"/>
      </w:pPr>
      <w:rPr>
        <w:rFonts w:ascii="Wingdings" w:hAnsi="Wingdings" w:hint="default"/>
      </w:rPr>
    </w:lvl>
    <w:lvl w:ilvl="8" w:tplc="4320B264" w:tentative="1">
      <w:start w:val="1"/>
      <w:numFmt w:val="bullet"/>
      <w:lvlText w:val=""/>
      <w:lvlJc w:val="left"/>
      <w:pPr>
        <w:tabs>
          <w:tab w:val="num" w:pos="6480"/>
        </w:tabs>
        <w:ind w:left="6480" w:hanging="360"/>
      </w:pPr>
      <w:rPr>
        <w:rFonts w:ascii="Wingdings" w:hAnsi="Wingdings" w:hint="default"/>
      </w:rPr>
    </w:lvl>
  </w:abstractNum>
  <w:abstractNum w:abstractNumId="18">
    <w:nsid w:val="52FD7BCA"/>
    <w:multiLevelType w:val="hybridMultilevel"/>
    <w:tmpl w:val="AD6A655C"/>
    <w:lvl w:ilvl="0" w:tplc="10526B9A">
      <w:start w:val="1"/>
      <w:numFmt w:val="bullet"/>
      <w:lvlText w:val=""/>
      <w:lvlJc w:val="left"/>
      <w:pPr>
        <w:tabs>
          <w:tab w:val="num" w:pos="720"/>
        </w:tabs>
        <w:ind w:left="720" w:hanging="360"/>
      </w:pPr>
      <w:rPr>
        <w:rFonts w:ascii="Wingdings" w:hAnsi="Wingdings" w:hint="default"/>
      </w:rPr>
    </w:lvl>
    <w:lvl w:ilvl="1" w:tplc="5F8049FC" w:tentative="1">
      <w:start w:val="1"/>
      <w:numFmt w:val="bullet"/>
      <w:lvlText w:val=""/>
      <w:lvlJc w:val="left"/>
      <w:pPr>
        <w:tabs>
          <w:tab w:val="num" w:pos="1440"/>
        </w:tabs>
        <w:ind w:left="1440" w:hanging="360"/>
      </w:pPr>
      <w:rPr>
        <w:rFonts w:ascii="Wingdings" w:hAnsi="Wingdings" w:hint="default"/>
      </w:rPr>
    </w:lvl>
    <w:lvl w:ilvl="2" w:tplc="BEE03D66" w:tentative="1">
      <w:start w:val="1"/>
      <w:numFmt w:val="bullet"/>
      <w:lvlText w:val=""/>
      <w:lvlJc w:val="left"/>
      <w:pPr>
        <w:tabs>
          <w:tab w:val="num" w:pos="2160"/>
        </w:tabs>
        <w:ind w:left="2160" w:hanging="360"/>
      </w:pPr>
      <w:rPr>
        <w:rFonts w:ascii="Wingdings" w:hAnsi="Wingdings" w:hint="default"/>
      </w:rPr>
    </w:lvl>
    <w:lvl w:ilvl="3" w:tplc="F9AAA4FE" w:tentative="1">
      <w:start w:val="1"/>
      <w:numFmt w:val="bullet"/>
      <w:lvlText w:val=""/>
      <w:lvlJc w:val="left"/>
      <w:pPr>
        <w:tabs>
          <w:tab w:val="num" w:pos="2880"/>
        </w:tabs>
        <w:ind w:left="2880" w:hanging="360"/>
      </w:pPr>
      <w:rPr>
        <w:rFonts w:ascii="Wingdings" w:hAnsi="Wingdings" w:hint="default"/>
      </w:rPr>
    </w:lvl>
    <w:lvl w:ilvl="4" w:tplc="50FEAE40" w:tentative="1">
      <w:start w:val="1"/>
      <w:numFmt w:val="bullet"/>
      <w:lvlText w:val=""/>
      <w:lvlJc w:val="left"/>
      <w:pPr>
        <w:tabs>
          <w:tab w:val="num" w:pos="3600"/>
        </w:tabs>
        <w:ind w:left="3600" w:hanging="360"/>
      </w:pPr>
      <w:rPr>
        <w:rFonts w:ascii="Wingdings" w:hAnsi="Wingdings" w:hint="default"/>
      </w:rPr>
    </w:lvl>
    <w:lvl w:ilvl="5" w:tplc="7E0640DE" w:tentative="1">
      <w:start w:val="1"/>
      <w:numFmt w:val="bullet"/>
      <w:lvlText w:val=""/>
      <w:lvlJc w:val="left"/>
      <w:pPr>
        <w:tabs>
          <w:tab w:val="num" w:pos="4320"/>
        </w:tabs>
        <w:ind w:left="4320" w:hanging="360"/>
      </w:pPr>
      <w:rPr>
        <w:rFonts w:ascii="Wingdings" w:hAnsi="Wingdings" w:hint="default"/>
      </w:rPr>
    </w:lvl>
    <w:lvl w:ilvl="6" w:tplc="D9F06E86" w:tentative="1">
      <w:start w:val="1"/>
      <w:numFmt w:val="bullet"/>
      <w:lvlText w:val=""/>
      <w:lvlJc w:val="left"/>
      <w:pPr>
        <w:tabs>
          <w:tab w:val="num" w:pos="5040"/>
        </w:tabs>
        <w:ind w:left="5040" w:hanging="360"/>
      </w:pPr>
      <w:rPr>
        <w:rFonts w:ascii="Wingdings" w:hAnsi="Wingdings" w:hint="default"/>
      </w:rPr>
    </w:lvl>
    <w:lvl w:ilvl="7" w:tplc="A1085024" w:tentative="1">
      <w:start w:val="1"/>
      <w:numFmt w:val="bullet"/>
      <w:lvlText w:val=""/>
      <w:lvlJc w:val="left"/>
      <w:pPr>
        <w:tabs>
          <w:tab w:val="num" w:pos="5760"/>
        </w:tabs>
        <w:ind w:left="5760" w:hanging="360"/>
      </w:pPr>
      <w:rPr>
        <w:rFonts w:ascii="Wingdings" w:hAnsi="Wingdings" w:hint="default"/>
      </w:rPr>
    </w:lvl>
    <w:lvl w:ilvl="8" w:tplc="F50C9780" w:tentative="1">
      <w:start w:val="1"/>
      <w:numFmt w:val="bullet"/>
      <w:lvlText w:val=""/>
      <w:lvlJc w:val="left"/>
      <w:pPr>
        <w:tabs>
          <w:tab w:val="num" w:pos="6480"/>
        </w:tabs>
        <w:ind w:left="6480" w:hanging="360"/>
      </w:pPr>
      <w:rPr>
        <w:rFonts w:ascii="Wingdings" w:hAnsi="Wingdings" w:hint="default"/>
      </w:rPr>
    </w:lvl>
  </w:abstractNum>
  <w:abstractNum w:abstractNumId="19">
    <w:nsid w:val="53B51CF7"/>
    <w:multiLevelType w:val="hybridMultilevel"/>
    <w:tmpl w:val="CC72D526"/>
    <w:lvl w:ilvl="0" w:tplc="8E4A3BF4">
      <w:start w:val="1"/>
      <w:numFmt w:val="bullet"/>
      <w:lvlText w:val=""/>
      <w:lvlJc w:val="left"/>
      <w:pPr>
        <w:tabs>
          <w:tab w:val="num" w:pos="720"/>
        </w:tabs>
        <w:ind w:left="720" w:hanging="360"/>
      </w:pPr>
      <w:rPr>
        <w:rFonts w:ascii="Wingdings" w:hAnsi="Wingdings" w:hint="default"/>
      </w:rPr>
    </w:lvl>
    <w:lvl w:ilvl="1" w:tplc="694CEA50" w:tentative="1">
      <w:start w:val="1"/>
      <w:numFmt w:val="bullet"/>
      <w:lvlText w:val=""/>
      <w:lvlJc w:val="left"/>
      <w:pPr>
        <w:tabs>
          <w:tab w:val="num" w:pos="1440"/>
        </w:tabs>
        <w:ind w:left="1440" w:hanging="360"/>
      </w:pPr>
      <w:rPr>
        <w:rFonts w:ascii="Wingdings" w:hAnsi="Wingdings" w:hint="default"/>
      </w:rPr>
    </w:lvl>
    <w:lvl w:ilvl="2" w:tplc="8E724720" w:tentative="1">
      <w:start w:val="1"/>
      <w:numFmt w:val="bullet"/>
      <w:lvlText w:val=""/>
      <w:lvlJc w:val="left"/>
      <w:pPr>
        <w:tabs>
          <w:tab w:val="num" w:pos="2160"/>
        </w:tabs>
        <w:ind w:left="2160" w:hanging="360"/>
      </w:pPr>
      <w:rPr>
        <w:rFonts w:ascii="Wingdings" w:hAnsi="Wingdings" w:hint="default"/>
      </w:rPr>
    </w:lvl>
    <w:lvl w:ilvl="3" w:tplc="086C981E" w:tentative="1">
      <w:start w:val="1"/>
      <w:numFmt w:val="bullet"/>
      <w:lvlText w:val=""/>
      <w:lvlJc w:val="left"/>
      <w:pPr>
        <w:tabs>
          <w:tab w:val="num" w:pos="2880"/>
        </w:tabs>
        <w:ind w:left="2880" w:hanging="360"/>
      </w:pPr>
      <w:rPr>
        <w:rFonts w:ascii="Wingdings" w:hAnsi="Wingdings" w:hint="default"/>
      </w:rPr>
    </w:lvl>
    <w:lvl w:ilvl="4" w:tplc="4B00C36E" w:tentative="1">
      <w:start w:val="1"/>
      <w:numFmt w:val="bullet"/>
      <w:lvlText w:val=""/>
      <w:lvlJc w:val="left"/>
      <w:pPr>
        <w:tabs>
          <w:tab w:val="num" w:pos="3600"/>
        </w:tabs>
        <w:ind w:left="3600" w:hanging="360"/>
      </w:pPr>
      <w:rPr>
        <w:rFonts w:ascii="Wingdings" w:hAnsi="Wingdings" w:hint="default"/>
      </w:rPr>
    </w:lvl>
    <w:lvl w:ilvl="5" w:tplc="D99E2966" w:tentative="1">
      <w:start w:val="1"/>
      <w:numFmt w:val="bullet"/>
      <w:lvlText w:val=""/>
      <w:lvlJc w:val="left"/>
      <w:pPr>
        <w:tabs>
          <w:tab w:val="num" w:pos="4320"/>
        </w:tabs>
        <w:ind w:left="4320" w:hanging="360"/>
      </w:pPr>
      <w:rPr>
        <w:rFonts w:ascii="Wingdings" w:hAnsi="Wingdings" w:hint="default"/>
      </w:rPr>
    </w:lvl>
    <w:lvl w:ilvl="6" w:tplc="877ABFE8" w:tentative="1">
      <w:start w:val="1"/>
      <w:numFmt w:val="bullet"/>
      <w:lvlText w:val=""/>
      <w:lvlJc w:val="left"/>
      <w:pPr>
        <w:tabs>
          <w:tab w:val="num" w:pos="5040"/>
        </w:tabs>
        <w:ind w:left="5040" w:hanging="360"/>
      </w:pPr>
      <w:rPr>
        <w:rFonts w:ascii="Wingdings" w:hAnsi="Wingdings" w:hint="default"/>
      </w:rPr>
    </w:lvl>
    <w:lvl w:ilvl="7" w:tplc="A35EE8AC" w:tentative="1">
      <w:start w:val="1"/>
      <w:numFmt w:val="bullet"/>
      <w:lvlText w:val=""/>
      <w:lvlJc w:val="left"/>
      <w:pPr>
        <w:tabs>
          <w:tab w:val="num" w:pos="5760"/>
        </w:tabs>
        <w:ind w:left="5760" w:hanging="360"/>
      </w:pPr>
      <w:rPr>
        <w:rFonts w:ascii="Wingdings" w:hAnsi="Wingdings" w:hint="default"/>
      </w:rPr>
    </w:lvl>
    <w:lvl w:ilvl="8" w:tplc="AD50800E" w:tentative="1">
      <w:start w:val="1"/>
      <w:numFmt w:val="bullet"/>
      <w:lvlText w:val=""/>
      <w:lvlJc w:val="left"/>
      <w:pPr>
        <w:tabs>
          <w:tab w:val="num" w:pos="6480"/>
        </w:tabs>
        <w:ind w:left="6480" w:hanging="360"/>
      </w:pPr>
      <w:rPr>
        <w:rFonts w:ascii="Wingdings" w:hAnsi="Wingdings" w:hint="default"/>
      </w:rPr>
    </w:lvl>
  </w:abstractNum>
  <w:abstractNum w:abstractNumId="20">
    <w:nsid w:val="56BD6B2B"/>
    <w:multiLevelType w:val="hybridMultilevel"/>
    <w:tmpl w:val="5C5A54A4"/>
    <w:lvl w:ilvl="0" w:tplc="671E6B3E">
      <w:start w:val="1"/>
      <w:numFmt w:val="bullet"/>
      <w:lvlText w:val=""/>
      <w:lvlJc w:val="left"/>
      <w:pPr>
        <w:tabs>
          <w:tab w:val="num" w:pos="720"/>
        </w:tabs>
        <w:ind w:left="720" w:hanging="360"/>
      </w:pPr>
      <w:rPr>
        <w:rFonts w:ascii="Wingdings" w:hAnsi="Wingdings" w:hint="default"/>
      </w:rPr>
    </w:lvl>
    <w:lvl w:ilvl="1" w:tplc="BC049FC6">
      <w:start w:val="2075"/>
      <w:numFmt w:val="bullet"/>
      <w:lvlText w:val=""/>
      <w:lvlJc w:val="left"/>
      <w:pPr>
        <w:tabs>
          <w:tab w:val="num" w:pos="1440"/>
        </w:tabs>
        <w:ind w:left="1440" w:hanging="360"/>
      </w:pPr>
      <w:rPr>
        <w:rFonts w:ascii="Wingdings" w:hAnsi="Wingdings" w:hint="default"/>
      </w:rPr>
    </w:lvl>
    <w:lvl w:ilvl="2" w:tplc="E986559A" w:tentative="1">
      <w:start w:val="1"/>
      <w:numFmt w:val="bullet"/>
      <w:lvlText w:val=""/>
      <w:lvlJc w:val="left"/>
      <w:pPr>
        <w:tabs>
          <w:tab w:val="num" w:pos="2160"/>
        </w:tabs>
        <w:ind w:left="2160" w:hanging="360"/>
      </w:pPr>
      <w:rPr>
        <w:rFonts w:ascii="Wingdings" w:hAnsi="Wingdings" w:hint="default"/>
      </w:rPr>
    </w:lvl>
    <w:lvl w:ilvl="3" w:tplc="82FCA5CA" w:tentative="1">
      <w:start w:val="1"/>
      <w:numFmt w:val="bullet"/>
      <w:lvlText w:val=""/>
      <w:lvlJc w:val="left"/>
      <w:pPr>
        <w:tabs>
          <w:tab w:val="num" w:pos="2880"/>
        </w:tabs>
        <w:ind w:left="2880" w:hanging="360"/>
      </w:pPr>
      <w:rPr>
        <w:rFonts w:ascii="Wingdings" w:hAnsi="Wingdings" w:hint="default"/>
      </w:rPr>
    </w:lvl>
    <w:lvl w:ilvl="4" w:tplc="DEEEDC9C" w:tentative="1">
      <w:start w:val="1"/>
      <w:numFmt w:val="bullet"/>
      <w:lvlText w:val=""/>
      <w:lvlJc w:val="left"/>
      <w:pPr>
        <w:tabs>
          <w:tab w:val="num" w:pos="3600"/>
        </w:tabs>
        <w:ind w:left="3600" w:hanging="360"/>
      </w:pPr>
      <w:rPr>
        <w:rFonts w:ascii="Wingdings" w:hAnsi="Wingdings" w:hint="default"/>
      </w:rPr>
    </w:lvl>
    <w:lvl w:ilvl="5" w:tplc="FB580186" w:tentative="1">
      <w:start w:val="1"/>
      <w:numFmt w:val="bullet"/>
      <w:lvlText w:val=""/>
      <w:lvlJc w:val="left"/>
      <w:pPr>
        <w:tabs>
          <w:tab w:val="num" w:pos="4320"/>
        </w:tabs>
        <w:ind w:left="4320" w:hanging="360"/>
      </w:pPr>
      <w:rPr>
        <w:rFonts w:ascii="Wingdings" w:hAnsi="Wingdings" w:hint="default"/>
      </w:rPr>
    </w:lvl>
    <w:lvl w:ilvl="6" w:tplc="C5840FBA" w:tentative="1">
      <w:start w:val="1"/>
      <w:numFmt w:val="bullet"/>
      <w:lvlText w:val=""/>
      <w:lvlJc w:val="left"/>
      <w:pPr>
        <w:tabs>
          <w:tab w:val="num" w:pos="5040"/>
        </w:tabs>
        <w:ind w:left="5040" w:hanging="360"/>
      </w:pPr>
      <w:rPr>
        <w:rFonts w:ascii="Wingdings" w:hAnsi="Wingdings" w:hint="default"/>
      </w:rPr>
    </w:lvl>
    <w:lvl w:ilvl="7" w:tplc="8ED06ADC" w:tentative="1">
      <w:start w:val="1"/>
      <w:numFmt w:val="bullet"/>
      <w:lvlText w:val=""/>
      <w:lvlJc w:val="left"/>
      <w:pPr>
        <w:tabs>
          <w:tab w:val="num" w:pos="5760"/>
        </w:tabs>
        <w:ind w:left="5760" w:hanging="360"/>
      </w:pPr>
      <w:rPr>
        <w:rFonts w:ascii="Wingdings" w:hAnsi="Wingdings" w:hint="default"/>
      </w:rPr>
    </w:lvl>
    <w:lvl w:ilvl="8" w:tplc="D7765A16" w:tentative="1">
      <w:start w:val="1"/>
      <w:numFmt w:val="bullet"/>
      <w:lvlText w:val=""/>
      <w:lvlJc w:val="left"/>
      <w:pPr>
        <w:tabs>
          <w:tab w:val="num" w:pos="6480"/>
        </w:tabs>
        <w:ind w:left="6480" w:hanging="360"/>
      </w:pPr>
      <w:rPr>
        <w:rFonts w:ascii="Wingdings" w:hAnsi="Wingdings" w:hint="default"/>
      </w:rPr>
    </w:lvl>
  </w:abstractNum>
  <w:abstractNum w:abstractNumId="21">
    <w:nsid w:val="5A134B2A"/>
    <w:multiLevelType w:val="hybridMultilevel"/>
    <w:tmpl w:val="87AA0A1E"/>
    <w:lvl w:ilvl="0" w:tplc="890E453C">
      <w:start w:val="1"/>
      <w:numFmt w:val="bullet"/>
      <w:lvlText w:val="•"/>
      <w:lvlJc w:val="left"/>
      <w:pPr>
        <w:tabs>
          <w:tab w:val="num" w:pos="720"/>
        </w:tabs>
        <w:ind w:left="720" w:hanging="360"/>
      </w:pPr>
      <w:rPr>
        <w:rFonts w:ascii="Times New Roman" w:hAnsi="Times New Roman" w:hint="default"/>
      </w:rPr>
    </w:lvl>
    <w:lvl w:ilvl="1" w:tplc="6FAA4DD2">
      <w:start w:val="1693"/>
      <w:numFmt w:val="bullet"/>
      <w:lvlText w:val="–"/>
      <w:lvlJc w:val="left"/>
      <w:pPr>
        <w:tabs>
          <w:tab w:val="num" w:pos="1440"/>
        </w:tabs>
        <w:ind w:left="1440" w:hanging="360"/>
      </w:pPr>
      <w:rPr>
        <w:rFonts w:ascii="Arial" w:hAnsi="Arial" w:hint="default"/>
      </w:rPr>
    </w:lvl>
    <w:lvl w:ilvl="2" w:tplc="FA18236A" w:tentative="1">
      <w:start w:val="1"/>
      <w:numFmt w:val="bullet"/>
      <w:lvlText w:val="•"/>
      <w:lvlJc w:val="left"/>
      <w:pPr>
        <w:tabs>
          <w:tab w:val="num" w:pos="2160"/>
        </w:tabs>
        <w:ind w:left="2160" w:hanging="360"/>
      </w:pPr>
      <w:rPr>
        <w:rFonts w:ascii="Times New Roman" w:hAnsi="Times New Roman" w:hint="default"/>
      </w:rPr>
    </w:lvl>
    <w:lvl w:ilvl="3" w:tplc="E5C079C4" w:tentative="1">
      <w:start w:val="1"/>
      <w:numFmt w:val="bullet"/>
      <w:lvlText w:val="•"/>
      <w:lvlJc w:val="left"/>
      <w:pPr>
        <w:tabs>
          <w:tab w:val="num" w:pos="2880"/>
        </w:tabs>
        <w:ind w:left="2880" w:hanging="360"/>
      </w:pPr>
      <w:rPr>
        <w:rFonts w:ascii="Times New Roman" w:hAnsi="Times New Roman" w:hint="default"/>
      </w:rPr>
    </w:lvl>
    <w:lvl w:ilvl="4" w:tplc="D040E2E8" w:tentative="1">
      <w:start w:val="1"/>
      <w:numFmt w:val="bullet"/>
      <w:lvlText w:val="•"/>
      <w:lvlJc w:val="left"/>
      <w:pPr>
        <w:tabs>
          <w:tab w:val="num" w:pos="3600"/>
        </w:tabs>
        <w:ind w:left="3600" w:hanging="360"/>
      </w:pPr>
      <w:rPr>
        <w:rFonts w:ascii="Times New Roman" w:hAnsi="Times New Roman" w:hint="default"/>
      </w:rPr>
    </w:lvl>
    <w:lvl w:ilvl="5" w:tplc="9C5874FC" w:tentative="1">
      <w:start w:val="1"/>
      <w:numFmt w:val="bullet"/>
      <w:lvlText w:val="•"/>
      <w:lvlJc w:val="left"/>
      <w:pPr>
        <w:tabs>
          <w:tab w:val="num" w:pos="4320"/>
        </w:tabs>
        <w:ind w:left="4320" w:hanging="360"/>
      </w:pPr>
      <w:rPr>
        <w:rFonts w:ascii="Times New Roman" w:hAnsi="Times New Roman" w:hint="default"/>
      </w:rPr>
    </w:lvl>
    <w:lvl w:ilvl="6" w:tplc="4EDCCB4C" w:tentative="1">
      <w:start w:val="1"/>
      <w:numFmt w:val="bullet"/>
      <w:lvlText w:val="•"/>
      <w:lvlJc w:val="left"/>
      <w:pPr>
        <w:tabs>
          <w:tab w:val="num" w:pos="5040"/>
        </w:tabs>
        <w:ind w:left="5040" w:hanging="360"/>
      </w:pPr>
      <w:rPr>
        <w:rFonts w:ascii="Times New Roman" w:hAnsi="Times New Roman" w:hint="default"/>
      </w:rPr>
    </w:lvl>
    <w:lvl w:ilvl="7" w:tplc="9926C28E" w:tentative="1">
      <w:start w:val="1"/>
      <w:numFmt w:val="bullet"/>
      <w:lvlText w:val="•"/>
      <w:lvlJc w:val="left"/>
      <w:pPr>
        <w:tabs>
          <w:tab w:val="num" w:pos="5760"/>
        </w:tabs>
        <w:ind w:left="5760" w:hanging="360"/>
      </w:pPr>
      <w:rPr>
        <w:rFonts w:ascii="Times New Roman" w:hAnsi="Times New Roman" w:hint="default"/>
      </w:rPr>
    </w:lvl>
    <w:lvl w:ilvl="8" w:tplc="7728CF4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F56217B"/>
    <w:multiLevelType w:val="hybridMultilevel"/>
    <w:tmpl w:val="354638E2"/>
    <w:lvl w:ilvl="0" w:tplc="9C76D77A">
      <w:start w:val="1"/>
      <w:numFmt w:val="bullet"/>
      <w:lvlText w:val=""/>
      <w:lvlJc w:val="left"/>
      <w:pPr>
        <w:tabs>
          <w:tab w:val="num" w:pos="720"/>
        </w:tabs>
        <w:ind w:left="720" w:hanging="360"/>
      </w:pPr>
      <w:rPr>
        <w:rFonts w:ascii="Wingdings" w:hAnsi="Wingdings" w:hint="default"/>
      </w:rPr>
    </w:lvl>
    <w:lvl w:ilvl="1" w:tplc="23CA4700">
      <w:start w:val="1336"/>
      <w:numFmt w:val="bullet"/>
      <w:lvlText w:val="•"/>
      <w:lvlJc w:val="left"/>
      <w:pPr>
        <w:tabs>
          <w:tab w:val="num" w:pos="1440"/>
        </w:tabs>
        <w:ind w:left="1440" w:hanging="360"/>
      </w:pPr>
      <w:rPr>
        <w:rFonts w:ascii="Arial" w:hAnsi="Arial" w:hint="default"/>
      </w:rPr>
    </w:lvl>
    <w:lvl w:ilvl="2" w:tplc="518A91A4" w:tentative="1">
      <w:start w:val="1"/>
      <w:numFmt w:val="bullet"/>
      <w:lvlText w:val=""/>
      <w:lvlJc w:val="left"/>
      <w:pPr>
        <w:tabs>
          <w:tab w:val="num" w:pos="2160"/>
        </w:tabs>
        <w:ind w:left="2160" w:hanging="360"/>
      </w:pPr>
      <w:rPr>
        <w:rFonts w:ascii="Wingdings" w:hAnsi="Wingdings" w:hint="default"/>
      </w:rPr>
    </w:lvl>
    <w:lvl w:ilvl="3" w:tplc="E53CC65A" w:tentative="1">
      <w:start w:val="1"/>
      <w:numFmt w:val="bullet"/>
      <w:lvlText w:val=""/>
      <w:lvlJc w:val="left"/>
      <w:pPr>
        <w:tabs>
          <w:tab w:val="num" w:pos="2880"/>
        </w:tabs>
        <w:ind w:left="2880" w:hanging="360"/>
      </w:pPr>
      <w:rPr>
        <w:rFonts w:ascii="Wingdings" w:hAnsi="Wingdings" w:hint="default"/>
      </w:rPr>
    </w:lvl>
    <w:lvl w:ilvl="4" w:tplc="25F6AECE" w:tentative="1">
      <w:start w:val="1"/>
      <w:numFmt w:val="bullet"/>
      <w:lvlText w:val=""/>
      <w:lvlJc w:val="left"/>
      <w:pPr>
        <w:tabs>
          <w:tab w:val="num" w:pos="3600"/>
        </w:tabs>
        <w:ind w:left="3600" w:hanging="360"/>
      </w:pPr>
      <w:rPr>
        <w:rFonts w:ascii="Wingdings" w:hAnsi="Wingdings" w:hint="default"/>
      </w:rPr>
    </w:lvl>
    <w:lvl w:ilvl="5" w:tplc="C3669814" w:tentative="1">
      <w:start w:val="1"/>
      <w:numFmt w:val="bullet"/>
      <w:lvlText w:val=""/>
      <w:lvlJc w:val="left"/>
      <w:pPr>
        <w:tabs>
          <w:tab w:val="num" w:pos="4320"/>
        </w:tabs>
        <w:ind w:left="4320" w:hanging="360"/>
      </w:pPr>
      <w:rPr>
        <w:rFonts w:ascii="Wingdings" w:hAnsi="Wingdings" w:hint="default"/>
      </w:rPr>
    </w:lvl>
    <w:lvl w:ilvl="6" w:tplc="CDE0A972" w:tentative="1">
      <w:start w:val="1"/>
      <w:numFmt w:val="bullet"/>
      <w:lvlText w:val=""/>
      <w:lvlJc w:val="left"/>
      <w:pPr>
        <w:tabs>
          <w:tab w:val="num" w:pos="5040"/>
        </w:tabs>
        <w:ind w:left="5040" w:hanging="360"/>
      </w:pPr>
      <w:rPr>
        <w:rFonts w:ascii="Wingdings" w:hAnsi="Wingdings" w:hint="default"/>
      </w:rPr>
    </w:lvl>
    <w:lvl w:ilvl="7" w:tplc="FFA06B84" w:tentative="1">
      <w:start w:val="1"/>
      <w:numFmt w:val="bullet"/>
      <w:lvlText w:val=""/>
      <w:lvlJc w:val="left"/>
      <w:pPr>
        <w:tabs>
          <w:tab w:val="num" w:pos="5760"/>
        </w:tabs>
        <w:ind w:left="5760" w:hanging="360"/>
      </w:pPr>
      <w:rPr>
        <w:rFonts w:ascii="Wingdings" w:hAnsi="Wingdings" w:hint="default"/>
      </w:rPr>
    </w:lvl>
    <w:lvl w:ilvl="8" w:tplc="041025AC" w:tentative="1">
      <w:start w:val="1"/>
      <w:numFmt w:val="bullet"/>
      <w:lvlText w:val=""/>
      <w:lvlJc w:val="left"/>
      <w:pPr>
        <w:tabs>
          <w:tab w:val="num" w:pos="6480"/>
        </w:tabs>
        <w:ind w:left="6480" w:hanging="360"/>
      </w:pPr>
      <w:rPr>
        <w:rFonts w:ascii="Wingdings" w:hAnsi="Wingdings" w:hint="default"/>
      </w:rPr>
    </w:lvl>
  </w:abstractNum>
  <w:abstractNum w:abstractNumId="23">
    <w:nsid w:val="61750F51"/>
    <w:multiLevelType w:val="hybridMultilevel"/>
    <w:tmpl w:val="728254B6"/>
    <w:lvl w:ilvl="0" w:tplc="1C3EE028">
      <w:start w:val="1"/>
      <w:numFmt w:val="bullet"/>
      <w:lvlText w:val=""/>
      <w:lvlJc w:val="left"/>
      <w:pPr>
        <w:tabs>
          <w:tab w:val="num" w:pos="720"/>
        </w:tabs>
        <w:ind w:left="720" w:hanging="360"/>
      </w:pPr>
      <w:rPr>
        <w:rFonts w:ascii="Wingdings" w:hAnsi="Wingdings" w:hint="default"/>
      </w:rPr>
    </w:lvl>
    <w:lvl w:ilvl="1" w:tplc="0C30CDC2">
      <w:start w:val="1"/>
      <w:numFmt w:val="bullet"/>
      <w:lvlText w:val=""/>
      <w:lvlJc w:val="left"/>
      <w:pPr>
        <w:tabs>
          <w:tab w:val="num" w:pos="1440"/>
        </w:tabs>
        <w:ind w:left="1440" w:hanging="360"/>
      </w:pPr>
      <w:rPr>
        <w:rFonts w:ascii="Wingdings" w:hAnsi="Wingdings" w:hint="default"/>
      </w:rPr>
    </w:lvl>
    <w:lvl w:ilvl="2" w:tplc="32E03B4C" w:tentative="1">
      <w:start w:val="1"/>
      <w:numFmt w:val="bullet"/>
      <w:lvlText w:val=""/>
      <w:lvlJc w:val="left"/>
      <w:pPr>
        <w:tabs>
          <w:tab w:val="num" w:pos="2160"/>
        </w:tabs>
        <w:ind w:left="2160" w:hanging="360"/>
      </w:pPr>
      <w:rPr>
        <w:rFonts w:ascii="Wingdings" w:hAnsi="Wingdings" w:hint="default"/>
      </w:rPr>
    </w:lvl>
    <w:lvl w:ilvl="3" w:tplc="3DE275BC" w:tentative="1">
      <w:start w:val="1"/>
      <w:numFmt w:val="bullet"/>
      <w:lvlText w:val=""/>
      <w:lvlJc w:val="left"/>
      <w:pPr>
        <w:tabs>
          <w:tab w:val="num" w:pos="2880"/>
        </w:tabs>
        <w:ind w:left="2880" w:hanging="360"/>
      </w:pPr>
      <w:rPr>
        <w:rFonts w:ascii="Wingdings" w:hAnsi="Wingdings" w:hint="default"/>
      </w:rPr>
    </w:lvl>
    <w:lvl w:ilvl="4" w:tplc="372CE9C6" w:tentative="1">
      <w:start w:val="1"/>
      <w:numFmt w:val="bullet"/>
      <w:lvlText w:val=""/>
      <w:lvlJc w:val="left"/>
      <w:pPr>
        <w:tabs>
          <w:tab w:val="num" w:pos="3600"/>
        </w:tabs>
        <w:ind w:left="3600" w:hanging="360"/>
      </w:pPr>
      <w:rPr>
        <w:rFonts w:ascii="Wingdings" w:hAnsi="Wingdings" w:hint="default"/>
      </w:rPr>
    </w:lvl>
    <w:lvl w:ilvl="5" w:tplc="05F87986" w:tentative="1">
      <w:start w:val="1"/>
      <w:numFmt w:val="bullet"/>
      <w:lvlText w:val=""/>
      <w:lvlJc w:val="left"/>
      <w:pPr>
        <w:tabs>
          <w:tab w:val="num" w:pos="4320"/>
        </w:tabs>
        <w:ind w:left="4320" w:hanging="360"/>
      </w:pPr>
      <w:rPr>
        <w:rFonts w:ascii="Wingdings" w:hAnsi="Wingdings" w:hint="default"/>
      </w:rPr>
    </w:lvl>
    <w:lvl w:ilvl="6" w:tplc="AA52B13E" w:tentative="1">
      <w:start w:val="1"/>
      <w:numFmt w:val="bullet"/>
      <w:lvlText w:val=""/>
      <w:lvlJc w:val="left"/>
      <w:pPr>
        <w:tabs>
          <w:tab w:val="num" w:pos="5040"/>
        </w:tabs>
        <w:ind w:left="5040" w:hanging="360"/>
      </w:pPr>
      <w:rPr>
        <w:rFonts w:ascii="Wingdings" w:hAnsi="Wingdings" w:hint="default"/>
      </w:rPr>
    </w:lvl>
    <w:lvl w:ilvl="7" w:tplc="149023F4" w:tentative="1">
      <w:start w:val="1"/>
      <w:numFmt w:val="bullet"/>
      <w:lvlText w:val=""/>
      <w:lvlJc w:val="left"/>
      <w:pPr>
        <w:tabs>
          <w:tab w:val="num" w:pos="5760"/>
        </w:tabs>
        <w:ind w:left="5760" w:hanging="360"/>
      </w:pPr>
      <w:rPr>
        <w:rFonts w:ascii="Wingdings" w:hAnsi="Wingdings" w:hint="default"/>
      </w:rPr>
    </w:lvl>
    <w:lvl w:ilvl="8" w:tplc="D16A8EA8" w:tentative="1">
      <w:start w:val="1"/>
      <w:numFmt w:val="bullet"/>
      <w:lvlText w:val=""/>
      <w:lvlJc w:val="left"/>
      <w:pPr>
        <w:tabs>
          <w:tab w:val="num" w:pos="6480"/>
        </w:tabs>
        <w:ind w:left="6480" w:hanging="360"/>
      </w:pPr>
      <w:rPr>
        <w:rFonts w:ascii="Wingdings" w:hAnsi="Wingdings" w:hint="default"/>
      </w:rPr>
    </w:lvl>
  </w:abstractNum>
  <w:abstractNum w:abstractNumId="24">
    <w:nsid w:val="64986D80"/>
    <w:multiLevelType w:val="hybridMultilevel"/>
    <w:tmpl w:val="06AC5DE8"/>
    <w:lvl w:ilvl="0" w:tplc="15281568">
      <w:start w:val="1"/>
      <w:numFmt w:val="decimal"/>
      <w:lvlText w:val="%1."/>
      <w:lvlJc w:val="left"/>
      <w:pPr>
        <w:tabs>
          <w:tab w:val="num" w:pos="720"/>
        </w:tabs>
        <w:ind w:left="720" w:hanging="360"/>
      </w:pPr>
    </w:lvl>
    <w:lvl w:ilvl="1" w:tplc="95F8EBBA">
      <w:start w:val="1"/>
      <w:numFmt w:val="lowerLetter"/>
      <w:lvlText w:val="%2."/>
      <w:lvlJc w:val="left"/>
      <w:pPr>
        <w:tabs>
          <w:tab w:val="num" w:pos="1440"/>
        </w:tabs>
        <w:ind w:left="1440" w:hanging="360"/>
      </w:pPr>
    </w:lvl>
    <w:lvl w:ilvl="2" w:tplc="0136D350" w:tentative="1">
      <w:start w:val="1"/>
      <w:numFmt w:val="decimal"/>
      <w:lvlText w:val="%3."/>
      <w:lvlJc w:val="left"/>
      <w:pPr>
        <w:tabs>
          <w:tab w:val="num" w:pos="2160"/>
        </w:tabs>
        <w:ind w:left="2160" w:hanging="360"/>
      </w:pPr>
    </w:lvl>
    <w:lvl w:ilvl="3" w:tplc="31FE55C4" w:tentative="1">
      <w:start w:val="1"/>
      <w:numFmt w:val="decimal"/>
      <w:lvlText w:val="%4."/>
      <w:lvlJc w:val="left"/>
      <w:pPr>
        <w:tabs>
          <w:tab w:val="num" w:pos="2880"/>
        </w:tabs>
        <w:ind w:left="2880" w:hanging="360"/>
      </w:pPr>
    </w:lvl>
    <w:lvl w:ilvl="4" w:tplc="A82644EE" w:tentative="1">
      <w:start w:val="1"/>
      <w:numFmt w:val="decimal"/>
      <w:lvlText w:val="%5."/>
      <w:lvlJc w:val="left"/>
      <w:pPr>
        <w:tabs>
          <w:tab w:val="num" w:pos="3600"/>
        </w:tabs>
        <w:ind w:left="3600" w:hanging="360"/>
      </w:pPr>
    </w:lvl>
    <w:lvl w:ilvl="5" w:tplc="E8F23B6C" w:tentative="1">
      <w:start w:val="1"/>
      <w:numFmt w:val="decimal"/>
      <w:lvlText w:val="%6."/>
      <w:lvlJc w:val="left"/>
      <w:pPr>
        <w:tabs>
          <w:tab w:val="num" w:pos="4320"/>
        </w:tabs>
        <w:ind w:left="4320" w:hanging="360"/>
      </w:pPr>
    </w:lvl>
    <w:lvl w:ilvl="6" w:tplc="F380240E" w:tentative="1">
      <w:start w:val="1"/>
      <w:numFmt w:val="decimal"/>
      <w:lvlText w:val="%7."/>
      <w:lvlJc w:val="left"/>
      <w:pPr>
        <w:tabs>
          <w:tab w:val="num" w:pos="5040"/>
        </w:tabs>
        <w:ind w:left="5040" w:hanging="360"/>
      </w:pPr>
    </w:lvl>
    <w:lvl w:ilvl="7" w:tplc="827AE96A" w:tentative="1">
      <w:start w:val="1"/>
      <w:numFmt w:val="decimal"/>
      <w:lvlText w:val="%8."/>
      <w:lvlJc w:val="left"/>
      <w:pPr>
        <w:tabs>
          <w:tab w:val="num" w:pos="5760"/>
        </w:tabs>
        <w:ind w:left="5760" w:hanging="360"/>
      </w:pPr>
    </w:lvl>
    <w:lvl w:ilvl="8" w:tplc="4F529246" w:tentative="1">
      <w:start w:val="1"/>
      <w:numFmt w:val="decimal"/>
      <w:lvlText w:val="%9."/>
      <w:lvlJc w:val="left"/>
      <w:pPr>
        <w:tabs>
          <w:tab w:val="num" w:pos="6480"/>
        </w:tabs>
        <w:ind w:left="6480" w:hanging="360"/>
      </w:pPr>
    </w:lvl>
  </w:abstractNum>
  <w:abstractNum w:abstractNumId="25">
    <w:nsid w:val="73671A3F"/>
    <w:multiLevelType w:val="hybridMultilevel"/>
    <w:tmpl w:val="0BD4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C16A02"/>
    <w:multiLevelType w:val="hybridMultilevel"/>
    <w:tmpl w:val="366C4E74"/>
    <w:lvl w:ilvl="0" w:tplc="374CC688">
      <w:start w:val="1"/>
      <w:numFmt w:val="bullet"/>
      <w:lvlText w:val=""/>
      <w:lvlJc w:val="left"/>
      <w:pPr>
        <w:tabs>
          <w:tab w:val="num" w:pos="720"/>
        </w:tabs>
        <w:ind w:left="720" w:hanging="360"/>
      </w:pPr>
      <w:rPr>
        <w:rFonts w:ascii="Wingdings" w:hAnsi="Wingdings" w:hint="default"/>
      </w:rPr>
    </w:lvl>
    <w:lvl w:ilvl="1" w:tplc="CF24271C">
      <w:start w:val="1"/>
      <w:numFmt w:val="bullet"/>
      <w:lvlText w:val=""/>
      <w:lvlJc w:val="left"/>
      <w:pPr>
        <w:tabs>
          <w:tab w:val="num" w:pos="1440"/>
        </w:tabs>
        <w:ind w:left="1440" w:hanging="360"/>
      </w:pPr>
      <w:rPr>
        <w:rFonts w:ascii="Wingdings" w:hAnsi="Wingdings" w:hint="default"/>
      </w:rPr>
    </w:lvl>
    <w:lvl w:ilvl="2" w:tplc="E8269576" w:tentative="1">
      <w:start w:val="1"/>
      <w:numFmt w:val="bullet"/>
      <w:lvlText w:val=""/>
      <w:lvlJc w:val="left"/>
      <w:pPr>
        <w:tabs>
          <w:tab w:val="num" w:pos="2160"/>
        </w:tabs>
        <w:ind w:left="2160" w:hanging="360"/>
      </w:pPr>
      <w:rPr>
        <w:rFonts w:ascii="Wingdings" w:hAnsi="Wingdings" w:hint="default"/>
      </w:rPr>
    </w:lvl>
    <w:lvl w:ilvl="3" w:tplc="4856A3AA" w:tentative="1">
      <w:start w:val="1"/>
      <w:numFmt w:val="bullet"/>
      <w:lvlText w:val=""/>
      <w:lvlJc w:val="left"/>
      <w:pPr>
        <w:tabs>
          <w:tab w:val="num" w:pos="2880"/>
        </w:tabs>
        <w:ind w:left="2880" w:hanging="360"/>
      </w:pPr>
      <w:rPr>
        <w:rFonts w:ascii="Wingdings" w:hAnsi="Wingdings" w:hint="default"/>
      </w:rPr>
    </w:lvl>
    <w:lvl w:ilvl="4" w:tplc="5F5EEC14" w:tentative="1">
      <w:start w:val="1"/>
      <w:numFmt w:val="bullet"/>
      <w:lvlText w:val=""/>
      <w:lvlJc w:val="left"/>
      <w:pPr>
        <w:tabs>
          <w:tab w:val="num" w:pos="3600"/>
        </w:tabs>
        <w:ind w:left="3600" w:hanging="360"/>
      </w:pPr>
      <w:rPr>
        <w:rFonts w:ascii="Wingdings" w:hAnsi="Wingdings" w:hint="default"/>
      </w:rPr>
    </w:lvl>
    <w:lvl w:ilvl="5" w:tplc="7696BA30" w:tentative="1">
      <w:start w:val="1"/>
      <w:numFmt w:val="bullet"/>
      <w:lvlText w:val=""/>
      <w:lvlJc w:val="left"/>
      <w:pPr>
        <w:tabs>
          <w:tab w:val="num" w:pos="4320"/>
        </w:tabs>
        <w:ind w:left="4320" w:hanging="360"/>
      </w:pPr>
      <w:rPr>
        <w:rFonts w:ascii="Wingdings" w:hAnsi="Wingdings" w:hint="default"/>
      </w:rPr>
    </w:lvl>
    <w:lvl w:ilvl="6" w:tplc="4336C388" w:tentative="1">
      <w:start w:val="1"/>
      <w:numFmt w:val="bullet"/>
      <w:lvlText w:val=""/>
      <w:lvlJc w:val="left"/>
      <w:pPr>
        <w:tabs>
          <w:tab w:val="num" w:pos="5040"/>
        </w:tabs>
        <w:ind w:left="5040" w:hanging="360"/>
      </w:pPr>
      <w:rPr>
        <w:rFonts w:ascii="Wingdings" w:hAnsi="Wingdings" w:hint="default"/>
      </w:rPr>
    </w:lvl>
    <w:lvl w:ilvl="7" w:tplc="B43A9580" w:tentative="1">
      <w:start w:val="1"/>
      <w:numFmt w:val="bullet"/>
      <w:lvlText w:val=""/>
      <w:lvlJc w:val="left"/>
      <w:pPr>
        <w:tabs>
          <w:tab w:val="num" w:pos="5760"/>
        </w:tabs>
        <w:ind w:left="5760" w:hanging="360"/>
      </w:pPr>
      <w:rPr>
        <w:rFonts w:ascii="Wingdings" w:hAnsi="Wingdings" w:hint="default"/>
      </w:rPr>
    </w:lvl>
    <w:lvl w:ilvl="8" w:tplc="D4E29B60"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5"/>
  </w:num>
  <w:num w:numId="3">
    <w:abstractNumId w:val="17"/>
  </w:num>
  <w:num w:numId="4">
    <w:abstractNumId w:val="22"/>
  </w:num>
  <w:num w:numId="5">
    <w:abstractNumId w:val="18"/>
  </w:num>
  <w:num w:numId="6">
    <w:abstractNumId w:val="8"/>
  </w:num>
  <w:num w:numId="7">
    <w:abstractNumId w:val="4"/>
  </w:num>
  <w:num w:numId="8">
    <w:abstractNumId w:val="13"/>
  </w:num>
  <w:num w:numId="9">
    <w:abstractNumId w:val="6"/>
  </w:num>
  <w:num w:numId="10">
    <w:abstractNumId w:val="21"/>
  </w:num>
  <w:num w:numId="11">
    <w:abstractNumId w:val="7"/>
  </w:num>
  <w:num w:numId="12">
    <w:abstractNumId w:val="16"/>
  </w:num>
  <w:num w:numId="13">
    <w:abstractNumId w:val="23"/>
  </w:num>
  <w:num w:numId="14">
    <w:abstractNumId w:val="12"/>
  </w:num>
  <w:num w:numId="15">
    <w:abstractNumId w:val="2"/>
  </w:num>
  <w:num w:numId="16">
    <w:abstractNumId w:val="20"/>
  </w:num>
  <w:num w:numId="17">
    <w:abstractNumId w:val="14"/>
  </w:num>
  <w:num w:numId="18">
    <w:abstractNumId w:val="15"/>
  </w:num>
  <w:num w:numId="19">
    <w:abstractNumId w:val="3"/>
  </w:num>
  <w:num w:numId="20">
    <w:abstractNumId w:val="10"/>
  </w:num>
  <w:num w:numId="21">
    <w:abstractNumId w:val="9"/>
  </w:num>
  <w:num w:numId="22">
    <w:abstractNumId w:val="19"/>
  </w:num>
  <w:num w:numId="23">
    <w:abstractNumId w:val="26"/>
  </w:num>
  <w:num w:numId="24">
    <w:abstractNumId w:val="1"/>
  </w:num>
  <w:num w:numId="25">
    <w:abstractNumId w:val="11"/>
  </w:num>
  <w:num w:numId="26">
    <w:abstractNumId w:val="24"/>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41ADD"/>
    <w:rsid w:val="001C1F9A"/>
    <w:rsid w:val="002270B5"/>
    <w:rsid w:val="0028171C"/>
    <w:rsid w:val="002F6D5F"/>
    <w:rsid w:val="00345B12"/>
    <w:rsid w:val="003610AD"/>
    <w:rsid w:val="00375548"/>
    <w:rsid w:val="004968EC"/>
    <w:rsid w:val="00723ACF"/>
    <w:rsid w:val="00873B13"/>
    <w:rsid w:val="009300EE"/>
    <w:rsid w:val="009F2810"/>
    <w:rsid w:val="00A01418"/>
    <w:rsid w:val="00AC5B8E"/>
    <w:rsid w:val="00C26C54"/>
    <w:rsid w:val="00CC444A"/>
    <w:rsid w:val="00CF0B1D"/>
    <w:rsid w:val="00DC6B7B"/>
    <w:rsid w:val="00E5414D"/>
    <w:rsid w:val="00E851D6"/>
    <w:rsid w:val="00E92A33"/>
    <w:rsid w:val="00F41ADD"/>
    <w:rsid w:val="00FF10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AC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1A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1ADD"/>
    <w:pPr>
      <w:ind w:left="720"/>
      <w:contextualSpacing/>
    </w:pPr>
  </w:style>
</w:styles>
</file>

<file path=word/webSettings.xml><?xml version="1.0" encoding="utf-8"?>
<w:webSettings xmlns:r="http://schemas.openxmlformats.org/officeDocument/2006/relationships" xmlns:w="http://schemas.openxmlformats.org/wordprocessingml/2006/main">
  <w:divs>
    <w:div w:id="2247982">
      <w:bodyDiv w:val="1"/>
      <w:marLeft w:val="0"/>
      <w:marRight w:val="0"/>
      <w:marTop w:val="0"/>
      <w:marBottom w:val="0"/>
      <w:divBdr>
        <w:top w:val="none" w:sz="0" w:space="0" w:color="auto"/>
        <w:left w:val="none" w:sz="0" w:space="0" w:color="auto"/>
        <w:bottom w:val="none" w:sz="0" w:space="0" w:color="auto"/>
        <w:right w:val="none" w:sz="0" w:space="0" w:color="auto"/>
      </w:divBdr>
      <w:divsChild>
        <w:div w:id="1788502937">
          <w:marLeft w:val="547"/>
          <w:marRight w:val="0"/>
          <w:marTop w:val="336"/>
          <w:marBottom w:val="0"/>
          <w:divBdr>
            <w:top w:val="none" w:sz="0" w:space="0" w:color="auto"/>
            <w:left w:val="none" w:sz="0" w:space="0" w:color="auto"/>
            <w:bottom w:val="none" w:sz="0" w:space="0" w:color="auto"/>
            <w:right w:val="none" w:sz="0" w:space="0" w:color="auto"/>
          </w:divBdr>
        </w:div>
      </w:divsChild>
    </w:div>
    <w:div w:id="106850624">
      <w:bodyDiv w:val="1"/>
      <w:marLeft w:val="0"/>
      <w:marRight w:val="0"/>
      <w:marTop w:val="0"/>
      <w:marBottom w:val="0"/>
      <w:divBdr>
        <w:top w:val="none" w:sz="0" w:space="0" w:color="auto"/>
        <w:left w:val="none" w:sz="0" w:space="0" w:color="auto"/>
        <w:bottom w:val="none" w:sz="0" w:space="0" w:color="auto"/>
        <w:right w:val="none" w:sz="0" w:space="0" w:color="auto"/>
      </w:divBdr>
    </w:div>
    <w:div w:id="147327736">
      <w:bodyDiv w:val="1"/>
      <w:marLeft w:val="0"/>
      <w:marRight w:val="0"/>
      <w:marTop w:val="0"/>
      <w:marBottom w:val="0"/>
      <w:divBdr>
        <w:top w:val="none" w:sz="0" w:space="0" w:color="auto"/>
        <w:left w:val="none" w:sz="0" w:space="0" w:color="auto"/>
        <w:bottom w:val="none" w:sz="0" w:space="0" w:color="auto"/>
        <w:right w:val="none" w:sz="0" w:space="0" w:color="auto"/>
      </w:divBdr>
      <w:divsChild>
        <w:div w:id="299581541">
          <w:marLeft w:val="720"/>
          <w:marRight w:val="0"/>
          <w:marTop w:val="432"/>
          <w:marBottom w:val="0"/>
          <w:divBdr>
            <w:top w:val="none" w:sz="0" w:space="0" w:color="auto"/>
            <w:left w:val="none" w:sz="0" w:space="0" w:color="auto"/>
            <w:bottom w:val="none" w:sz="0" w:space="0" w:color="auto"/>
            <w:right w:val="none" w:sz="0" w:space="0" w:color="auto"/>
          </w:divBdr>
        </w:div>
        <w:div w:id="1956136011">
          <w:marLeft w:val="720"/>
          <w:marRight w:val="0"/>
          <w:marTop w:val="432"/>
          <w:marBottom w:val="0"/>
          <w:divBdr>
            <w:top w:val="none" w:sz="0" w:space="0" w:color="auto"/>
            <w:left w:val="none" w:sz="0" w:space="0" w:color="auto"/>
            <w:bottom w:val="none" w:sz="0" w:space="0" w:color="auto"/>
            <w:right w:val="none" w:sz="0" w:space="0" w:color="auto"/>
          </w:divBdr>
        </w:div>
        <w:div w:id="31539746">
          <w:marLeft w:val="720"/>
          <w:marRight w:val="0"/>
          <w:marTop w:val="432"/>
          <w:marBottom w:val="0"/>
          <w:divBdr>
            <w:top w:val="none" w:sz="0" w:space="0" w:color="auto"/>
            <w:left w:val="none" w:sz="0" w:space="0" w:color="auto"/>
            <w:bottom w:val="none" w:sz="0" w:space="0" w:color="auto"/>
            <w:right w:val="none" w:sz="0" w:space="0" w:color="auto"/>
          </w:divBdr>
        </w:div>
        <w:div w:id="933588192">
          <w:marLeft w:val="720"/>
          <w:marRight w:val="0"/>
          <w:marTop w:val="432"/>
          <w:marBottom w:val="0"/>
          <w:divBdr>
            <w:top w:val="none" w:sz="0" w:space="0" w:color="auto"/>
            <w:left w:val="none" w:sz="0" w:space="0" w:color="auto"/>
            <w:bottom w:val="none" w:sz="0" w:space="0" w:color="auto"/>
            <w:right w:val="none" w:sz="0" w:space="0" w:color="auto"/>
          </w:divBdr>
        </w:div>
      </w:divsChild>
    </w:div>
    <w:div w:id="194119625">
      <w:bodyDiv w:val="1"/>
      <w:marLeft w:val="0"/>
      <w:marRight w:val="0"/>
      <w:marTop w:val="0"/>
      <w:marBottom w:val="0"/>
      <w:divBdr>
        <w:top w:val="none" w:sz="0" w:space="0" w:color="auto"/>
        <w:left w:val="none" w:sz="0" w:space="0" w:color="auto"/>
        <w:bottom w:val="none" w:sz="0" w:space="0" w:color="auto"/>
        <w:right w:val="none" w:sz="0" w:space="0" w:color="auto"/>
      </w:divBdr>
    </w:div>
    <w:div w:id="223105470">
      <w:bodyDiv w:val="1"/>
      <w:marLeft w:val="0"/>
      <w:marRight w:val="0"/>
      <w:marTop w:val="0"/>
      <w:marBottom w:val="0"/>
      <w:divBdr>
        <w:top w:val="none" w:sz="0" w:space="0" w:color="auto"/>
        <w:left w:val="none" w:sz="0" w:space="0" w:color="auto"/>
        <w:bottom w:val="none" w:sz="0" w:space="0" w:color="auto"/>
        <w:right w:val="none" w:sz="0" w:space="0" w:color="auto"/>
      </w:divBdr>
      <w:divsChild>
        <w:div w:id="532617468">
          <w:marLeft w:val="360"/>
          <w:marRight w:val="0"/>
          <w:marTop w:val="384"/>
          <w:marBottom w:val="0"/>
          <w:divBdr>
            <w:top w:val="none" w:sz="0" w:space="0" w:color="auto"/>
            <w:left w:val="none" w:sz="0" w:space="0" w:color="auto"/>
            <w:bottom w:val="none" w:sz="0" w:space="0" w:color="auto"/>
            <w:right w:val="none" w:sz="0" w:space="0" w:color="auto"/>
          </w:divBdr>
        </w:div>
        <w:div w:id="491916830">
          <w:marLeft w:val="907"/>
          <w:marRight w:val="0"/>
          <w:marTop w:val="77"/>
          <w:marBottom w:val="0"/>
          <w:divBdr>
            <w:top w:val="none" w:sz="0" w:space="0" w:color="auto"/>
            <w:left w:val="none" w:sz="0" w:space="0" w:color="auto"/>
            <w:bottom w:val="none" w:sz="0" w:space="0" w:color="auto"/>
            <w:right w:val="none" w:sz="0" w:space="0" w:color="auto"/>
          </w:divBdr>
        </w:div>
        <w:div w:id="545601794">
          <w:marLeft w:val="360"/>
          <w:marRight w:val="0"/>
          <w:marTop w:val="384"/>
          <w:marBottom w:val="0"/>
          <w:divBdr>
            <w:top w:val="none" w:sz="0" w:space="0" w:color="auto"/>
            <w:left w:val="none" w:sz="0" w:space="0" w:color="auto"/>
            <w:bottom w:val="none" w:sz="0" w:space="0" w:color="auto"/>
            <w:right w:val="none" w:sz="0" w:space="0" w:color="auto"/>
          </w:divBdr>
        </w:div>
        <w:div w:id="621544146">
          <w:marLeft w:val="907"/>
          <w:marRight w:val="0"/>
          <w:marTop w:val="77"/>
          <w:marBottom w:val="0"/>
          <w:divBdr>
            <w:top w:val="none" w:sz="0" w:space="0" w:color="auto"/>
            <w:left w:val="none" w:sz="0" w:space="0" w:color="auto"/>
            <w:bottom w:val="none" w:sz="0" w:space="0" w:color="auto"/>
            <w:right w:val="none" w:sz="0" w:space="0" w:color="auto"/>
          </w:divBdr>
        </w:div>
        <w:div w:id="749078711">
          <w:marLeft w:val="360"/>
          <w:marRight w:val="0"/>
          <w:marTop w:val="384"/>
          <w:marBottom w:val="0"/>
          <w:divBdr>
            <w:top w:val="none" w:sz="0" w:space="0" w:color="auto"/>
            <w:left w:val="none" w:sz="0" w:space="0" w:color="auto"/>
            <w:bottom w:val="none" w:sz="0" w:space="0" w:color="auto"/>
            <w:right w:val="none" w:sz="0" w:space="0" w:color="auto"/>
          </w:divBdr>
        </w:div>
        <w:div w:id="1749956610">
          <w:marLeft w:val="907"/>
          <w:marRight w:val="0"/>
          <w:marTop w:val="77"/>
          <w:marBottom w:val="0"/>
          <w:divBdr>
            <w:top w:val="none" w:sz="0" w:space="0" w:color="auto"/>
            <w:left w:val="none" w:sz="0" w:space="0" w:color="auto"/>
            <w:bottom w:val="none" w:sz="0" w:space="0" w:color="auto"/>
            <w:right w:val="none" w:sz="0" w:space="0" w:color="auto"/>
          </w:divBdr>
        </w:div>
        <w:div w:id="784622082">
          <w:marLeft w:val="907"/>
          <w:marRight w:val="0"/>
          <w:marTop w:val="77"/>
          <w:marBottom w:val="0"/>
          <w:divBdr>
            <w:top w:val="none" w:sz="0" w:space="0" w:color="auto"/>
            <w:left w:val="none" w:sz="0" w:space="0" w:color="auto"/>
            <w:bottom w:val="none" w:sz="0" w:space="0" w:color="auto"/>
            <w:right w:val="none" w:sz="0" w:space="0" w:color="auto"/>
          </w:divBdr>
        </w:div>
        <w:div w:id="244731499">
          <w:marLeft w:val="360"/>
          <w:marRight w:val="0"/>
          <w:marTop w:val="384"/>
          <w:marBottom w:val="0"/>
          <w:divBdr>
            <w:top w:val="none" w:sz="0" w:space="0" w:color="auto"/>
            <w:left w:val="none" w:sz="0" w:space="0" w:color="auto"/>
            <w:bottom w:val="none" w:sz="0" w:space="0" w:color="auto"/>
            <w:right w:val="none" w:sz="0" w:space="0" w:color="auto"/>
          </w:divBdr>
        </w:div>
      </w:divsChild>
    </w:div>
    <w:div w:id="351608959">
      <w:bodyDiv w:val="1"/>
      <w:marLeft w:val="0"/>
      <w:marRight w:val="0"/>
      <w:marTop w:val="0"/>
      <w:marBottom w:val="0"/>
      <w:divBdr>
        <w:top w:val="none" w:sz="0" w:space="0" w:color="auto"/>
        <w:left w:val="none" w:sz="0" w:space="0" w:color="auto"/>
        <w:bottom w:val="none" w:sz="0" w:space="0" w:color="auto"/>
        <w:right w:val="none" w:sz="0" w:space="0" w:color="auto"/>
      </w:divBdr>
      <w:divsChild>
        <w:div w:id="1272929793">
          <w:marLeft w:val="360"/>
          <w:marRight w:val="0"/>
          <w:marTop w:val="0"/>
          <w:marBottom w:val="120"/>
          <w:divBdr>
            <w:top w:val="none" w:sz="0" w:space="0" w:color="auto"/>
            <w:left w:val="none" w:sz="0" w:space="0" w:color="auto"/>
            <w:bottom w:val="none" w:sz="0" w:space="0" w:color="auto"/>
            <w:right w:val="none" w:sz="0" w:space="0" w:color="auto"/>
          </w:divBdr>
        </w:div>
        <w:div w:id="1789818442">
          <w:marLeft w:val="360"/>
          <w:marRight w:val="0"/>
          <w:marTop w:val="0"/>
          <w:marBottom w:val="120"/>
          <w:divBdr>
            <w:top w:val="none" w:sz="0" w:space="0" w:color="auto"/>
            <w:left w:val="none" w:sz="0" w:space="0" w:color="auto"/>
            <w:bottom w:val="none" w:sz="0" w:space="0" w:color="auto"/>
            <w:right w:val="none" w:sz="0" w:space="0" w:color="auto"/>
          </w:divBdr>
        </w:div>
        <w:div w:id="608507302">
          <w:marLeft w:val="360"/>
          <w:marRight w:val="0"/>
          <w:marTop w:val="0"/>
          <w:marBottom w:val="160"/>
          <w:divBdr>
            <w:top w:val="none" w:sz="0" w:space="0" w:color="auto"/>
            <w:left w:val="none" w:sz="0" w:space="0" w:color="auto"/>
            <w:bottom w:val="none" w:sz="0" w:space="0" w:color="auto"/>
            <w:right w:val="none" w:sz="0" w:space="0" w:color="auto"/>
          </w:divBdr>
        </w:div>
        <w:div w:id="561141441">
          <w:marLeft w:val="360"/>
          <w:marRight w:val="0"/>
          <w:marTop w:val="0"/>
          <w:marBottom w:val="160"/>
          <w:divBdr>
            <w:top w:val="none" w:sz="0" w:space="0" w:color="auto"/>
            <w:left w:val="none" w:sz="0" w:space="0" w:color="auto"/>
            <w:bottom w:val="none" w:sz="0" w:space="0" w:color="auto"/>
            <w:right w:val="none" w:sz="0" w:space="0" w:color="auto"/>
          </w:divBdr>
        </w:div>
        <w:div w:id="1583955623">
          <w:marLeft w:val="360"/>
          <w:marRight w:val="0"/>
          <w:marTop w:val="0"/>
          <w:marBottom w:val="160"/>
          <w:divBdr>
            <w:top w:val="none" w:sz="0" w:space="0" w:color="auto"/>
            <w:left w:val="none" w:sz="0" w:space="0" w:color="auto"/>
            <w:bottom w:val="none" w:sz="0" w:space="0" w:color="auto"/>
            <w:right w:val="none" w:sz="0" w:space="0" w:color="auto"/>
          </w:divBdr>
        </w:div>
        <w:div w:id="785538572">
          <w:marLeft w:val="360"/>
          <w:marRight w:val="0"/>
          <w:marTop w:val="0"/>
          <w:marBottom w:val="160"/>
          <w:divBdr>
            <w:top w:val="none" w:sz="0" w:space="0" w:color="auto"/>
            <w:left w:val="none" w:sz="0" w:space="0" w:color="auto"/>
            <w:bottom w:val="none" w:sz="0" w:space="0" w:color="auto"/>
            <w:right w:val="none" w:sz="0" w:space="0" w:color="auto"/>
          </w:divBdr>
        </w:div>
      </w:divsChild>
    </w:div>
    <w:div w:id="415176813">
      <w:bodyDiv w:val="1"/>
      <w:marLeft w:val="0"/>
      <w:marRight w:val="0"/>
      <w:marTop w:val="0"/>
      <w:marBottom w:val="0"/>
      <w:divBdr>
        <w:top w:val="none" w:sz="0" w:space="0" w:color="auto"/>
        <w:left w:val="none" w:sz="0" w:space="0" w:color="auto"/>
        <w:bottom w:val="none" w:sz="0" w:space="0" w:color="auto"/>
        <w:right w:val="none" w:sz="0" w:space="0" w:color="auto"/>
      </w:divBdr>
      <w:divsChild>
        <w:div w:id="119885257">
          <w:marLeft w:val="360"/>
          <w:marRight w:val="0"/>
          <w:marTop w:val="384"/>
          <w:marBottom w:val="0"/>
          <w:divBdr>
            <w:top w:val="none" w:sz="0" w:space="0" w:color="auto"/>
            <w:left w:val="none" w:sz="0" w:space="0" w:color="auto"/>
            <w:bottom w:val="none" w:sz="0" w:space="0" w:color="auto"/>
            <w:right w:val="none" w:sz="0" w:space="0" w:color="auto"/>
          </w:divBdr>
        </w:div>
        <w:div w:id="943272987">
          <w:marLeft w:val="922"/>
          <w:marRight w:val="0"/>
          <w:marTop w:val="62"/>
          <w:marBottom w:val="0"/>
          <w:divBdr>
            <w:top w:val="none" w:sz="0" w:space="0" w:color="auto"/>
            <w:left w:val="none" w:sz="0" w:space="0" w:color="auto"/>
            <w:bottom w:val="none" w:sz="0" w:space="0" w:color="auto"/>
            <w:right w:val="none" w:sz="0" w:space="0" w:color="auto"/>
          </w:divBdr>
        </w:div>
        <w:div w:id="434790214">
          <w:marLeft w:val="1454"/>
          <w:marRight w:val="0"/>
          <w:marTop w:val="62"/>
          <w:marBottom w:val="0"/>
          <w:divBdr>
            <w:top w:val="none" w:sz="0" w:space="0" w:color="auto"/>
            <w:left w:val="none" w:sz="0" w:space="0" w:color="auto"/>
            <w:bottom w:val="none" w:sz="0" w:space="0" w:color="auto"/>
            <w:right w:val="none" w:sz="0" w:space="0" w:color="auto"/>
          </w:divBdr>
        </w:div>
        <w:div w:id="472329714">
          <w:marLeft w:val="1454"/>
          <w:marRight w:val="0"/>
          <w:marTop w:val="62"/>
          <w:marBottom w:val="0"/>
          <w:divBdr>
            <w:top w:val="none" w:sz="0" w:space="0" w:color="auto"/>
            <w:left w:val="none" w:sz="0" w:space="0" w:color="auto"/>
            <w:bottom w:val="none" w:sz="0" w:space="0" w:color="auto"/>
            <w:right w:val="none" w:sz="0" w:space="0" w:color="auto"/>
          </w:divBdr>
        </w:div>
        <w:div w:id="668094478">
          <w:marLeft w:val="922"/>
          <w:marRight w:val="0"/>
          <w:marTop w:val="62"/>
          <w:marBottom w:val="0"/>
          <w:divBdr>
            <w:top w:val="none" w:sz="0" w:space="0" w:color="auto"/>
            <w:left w:val="none" w:sz="0" w:space="0" w:color="auto"/>
            <w:bottom w:val="none" w:sz="0" w:space="0" w:color="auto"/>
            <w:right w:val="none" w:sz="0" w:space="0" w:color="auto"/>
          </w:divBdr>
        </w:div>
        <w:div w:id="1532107865">
          <w:marLeft w:val="922"/>
          <w:marRight w:val="0"/>
          <w:marTop w:val="62"/>
          <w:marBottom w:val="0"/>
          <w:divBdr>
            <w:top w:val="none" w:sz="0" w:space="0" w:color="auto"/>
            <w:left w:val="none" w:sz="0" w:space="0" w:color="auto"/>
            <w:bottom w:val="none" w:sz="0" w:space="0" w:color="auto"/>
            <w:right w:val="none" w:sz="0" w:space="0" w:color="auto"/>
          </w:divBdr>
        </w:div>
        <w:div w:id="498231741">
          <w:marLeft w:val="922"/>
          <w:marRight w:val="0"/>
          <w:marTop w:val="62"/>
          <w:marBottom w:val="0"/>
          <w:divBdr>
            <w:top w:val="none" w:sz="0" w:space="0" w:color="auto"/>
            <w:left w:val="none" w:sz="0" w:space="0" w:color="auto"/>
            <w:bottom w:val="none" w:sz="0" w:space="0" w:color="auto"/>
            <w:right w:val="none" w:sz="0" w:space="0" w:color="auto"/>
          </w:divBdr>
        </w:div>
      </w:divsChild>
    </w:div>
    <w:div w:id="425999722">
      <w:bodyDiv w:val="1"/>
      <w:marLeft w:val="0"/>
      <w:marRight w:val="0"/>
      <w:marTop w:val="0"/>
      <w:marBottom w:val="0"/>
      <w:divBdr>
        <w:top w:val="none" w:sz="0" w:space="0" w:color="auto"/>
        <w:left w:val="none" w:sz="0" w:space="0" w:color="auto"/>
        <w:bottom w:val="none" w:sz="0" w:space="0" w:color="auto"/>
        <w:right w:val="none" w:sz="0" w:space="0" w:color="auto"/>
      </w:divBdr>
      <w:divsChild>
        <w:div w:id="643437758">
          <w:marLeft w:val="360"/>
          <w:marRight w:val="0"/>
          <w:marTop w:val="384"/>
          <w:marBottom w:val="0"/>
          <w:divBdr>
            <w:top w:val="none" w:sz="0" w:space="0" w:color="auto"/>
            <w:left w:val="none" w:sz="0" w:space="0" w:color="auto"/>
            <w:bottom w:val="none" w:sz="0" w:space="0" w:color="auto"/>
            <w:right w:val="none" w:sz="0" w:space="0" w:color="auto"/>
          </w:divBdr>
        </w:div>
        <w:div w:id="1548183598">
          <w:marLeft w:val="907"/>
          <w:marRight w:val="0"/>
          <w:marTop w:val="60"/>
          <w:marBottom w:val="0"/>
          <w:divBdr>
            <w:top w:val="none" w:sz="0" w:space="0" w:color="auto"/>
            <w:left w:val="none" w:sz="0" w:space="0" w:color="auto"/>
            <w:bottom w:val="none" w:sz="0" w:space="0" w:color="auto"/>
            <w:right w:val="none" w:sz="0" w:space="0" w:color="auto"/>
          </w:divBdr>
        </w:div>
        <w:div w:id="1482120311">
          <w:marLeft w:val="907"/>
          <w:marRight w:val="0"/>
          <w:marTop w:val="60"/>
          <w:marBottom w:val="0"/>
          <w:divBdr>
            <w:top w:val="none" w:sz="0" w:space="0" w:color="auto"/>
            <w:left w:val="none" w:sz="0" w:space="0" w:color="auto"/>
            <w:bottom w:val="none" w:sz="0" w:space="0" w:color="auto"/>
            <w:right w:val="none" w:sz="0" w:space="0" w:color="auto"/>
          </w:divBdr>
        </w:div>
        <w:div w:id="1624074563">
          <w:marLeft w:val="922"/>
          <w:marRight w:val="0"/>
          <w:marTop w:val="60"/>
          <w:marBottom w:val="0"/>
          <w:divBdr>
            <w:top w:val="none" w:sz="0" w:space="0" w:color="auto"/>
            <w:left w:val="none" w:sz="0" w:space="0" w:color="auto"/>
            <w:bottom w:val="none" w:sz="0" w:space="0" w:color="auto"/>
            <w:right w:val="none" w:sz="0" w:space="0" w:color="auto"/>
          </w:divBdr>
        </w:div>
        <w:div w:id="1549565194">
          <w:marLeft w:val="922"/>
          <w:marRight w:val="0"/>
          <w:marTop w:val="60"/>
          <w:marBottom w:val="0"/>
          <w:divBdr>
            <w:top w:val="none" w:sz="0" w:space="0" w:color="auto"/>
            <w:left w:val="none" w:sz="0" w:space="0" w:color="auto"/>
            <w:bottom w:val="none" w:sz="0" w:space="0" w:color="auto"/>
            <w:right w:val="none" w:sz="0" w:space="0" w:color="auto"/>
          </w:divBdr>
        </w:div>
        <w:div w:id="80683012">
          <w:marLeft w:val="922"/>
          <w:marRight w:val="0"/>
          <w:marTop w:val="60"/>
          <w:marBottom w:val="0"/>
          <w:divBdr>
            <w:top w:val="none" w:sz="0" w:space="0" w:color="auto"/>
            <w:left w:val="none" w:sz="0" w:space="0" w:color="auto"/>
            <w:bottom w:val="none" w:sz="0" w:space="0" w:color="auto"/>
            <w:right w:val="none" w:sz="0" w:space="0" w:color="auto"/>
          </w:divBdr>
        </w:div>
        <w:div w:id="1255043828">
          <w:marLeft w:val="922"/>
          <w:marRight w:val="0"/>
          <w:marTop w:val="60"/>
          <w:marBottom w:val="0"/>
          <w:divBdr>
            <w:top w:val="none" w:sz="0" w:space="0" w:color="auto"/>
            <w:left w:val="none" w:sz="0" w:space="0" w:color="auto"/>
            <w:bottom w:val="none" w:sz="0" w:space="0" w:color="auto"/>
            <w:right w:val="none" w:sz="0" w:space="0" w:color="auto"/>
          </w:divBdr>
        </w:div>
      </w:divsChild>
    </w:div>
    <w:div w:id="444156125">
      <w:bodyDiv w:val="1"/>
      <w:marLeft w:val="0"/>
      <w:marRight w:val="0"/>
      <w:marTop w:val="0"/>
      <w:marBottom w:val="0"/>
      <w:divBdr>
        <w:top w:val="none" w:sz="0" w:space="0" w:color="auto"/>
        <w:left w:val="none" w:sz="0" w:space="0" w:color="auto"/>
        <w:bottom w:val="none" w:sz="0" w:space="0" w:color="auto"/>
        <w:right w:val="none" w:sz="0" w:space="0" w:color="auto"/>
      </w:divBdr>
      <w:divsChild>
        <w:div w:id="519127052">
          <w:marLeft w:val="446"/>
          <w:marRight w:val="0"/>
          <w:marTop w:val="0"/>
          <w:marBottom w:val="160"/>
          <w:divBdr>
            <w:top w:val="none" w:sz="0" w:space="0" w:color="auto"/>
            <w:left w:val="none" w:sz="0" w:space="0" w:color="auto"/>
            <w:bottom w:val="none" w:sz="0" w:space="0" w:color="auto"/>
            <w:right w:val="none" w:sz="0" w:space="0" w:color="auto"/>
          </w:divBdr>
        </w:div>
        <w:div w:id="610747862">
          <w:marLeft w:val="446"/>
          <w:marRight w:val="0"/>
          <w:marTop w:val="0"/>
          <w:marBottom w:val="160"/>
          <w:divBdr>
            <w:top w:val="none" w:sz="0" w:space="0" w:color="auto"/>
            <w:left w:val="none" w:sz="0" w:space="0" w:color="auto"/>
            <w:bottom w:val="none" w:sz="0" w:space="0" w:color="auto"/>
            <w:right w:val="none" w:sz="0" w:space="0" w:color="auto"/>
          </w:divBdr>
        </w:div>
        <w:div w:id="864976009">
          <w:marLeft w:val="446"/>
          <w:marRight w:val="0"/>
          <w:marTop w:val="0"/>
          <w:marBottom w:val="240"/>
          <w:divBdr>
            <w:top w:val="none" w:sz="0" w:space="0" w:color="auto"/>
            <w:left w:val="none" w:sz="0" w:space="0" w:color="auto"/>
            <w:bottom w:val="none" w:sz="0" w:space="0" w:color="auto"/>
            <w:right w:val="none" w:sz="0" w:space="0" w:color="auto"/>
          </w:divBdr>
        </w:div>
        <w:div w:id="1147895547">
          <w:marLeft w:val="446"/>
          <w:marRight w:val="0"/>
          <w:marTop w:val="0"/>
          <w:marBottom w:val="160"/>
          <w:divBdr>
            <w:top w:val="none" w:sz="0" w:space="0" w:color="auto"/>
            <w:left w:val="none" w:sz="0" w:space="0" w:color="auto"/>
            <w:bottom w:val="none" w:sz="0" w:space="0" w:color="auto"/>
            <w:right w:val="none" w:sz="0" w:space="0" w:color="auto"/>
          </w:divBdr>
        </w:div>
        <w:div w:id="299262855">
          <w:marLeft w:val="446"/>
          <w:marRight w:val="0"/>
          <w:marTop w:val="0"/>
          <w:marBottom w:val="160"/>
          <w:divBdr>
            <w:top w:val="none" w:sz="0" w:space="0" w:color="auto"/>
            <w:left w:val="none" w:sz="0" w:space="0" w:color="auto"/>
            <w:bottom w:val="none" w:sz="0" w:space="0" w:color="auto"/>
            <w:right w:val="none" w:sz="0" w:space="0" w:color="auto"/>
          </w:divBdr>
        </w:div>
        <w:div w:id="1618635788">
          <w:marLeft w:val="446"/>
          <w:marRight w:val="0"/>
          <w:marTop w:val="0"/>
          <w:marBottom w:val="160"/>
          <w:divBdr>
            <w:top w:val="none" w:sz="0" w:space="0" w:color="auto"/>
            <w:left w:val="none" w:sz="0" w:space="0" w:color="auto"/>
            <w:bottom w:val="none" w:sz="0" w:space="0" w:color="auto"/>
            <w:right w:val="none" w:sz="0" w:space="0" w:color="auto"/>
          </w:divBdr>
        </w:div>
        <w:div w:id="928081577">
          <w:marLeft w:val="446"/>
          <w:marRight w:val="0"/>
          <w:marTop w:val="0"/>
          <w:marBottom w:val="160"/>
          <w:divBdr>
            <w:top w:val="none" w:sz="0" w:space="0" w:color="auto"/>
            <w:left w:val="none" w:sz="0" w:space="0" w:color="auto"/>
            <w:bottom w:val="none" w:sz="0" w:space="0" w:color="auto"/>
            <w:right w:val="none" w:sz="0" w:space="0" w:color="auto"/>
          </w:divBdr>
        </w:div>
      </w:divsChild>
    </w:div>
    <w:div w:id="457838971">
      <w:bodyDiv w:val="1"/>
      <w:marLeft w:val="0"/>
      <w:marRight w:val="0"/>
      <w:marTop w:val="0"/>
      <w:marBottom w:val="0"/>
      <w:divBdr>
        <w:top w:val="none" w:sz="0" w:space="0" w:color="auto"/>
        <w:left w:val="none" w:sz="0" w:space="0" w:color="auto"/>
        <w:bottom w:val="none" w:sz="0" w:space="0" w:color="auto"/>
        <w:right w:val="none" w:sz="0" w:space="0" w:color="auto"/>
      </w:divBdr>
    </w:div>
    <w:div w:id="570576210">
      <w:bodyDiv w:val="1"/>
      <w:marLeft w:val="0"/>
      <w:marRight w:val="0"/>
      <w:marTop w:val="0"/>
      <w:marBottom w:val="0"/>
      <w:divBdr>
        <w:top w:val="none" w:sz="0" w:space="0" w:color="auto"/>
        <w:left w:val="none" w:sz="0" w:space="0" w:color="auto"/>
        <w:bottom w:val="none" w:sz="0" w:space="0" w:color="auto"/>
        <w:right w:val="none" w:sz="0" w:space="0" w:color="auto"/>
      </w:divBdr>
    </w:div>
    <w:div w:id="645201922">
      <w:bodyDiv w:val="1"/>
      <w:marLeft w:val="0"/>
      <w:marRight w:val="0"/>
      <w:marTop w:val="0"/>
      <w:marBottom w:val="0"/>
      <w:divBdr>
        <w:top w:val="none" w:sz="0" w:space="0" w:color="auto"/>
        <w:left w:val="none" w:sz="0" w:space="0" w:color="auto"/>
        <w:bottom w:val="none" w:sz="0" w:space="0" w:color="auto"/>
        <w:right w:val="none" w:sz="0" w:space="0" w:color="auto"/>
      </w:divBdr>
      <w:divsChild>
        <w:div w:id="828710690">
          <w:marLeft w:val="360"/>
          <w:marRight w:val="0"/>
          <w:marTop w:val="432"/>
          <w:marBottom w:val="0"/>
          <w:divBdr>
            <w:top w:val="none" w:sz="0" w:space="0" w:color="auto"/>
            <w:left w:val="none" w:sz="0" w:space="0" w:color="auto"/>
            <w:bottom w:val="none" w:sz="0" w:space="0" w:color="auto"/>
            <w:right w:val="none" w:sz="0" w:space="0" w:color="auto"/>
          </w:divBdr>
        </w:div>
        <w:div w:id="1845628788">
          <w:marLeft w:val="907"/>
          <w:marRight w:val="0"/>
          <w:marTop w:val="62"/>
          <w:marBottom w:val="0"/>
          <w:divBdr>
            <w:top w:val="none" w:sz="0" w:space="0" w:color="auto"/>
            <w:left w:val="none" w:sz="0" w:space="0" w:color="auto"/>
            <w:bottom w:val="none" w:sz="0" w:space="0" w:color="auto"/>
            <w:right w:val="none" w:sz="0" w:space="0" w:color="auto"/>
          </w:divBdr>
        </w:div>
        <w:div w:id="1346057489">
          <w:marLeft w:val="907"/>
          <w:marRight w:val="0"/>
          <w:marTop w:val="62"/>
          <w:marBottom w:val="0"/>
          <w:divBdr>
            <w:top w:val="none" w:sz="0" w:space="0" w:color="auto"/>
            <w:left w:val="none" w:sz="0" w:space="0" w:color="auto"/>
            <w:bottom w:val="none" w:sz="0" w:space="0" w:color="auto"/>
            <w:right w:val="none" w:sz="0" w:space="0" w:color="auto"/>
          </w:divBdr>
        </w:div>
        <w:div w:id="1543205479">
          <w:marLeft w:val="1987"/>
          <w:marRight w:val="0"/>
          <w:marTop w:val="62"/>
          <w:marBottom w:val="0"/>
          <w:divBdr>
            <w:top w:val="none" w:sz="0" w:space="0" w:color="auto"/>
            <w:left w:val="none" w:sz="0" w:space="0" w:color="auto"/>
            <w:bottom w:val="none" w:sz="0" w:space="0" w:color="auto"/>
            <w:right w:val="none" w:sz="0" w:space="0" w:color="auto"/>
          </w:divBdr>
        </w:div>
        <w:div w:id="235163363">
          <w:marLeft w:val="1987"/>
          <w:marRight w:val="0"/>
          <w:marTop w:val="62"/>
          <w:marBottom w:val="0"/>
          <w:divBdr>
            <w:top w:val="none" w:sz="0" w:space="0" w:color="auto"/>
            <w:left w:val="none" w:sz="0" w:space="0" w:color="auto"/>
            <w:bottom w:val="none" w:sz="0" w:space="0" w:color="auto"/>
            <w:right w:val="none" w:sz="0" w:space="0" w:color="auto"/>
          </w:divBdr>
        </w:div>
        <w:div w:id="2072338361">
          <w:marLeft w:val="1987"/>
          <w:marRight w:val="0"/>
          <w:marTop w:val="62"/>
          <w:marBottom w:val="0"/>
          <w:divBdr>
            <w:top w:val="none" w:sz="0" w:space="0" w:color="auto"/>
            <w:left w:val="none" w:sz="0" w:space="0" w:color="auto"/>
            <w:bottom w:val="none" w:sz="0" w:space="0" w:color="auto"/>
            <w:right w:val="none" w:sz="0" w:space="0" w:color="auto"/>
          </w:divBdr>
        </w:div>
        <w:div w:id="1375352425">
          <w:marLeft w:val="1440"/>
          <w:marRight w:val="0"/>
          <w:marTop w:val="62"/>
          <w:marBottom w:val="0"/>
          <w:divBdr>
            <w:top w:val="none" w:sz="0" w:space="0" w:color="auto"/>
            <w:left w:val="none" w:sz="0" w:space="0" w:color="auto"/>
            <w:bottom w:val="none" w:sz="0" w:space="0" w:color="auto"/>
            <w:right w:val="none" w:sz="0" w:space="0" w:color="auto"/>
          </w:divBdr>
        </w:div>
        <w:div w:id="2068988980">
          <w:marLeft w:val="1440"/>
          <w:marRight w:val="0"/>
          <w:marTop w:val="62"/>
          <w:marBottom w:val="0"/>
          <w:divBdr>
            <w:top w:val="none" w:sz="0" w:space="0" w:color="auto"/>
            <w:left w:val="none" w:sz="0" w:space="0" w:color="auto"/>
            <w:bottom w:val="none" w:sz="0" w:space="0" w:color="auto"/>
            <w:right w:val="none" w:sz="0" w:space="0" w:color="auto"/>
          </w:divBdr>
        </w:div>
      </w:divsChild>
    </w:div>
    <w:div w:id="708842170">
      <w:bodyDiv w:val="1"/>
      <w:marLeft w:val="0"/>
      <w:marRight w:val="0"/>
      <w:marTop w:val="0"/>
      <w:marBottom w:val="0"/>
      <w:divBdr>
        <w:top w:val="none" w:sz="0" w:space="0" w:color="auto"/>
        <w:left w:val="none" w:sz="0" w:space="0" w:color="auto"/>
        <w:bottom w:val="none" w:sz="0" w:space="0" w:color="auto"/>
        <w:right w:val="none" w:sz="0" w:space="0" w:color="auto"/>
      </w:divBdr>
      <w:divsChild>
        <w:div w:id="1388190416">
          <w:marLeft w:val="360"/>
          <w:marRight w:val="0"/>
          <w:marTop w:val="384"/>
          <w:marBottom w:val="0"/>
          <w:divBdr>
            <w:top w:val="none" w:sz="0" w:space="0" w:color="auto"/>
            <w:left w:val="none" w:sz="0" w:space="0" w:color="auto"/>
            <w:bottom w:val="none" w:sz="0" w:space="0" w:color="auto"/>
            <w:right w:val="none" w:sz="0" w:space="0" w:color="auto"/>
          </w:divBdr>
        </w:div>
        <w:div w:id="771901323">
          <w:marLeft w:val="907"/>
          <w:marRight w:val="0"/>
          <w:marTop w:val="67"/>
          <w:marBottom w:val="0"/>
          <w:divBdr>
            <w:top w:val="none" w:sz="0" w:space="0" w:color="auto"/>
            <w:left w:val="none" w:sz="0" w:space="0" w:color="auto"/>
            <w:bottom w:val="none" w:sz="0" w:space="0" w:color="auto"/>
            <w:right w:val="none" w:sz="0" w:space="0" w:color="auto"/>
          </w:divBdr>
        </w:div>
        <w:div w:id="941106173">
          <w:marLeft w:val="907"/>
          <w:marRight w:val="0"/>
          <w:marTop w:val="67"/>
          <w:marBottom w:val="0"/>
          <w:divBdr>
            <w:top w:val="none" w:sz="0" w:space="0" w:color="auto"/>
            <w:left w:val="none" w:sz="0" w:space="0" w:color="auto"/>
            <w:bottom w:val="none" w:sz="0" w:space="0" w:color="auto"/>
            <w:right w:val="none" w:sz="0" w:space="0" w:color="auto"/>
          </w:divBdr>
        </w:div>
        <w:div w:id="570503886">
          <w:marLeft w:val="907"/>
          <w:marRight w:val="0"/>
          <w:marTop w:val="67"/>
          <w:marBottom w:val="0"/>
          <w:divBdr>
            <w:top w:val="none" w:sz="0" w:space="0" w:color="auto"/>
            <w:left w:val="none" w:sz="0" w:space="0" w:color="auto"/>
            <w:bottom w:val="none" w:sz="0" w:space="0" w:color="auto"/>
            <w:right w:val="none" w:sz="0" w:space="0" w:color="auto"/>
          </w:divBdr>
        </w:div>
        <w:div w:id="231628017">
          <w:marLeft w:val="360"/>
          <w:marRight w:val="0"/>
          <w:marTop w:val="432"/>
          <w:marBottom w:val="0"/>
          <w:divBdr>
            <w:top w:val="none" w:sz="0" w:space="0" w:color="auto"/>
            <w:left w:val="none" w:sz="0" w:space="0" w:color="auto"/>
            <w:bottom w:val="none" w:sz="0" w:space="0" w:color="auto"/>
            <w:right w:val="none" w:sz="0" w:space="0" w:color="auto"/>
          </w:divBdr>
        </w:div>
      </w:divsChild>
    </w:div>
    <w:div w:id="754322655">
      <w:bodyDiv w:val="1"/>
      <w:marLeft w:val="0"/>
      <w:marRight w:val="0"/>
      <w:marTop w:val="0"/>
      <w:marBottom w:val="0"/>
      <w:divBdr>
        <w:top w:val="none" w:sz="0" w:space="0" w:color="auto"/>
        <w:left w:val="none" w:sz="0" w:space="0" w:color="auto"/>
        <w:bottom w:val="none" w:sz="0" w:space="0" w:color="auto"/>
        <w:right w:val="none" w:sz="0" w:space="0" w:color="auto"/>
      </w:divBdr>
    </w:div>
    <w:div w:id="796217663">
      <w:bodyDiv w:val="1"/>
      <w:marLeft w:val="0"/>
      <w:marRight w:val="0"/>
      <w:marTop w:val="0"/>
      <w:marBottom w:val="0"/>
      <w:divBdr>
        <w:top w:val="none" w:sz="0" w:space="0" w:color="auto"/>
        <w:left w:val="none" w:sz="0" w:space="0" w:color="auto"/>
        <w:bottom w:val="none" w:sz="0" w:space="0" w:color="auto"/>
        <w:right w:val="none" w:sz="0" w:space="0" w:color="auto"/>
      </w:divBdr>
      <w:divsChild>
        <w:div w:id="2026705522">
          <w:marLeft w:val="533"/>
          <w:marRight w:val="0"/>
          <w:marTop w:val="336"/>
          <w:marBottom w:val="0"/>
          <w:divBdr>
            <w:top w:val="none" w:sz="0" w:space="0" w:color="auto"/>
            <w:left w:val="none" w:sz="0" w:space="0" w:color="auto"/>
            <w:bottom w:val="none" w:sz="0" w:space="0" w:color="auto"/>
            <w:right w:val="none" w:sz="0" w:space="0" w:color="auto"/>
          </w:divBdr>
        </w:div>
        <w:div w:id="966663536">
          <w:marLeft w:val="1080"/>
          <w:marRight w:val="0"/>
          <w:marTop w:val="67"/>
          <w:marBottom w:val="0"/>
          <w:divBdr>
            <w:top w:val="none" w:sz="0" w:space="0" w:color="auto"/>
            <w:left w:val="none" w:sz="0" w:space="0" w:color="auto"/>
            <w:bottom w:val="none" w:sz="0" w:space="0" w:color="auto"/>
            <w:right w:val="none" w:sz="0" w:space="0" w:color="auto"/>
          </w:divBdr>
        </w:div>
        <w:div w:id="1962415837">
          <w:marLeft w:val="1080"/>
          <w:marRight w:val="0"/>
          <w:marTop w:val="67"/>
          <w:marBottom w:val="0"/>
          <w:divBdr>
            <w:top w:val="none" w:sz="0" w:space="0" w:color="auto"/>
            <w:left w:val="none" w:sz="0" w:space="0" w:color="auto"/>
            <w:bottom w:val="none" w:sz="0" w:space="0" w:color="auto"/>
            <w:right w:val="none" w:sz="0" w:space="0" w:color="auto"/>
          </w:divBdr>
        </w:div>
        <w:div w:id="1014459037">
          <w:marLeft w:val="547"/>
          <w:marRight w:val="0"/>
          <w:marTop w:val="336"/>
          <w:marBottom w:val="1600"/>
          <w:divBdr>
            <w:top w:val="none" w:sz="0" w:space="0" w:color="auto"/>
            <w:left w:val="none" w:sz="0" w:space="0" w:color="auto"/>
            <w:bottom w:val="none" w:sz="0" w:space="0" w:color="auto"/>
            <w:right w:val="none" w:sz="0" w:space="0" w:color="auto"/>
          </w:divBdr>
        </w:div>
      </w:divsChild>
    </w:div>
    <w:div w:id="830490035">
      <w:bodyDiv w:val="1"/>
      <w:marLeft w:val="0"/>
      <w:marRight w:val="0"/>
      <w:marTop w:val="0"/>
      <w:marBottom w:val="0"/>
      <w:divBdr>
        <w:top w:val="none" w:sz="0" w:space="0" w:color="auto"/>
        <w:left w:val="none" w:sz="0" w:space="0" w:color="auto"/>
        <w:bottom w:val="none" w:sz="0" w:space="0" w:color="auto"/>
        <w:right w:val="none" w:sz="0" w:space="0" w:color="auto"/>
      </w:divBdr>
    </w:div>
    <w:div w:id="938676597">
      <w:bodyDiv w:val="1"/>
      <w:marLeft w:val="0"/>
      <w:marRight w:val="0"/>
      <w:marTop w:val="0"/>
      <w:marBottom w:val="0"/>
      <w:divBdr>
        <w:top w:val="none" w:sz="0" w:space="0" w:color="auto"/>
        <w:left w:val="none" w:sz="0" w:space="0" w:color="auto"/>
        <w:bottom w:val="none" w:sz="0" w:space="0" w:color="auto"/>
        <w:right w:val="none" w:sz="0" w:space="0" w:color="auto"/>
      </w:divBdr>
    </w:div>
    <w:div w:id="968898421">
      <w:bodyDiv w:val="1"/>
      <w:marLeft w:val="0"/>
      <w:marRight w:val="0"/>
      <w:marTop w:val="0"/>
      <w:marBottom w:val="0"/>
      <w:divBdr>
        <w:top w:val="none" w:sz="0" w:space="0" w:color="auto"/>
        <w:left w:val="none" w:sz="0" w:space="0" w:color="auto"/>
        <w:bottom w:val="none" w:sz="0" w:space="0" w:color="auto"/>
        <w:right w:val="none" w:sz="0" w:space="0" w:color="auto"/>
      </w:divBdr>
      <w:divsChild>
        <w:div w:id="1186484810">
          <w:marLeft w:val="360"/>
          <w:marRight w:val="0"/>
          <w:marTop w:val="384"/>
          <w:marBottom w:val="0"/>
          <w:divBdr>
            <w:top w:val="none" w:sz="0" w:space="0" w:color="auto"/>
            <w:left w:val="none" w:sz="0" w:space="0" w:color="auto"/>
            <w:bottom w:val="none" w:sz="0" w:space="0" w:color="auto"/>
            <w:right w:val="none" w:sz="0" w:space="0" w:color="auto"/>
          </w:divBdr>
        </w:div>
        <w:div w:id="95444182">
          <w:marLeft w:val="907"/>
          <w:marRight w:val="0"/>
          <w:marTop w:val="77"/>
          <w:marBottom w:val="0"/>
          <w:divBdr>
            <w:top w:val="none" w:sz="0" w:space="0" w:color="auto"/>
            <w:left w:val="none" w:sz="0" w:space="0" w:color="auto"/>
            <w:bottom w:val="none" w:sz="0" w:space="0" w:color="auto"/>
            <w:right w:val="none" w:sz="0" w:space="0" w:color="auto"/>
          </w:divBdr>
        </w:div>
        <w:div w:id="685911571">
          <w:marLeft w:val="907"/>
          <w:marRight w:val="0"/>
          <w:marTop w:val="77"/>
          <w:marBottom w:val="0"/>
          <w:divBdr>
            <w:top w:val="none" w:sz="0" w:space="0" w:color="auto"/>
            <w:left w:val="none" w:sz="0" w:space="0" w:color="auto"/>
            <w:bottom w:val="none" w:sz="0" w:space="0" w:color="auto"/>
            <w:right w:val="none" w:sz="0" w:space="0" w:color="auto"/>
          </w:divBdr>
        </w:div>
        <w:div w:id="923958137">
          <w:marLeft w:val="1440"/>
          <w:marRight w:val="0"/>
          <w:marTop w:val="77"/>
          <w:marBottom w:val="0"/>
          <w:divBdr>
            <w:top w:val="none" w:sz="0" w:space="0" w:color="auto"/>
            <w:left w:val="none" w:sz="0" w:space="0" w:color="auto"/>
            <w:bottom w:val="none" w:sz="0" w:space="0" w:color="auto"/>
            <w:right w:val="none" w:sz="0" w:space="0" w:color="auto"/>
          </w:divBdr>
        </w:div>
        <w:div w:id="2009166555">
          <w:marLeft w:val="1440"/>
          <w:marRight w:val="0"/>
          <w:marTop w:val="77"/>
          <w:marBottom w:val="0"/>
          <w:divBdr>
            <w:top w:val="none" w:sz="0" w:space="0" w:color="auto"/>
            <w:left w:val="none" w:sz="0" w:space="0" w:color="auto"/>
            <w:bottom w:val="none" w:sz="0" w:space="0" w:color="auto"/>
            <w:right w:val="none" w:sz="0" w:space="0" w:color="auto"/>
          </w:divBdr>
        </w:div>
        <w:div w:id="1440032112">
          <w:marLeft w:val="907"/>
          <w:marRight w:val="0"/>
          <w:marTop w:val="77"/>
          <w:marBottom w:val="0"/>
          <w:divBdr>
            <w:top w:val="none" w:sz="0" w:space="0" w:color="auto"/>
            <w:left w:val="none" w:sz="0" w:space="0" w:color="auto"/>
            <w:bottom w:val="none" w:sz="0" w:space="0" w:color="auto"/>
            <w:right w:val="none" w:sz="0" w:space="0" w:color="auto"/>
          </w:divBdr>
        </w:div>
      </w:divsChild>
    </w:div>
    <w:div w:id="1024476099">
      <w:bodyDiv w:val="1"/>
      <w:marLeft w:val="0"/>
      <w:marRight w:val="0"/>
      <w:marTop w:val="0"/>
      <w:marBottom w:val="0"/>
      <w:divBdr>
        <w:top w:val="none" w:sz="0" w:space="0" w:color="auto"/>
        <w:left w:val="none" w:sz="0" w:space="0" w:color="auto"/>
        <w:bottom w:val="none" w:sz="0" w:space="0" w:color="auto"/>
        <w:right w:val="none" w:sz="0" w:space="0" w:color="auto"/>
      </w:divBdr>
    </w:div>
    <w:div w:id="1073432660">
      <w:bodyDiv w:val="1"/>
      <w:marLeft w:val="0"/>
      <w:marRight w:val="0"/>
      <w:marTop w:val="0"/>
      <w:marBottom w:val="0"/>
      <w:divBdr>
        <w:top w:val="none" w:sz="0" w:space="0" w:color="auto"/>
        <w:left w:val="none" w:sz="0" w:space="0" w:color="auto"/>
        <w:bottom w:val="none" w:sz="0" w:space="0" w:color="auto"/>
        <w:right w:val="none" w:sz="0" w:space="0" w:color="auto"/>
      </w:divBdr>
    </w:div>
    <w:div w:id="1097752519">
      <w:bodyDiv w:val="1"/>
      <w:marLeft w:val="0"/>
      <w:marRight w:val="0"/>
      <w:marTop w:val="0"/>
      <w:marBottom w:val="0"/>
      <w:divBdr>
        <w:top w:val="none" w:sz="0" w:space="0" w:color="auto"/>
        <w:left w:val="none" w:sz="0" w:space="0" w:color="auto"/>
        <w:bottom w:val="none" w:sz="0" w:space="0" w:color="auto"/>
        <w:right w:val="none" w:sz="0" w:space="0" w:color="auto"/>
      </w:divBdr>
      <w:divsChild>
        <w:div w:id="1014186506">
          <w:marLeft w:val="360"/>
          <w:marRight w:val="0"/>
          <w:marTop w:val="336"/>
          <w:marBottom w:val="0"/>
          <w:divBdr>
            <w:top w:val="none" w:sz="0" w:space="0" w:color="auto"/>
            <w:left w:val="none" w:sz="0" w:space="0" w:color="auto"/>
            <w:bottom w:val="none" w:sz="0" w:space="0" w:color="auto"/>
            <w:right w:val="none" w:sz="0" w:space="0" w:color="auto"/>
          </w:divBdr>
        </w:div>
        <w:div w:id="1861235396">
          <w:marLeft w:val="360"/>
          <w:marRight w:val="0"/>
          <w:marTop w:val="336"/>
          <w:marBottom w:val="0"/>
          <w:divBdr>
            <w:top w:val="none" w:sz="0" w:space="0" w:color="auto"/>
            <w:left w:val="none" w:sz="0" w:space="0" w:color="auto"/>
            <w:bottom w:val="none" w:sz="0" w:space="0" w:color="auto"/>
            <w:right w:val="none" w:sz="0" w:space="0" w:color="auto"/>
          </w:divBdr>
        </w:div>
        <w:div w:id="458380442">
          <w:marLeft w:val="907"/>
          <w:marRight w:val="0"/>
          <w:marTop w:val="67"/>
          <w:marBottom w:val="0"/>
          <w:divBdr>
            <w:top w:val="none" w:sz="0" w:space="0" w:color="auto"/>
            <w:left w:val="none" w:sz="0" w:space="0" w:color="auto"/>
            <w:bottom w:val="none" w:sz="0" w:space="0" w:color="auto"/>
            <w:right w:val="none" w:sz="0" w:space="0" w:color="auto"/>
          </w:divBdr>
        </w:div>
        <w:div w:id="688337786">
          <w:marLeft w:val="907"/>
          <w:marRight w:val="0"/>
          <w:marTop w:val="67"/>
          <w:marBottom w:val="0"/>
          <w:divBdr>
            <w:top w:val="none" w:sz="0" w:space="0" w:color="auto"/>
            <w:left w:val="none" w:sz="0" w:space="0" w:color="auto"/>
            <w:bottom w:val="none" w:sz="0" w:space="0" w:color="auto"/>
            <w:right w:val="none" w:sz="0" w:space="0" w:color="auto"/>
          </w:divBdr>
        </w:div>
        <w:div w:id="1529414477">
          <w:marLeft w:val="907"/>
          <w:marRight w:val="0"/>
          <w:marTop w:val="67"/>
          <w:marBottom w:val="0"/>
          <w:divBdr>
            <w:top w:val="none" w:sz="0" w:space="0" w:color="auto"/>
            <w:left w:val="none" w:sz="0" w:space="0" w:color="auto"/>
            <w:bottom w:val="none" w:sz="0" w:space="0" w:color="auto"/>
            <w:right w:val="none" w:sz="0" w:space="0" w:color="auto"/>
          </w:divBdr>
        </w:div>
        <w:div w:id="384767400">
          <w:marLeft w:val="907"/>
          <w:marRight w:val="0"/>
          <w:marTop w:val="67"/>
          <w:marBottom w:val="0"/>
          <w:divBdr>
            <w:top w:val="none" w:sz="0" w:space="0" w:color="auto"/>
            <w:left w:val="none" w:sz="0" w:space="0" w:color="auto"/>
            <w:bottom w:val="none" w:sz="0" w:space="0" w:color="auto"/>
            <w:right w:val="none" w:sz="0" w:space="0" w:color="auto"/>
          </w:divBdr>
        </w:div>
        <w:div w:id="1421021275">
          <w:marLeft w:val="360"/>
          <w:marRight w:val="0"/>
          <w:marTop w:val="336"/>
          <w:marBottom w:val="0"/>
          <w:divBdr>
            <w:top w:val="none" w:sz="0" w:space="0" w:color="auto"/>
            <w:left w:val="none" w:sz="0" w:space="0" w:color="auto"/>
            <w:bottom w:val="none" w:sz="0" w:space="0" w:color="auto"/>
            <w:right w:val="none" w:sz="0" w:space="0" w:color="auto"/>
          </w:divBdr>
        </w:div>
        <w:div w:id="1978220720">
          <w:marLeft w:val="907"/>
          <w:marRight w:val="0"/>
          <w:marTop w:val="67"/>
          <w:marBottom w:val="0"/>
          <w:divBdr>
            <w:top w:val="none" w:sz="0" w:space="0" w:color="auto"/>
            <w:left w:val="none" w:sz="0" w:space="0" w:color="auto"/>
            <w:bottom w:val="none" w:sz="0" w:space="0" w:color="auto"/>
            <w:right w:val="none" w:sz="0" w:space="0" w:color="auto"/>
          </w:divBdr>
        </w:div>
        <w:div w:id="1098867812">
          <w:marLeft w:val="907"/>
          <w:marRight w:val="0"/>
          <w:marTop w:val="67"/>
          <w:marBottom w:val="0"/>
          <w:divBdr>
            <w:top w:val="none" w:sz="0" w:space="0" w:color="auto"/>
            <w:left w:val="none" w:sz="0" w:space="0" w:color="auto"/>
            <w:bottom w:val="none" w:sz="0" w:space="0" w:color="auto"/>
            <w:right w:val="none" w:sz="0" w:space="0" w:color="auto"/>
          </w:divBdr>
        </w:div>
        <w:div w:id="121120168">
          <w:marLeft w:val="907"/>
          <w:marRight w:val="0"/>
          <w:marTop w:val="67"/>
          <w:marBottom w:val="0"/>
          <w:divBdr>
            <w:top w:val="none" w:sz="0" w:space="0" w:color="auto"/>
            <w:left w:val="none" w:sz="0" w:space="0" w:color="auto"/>
            <w:bottom w:val="none" w:sz="0" w:space="0" w:color="auto"/>
            <w:right w:val="none" w:sz="0" w:space="0" w:color="auto"/>
          </w:divBdr>
        </w:div>
      </w:divsChild>
    </w:div>
    <w:div w:id="1152403928">
      <w:bodyDiv w:val="1"/>
      <w:marLeft w:val="0"/>
      <w:marRight w:val="0"/>
      <w:marTop w:val="0"/>
      <w:marBottom w:val="0"/>
      <w:divBdr>
        <w:top w:val="none" w:sz="0" w:space="0" w:color="auto"/>
        <w:left w:val="none" w:sz="0" w:space="0" w:color="auto"/>
        <w:bottom w:val="none" w:sz="0" w:space="0" w:color="auto"/>
        <w:right w:val="none" w:sz="0" w:space="0" w:color="auto"/>
      </w:divBdr>
      <w:divsChild>
        <w:div w:id="846409036">
          <w:marLeft w:val="360"/>
          <w:marRight w:val="0"/>
          <w:marTop w:val="0"/>
          <w:marBottom w:val="0"/>
          <w:divBdr>
            <w:top w:val="none" w:sz="0" w:space="0" w:color="auto"/>
            <w:left w:val="none" w:sz="0" w:space="0" w:color="auto"/>
            <w:bottom w:val="none" w:sz="0" w:space="0" w:color="auto"/>
            <w:right w:val="none" w:sz="0" w:space="0" w:color="auto"/>
          </w:divBdr>
        </w:div>
        <w:div w:id="1354458003">
          <w:marLeft w:val="907"/>
          <w:marRight w:val="0"/>
          <w:marTop w:val="0"/>
          <w:marBottom w:val="0"/>
          <w:divBdr>
            <w:top w:val="none" w:sz="0" w:space="0" w:color="auto"/>
            <w:left w:val="none" w:sz="0" w:space="0" w:color="auto"/>
            <w:bottom w:val="none" w:sz="0" w:space="0" w:color="auto"/>
            <w:right w:val="none" w:sz="0" w:space="0" w:color="auto"/>
          </w:divBdr>
        </w:div>
        <w:div w:id="750321772">
          <w:marLeft w:val="907"/>
          <w:marRight w:val="0"/>
          <w:marTop w:val="0"/>
          <w:marBottom w:val="0"/>
          <w:divBdr>
            <w:top w:val="none" w:sz="0" w:space="0" w:color="auto"/>
            <w:left w:val="none" w:sz="0" w:space="0" w:color="auto"/>
            <w:bottom w:val="none" w:sz="0" w:space="0" w:color="auto"/>
            <w:right w:val="none" w:sz="0" w:space="0" w:color="auto"/>
          </w:divBdr>
        </w:div>
        <w:div w:id="674192913">
          <w:marLeft w:val="907"/>
          <w:marRight w:val="0"/>
          <w:marTop w:val="62"/>
          <w:marBottom w:val="0"/>
          <w:divBdr>
            <w:top w:val="none" w:sz="0" w:space="0" w:color="auto"/>
            <w:left w:val="none" w:sz="0" w:space="0" w:color="auto"/>
            <w:bottom w:val="none" w:sz="0" w:space="0" w:color="auto"/>
            <w:right w:val="none" w:sz="0" w:space="0" w:color="auto"/>
          </w:divBdr>
        </w:div>
        <w:div w:id="1388921615">
          <w:marLeft w:val="907"/>
          <w:marRight w:val="0"/>
          <w:marTop w:val="62"/>
          <w:marBottom w:val="0"/>
          <w:divBdr>
            <w:top w:val="none" w:sz="0" w:space="0" w:color="auto"/>
            <w:left w:val="none" w:sz="0" w:space="0" w:color="auto"/>
            <w:bottom w:val="none" w:sz="0" w:space="0" w:color="auto"/>
            <w:right w:val="none" w:sz="0" w:space="0" w:color="auto"/>
          </w:divBdr>
        </w:div>
      </w:divsChild>
    </w:div>
    <w:div w:id="1167135391">
      <w:bodyDiv w:val="1"/>
      <w:marLeft w:val="0"/>
      <w:marRight w:val="0"/>
      <w:marTop w:val="0"/>
      <w:marBottom w:val="0"/>
      <w:divBdr>
        <w:top w:val="none" w:sz="0" w:space="0" w:color="auto"/>
        <w:left w:val="none" w:sz="0" w:space="0" w:color="auto"/>
        <w:bottom w:val="none" w:sz="0" w:space="0" w:color="auto"/>
        <w:right w:val="none" w:sz="0" w:space="0" w:color="auto"/>
      </w:divBdr>
    </w:div>
    <w:div w:id="1241063607">
      <w:bodyDiv w:val="1"/>
      <w:marLeft w:val="0"/>
      <w:marRight w:val="0"/>
      <w:marTop w:val="0"/>
      <w:marBottom w:val="0"/>
      <w:divBdr>
        <w:top w:val="none" w:sz="0" w:space="0" w:color="auto"/>
        <w:left w:val="none" w:sz="0" w:space="0" w:color="auto"/>
        <w:bottom w:val="none" w:sz="0" w:space="0" w:color="auto"/>
        <w:right w:val="none" w:sz="0" w:space="0" w:color="auto"/>
      </w:divBdr>
    </w:div>
    <w:div w:id="1403139860">
      <w:bodyDiv w:val="1"/>
      <w:marLeft w:val="0"/>
      <w:marRight w:val="0"/>
      <w:marTop w:val="0"/>
      <w:marBottom w:val="0"/>
      <w:divBdr>
        <w:top w:val="none" w:sz="0" w:space="0" w:color="auto"/>
        <w:left w:val="none" w:sz="0" w:space="0" w:color="auto"/>
        <w:bottom w:val="none" w:sz="0" w:space="0" w:color="auto"/>
        <w:right w:val="none" w:sz="0" w:space="0" w:color="auto"/>
      </w:divBdr>
    </w:div>
    <w:div w:id="1438333562">
      <w:bodyDiv w:val="1"/>
      <w:marLeft w:val="0"/>
      <w:marRight w:val="0"/>
      <w:marTop w:val="0"/>
      <w:marBottom w:val="0"/>
      <w:divBdr>
        <w:top w:val="none" w:sz="0" w:space="0" w:color="auto"/>
        <w:left w:val="none" w:sz="0" w:space="0" w:color="auto"/>
        <w:bottom w:val="none" w:sz="0" w:space="0" w:color="auto"/>
        <w:right w:val="none" w:sz="0" w:space="0" w:color="auto"/>
      </w:divBdr>
    </w:div>
    <w:div w:id="1461529410">
      <w:bodyDiv w:val="1"/>
      <w:marLeft w:val="0"/>
      <w:marRight w:val="0"/>
      <w:marTop w:val="0"/>
      <w:marBottom w:val="0"/>
      <w:divBdr>
        <w:top w:val="none" w:sz="0" w:space="0" w:color="auto"/>
        <w:left w:val="none" w:sz="0" w:space="0" w:color="auto"/>
        <w:bottom w:val="none" w:sz="0" w:space="0" w:color="auto"/>
        <w:right w:val="none" w:sz="0" w:space="0" w:color="auto"/>
      </w:divBdr>
      <w:divsChild>
        <w:div w:id="1718629234">
          <w:marLeft w:val="360"/>
          <w:marRight w:val="0"/>
          <w:marTop w:val="432"/>
          <w:marBottom w:val="0"/>
          <w:divBdr>
            <w:top w:val="none" w:sz="0" w:space="0" w:color="auto"/>
            <w:left w:val="none" w:sz="0" w:space="0" w:color="auto"/>
            <w:bottom w:val="none" w:sz="0" w:space="0" w:color="auto"/>
            <w:right w:val="none" w:sz="0" w:space="0" w:color="auto"/>
          </w:divBdr>
        </w:div>
        <w:div w:id="1163198909">
          <w:marLeft w:val="922"/>
          <w:marRight w:val="0"/>
          <w:marTop w:val="62"/>
          <w:marBottom w:val="0"/>
          <w:divBdr>
            <w:top w:val="none" w:sz="0" w:space="0" w:color="auto"/>
            <w:left w:val="none" w:sz="0" w:space="0" w:color="auto"/>
            <w:bottom w:val="none" w:sz="0" w:space="0" w:color="auto"/>
            <w:right w:val="none" w:sz="0" w:space="0" w:color="auto"/>
          </w:divBdr>
        </w:div>
        <w:div w:id="1229806122">
          <w:marLeft w:val="922"/>
          <w:marRight w:val="0"/>
          <w:marTop w:val="62"/>
          <w:marBottom w:val="0"/>
          <w:divBdr>
            <w:top w:val="none" w:sz="0" w:space="0" w:color="auto"/>
            <w:left w:val="none" w:sz="0" w:space="0" w:color="auto"/>
            <w:bottom w:val="none" w:sz="0" w:space="0" w:color="auto"/>
            <w:right w:val="none" w:sz="0" w:space="0" w:color="auto"/>
          </w:divBdr>
        </w:div>
        <w:div w:id="427967125">
          <w:marLeft w:val="922"/>
          <w:marRight w:val="0"/>
          <w:marTop w:val="62"/>
          <w:marBottom w:val="0"/>
          <w:divBdr>
            <w:top w:val="none" w:sz="0" w:space="0" w:color="auto"/>
            <w:left w:val="none" w:sz="0" w:space="0" w:color="auto"/>
            <w:bottom w:val="none" w:sz="0" w:space="0" w:color="auto"/>
            <w:right w:val="none" w:sz="0" w:space="0" w:color="auto"/>
          </w:divBdr>
        </w:div>
        <w:div w:id="1480686165">
          <w:marLeft w:val="922"/>
          <w:marRight w:val="0"/>
          <w:marTop w:val="62"/>
          <w:marBottom w:val="0"/>
          <w:divBdr>
            <w:top w:val="none" w:sz="0" w:space="0" w:color="auto"/>
            <w:left w:val="none" w:sz="0" w:space="0" w:color="auto"/>
            <w:bottom w:val="none" w:sz="0" w:space="0" w:color="auto"/>
            <w:right w:val="none" w:sz="0" w:space="0" w:color="auto"/>
          </w:divBdr>
        </w:div>
        <w:div w:id="768355430">
          <w:marLeft w:val="922"/>
          <w:marRight w:val="0"/>
          <w:marTop w:val="62"/>
          <w:marBottom w:val="0"/>
          <w:divBdr>
            <w:top w:val="none" w:sz="0" w:space="0" w:color="auto"/>
            <w:left w:val="none" w:sz="0" w:space="0" w:color="auto"/>
            <w:bottom w:val="none" w:sz="0" w:space="0" w:color="auto"/>
            <w:right w:val="none" w:sz="0" w:space="0" w:color="auto"/>
          </w:divBdr>
        </w:div>
        <w:div w:id="1311251400">
          <w:marLeft w:val="922"/>
          <w:marRight w:val="0"/>
          <w:marTop w:val="62"/>
          <w:marBottom w:val="0"/>
          <w:divBdr>
            <w:top w:val="none" w:sz="0" w:space="0" w:color="auto"/>
            <w:left w:val="none" w:sz="0" w:space="0" w:color="auto"/>
            <w:bottom w:val="none" w:sz="0" w:space="0" w:color="auto"/>
            <w:right w:val="none" w:sz="0" w:space="0" w:color="auto"/>
          </w:divBdr>
        </w:div>
      </w:divsChild>
    </w:div>
    <w:div w:id="1506018381">
      <w:bodyDiv w:val="1"/>
      <w:marLeft w:val="0"/>
      <w:marRight w:val="0"/>
      <w:marTop w:val="0"/>
      <w:marBottom w:val="0"/>
      <w:divBdr>
        <w:top w:val="none" w:sz="0" w:space="0" w:color="auto"/>
        <w:left w:val="none" w:sz="0" w:space="0" w:color="auto"/>
        <w:bottom w:val="none" w:sz="0" w:space="0" w:color="auto"/>
        <w:right w:val="none" w:sz="0" w:space="0" w:color="auto"/>
      </w:divBdr>
      <w:divsChild>
        <w:div w:id="502285449">
          <w:marLeft w:val="907"/>
          <w:marRight w:val="0"/>
          <w:marTop w:val="67"/>
          <w:marBottom w:val="0"/>
          <w:divBdr>
            <w:top w:val="none" w:sz="0" w:space="0" w:color="auto"/>
            <w:left w:val="none" w:sz="0" w:space="0" w:color="auto"/>
            <w:bottom w:val="none" w:sz="0" w:space="0" w:color="auto"/>
            <w:right w:val="none" w:sz="0" w:space="0" w:color="auto"/>
          </w:divBdr>
        </w:div>
      </w:divsChild>
    </w:div>
    <w:div w:id="1607031834">
      <w:bodyDiv w:val="1"/>
      <w:marLeft w:val="0"/>
      <w:marRight w:val="0"/>
      <w:marTop w:val="0"/>
      <w:marBottom w:val="0"/>
      <w:divBdr>
        <w:top w:val="none" w:sz="0" w:space="0" w:color="auto"/>
        <w:left w:val="none" w:sz="0" w:space="0" w:color="auto"/>
        <w:bottom w:val="none" w:sz="0" w:space="0" w:color="auto"/>
        <w:right w:val="none" w:sz="0" w:space="0" w:color="auto"/>
      </w:divBdr>
      <w:divsChild>
        <w:div w:id="975641702">
          <w:marLeft w:val="360"/>
          <w:marRight w:val="0"/>
          <w:marTop w:val="432"/>
          <w:marBottom w:val="0"/>
          <w:divBdr>
            <w:top w:val="none" w:sz="0" w:space="0" w:color="auto"/>
            <w:left w:val="none" w:sz="0" w:space="0" w:color="auto"/>
            <w:bottom w:val="none" w:sz="0" w:space="0" w:color="auto"/>
            <w:right w:val="none" w:sz="0" w:space="0" w:color="auto"/>
          </w:divBdr>
        </w:div>
        <w:div w:id="276063933">
          <w:marLeft w:val="907"/>
          <w:marRight w:val="0"/>
          <w:marTop w:val="67"/>
          <w:marBottom w:val="0"/>
          <w:divBdr>
            <w:top w:val="none" w:sz="0" w:space="0" w:color="auto"/>
            <w:left w:val="none" w:sz="0" w:space="0" w:color="auto"/>
            <w:bottom w:val="none" w:sz="0" w:space="0" w:color="auto"/>
            <w:right w:val="none" w:sz="0" w:space="0" w:color="auto"/>
          </w:divBdr>
        </w:div>
        <w:div w:id="2139758154">
          <w:marLeft w:val="1613"/>
          <w:marRight w:val="0"/>
          <w:marTop w:val="67"/>
          <w:marBottom w:val="0"/>
          <w:divBdr>
            <w:top w:val="none" w:sz="0" w:space="0" w:color="auto"/>
            <w:left w:val="none" w:sz="0" w:space="0" w:color="auto"/>
            <w:bottom w:val="none" w:sz="0" w:space="0" w:color="auto"/>
            <w:right w:val="none" w:sz="0" w:space="0" w:color="auto"/>
          </w:divBdr>
        </w:div>
        <w:div w:id="326330356">
          <w:marLeft w:val="1613"/>
          <w:marRight w:val="0"/>
          <w:marTop w:val="67"/>
          <w:marBottom w:val="0"/>
          <w:divBdr>
            <w:top w:val="none" w:sz="0" w:space="0" w:color="auto"/>
            <w:left w:val="none" w:sz="0" w:space="0" w:color="auto"/>
            <w:bottom w:val="none" w:sz="0" w:space="0" w:color="auto"/>
            <w:right w:val="none" w:sz="0" w:space="0" w:color="auto"/>
          </w:divBdr>
        </w:div>
        <w:div w:id="805582424">
          <w:marLeft w:val="1613"/>
          <w:marRight w:val="0"/>
          <w:marTop w:val="67"/>
          <w:marBottom w:val="0"/>
          <w:divBdr>
            <w:top w:val="none" w:sz="0" w:space="0" w:color="auto"/>
            <w:left w:val="none" w:sz="0" w:space="0" w:color="auto"/>
            <w:bottom w:val="none" w:sz="0" w:space="0" w:color="auto"/>
            <w:right w:val="none" w:sz="0" w:space="0" w:color="auto"/>
          </w:divBdr>
        </w:div>
        <w:div w:id="1396776995">
          <w:marLeft w:val="1080"/>
          <w:marRight w:val="0"/>
          <w:marTop w:val="67"/>
          <w:marBottom w:val="0"/>
          <w:divBdr>
            <w:top w:val="none" w:sz="0" w:space="0" w:color="auto"/>
            <w:left w:val="none" w:sz="0" w:space="0" w:color="auto"/>
            <w:bottom w:val="none" w:sz="0" w:space="0" w:color="auto"/>
            <w:right w:val="none" w:sz="0" w:space="0" w:color="auto"/>
          </w:divBdr>
        </w:div>
        <w:div w:id="1655330858">
          <w:marLeft w:val="1080"/>
          <w:marRight w:val="0"/>
          <w:marTop w:val="67"/>
          <w:marBottom w:val="0"/>
          <w:divBdr>
            <w:top w:val="none" w:sz="0" w:space="0" w:color="auto"/>
            <w:left w:val="none" w:sz="0" w:space="0" w:color="auto"/>
            <w:bottom w:val="none" w:sz="0" w:space="0" w:color="auto"/>
            <w:right w:val="none" w:sz="0" w:space="0" w:color="auto"/>
          </w:divBdr>
        </w:div>
      </w:divsChild>
    </w:div>
    <w:div w:id="1774546082">
      <w:bodyDiv w:val="1"/>
      <w:marLeft w:val="0"/>
      <w:marRight w:val="0"/>
      <w:marTop w:val="0"/>
      <w:marBottom w:val="0"/>
      <w:divBdr>
        <w:top w:val="none" w:sz="0" w:space="0" w:color="auto"/>
        <w:left w:val="none" w:sz="0" w:space="0" w:color="auto"/>
        <w:bottom w:val="none" w:sz="0" w:space="0" w:color="auto"/>
        <w:right w:val="none" w:sz="0" w:space="0" w:color="auto"/>
      </w:divBdr>
      <w:divsChild>
        <w:div w:id="348945659">
          <w:marLeft w:val="360"/>
          <w:marRight w:val="0"/>
          <w:marTop w:val="432"/>
          <w:marBottom w:val="0"/>
          <w:divBdr>
            <w:top w:val="none" w:sz="0" w:space="0" w:color="auto"/>
            <w:left w:val="none" w:sz="0" w:space="0" w:color="auto"/>
            <w:bottom w:val="none" w:sz="0" w:space="0" w:color="auto"/>
            <w:right w:val="none" w:sz="0" w:space="0" w:color="auto"/>
          </w:divBdr>
        </w:div>
        <w:div w:id="1556157851">
          <w:marLeft w:val="1987"/>
          <w:marRight w:val="0"/>
          <w:marTop w:val="86"/>
          <w:marBottom w:val="0"/>
          <w:divBdr>
            <w:top w:val="none" w:sz="0" w:space="0" w:color="auto"/>
            <w:left w:val="none" w:sz="0" w:space="0" w:color="auto"/>
            <w:bottom w:val="none" w:sz="0" w:space="0" w:color="auto"/>
            <w:right w:val="none" w:sz="0" w:space="0" w:color="auto"/>
          </w:divBdr>
        </w:div>
        <w:div w:id="1899247064">
          <w:marLeft w:val="1987"/>
          <w:marRight w:val="0"/>
          <w:marTop w:val="86"/>
          <w:marBottom w:val="0"/>
          <w:divBdr>
            <w:top w:val="none" w:sz="0" w:space="0" w:color="auto"/>
            <w:left w:val="none" w:sz="0" w:space="0" w:color="auto"/>
            <w:bottom w:val="none" w:sz="0" w:space="0" w:color="auto"/>
            <w:right w:val="none" w:sz="0" w:space="0" w:color="auto"/>
          </w:divBdr>
        </w:div>
        <w:div w:id="686834135">
          <w:marLeft w:val="1987"/>
          <w:marRight w:val="0"/>
          <w:marTop w:val="86"/>
          <w:marBottom w:val="0"/>
          <w:divBdr>
            <w:top w:val="none" w:sz="0" w:space="0" w:color="auto"/>
            <w:left w:val="none" w:sz="0" w:space="0" w:color="auto"/>
            <w:bottom w:val="none" w:sz="0" w:space="0" w:color="auto"/>
            <w:right w:val="none" w:sz="0" w:space="0" w:color="auto"/>
          </w:divBdr>
        </w:div>
        <w:div w:id="1743915985">
          <w:marLeft w:val="1987"/>
          <w:marRight w:val="0"/>
          <w:marTop w:val="86"/>
          <w:marBottom w:val="0"/>
          <w:divBdr>
            <w:top w:val="none" w:sz="0" w:space="0" w:color="auto"/>
            <w:left w:val="none" w:sz="0" w:space="0" w:color="auto"/>
            <w:bottom w:val="none" w:sz="0" w:space="0" w:color="auto"/>
            <w:right w:val="none" w:sz="0" w:space="0" w:color="auto"/>
          </w:divBdr>
        </w:div>
        <w:div w:id="1613510423">
          <w:marLeft w:val="1987"/>
          <w:marRight w:val="0"/>
          <w:marTop w:val="86"/>
          <w:marBottom w:val="0"/>
          <w:divBdr>
            <w:top w:val="none" w:sz="0" w:space="0" w:color="auto"/>
            <w:left w:val="none" w:sz="0" w:space="0" w:color="auto"/>
            <w:bottom w:val="none" w:sz="0" w:space="0" w:color="auto"/>
            <w:right w:val="none" w:sz="0" w:space="0" w:color="auto"/>
          </w:divBdr>
        </w:div>
        <w:div w:id="2094472047">
          <w:marLeft w:val="360"/>
          <w:marRight w:val="0"/>
          <w:marTop w:val="120"/>
          <w:marBottom w:val="0"/>
          <w:divBdr>
            <w:top w:val="none" w:sz="0" w:space="0" w:color="auto"/>
            <w:left w:val="none" w:sz="0" w:space="0" w:color="auto"/>
            <w:bottom w:val="none" w:sz="0" w:space="0" w:color="auto"/>
            <w:right w:val="none" w:sz="0" w:space="0" w:color="auto"/>
          </w:divBdr>
        </w:div>
        <w:div w:id="254634564">
          <w:marLeft w:val="360"/>
          <w:marRight w:val="0"/>
          <w:marTop w:val="120"/>
          <w:marBottom w:val="0"/>
          <w:divBdr>
            <w:top w:val="none" w:sz="0" w:space="0" w:color="auto"/>
            <w:left w:val="none" w:sz="0" w:space="0" w:color="auto"/>
            <w:bottom w:val="none" w:sz="0" w:space="0" w:color="auto"/>
            <w:right w:val="none" w:sz="0" w:space="0" w:color="auto"/>
          </w:divBdr>
        </w:div>
      </w:divsChild>
    </w:div>
    <w:div w:id="1780877846">
      <w:bodyDiv w:val="1"/>
      <w:marLeft w:val="0"/>
      <w:marRight w:val="0"/>
      <w:marTop w:val="0"/>
      <w:marBottom w:val="0"/>
      <w:divBdr>
        <w:top w:val="none" w:sz="0" w:space="0" w:color="auto"/>
        <w:left w:val="none" w:sz="0" w:space="0" w:color="auto"/>
        <w:bottom w:val="none" w:sz="0" w:space="0" w:color="auto"/>
        <w:right w:val="none" w:sz="0" w:space="0" w:color="auto"/>
      </w:divBdr>
    </w:div>
    <w:div w:id="1826242323">
      <w:bodyDiv w:val="1"/>
      <w:marLeft w:val="0"/>
      <w:marRight w:val="0"/>
      <w:marTop w:val="0"/>
      <w:marBottom w:val="0"/>
      <w:divBdr>
        <w:top w:val="none" w:sz="0" w:space="0" w:color="auto"/>
        <w:left w:val="none" w:sz="0" w:space="0" w:color="auto"/>
        <w:bottom w:val="none" w:sz="0" w:space="0" w:color="auto"/>
        <w:right w:val="none" w:sz="0" w:space="0" w:color="auto"/>
      </w:divBdr>
    </w:div>
    <w:div w:id="1985309397">
      <w:bodyDiv w:val="1"/>
      <w:marLeft w:val="0"/>
      <w:marRight w:val="0"/>
      <w:marTop w:val="0"/>
      <w:marBottom w:val="0"/>
      <w:divBdr>
        <w:top w:val="none" w:sz="0" w:space="0" w:color="auto"/>
        <w:left w:val="none" w:sz="0" w:space="0" w:color="auto"/>
        <w:bottom w:val="none" w:sz="0" w:space="0" w:color="auto"/>
        <w:right w:val="none" w:sz="0" w:space="0" w:color="auto"/>
      </w:divBdr>
      <w:divsChild>
        <w:div w:id="1689941036">
          <w:marLeft w:val="360"/>
          <w:marRight w:val="0"/>
          <w:marTop w:val="384"/>
          <w:marBottom w:val="0"/>
          <w:divBdr>
            <w:top w:val="none" w:sz="0" w:space="0" w:color="auto"/>
            <w:left w:val="none" w:sz="0" w:space="0" w:color="auto"/>
            <w:bottom w:val="none" w:sz="0" w:space="0" w:color="auto"/>
            <w:right w:val="none" w:sz="0" w:space="0" w:color="auto"/>
          </w:divBdr>
        </w:div>
        <w:div w:id="1656689035">
          <w:marLeft w:val="907"/>
          <w:marRight w:val="0"/>
          <w:marTop w:val="77"/>
          <w:marBottom w:val="0"/>
          <w:divBdr>
            <w:top w:val="none" w:sz="0" w:space="0" w:color="auto"/>
            <w:left w:val="none" w:sz="0" w:space="0" w:color="auto"/>
            <w:bottom w:val="none" w:sz="0" w:space="0" w:color="auto"/>
            <w:right w:val="none" w:sz="0" w:space="0" w:color="auto"/>
          </w:divBdr>
        </w:div>
        <w:div w:id="128404408">
          <w:marLeft w:val="1440"/>
          <w:marRight w:val="0"/>
          <w:marTop w:val="77"/>
          <w:marBottom w:val="0"/>
          <w:divBdr>
            <w:top w:val="none" w:sz="0" w:space="0" w:color="auto"/>
            <w:left w:val="none" w:sz="0" w:space="0" w:color="auto"/>
            <w:bottom w:val="none" w:sz="0" w:space="0" w:color="auto"/>
            <w:right w:val="none" w:sz="0" w:space="0" w:color="auto"/>
          </w:divBdr>
        </w:div>
        <w:div w:id="1950506450">
          <w:marLeft w:val="907"/>
          <w:marRight w:val="0"/>
          <w:marTop w:val="77"/>
          <w:marBottom w:val="0"/>
          <w:divBdr>
            <w:top w:val="none" w:sz="0" w:space="0" w:color="auto"/>
            <w:left w:val="none" w:sz="0" w:space="0" w:color="auto"/>
            <w:bottom w:val="none" w:sz="0" w:space="0" w:color="auto"/>
            <w:right w:val="none" w:sz="0" w:space="0" w:color="auto"/>
          </w:divBdr>
        </w:div>
        <w:div w:id="1447195629">
          <w:marLeft w:val="1440"/>
          <w:marRight w:val="0"/>
          <w:marTop w:val="77"/>
          <w:marBottom w:val="0"/>
          <w:divBdr>
            <w:top w:val="none" w:sz="0" w:space="0" w:color="auto"/>
            <w:left w:val="none" w:sz="0" w:space="0" w:color="auto"/>
            <w:bottom w:val="none" w:sz="0" w:space="0" w:color="auto"/>
            <w:right w:val="none" w:sz="0" w:space="0" w:color="auto"/>
          </w:divBdr>
        </w:div>
        <w:div w:id="2046827349">
          <w:marLeft w:val="907"/>
          <w:marRight w:val="0"/>
          <w:marTop w:val="77"/>
          <w:marBottom w:val="0"/>
          <w:divBdr>
            <w:top w:val="none" w:sz="0" w:space="0" w:color="auto"/>
            <w:left w:val="none" w:sz="0" w:space="0" w:color="auto"/>
            <w:bottom w:val="none" w:sz="0" w:space="0" w:color="auto"/>
            <w:right w:val="none" w:sz="0" w:space="0" w:color="auto"/>
          </w:divBdr>
        </w:div>
        <w:div w:id="506868249">
          <w:marLeft w:val="1440"/>
          <w:marRight w:val="0"/>
          <w:marTop w:val="77"/>
          <w:marBottom w:val="0"/>
          <w:divBdr>
            <w:top w:val="none" w:sz="0" w:space="0" w:color="auto"/>
            <w:left w:val="none" w:sz="0" w:space="0" w:color="auto"/>
            <w:bottom w:val="none" w:sz="0" w:space="0" w:color="auto"/>
            <w:right w:val="none" w:sz="0" w:space="0" w:color="auto"/>
          </w:divBdr>
        </w:div>
      </w:divsChild>
    </w:div>
    <w:div w:id="2016028172">
      <w:bodyDiv w:val="1"/>
      <w:marLeft w:val="0"/>
      <w:marRight w:val="0"/>
      <w:marTop w:val="0"/>
      <w:marBottom w:val="0"/>
      <w:divBdr>
        <w:top w:val="none" w:sz="0" w:space="0" w:color="auto"/>
        <w:left w:val="none" w:sz="0" w:space="0" w:color="auto"/>
        <w:bottom w:val="none" w:sz="0" w:space="0" w:color="auto"/>
        <w:right w:val="none" w:sz="0" w:space="0" w:color="auto"/>
      </w:divBdr>
      <w:divsChild>
        <w:div w:id="419987131">
          <w:marLeft w:val="360"/>
          <w:marRight w:val="0"/>
          <w:marTop w:val="0"/>
          <w:marBottom w:val="0"/>
          <w:divBdr>
            <w:top w:val="none" w:sz="0" w:space="0" w:color="auto"/>
            <w:left w:val="none" w:sz="0" w:space="0" w:color="auto"/>
            <w:bottom w:val="none" w:sz="0" w:space="0" w:color="auto"/>
            <w:right w:val="none" w:sz="0" w:space="0" w:color="auto"/>
          </w:divBdr>
        </w:div>
        <w:div w:id="369033456">
          <w:marLeft w:val="907"/>
          <w:marRight w:val="0"/>
          <w:marTop w:val="0"/>
          <w:marBottom w:val="0"/>
          <w:divBdr>
            <w:top w:val="none" w:sz="0" w:space="0" w:color="auto"/>
            <w:left w:val="none" w:sz="0" w:space="0" w:color="auto"/>
            <w:bottom w:val="none" w:sz="0" w:space="0" w:color="auto"/>
            <w:right w:val="none" w:sz="0" w:space="0" w:color="auto"/>
          </w:divBdr>
        </w:div>
        <w:div w:id="197552971">
          <w:marLeft w:val="907"/>
          <w:marRight w:val="0"/>
          <w:marTop w:val="0"/>
          <w:marBottom w:val="0"/>
          <w:divBdr>
            <w:top w:val="none" w:sz="0" w:space="0" w:color="auto"/>
            <w:left w:val="none" w:sz="0" w:space="0" w:color="auto"/>
            <w:bottom w:val="none" w:sz="0" w:space="0" w:color="auto"/>
            <w:right w:val="none" w:sz="0" w:space="0" w:color="auto"/>
          </w:divBdr>
        </w:div>
        <w:div w:id="1301809459">
          <w:marLeft w:val="907"/>
          <w:marRight w:val="0"/>
          <w:marTop w:val="0"/>
          <w:marBottom w:val="0"/>
          <w:divBdr>
            <w:top w:val="none" w:sz="0" w:space="0" w:color="auto"/>
            <w:left w:val="none" w:sz="0" w:space="0" w:color="auto"/>
            <w:bottom w:val="none" w:sz="0" w:space="0" w:color="auto"/>
            <w:right w:val="none" w:sz="0" w:space="0" w:color="auto"/>
          </w:divBdr>
        </w:div>
        <w:div w:id="2065175584">
          <w:marLeft w:val="907"/>
          <w:marRight w:val="0"/>
          <w:marTop w:val="0"/>
          <w:marBottom w:val="0"/>
          <w:divBdr>
            <w:top w:val="none" w:sz="0" w:space="0" w:color="auto"/>
            <w:left w:val="none" w:sz="0" w:space="0" w:color="auto"/>
            <w:bottom w:val="none" w:sz="0" w:space="0" w:color="auto"/>
            <w:right w:val="none" w:sz="0" w:space="0" w:color="auto"/>
          </w:divBdr>
        </w:div>
        <w:div w:id="188031601">
          <w:marLeft w:val="907"/>
          <w:marRight w:val="0"/>
          <w:marTop w:val="0"/>
          <w:marBottom w:val="0"/>
          <w:divBdr>
            <w:top w:val="none" w:sz="0" w:space="0" w:color="auto"/>
            <w:left w:val="none" w:sz="0" w:space="0" w:color="auto"/>
            <w:bottom w:val="none" w:sz="0" w:space="0" w:color="auto"/>
            <w:right w:val="none" w:sz="0" w:space="0" w:color="auto"/>
          </w:divBdr>
        </w:div>
        <w:div w:id="1409381889">
          <w:marLeft w:val="907"/>
          <w:marRight w:val="0"/>
          <w:marTop w:val="0"/>
          <w:marBottom w:val="0"/>
          <w:divBdr>
            <w:top w:val="none" w:sz="0" w:space="0" w:color="auto"/>
            <w:left w:val="none" w:sz="0" w:space="0" w:color="auto"/>
            <w:bottom w:val="none" w:sz="0" w:space="0" w:color="auto"/>
            <w:right w:val="none" w:sz="0" w:space="0" w:color="auto"/>
          </w:divBdr>
        </w:div>
        <w:div w:id="1092317582">
          <w:marLeft w:val="907"/>
          <w:marRight w:val="0"/>
          <w:marTop w:val="0"/>
          <w:marBottom w:val="0"/>
          <w:divBdr>
            <w:top w:val="none" w:sz="0" w:space="0" w:color="auto"/>
            <w:left w:val="none" w:sz="0" w:space="0" w:color="auto"/>
            <w:bottom w:val="none" w:sz="0" w:space="0" w:color="auto"/>
            <w:right w:val="none" w:sz="0" w:space="0" w:color="auto"/>
          </w:divBdr>
        </w:div>
      </w:divsChild>
    </w:div>
    <w:div w:id="2025128337">
      <w:bodyDiv w:val="1"/>
      <w:marLeft w:val="0"/>
      <w:marRight w:val="0"/>
      <w:marTop w:val="0"/>
      <w:marBottom w:val="0"/>
      <w:divBdr>
        <w:top w:val="none" w:sz="0" w:space="0" w:color="auto"/>
        <w:left w:val="none" w:sz="0" w:space="0" w:color="auto"/>
        <w:bottom w:val="none" w:sz="0" w:space="0" w:color="auto"/>
        <w:right w:val="none" w:sz="0" w:space="0" w:color="auto"/>
      </w:divBdr>
    </w:div>
    <w:div w:id="2038001158">
      <w:bodyDiv w:val="1"/>
      <w:marLeft w:val="0"/>
      <w:marRight w:val="0"/>
      <w:marTop w:val="0"/>
      <w:marBottom w:val="0"/>
      <w:divBdr>
        <w:top w:val="none" w:sz="0" w:space="0" w:color="auto"/>
        <w:left w:val="none" w:sz="0" w:space="0" w:color="auto"/>
        <w:bottom w:val="none" w:sz="0" w:space="0" w:color="auto"/>
        <w:right w:val="none" w:sz="0" w:space="0" w:color="auto"/>
      </w:divBdr>
      <w:divsChild>
        <w:div w:id="1326982127">
          <w:marLeft w:val="720"/>
          <w:marRight w:val="0"/>
          <w:marTop w:val="432"/>
          <w:marBottom w:val="0"/>
          <w:divBdr>
            <w:top w:val="none" w:sz="0" w:space="0" w:color="auto"/>
            <w:left w:val="none" w:sz="0" w:space="0" w:color="auto"/>
            <w:bottom w:val="none" w:sz="0" w:space="0" w:color="auto"/>
            <w:right w:val="none" w:sz="0" w:space="0" w:color="auto"/>
          </w:divBdr>
        </w:div>
        <w:div w:id="554659066">
          <w:marLeft w:val="720"/>
          <w:marRight w:val="0"/>
          <w:marTop w:val="432"/>
          <w:marBottom w:val="0"/>
          <w:divBdr>
            <w:top w:val="none" w:sz="0" w:space="0" w:color="auto"/>
            <w:left w:val="none" w:sz="0" w:space="0" w:color="auto"/>
            <w:bottom w:val="none" w:sz="0" w:space="0" w:color="auto"/>
            <w:right w:val="none" w:sz="0" w:space="0" w:color="auto"/>
          </w:divBdr>
        </w:div>
        <w:div w:id="1537766071">
          <w:marLeft w:val="720"/>
          <w:marRight w:val="0"/>
          <w:marTop w:val="432"/>
          <w:marBottom w:val="0"/>
          <w:divBdr>
            <w:top w:val="none" w:sz="0" w:space="0" w:color="auto"/>
            <w:left w:val="none" w:sz="0" w:space="0" w:color="auto"/>
            <w:bottom w:val="none" w:sz="0" w:space="0" w:color="auto"/>
            <w:right w:val="none" w:sz="0" w:space="0" w:color="auto"/>
          </w:divBdr>
        </w:div>
      </w:divsChild>
    </w:div>
    <w:div w:id="2101634354">
      <w:bodyDiv w:val="1"/>
      <w:marLeft w:val="0"/>
      <w:marRight w:val="0"/>
      <w:marTop w:val="0"/>
      <w:marBottom w:val="0"/>
      <w:divBdr>
        <w:top w:val="none" w:sz="0" w:space="0" w:color="auto"/>
        <w:left w:val="none" w:sz="0" w:space="0" w:color="auto"/>
        <w:bottom w:val="none" w:sz="0" w:space="0" w:color="auto"/>
        <w:right w:val="none" w:sz="0" w:space="0" w:color="auto"/>
      </w:divBdr>
      <w:divsChild>
        <w:div w:id="1513303940">
          <w:marLeft w:val="360"/>
          <w:marRight w:val="0"/>
          <w:marTop w:val="384"/>
          <w:marBottom w:val="0"/>
          <w:divBdr>
            <w:top w:val="none" w:sz="0" w:space="0" w:color="auto"/>
            <w:left w:val="none" w:sz="0" w:space="0" w:color="auto"/>
            <w:bottom w:val="none" w:sz="0" w:space="0" w:color="auto"/>
            <w:right w:val="none" w:sz="0" w:space="0" w:color="auto"/>
          </w:divBdr>
        </w:div>
        <w:div w:id="2038579926">
          <w:marLeft w:val="907"/>
          <w:marRight w:val="0"/>
          <w:marTop w:val="62"/>
          <w:marBottom w:val="0"/>
          <w:divBdr>
            <w:top w:val="none" w:sz="0" w:space="0" w:color="auto"/>
            <w:left w:val="none" w:sz="0" w:space="0" w:color="auto"/>
            <w:bottom w:val="none" w:sz="0" w:space="0" w:color="auto"/>
            <w:right w:val="none" w:sz="0" w:space="0" w:color="auto"/>
          </w:divBdr>
        </w:div>
        <w:div w:id="905265673">
          <w:marLeft w:val="1627"/>
          <w:marRight w:val="0"/>
          <w:marTop w:val="62"/>
          <w:marBottom w:val="0"/>
          <w:divBdr>
            <w:top w:val="none" w:sz="0" w:space="0" w:color="auto"/>
            <w:left w:val="none" w:sz="0" w:space="0" w:color="auto"/>
            <w:bottom w:val="none" w:sz="0" w:space="0" w:color="auto"/>
            <w:right w:val="none" w:sz="0" w:space="0" w:color="auto"/>
          </w:divBdr>
        </w:div>
        <w:div w:id="1970087500">
          <w:marLeft w:val="1627"/>
          <w:marRight w:val="0"/>
          <w:marTop w:val="62"/>
          <w:marBottom w:val="0"/>
          <w:divBdr>
            <w:top w:val="none" w:sz="0" w:space="0" w:color="auto"/>
            <w:left w:val="none" w:sz="0" w:space="0" w:color="auto"/>
            <w:bottom w:val="none" w:sz="0" w:space="0" w:color="auto"/>
            <w:right w:val="none" w:sz="0" w:space="0" w:color="auto"/>
          </w:divBdr>
        </w:div>
        <w:div w:id="905607910">
          <w:marLeft w:val="907"/>
          <w:marRight w:val="0"/>
          <w:marTop w:val="62"/>
          <w:marBottom w:val="0"/>
          <w:divBdr>
            <w:top w:val="none" w:sz="0" w:space="0" w:color="auto"/>
            <w:left w:val="none" w:sz="0" w:space="0" w:color="auto"/>
            <w:bottom w:val="none" w:sz="0" w:space="0" w:color="auto"/>
            <w:right w:val="none" w:sz="0" w:space="0" w:color="auto"/>
          </w:divBdr>
        </w:div>
        <w:div w:id="1795172139">
          <w:marLeft w:val="1627"/>
          <w:marRight w:val="0"/>
          <w:marTop w:val="62"/>
          <w:marBottom w:val="0"/>
          <w:divBdr>
            <w:top w:val="none" w:sz="0" w:space="0" w:color="auto"/>
            <w:left w:val="none" w:sz="0" w:space="0" w:color="auto"/>
            <w:bottom w:val="none" w:sz="0" w:space="0" w:color="auto"/>
            <w:right w:val="none" w:sz="0" w:space="0" w:color="auto"/>
          </w:divBdr>
        </w:div>
        <w:div w:id="534319231">
          <w:marLeft w:val="1627"/>
          <w:marRight w:val="0"/>
          <w:marTop w:val="62"/>
          <w:marBottom w:val="0"/>
          <w:divBdr>
            <w:top w:val="none" w:sz="0" w:space="0" w:color="auto"/>
            <w:left w:val="none" w:sz="0" w:space="0" w:color="auto"/>
            <w:bottom w:val="none" w:sz="0" w:space="0" w:color="auto"/>
            <w:right w:val="none" w:sz="0" w:space="0" w:color="auto"/>
          </w:divBdr>
        </w:div>
        <w:div w:id="1711151874">
          <w:marLeft w:val="1627"/>
          <w:marRight w:val="0"/>
          <w:marTop w:val="62"/>
          <w:marBottom w:val="0"/>
          <w:divBdr>
            <w:top w:val="none" w:sz="0" w:space="0" w:color="auto"/>
            <w:left w:val="none" w:sz="0" w:space="0" w:color="auto"/>
            <w:bottom w:val="none" w:sz="0" w:space="0" w:color="auto"/>
            <w:right w:val="none" w:sz="0" w:space="0" w:color="auto"/>
          </w:divBdr>
        </w:div>
        <w:div w:id="1050806280">
          <w:marLeft w:val="1627"/>
          <w:marRight w:val="0"/>
          <w:marTop w:val="62"/>
          <w:marBottom w:val="0"/>
          <w:divBdr>
            <w:top w:val="none" w:sz="0" w:space="0" w:color="auto"/>
            <w:left w:val="none" w:sz="0" w:space="0" w:color="auto"/>
            <w:bottom w:val="none" w:sz="0" w:space="0" w:color="auto"/>
            <w:right w:val="none" w:sz="0" w:space="0" w:color="auto"/>
          </w:divBdr>
        </w:div>
        <w:div w:id="867137918">
          <w:marLeft w:val="1627"/>
          <w:marRight w:val="0"/>
          <w:marTop w:val="6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18</Pages>
  <Words>5074</Words>
  <Characters>28927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33934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2016-03-22T20:17:00Z</dcterms:created>
  <dc:creator>EEC,</dc:creator>
  <lastModifiedBy>EEC,</lastModifiedBy>
  <dcterms:modified xsi:type="dcterms:W3CDTF">2016-03-22T20:44:00Z</dcterms:modified>
  <revision>1</revision>
</coreProperties>
</file>