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E2B" w:rsidRDefault="007C6C19" w:rsidP="007C6C19">
      <w:pPr>
        <w:jc w:val="center"/>
        <w:rPr>
          <w:rFonts w:ascii="Times New Roman" w:hAnsi="Times New Roman" w:cs="Times New Roman"/>
          <w:b/>
        </w:rPr>
      </w:pPr>
      <w:r>
        <w:rPr>
          <w:rFonts w:ascii="Times New Roman" w:hAnsi="Times New Roman" w:cs="Times New Roman"/>
          <w:b/>
        </w:rPr>
        <w:t>Attachment B</w:t>
      </w:r>
    </w:p>
    <w:p w:rsidR="007C6C19" w:rsidRDefault="007C6C19" w:rsidP="007C6C19">
      <w:pPr>
        <w:jc w:val="center"/>
        <w:rPr>
          <w:rFonts w:ascii="Times New Roman" w:hAnsi="Times New Roman" w:cs="Times New Roman"/>
          <w:b/>
        </w:rPr>
      </w:pPr>
      <w:r>
        <w:rPr>
          <w:rFonts w:ascii="Times New Roman" w:hAnsi="Times New Roman" w:cs="Times New Roman"/>
          <w:b/>
        </w:rPr>
        <w:t>FY18 Budget</w:t>
      </w:r>
    </w:p>
    <w:p w:rsidR="007C6C19" w:rsidRDefault="007C6C19" w:rsidP="007C6C19">
      <w:pPr>
        <w:jc w:val="center"/>
        <w:rPr>
          <w:rFonts w:ascii="Times New Roman" w:hAnsi="Times New Roman" w:cs="Times New Roman"/>
          <w:b/>
        </w:rPr>
      </w:pPr>
      <w:r>
        <w:rPr>
          <w:rFonts w:ascii="Times New Roman" w:hAnsi="Times New Roman" w:cs="Times New Roman"/>
          <w:b/>
        </w:rPr>
        <w:t>Veto Items:  Outside Sections</w:t>
      </w:r>
    </w:p>
    <w:p w:rsidR="007C6C19" w:rsidRDefault="007C6C19" w:rsidP="007C6C19">
      <w:pPr>
        <w:rPr>
          <w:rFonts w:ascii="Times New Roman" w:hAnsi="Times New Roman" w:cs="Times New Roman"/>
        </w:rPr>
      </w:pPr>
    </w:p>
    <w:p w:rsidR="007C6C19" w:rsidRDefault="007C6C19" w:rsidP="007C6C19">
      <w:pPr>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7C6C19" w:rsidTr="007C6C19">
        <w:trPr>
          <w:cantSplit/>
          <w:tblHeader/>
        </w:trPr>
        <w:tc>
          <w:tcPr>
            <w:tcW w:w="0" w:type="auto"/>
            <w:shd w:val="clear" w:color="auto" w:fill="auto"/>
          </w:tcPr>
          <w:p w:rsidR="007C6C19" w:rsidRPr="007C6C19" w:rsidRDefault="007C6C19" w:rsidP="007C6C19">
            <w:pPr>
              <w:rPr>
                <w:rFonts w:ascii="Times New Roman" w:hAnsi="Times New Roman" w:cs="Times New Roman"/>
              </w:rPr>
            </w:pPr>
            <w:r>
              <w:rPr>
                <w:rFonts w:ascii="Times New Roman" w:hAnsi="Times New Roman" w:cs="Times New Roman"/>
                <w:b/>
              </w:rPr>
              <w:t xml:space="preserve"> </w:t>
            </w:r>
          </w:p>
        </w:tc>
      </w:tr>
      <w:tr w:rsidR="007C6C19" w:rsidTr="007C6C19">
        <w:trPr>
          <w:cantSplit/>
        </w:trPr>
        <w:tc>
          <w:tcPr>
            <w:tcW w:w="0" w:type="auto"/>
            <w:shd w:val="clear" w:color="auto" w:fill="auto"/>
          </w:tcPr>
          <w:p w:rsidR="007C6C19" w:rsidRDefault="007C6C19" w:rsidP="007C6C19">
            <w:pPr>
              <w:rPr>
                <w:rFonts w:ascii="Times New Roman" w:hAnsi="Times New Roman" w:cs="Times New Roman"/>
              </w:rPr>
            </w:pPr>
          </w:p>
        </w:tc>
      </w:tr>
      <w:tr w:rsidR="007C6C19" w:rsidTr="007C6C19">
        <w:trPr>
          <w:cantSplit/>
        </w:trPr>
        <w:tc>
          <w:tcPr>
            <w:tcW w:w="0" w:type="auto"/>
            <w:shd w:val="clear" w:color="auto" w:fill="auto"/>
          </w:tcPr>
          <w:p w:rsidR="007C6C19" w:rsidRDefault="007C6C19" w:rsidP="007C6C19">
            <w:pPr>
              <w:rPr>
                <w:rFonts w:ascii="Times New Roman" w:hAnsi="Times New Roman" w:cs="Times New Roman"/>
              </w:rPr>
            </w:pPr>
          </w:p>
          <w:p w:rsidR="007C6C19" w:rsidRDefault="007C6C19" w:rsidP="007C6C19">
            <w:pPr>
              <w:rPr>
                <w:rFonts w:ascii="Times New Roman" w:hAnsi="Times New Roman" w:cs="Times New Roman"/>
              </w:rPr>
            </w:pPr>
            <w:r>
              <w:rPr>
                <w:rFonts w:ascii="Times New Roman" w:hAnsi="Times New Roman" w:cs="Times New Roman"/>
              </w:rPr>
              <w:t>Driver School License 1</w:t>
            </w:r>
          </w:p>
          <w:p w:rsidR="007C6C19" w:rsidRDefault="007C6C19" w:rsidP="007C6C19">
            <w:pPr>
              <w:rPr>
                <w:rFonts w:ascii="Times New Roman" w:hAnsi="Times New Roman" w:cs="Times New Roman"/>
              </w:rPr>
            </w:pPr>
          </w:p>
          <w:p w:rsidR="007C6C19" w:rsidRDefault="007C6C19" w:rsidP="007C6C19">
            <w:pPr>
              <w:rPr>
                <w:rFonts w:ascii="Times New Roman" w:hAnsi="Times New Roman" w:cs="Times New Roman"/>
              </w:rPr>
            </w:pPr>
            <w:r>
              <w:rPr>
                <w:rFonts w:ascii="Times New Roman" w:hAnsi="Times New Roman" w:cs="Times New Roman"/>
              </w:rPr>
              <w:t>Section 40</w:t>
            </w:r>
          </w:p>
          <w:p w:rsidR="007C6C19" w:rsidRDefault="007C6C19" w:rsidP="007C6C19">
            <w:pPr>
              <w:rPr>
                <w:rFonts w:ascii="Times New Roman" w:hAnsi="Times New Roman" w:cs="Times New Roman"/>
              </w:rPr>
            </w:pPr>
          </w:p>
          <w:p w:rsidR="007C6C19" w:rsidRDefault="007C6C19" w:rsidP="007C6C19">
            <w:pPr>
              <w:rPr>
                <w:rFonts w:ascii="Times New Roman" w:hAnsi="Times New Roman" w:cs="Times New Roman"/>
              </w:rPr>
            </w:pPr>
            <w:r>
              <w:rPr>
                <w:rFonts w:ascii="Times New Roman" w:hAnsi="Times New Roman" w:cs="Times New Roman"/>
              </w:rPr>
              <w:t xml:space="preserve">I am vetoing this section, and related sections 41, 42, and 72, because they unnecessarily open the drivers' education market to quasi-public, government-subsidized entities that would compete with existing small businesses.  </w:t>
            </w:r>
          </w:p>
          <w:p w:rsidR="007C6C19" w:rsidRDefault="007C6C19" w:rsidP="007C6C19">
            <w:pPr>
              <w:rPr>
                <w:rFonts w:ascii="Times New Roman" w:hAnsi="Times New Roman" w:cs="Times New Roman"/>
              </w:rPr>
            </w:pPr>
          </w:p>
        </w:tc>
      </w:tr>
      <w:tr w:rsidR="007C6C19" w:rsidTr="007C6C19">
        <w:trPr>
          <w:cantSplit/>
        </w:trPr>
        <w:tc>
          <w:tcPr>
            <w:tcW w:w="0" w:type="auto"/>
            <w:shd w:val="clear" w:color="auto" w:fill="auto"/>
          </w:tcPr>
          <w:p w:rsidR="007C6C19" w:rsidRDefault="007C6C19" w:rsidP="007C6C19">
            <w:pPr>
              <w:rPr>
                <w:rFonts w:ascii="Times New Roman" w:hAnsi="Times New Roman" w:cs="Times New Roman"/>
              </w:rPr>
            </w:pPr>
          </w:p>
          <w:p w:rsidR="007C6C19" w:rsidRDefault="007C6C19" w:rsidP="007C6C19">
            <w:pPr>
              <w:rPr>
                <w:rFonts w:ascii="Times New Roman" w:hAnsi="Times New Roman" w:cs="Times New Roman"/>
              </w:rPr>
            </w:pPr>
            <w:r>
              <w:rPr>
                <w:rFonts w:ascii="Times New Roman" w:hAnsi="Times New Roman" w:cs="Times New Roman"/>
              </w:rPr>
              <w:t>Driver School License 2</w:t>
            </w:r>
          </w:p>
          <w:p w:rsidR="007C6C19" w:rsidRDefault="007C6C19" w:rsidP="007C6C19">
            <w:pPr>
              <w:rPr>
                <w:rFonts w:ascii="Times New Roman" w:hAnsi="Times New Roman" w:cs="Times New Roman"/>
              </w:rPr>
            </w:pPr>
          </w:p>
          <w:p w:rsidR="007C6C19" w:rsidRDefault="007C6C19" w:rsidP="007C6C19">
            <w:pPr>
              <w:rPr>
                <w:rFonts w:ascii="Times New Roman" w:hAnsi="Times New Roman" w:cs="Times New Roman"/>
              </w:rPr>
            </w:pPr>
            <w:r>
              <w:rPr>
                <w:rFonts w:ascii="Times New Roman" w:hAnsi="Times New Roman" w:cs="Times New Roman"/>
              </w:rPr>
              <w:t>Section 41</w:t>
            </w:r>
          </w:p>
          <w:p w:rsidR="007C6C19" w:rsidRDefault="007C6C19" w:rsidP="007C6C19">
            <w:pPr>
              <w:rPr>
                <w:rFonts w:ascii="Times New Roman" w:hAnsi="Times New Roman" w:cs="Times New Roman"/>
              </w:rPr>
            </w:pPr>
          </w:p>
          <w:p w:rsidR="007C6C19" w:rsidRDefault="007C6C19" w:rsidP="007C6C19">
            <w:pPr>
              <w:rPr>
                <w:rFonts w:ascii="Times New Roman" w:hAnsi="Times New Roman" w:cs="Times New Roman"/>
              </w:rPr>
            </w:pPr>
            <w:r>
              <w:rPr>
                <w:rFonts w:ascii="Times New Roman" w:hAnsi="Times New Roman" w:cs="Times New Roman"/>
              </w:rPr>
              <w:t xml:space="preserve">I am vetoing this section, and related sections 40, 42, and 72, because they unnecessarily open the drivers' education market to quasi-public, government-subsidized entities that would compete with existing small businesses.  </w:t>
            </w:r>
          </w:p>
          <w:p w:rsidR="007C6C19" w:rsidRDefault="007C6C19" w:rsidP="007C6C19">
            <w:pPr>
              <w:rPr>
                <w:rFonts w:ascii="Times New Roman" w:hAnsi="Times New Roman" w:cs="Times New Roman"/>
              </w:rPr>
            </w:pPr>
          </w:p>
        </w:tc>
      </w:tr>
      <w:tr w:rsidR="007C6C19" w:rsidTr="007C6C19">
        <w:trPr>
          <w:cantSplit/>
        </w:trPr>
        <w:tc>
          <w:tcPr>
            <w:tcW w:w="0" w:type="auto"/>
            <w:shd w:val="clear" w:color="auto" w:fill="auto"/>
          </w:tcPr>
          <w:p w:rsidR="007C6C19" w:rsidRDefault="007C6C19" w:rsidP="007C6C19">
            <w:pPr>
              <w:rPr>
                <w:rFonts w:ascii="Times New Roman" w:hAnsi="Times New Roman" w:cs="Times New Roman"/>
              </w:rPr>
            </w:pPr>
          </w:p>
          <w:p w:rsidR="007C6C19" w:rsidRDefault="007C6C19" w:rsidP="007C6C19">
            <w:pPr>
              <w:rPr>
                <w:rFonts w:ascii="Times New Roman" w:hAnsi="Times New Roman" w:cs="Times New Roman"/>
              </w:rPr>
            </w:pPr>
            <w:r>
              <w:rPr>
                <w:rFonts w:ascii="Times New Roman" w:hAnsi="Times New Roman" w:cs="Times New Roman"/>
              </w:rPr>
              <w:t>Driver School License 3</w:t>
            </w:r>
          </w:p>
          <w:p w:rsidR="007C6C19" w:rsidRDefault="007C6C19" w:rsidP="007C6C19">
            <w:pPr>
              <w:rPr>
                <w:rFonts w:ascii="Times New Roman" w:hAnsi="Times New Roman" w:cs="Times New Roman"/>
              </w:rPr>
            </w:pPr>
          </w:p>
          <w:p w:rsidR="007C6C19" w:rsidRDefault="007C6C19" w:rsidP="007C6C19">
            <w:pPr>
              <w:rPr>
                <w:rFonts w:ascii="Times New Roman" w:hAnsi="Times New Roman" w:cs="Times New Roman"/>
              </w:rPr>
            </w:pPr>
            <w:r>
              <w:rPr>
                <w:rFonts w:ascii="Times New Roman" w:hAnsi="Times New Roman" w:cs="Times New Roman"/>
              </w:rPr>
              <w:t>Section 42</w:t>
            </w:r>
          </w:p>
          <w:p w:rsidR="007C6C19" w:rsidRDefault="007C6C19" w:rsidP="007C6C19">
            <w:pPr>
              <w:rPr>
                <w:rFonts w:ascii="Times New Roman" w:hAnsi="Times New Roman" w:cs="Times New Roman"/>
              </w:rPr>
            </w:pPr>
          </w:p>
          <w:p w:rsidR="007C6C19" w:rsidRDefault="007C6C19" w:rsidP="007C6C19">
            <w:pPr>
              <w:rPr>
                <w:rFonts w:ascii="Times New Roman" w:hAnsi="Times New Roman" w:cs="Times New Roman"/>
              </w:rPr>
            </w:pPr>
            <w:r>
              <w:rPr>
                <w:rFonts w:ascii="Times New Roman" w:hAnsi="Times New Roman" w:cs="Times New Roman"/>
              </w:rPr>
              <w:t xml:space="preserve">I am vetoing this section, and related sections 40, 41, and 72, because they unnecessarily open the drivers' education market to quasi-public, government-subsidized entities that would compete with existing small businesses.  </w:t>
            </w:r>
          </w:p>
          <w:p w:rsidR="007C6C19" w:rsidRDefault="007C6C19" w:rsidP="007C6C19">
            <w:pPr>
              <w:rPr>
                <w:rFonts w:ascii="Times New Roman" w:hAnsi="Times New Roman" w:cs="Times New Roman"/>
              </w:rPr>
            </w:pPr>
          </w:p>
        </w:tc>
      </w:tr>
      <w:tr w:rsidR="007C6C19" w:rsidTr="007C6C19">
        <w:trPr>
          <w:cantSplit/>
        </w:trPr>
        <w:tc>
          <w:tcPr>
            <w:tcW w:w="0" w:type="auto"/>
            <w:shd w:val="clear" w:color="auto" w:fill="auto"/>
          </w:tcPr>
          <w:p w:rsidR="007C6C19" w:rsidRDefault="007C6C19" w:rsidP="007C6C19">
            <w:pPr>
              <w:rPr>
                <w:rFonts w:ascii="Times New Roman" w:hAnsi="Times New Roman" w:cs="Times New Roman"/>
              </w:rPr>
            </w:pPr>
          </w:p>
          <w:p w:rsidR="007C6C19" w:rsidRDefault="007C6C19" w:rsidP="007C6C19">
            <w:pPr>
              <w:rPr>
                <w:rFonts w:ascii="Times New Roman" w:hAnsi="Times New Roman" w:cs="Times New Roman"/>
              </w:rPr>
            </w:pPr>
            <w:r>
              <w:rPr>
                <w:rFonts w:ascii="Times New Roman" w:hAnsi="Times New Roman" w:cs="Times New Roman"/>
              </w:rPr>
              <w:t>Driver School License 4</w:t>
            </w:r>
          </w:p>
          <w:p w:rsidR="007C6C19" w:rsidRDefault="007C6C19" w:rsidP="007C6C19">
            <w:pPr>
              <w:rPr>
                <w:rFonts w:ascii="Times New Roman" w:hAnsi="Times New Roman" w:cs="Times New Roman"/>
              </w:rPr>
            </w:pPr>
          </w:p>
          <w:p w:rsidR="007C6C19" w:rsidRDefault="007C6C19" w:rsidP="007C6C19">
            <w:pPr>
              <w:rPr>
                <w:rFonts w:ascii="Times New Roman" w:hAnsi="Times New Roman" w:cs="Times New Roman"/>
              </w:rPr>
            </w:pPr>
            <w:r>
              <w:rPr>
                <w:rFonts w:ascii="Times New Roman" w:hAnsi="Times New Roman" w:cs="Times New Roman"/>
              </w:rPr>
              <w:t>Section 72</w:t>
            </w:r>
          </w:p>
          <w:p w:rsidR="007C6C19" w:rsidRDefault="007C6C19" w:rsidP="007C6C19">
            <w:pPr>
              <w:rPr>
                <w:rFonts w:ascii="Times New Roman" w:hAnsi="Times New Roman" w:cs="Times New Roman"/>
              </w:rPr>
            </w:pPr>
          </w:p>
          <w:p w:rsidR="007C6C19" w:rsidRDefault="007C6C19" w:rsidP="007C6C19">
            <w:pPr>
              <w:rPr>
                <w:rFonts w:ascii="Times New Roman" w:hAnsi="Times New Roman" w:cs="Times New Roman"/>
              </w:rPr>
            </w:pPr>
            <w:r>
              <w:rPr>
                <w:rFonts w:ascii="Times New Roman" w:hAnsi="Times New Roman" w:cs="Times New Roman"/>
              </w:rPr>
              <w:t xml:space="preserve">I am vetoing this section, and related sections 40, 41, and 42, because they unnecessarily open the drivers' education market to quasi-public, government-subsidized entities that would compete with existing small businesses.  </w:t>
            </w:r>
          </w:p>
          <w:p w:rsidR="007C6C19" w:rsidRDefault="007C6C19" w:rsidP="007C6C19">
            <w:pPr>
              <w:rPr>
                <w:rFonts w:ascii="Times New Roman" w:hAnsi="Times New Roman" w:cs="Times New Roman"/>
              </w:rPr>
            </w:pPr>
          </w:p>
        </w:tc>
      </w:tr>
      <w:tr w:rsidR="007C6C19" w:rsidTr="007C6C19">
        <w:trPr>
          <w:cantSplit/>
        </w:trPr>
        <w:tc>
          <w:tcPr>
            <w:tcW w:w="0" w:type="auto"/>
            <w:shd w:val="clear" w:color="auto" w:fill="auto"/>
          </w:tcPr>
          <w:p w:rsidR="007C6C19" w:rsidRDefault="007C6C19" w:rsidP="007C6C19">
            <w:pPr>
              <w:rPr>
                <w:rFonts w:ascii="Times New Roman" w:hAnsi="Times New Roman" w:cs="Times New Roman"/>
              </w:rPr>
            </w:pPr>
          </w:p>
          <w:p w:rsidR="007C6C19" w:rsidRDefault="007C6C19" w:rsidP="007C6C19">
            <w:pPr>
              <w:rPr>
                <w:rFonts w:ascii="Times New Roman" w:hAnsi="Times New Roman" w:cs="Times New Roman"/>
              </w:rPr>
            </w:pPr>
            <w:r>
              <w:rPr>
                <w:rFonts w:ascii="Times New Roman" w:hAnsi="Times New Roman" w:cs="Times New Roman"/>
              </w:rPr>
              <w:t>LTC Facility Construction Requirements</w:t>
            </w:r>
          </w:p>
          <w:p w:rsidR="007C6C19" w:rsidRDefault="007C6C19" w:rsidP="007C6C19">
            <w:pPr>
              <w:rPr>
                <w:rFonts w:ascii="Times New Roman" w:hAnsi="Times New Roman" w:cs="Times New Roman"/>
              </w:rPr>
            </w:pPr>
          </w:p>
          <w:p w:rsidR="007C6C19" w:rsidRDefault="007C6C19" w:rsidP="007C6C19">
            <w:pPr>
              <w:rPr>
                <w:rFonts w:ascii="Times New Roman" w:hAnsi="Times New Roman" w:cs="Times New Roman"/>
              </w:rPr>
            </w:pPr>
            <w:r>
              <w:rPr>
                <w:rFonts w:ascii="Times New Roman" w:hAnsi="Times New Roman" w:cs="Times New Roman"/>
              </w:rPr>
              <w:t>Section 98</w:t>
            </w:r>
          </w:p>
          <w:p w:rsidR="007C6C19" w:rsidRDefault="007C6C19" w:rsidP="007C6C19">
            <w:pPr>
              <w:rPr>
                <w:rFonts w:ascii="Times New Roman" w:hAnsi="Times New Roman" w:cs="Times New Roman"/>
              </w:rPr>
            </w:pPr>
          </w:p>
          <w:p w:rsidR="007C6C19" w:rsidRDefault="007C6C19" w:rsidP="007C6C19">
            <w:pPr>
              <w:rPr>
                <w:rFonts w:ascii="Times New Roman" w:hAnsi="Times New Roman" w:cs="Times New Roman"/>
              </w:rPr>
            </w:pPr>
            <w:r>
              <w:rPr>
                <w:rFonts w:ascii="Times New Roman" w:hAnsi="Times New Roman" w:cs="Times New Roman"/>
              </w:rPr>
              <w:t>I am vetoing this section because building, life safety and health care quality standards for long term care facilities continually evolve and exemptions to quality and safety standards should not be codified into the General Laws. My Administration is working with the affected stakeholders to promulgate prudent regulations, which recognizes the age of physical plants and prioritizes patient safety.</w:t>
            </w:r>
          </w:p>
          <w:p w:rsidR="007C6C19" w:rsidRDefault="007C6C19" w:rsidP="007C6C19">
            <w:pPr>
              <w:rPr>
                <w:rFonts w:ascii="Times New Roman" w:hAnsi="Times New Roman" w:cs="Times New Roman"/>
              </w:rPr>
            </w:pPr>
          </w:p>
        </w:tc>
      </w:tr>
      <w:tr w:rsidR="007C6C19" w:rsidTr="007C6C19">
        <w:trPr>
          <w:cantSplit/>
        </w:trPr>
        <w:tc>
          <w:tcPr>
            <w:tcW w:w="0" w:type="auto"/>
            <w:shd w:val="clear" w:color="auto" w:fill="auto"/>
          </w:tcPr>
          <w:p w:rsidR="007C6C19" w:rsidRDefault="007C6C19" w:rsidP="007C6C19">
            <w:pPr>
              <w:rPr>
                <w:rFonts w:ascii="Times New Roman" w:hAnsi="Times New Roman" w:cs="Times New Roman"/>
              </w:rPr>
            </w:pPr>
          </w:p>
          <w:p w:rsidR="007C6C19" w:rsidRDefault="007C6C19" w:rsidP="007C6C19">
            <w:pPr>
              <w:rPr>
                <w:rFonts w:ascii="Times New Roman" w:hAnsi="Times New Roman" w:cs="Times New Roman"/>
              </w:rPr>
            </w:pPr>
            <w:r>
              <w:rPr>
                <w:rFonts w:ascii="Times New Roman" w:hAnsi="Times New Roman" w:cs="Times New Roman"/>
              </w:rPr>
              <w:t>Child Welfare Reporting Task Force</w:t>
            </w:r>
          </w:p>
          <w:p w:rsidR="007C6C19" w:rsidRDefault="007C6C19" w:rsidP="007C6C19">
            <w:pPr>
              <w:rPr>
                <w:rFonts w:ascii="Times New Roman" w:hAnsi="Times New Roman" w:cs="Times New Roman"/>
              </w:rPr>
            </w:pPr>
          </w:p>
          <w:p w:rsidR="007C6C19" w:rsidRDefault="007C6C19" w:rsidP="007C6C19">
            <w:pPr>
              <w:rPr>
                <w:rFonts w:ascii="Times New Roman" w:hAnsi="Times New Roman" w:cs="Times New Roman"/>
              </w:rPr>
            </w:pPr>
            <w:r>
              <w:rPr>
                <w:rFonts w:ascii="Times New Roman" w:hAnsi="Times New Roman" w:cs="Times New Roman"/>
              </w:rPr>
              <w:t>Section 128</w:t>
            </w:r>
          </w:p>
          <w:p w:rsidR="007C6C19" w:rsidRDefault="007C6C19" w:rsidP="007C6C19">
            <w:pPr>
              <w:rPr>
                <w:rFonts w:ascii="Times New Roman" w:hAnsi="Times New Roman" w:cs="Times New Roman"/>
              </w:rPr>
            </w:pPr>
          </w:p>
          <w:p w:rsidR="007C6C19" w:rsidRDefault="007C6C19" w:rsidP="007C6C19">
            <w:pPr>
              <w:rPr>
                <w:rFonts w:ascii="Times New Roman" w:hAnsi="Times New Roman" w:cs="Times New Roman"/>
              </w:rPr>
            </w:pPr>
            <w:r>
              <w:rPr>
                <w:rFonts w:ascii="Times New Roman" w:hAnsi="Times New Roman" w:cs="Times New Roman"/>
              </w:rPr>
              <w:t>I am vetoing this section and related sections 129 and 152 because they would require the Department of Children and Families (DCF) and Office of the Child Advocate (OCA) to establish a task force on child welfare data to develop a broad range of basic data measures.  The reporting proposed by these sections is duplicative of numerous existing reporting requirements for key outcome and benchmark data pursuant to line item 4800-0015 of this budget, Chapters 18B and 119 of the General Laws, and  42 USC §671(a)(8) (Title IV-E of the Social Security Act and 45 CFR § 205.50 (Federal regulation of Title IV-E). Key benchmark data for DCF is publicly available on the Administration for Children and Families' Children's Bureau website, and DCF will continue to work with OCA to provide the public and the Legislature with accurate, actionable data concerning child welfare in the Commonwealth.</w:t>
            </w:r>
          </w:p>
          <w:p w:rsidR="007C6C19" w:rsidRDefault="007C6C19" w:rsidP="007C6C19">
            <w:pPr>
              <w:rPr>
                <w:rFonts w:ascii="Times New Roman" w:hAnsi="Times New Roman" w:cs="Times New Roman"/>
              </w:rPr>
            </w:pPr>
          </w:p>
        </w:tc>
      </w:tr>
      <w:tr w:rsidR="007C6C19" w:rsidTr="007C6C19">
        <w:trPr>
          <w:cantSplit/>
        </w:trPr>
        <w:tc>
          <w:tcPr>
            <w:tcW w:w="0" w:type="auto"/>
            <w:shd w:val="clear" w:color="auto" w:fill="auto"/>
          </w:tcPr>
          <w:p w:rsidR="007C6C19" w:rsidRDefault="007C6C19" w:rsidP="007C6C19">
            <w:pPr>
              <w:rPr>
                <w:rFonts w:ascii="Times New Roman" w:hAnsi="Times New Roman" w:cs="Times New Roman"/>
              </w:rPr>
            </w:pPr>
          </w:p>
          <w:p w:rsidR="007C6C19" w:rsidRDefault="007C6C19" w:rsidP="007C6C19">
            <w:pPr>
              <w:rPr>
                <w:rFonts w:ascii="Times New Roman" w:hAnsi="Times New Roman" w:cs="Times New Roman"/>
              </w:rPr>
            </w:pPr>
            <w:r>
              <w:rPr>
                <w:rFonts w:ascii="Times New Roman" w:hAnsi="Times New Roman" w:cs="Times New Roman"/>
              </w:rPr>
              <w:t>Sunset of Child Welfare Data Reporting Task Force</w:t>
            </w:r>
          </w:p>
          <w:p w:rsidR="007C6C19" w:rsidRDefault="007C6C19" w:rsidP="007C6C19">
            <w:pPr>
              <w:rPr>
                <w:rFonts w:ascii="Times New Roman" w:hAnsi="Times New Roman" w:cs="Times New Roman"/>
              </w:rPr>
            </w:pPr>
          </w:p>
          <w:p w:rsidR="007C6C19" w:rsidRDefault="007C6C19" w:rsidP="007C6C19">
            <w:pPr>
              <w:rPr>
                <w:rFonts w:ascii="Times New Roman" w:hAnsi="Times New Roman" w:cs="Times New Roman"/>
              </w:rPr>
            </w:pPr>
            <w:r>
              <w:rPr>
                <w:rFonts w:ascii="Times New Roman" w:hAnsi="Times New Roman" w:cs="Times New Roman"/>
              </w:rPr>
              <w:t>Section 129</w:t>
            </w:r>
          </w:p>
          <w:p w:rsidR="007C6C19" w:rsidRDefault="007C6C19" w:rsidP="007C6C19">
            <w:pPr>
              <w:rPr>
                <w:rFonts w:ascii="Times New Roman" w:hAnsi="Times New Roman" w:cs="Times New Roman"/>
              </w:rPr>
            </w:pPr>
          </w:p>
          <w:p w:rsidR="007C6C19" w:rsidRDefault="007C6C19" w:rsidP="007C6C19">
            <w:pPr>
              <w:rPr>
                <w:rFonts w:ascii="Times New Roman" w:hAnsi="Times New Roman" w:cs="Times New Roman"/>
              </w:rPr>
            </w:pPr>
            <w:r>
              <w:rPr>
                <w:rFonts w:ascii="Times New Roman" w:hAnsi="Times New Roman" w:cs="Times New Roman"/>
              </w:rPr>
              <w:t>I am vetoing this section and related sections 128 and 152 because they would require the Department of Children and Families (DCF) and Office of the Child Advocate (OCA) to establish a task force on child welfare data to develop a broad range of basic data measures.  The reporting proposed by these sections is duplicative of numerous existing reporting requirements for key outcome and benchmark data pursuant to line item 4800-0015 of this budget, Chapters 18B and 119 of the General Laws, and  42 USC §671(a)(8) (Title IV-E of the Social Security Act and 45 CFR § 205.50 (Federal regulation of Title IV-E). Key benchmark data for DCF is publicly available on the Administration for Children and Families' Children's Bureau website, and DCF will continue to work with OCA to provide the public and the Legislature with accurate, actionable data concerning child welfare in the Commonwealth.</w:t>
            </w:r>
          </w:p>
          <w:p w:rsidR="007C6C19" w:rsidRDefault="007C6C19" w:rsidP="007C6C19">
            <w:pPr>
              <w:rPr>
                <w:rFonts w:ascii="Times New Roman" w:hAnsi="Times New Roman" w:cs="Times New Roman"/>
              </w:rPr>
            </w:pPr>
          </w:p>
          <w:p w:rsidR="007C6C19" w:rsidRDefault="007C6C19" w:rsidP="007C6C19">
            <w:pPr>
              <w:rPr>
                <w:rFonts w:ascii="Times New Roman" w:hAnsi="Times New Roman" w:cs="Times New Roman"/>
              </w:rPr>
            </w:pPr>
          </w:p>
        </w:tc>
      </w:tr>
      <w:tr w:rsidR="007C6C19" w:rsidTr="007C6C19">
        <w:trPr>
          <w:cantSplit/>
        </w:trPr>
        <w:tc>
          <w:tcPr>
            <w:tcW w:w="0" w:type="auto"/>
            <w:shd w:val="clear" w:color="auto" w:fill="auto"/>
          </w:tcPr>
          <w:p w:rsidR="007C6C19" w:rsidRDefault="007C6C19" w:rsidP="007C6C19">
            <w:pPr>
              <w:rPr>
                <w:rFonts w:ascii="Times New Roman" w:hAnsi="Times New Roman" w:cs="Times New Roman"/>
              </w:rPr>
            </w:pPr>
          </w:p>
          <w:p w:rsidR="007C6C19" w:rsidRDefault="007C6C19" w:rsidP="007C6C19">
            <w:pPr>
              <w:rPr>
                <w:rFonts w:ascii="Times New Roman" w:hAnsi="Times New Roman" w:cs="Times New Roman"/>
              </w:rPr>
            </w:pPr>
            <w:r>
              <w:rPr>
                <w:rFonts w:ascii="Times New Roman" w:hAnsi="Times New Roman" w:cs="Times New Roman"/>
              </w:rPr>
              <w:t>Childhood Vision and Eye Health Commission</w:t>
            </w:r>
          </w:p>
          <w:p w:rsidR="007C6C19" w:rsidRDefault="007C6C19" w:rsidP="007C6C19">
            <w:pPr>
              <w:rPr>
                <w:rFonts w:ascii="Times New Roman" w:hAnsi="Times New Roman" w:cs="Times New Roman"/>
              </w:rPr>
            </w:pPr>
          </w:p>
          <w:p w:rsidR="007C6C19" w:rsidRDefault="007C6C19" w:rsidP="007C6C19">
            <w:pPr>
              <w:rPr>
                <w:rFonts w:ascii="Times New Roman" w:hAnsi="Times New Roman" w:cs="Times New Roman"/>
              </w:rPr>
            </w:pPr>
            <w:r>
              <w:rPr>
                <w:rFonts w:ascii="Times New Roman" w:hAnsi="Times New Roman" w:cs="Times New Roman"/>
              </w:rPr>
              <w:t>Section 135</w:t>
            </w:r>
          </w:p>
          <w:p w:rsidR="007C6C19" w:rsidRDefault="007C6C19" w:rsidP="007C6C19">
            <w:pPr>
              <w:rPr>
                <w:rFonts w:ascii="Times New Roman" w:hAnsi="Times New Roman" w:cs="Times New Roman"/>
              </w:rPr>
            </w:pPr>
          </w:p>
          <w:p w:rsidR="007C6C19" w:rsidRDefault="007C6C19" w:rsidP="007C6C19">
            <w:pPr>
              <w:rPr>
                <w:rFonts w:ascii="Times New Roman" w:hAnsi="Times New Roman" w:cs="Times New Roman"/>
              </w:rPr>
            </w:pPr>
            <w:r>
              <w:rPr>
                <w:rFonts w:ascii="Times New Roman" w:hAnsi="Times New Roman" w:cs="Times New Roman"/>
              </w:rPr>
              <w:t>I am vetoing this section because a nine-member commission is not needed to identify improvements in an existing program.  The Department of Public Health administers a childhood vision screening program, after consultation with the Department of Elementary and Secondary Education, under Chapter 71, Section 57 of the General Laws, as amended in Chapter 181 of the Acts of 2004. My Administration released updated protocols for schools on September 30, 2016. Regular review and updating of these protocols, if needed, is the best way to improve childhood vision and eye care in Massachusetts.</w:t>
            </w:r>
          </w:p>
          <w:p w:rsidR="007C6C19" w:rsidRDefault="007C6C19" w:rsidP="007C6C19">
            <w:pPr>
              <w:rPr>
                <w:rFonts w:ascii="Times New Roman" w:hAnsi="Times New Roman" w:cs="Times New Roman"/>
              </w:rPr>
            </w:pPr>
          </w:p>
        </w:tc>
      </w:tr>
      <w:tr w:rsidR="007C6C19" w:rsidTr="007C6C19">
        <w:trPr>
          <w:cantSplit/>
        </w:trPr>
        <w:tc>
          <w:tcPr>
            <w:tcW w:w="0" w:type="auto"/>
            <w:shd w:val="clear" w:color="auto" w:fill="auto"/>
          </w:tcPr>
          <w:p w:rsidR="007C6C19" w:rsidRDefault="007C6C19" w:rsidP="007C6C19">
            <w:pPr>
              <w:rPr>
                <w:rFonts w:ascii="Times New Roman" w:hAnsi="Times New Roman" w:cs="Times New Roman"/>
              </w:rPr>
            </w:pPr>
          </w:p>
          <w:p w:rsidR="007C6C19" w:rsidRDefault="007C6C19" w:rsidP="007C6C19">
            <w:pPr>
              <w:rPr>
                <w:rFonts w:ascii="Times New Roman" w:hAnsi="Times New Roman" w:cs="Times New Roman"/>
              </w:rPr>
            </w:pPr>
            <w:r>
              <w:rPr>
                <w:rFonts w:ascii="Times New Roman" w:hAnsi="Times New Roman" w:cs="Times New Roman"/>
              </w:rPr>
              <w:t>Sunset of Child Welfare Data Reporting Task Force Eff. Date</w:t>
            </w:r>
          </w:p>
          <w:p w:rsidR="007C6C19" w:rsidRDefault="007C6C19" w:rsidP="007C6C19">
            <w:pPr>
              <w:rPr>
                <w:rFonts w:ascii="Times New Roman" w:hAnsi="Times New Roman" w:cs="Times New Roman"/>
              </w:rPr>
            </w:pPr>
          </w:p>
          <w:p w:rsidR="007C6C19" w:rsidRDefault="007C6C19" w:rsidP="007C6C19">
            <w:pPr>
              <w:rPr>
                <w:rFonts w:ascii="Times New Roman" w:hAnsi="Times New Roman" w:cs="Times New Roman"/>
              </w:rPr>
            </w:pPr>
            <w:r>
              <w:rPr>
                <w:rFonts w:ascii="Times New Roman" w:hAnsi="Times New Roman" w:cs="Times New Roman"/>
              </w:rPr>
              <w:t>Section 152</w:t>
            </w:r>
          </w:p>
          <w:p w:rsidR="007C6C19" w:rsidRDefault="007C6C19" w:rsidP="007C6C19">
            <w:pPr>
              <w:rPr>
                <w:rFonts w:ascii="Times New Roman" w:hAnsi="Times New Roman" w:cs="Times New Roman"/>
              </w:rPr>
            </w:pPr>
          </w:p>
          <w:p w:rsidR="007C6C19" w:rsidRDefault="007C6C19" w:rsidP="007C6C19">
            <w:pPr>
              <w:rPr>
                <w:rFonts w:ascii="Times New Roman" w:hAnsi="Times New Roman" w:cs="Times New Roman"/>
              </w:rPr>
            </w:pPr>
            <w:r>
              <w:rPr>
                <w:rFonts w:ascii="Times New Roman" w:hAnsi="Times New Roman" w:cs="Times New Roman"/>
              </w:rPr>
              <w:t>I am vetoing this section and related sections 128 and 129 because they would require the Department of Children and Families (DCF) and Office of the Child Advocate (OCA) to establish a task force on child welfare data to develop a broad range of basic data measures.  The reporting proposed by these sections is duplicative of numerous existing reporting requirements for key outcome and benchmark data pursuant to line item 4800-0015 of this budget, Chapters 18B and 119 of the General Laws, and  42 USC §671(a)(8) (Title IV-E of the Social Security Act and 45 CFR § 205.50 (Federal regulation of Title IV-E). Key benchmark data for DCF is publicly available on the Administration for Children and Families' Children's Bureau website, and DCF will continue to work with OCA to provide the public and the Legislature with accurate, actionable data concerning child welfare in the Commonwealth.</w:t>
            </w:r>
          </w:p>
          <w:p w:rsidR="007C6C19" w:rsidRDefault="007C6C19" w:rsidP="007C6C19">
            <w:pPr>
              <w:rPr>
                <w:rFonts w:ascii="Times New Roman" w:hAnsi="Times New Roman" w:cs="Times New Roman"/>
              </w:rPr>
            </w:pPr>
          </w:p>
          <w:p w:rsidR="007C6C19" w:rsidRDefault="007C6C19" w:rsidP="007C6C19">
            <w:pPr>
              <w:rPr>
                <w:rFonts w:ascii="Times New Roman" w:hAnsi="Times New Roman" w:cs="Times New Roman"/>
              </w:rPr>
            </w:pPr>
          </w:p>
          <w:p w:rsidR="007C6C19" w:rsidRDefault="007C6C19" w:rsidP="007C6C19">
            <w:pPr>
              <w:rPr>
                <w:rFonts w:ascii="Times New Roman" w:hAnsi="Times New Roman" w:cs="Times New Roman"/>
              </w:rPr>
            </w:pPr>
          </w:p>
        </w:tc>
      </w:tr>
    </w:tbl>
    <w:p w:rsidR="007C6C19" w:rsidRDefault="007C6C19" w:rsidP="007C6C19">
      <w:pPr>
        <w:rPr>
          <w:rFonts w:ascii="Times New Roman" w:hAnsi="Times New Roman" w:cs="Times New Roman"/>
        </w:rPr>
      </w:pPr>
    </w:p>
    <w:p w:rsidR="007C6C19" w:rsidRDefault="007C6C19" w:rsidP="007C6C19">
      <w:pPr>
        <w:rPr>
          <w:rFonts w:ascii="Times New Roman" w:hAnsi="Times New Roman" w:cs="Times New Roman"/>
        </w:rPr>
      </w:pPr>
    </w:p>
    <w:p w:rsidR="007C6C19" w:rsidRPr="007C6C19" w:rsidRDefault="007C6C19" w:rsidP="007C6C19">
      <w:pPr>
        <w:rPr>
          <w:rFonts w:ascii="Times New Roman" w:hAnsi="Times New Roman" w:cs="Times New Roman"/>
        </w:rPr>
      </w:pPr>
      <w:bookmarkStart w:id="0" w:name="_GoBack"/>
      <w:bookmarkEnd w:id="0"/>
    </w:p>
    <w:sectPr w:rsidR="007C6C19" w:rsidRPr="007C6C19" w:rsidSect="007C6C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C19"/>
    <w:rsid w:val="00103E5D"/>
    <w:rsid w:val="002E660D"/>
    <w:rsid w:val="005B04DE"/>
    <w:rsid w:val="00693A71"/>
    <w:rsid w:val="00736F3B"/>
    <w:rsid w:val="007C6C19"/>
    <w:rsid w:val="00881653"/>
    <w:rsid w:val="009D5370"/>
    <w:rsid w:val="00B05A9F"/>
    <w:rsid w:val="00C14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6C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6C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765</Words>
  <Characters>4364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5119</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2017-07-17T16:10:00Z</dcterms:created>
  <dc:creator>Norcross, David (ANF)</dc:creator>
  <lastModifiedBy>Norcross, David (ANF)</lastModifiedBy>
  <lastPrinted>2017-07-17T16:07:00Z</lastPrinted>
  <dcterms:modified xsi:type="dcterms:W3CDTF">2017-07-17T16:10:00Z</dcterms:modified>
  <revision>2</revision>
</coreProperties>
</file>