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27" w:rsidRPr="00AB0327" w:rsidRDefault="00AB0327" w:rsidP="00AB0327">
      <w:pPr>
        <w:rPr>
          <w:sz w:val="24"/>
          <w:szCs w:val="24"/>
        </w:rPr>
      </w:pPr>
      <w:bookmarkStart w:id="0" w:name="_GoBack"/>
      <w:bookmarkEnd w:id="0"/>
    </w:p>
    <w:tbl>
      <w:tblPr>
        <w:tblpPr w:leftFromText="180" w:rightFromText="180" w:vertAnchor="page" w:horzAnchor="margin" w:tblpXSpec="center" w:tblpY="615"/>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6745"/>
        <w:gridCol w:w="2543"/>
      </w:tblGrid>
      <w:tr w:rsidR="00AB0327" w:rsidRPr="00AB0327" w:rsidTr="001C6781">
        <w:trPr>
          <w:trHeight w:val="3324"/>
        </w:trPr>
        <w:tc>
          <w:tcPr>
            <w:tcW w:w="2079" w:type="dxa"/>
            <w:tcBorders>
              <w:top w:val="single" w:sz="4" w:space="0" w:color="FFFFFF"/>
              <w:left w:val="single" w:sz="4" w:space="0" w:color="FFFFFF"/>
              <w:bottom w:val="single" w:sz="4" w:space="0" w:color="FFFFFF"/>
              <w:right w:val="single" w:sz="4" w:space="0" w:color="FFFFFF"/>
            </w:tcBorders>
            <w:shd w:val="clear" w:color="auto" w:fill="auto"/>
          </w:tcPr>
          <w:p w:rsidR="00AB0327" w:rsidRPr="00AB0327" w:rsidRDefault="00AB0327" w:rsidP="00AB0327">
            <w:pPr>
              <w:jc w:val="center"/>
              <w:rPr>
                <w:color w:val="0033CC"/>
                <w:sz w:val="24"/>
                <w:szCs w:val="24"/>
              </w:rPr>
            </w:pPr>
            <w:r w:rsidRPr="00AB0327">
              <w:rPr>
                <w:noProof/>
                <w:color w:val="0033CC"/>
                <w:sz w:val="24"/>
                <w:szCs w:val="24"/>
                <w:lang w:eastAsia="zh-TW"/>
              </w:rPr>
              <w:drawing>
                <wp:inline distT="0" distB="0" distL="0" distR="0" wp14:anchorId="374A3DA2" wp14:editId="362B3589">
                  <wp:extent cx="866775" cy="8108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10895"/>
                          </a:xfrm>
                          <a:prstGeom prst="rect">
                            <a:avLst/>
                          </a:prstGeom>
                          <a:noFill/>
                          <a:ln>
                            <a:noFill/>
                          </a:ln>
                        </pic:spPr>
                      </pic:pic>
                    </a:graphicData>
                  </a:graphic>
                </wp:inline>
              </w:drawing>
            </w:r>
          </w:p>
          <w:p w:rsidR="00AB0327" w:rsidRPr="00AB0327" w:rsidRDefault="00AB0327" w:rsidP="00AB0327">
            <w:pPr>
              <w:jc w:val="center"/>
              <w:rPr>
                <w:color w:val="0033CC"/>
                <w:sz w:val="24"/>
                <w:szCs w:val="24"/>
              </w:rPr>
            </w:pPr>
          </w:p>
          <w:p w:rsidR="00AB0327" w:rsidRPr="00AB0327" w:rsidRDefault="00AB0327" w:rsidP="00AB0327">
            <w:pPr>
              <w:jc w:val="center"/>
              <w:rPr>
                <w:rFonts w:ascii="Monotype Corsiva" w:hAnsi="Monotype Corsiva"/>
                <w:color w:val="0033CC"/>
                <w:sz w:val="16"/>
                <w:szCs w:val="16"/>
              </w:rPr>
            </w:pPr>
          </w:p>
          <w:p w:rsidR="00AB0327" w:rsidRPr="00AB0327" w:rsidRDefault="00AB0327" w:rsidP="00AB0327">
            <w:pPr>
              <w:jc w:val="center"/>
              <w:rPr>
                <w:rFonts w:ascii="Arial" w:hAnsi="Arial" w:cs="Arial"/>
                <w:b/>
                <w:color w:val="0033CC"/>
              </w:rPr>
            </w:pPr>
          </w:p>
          <w:p w:rsidR="00AB0327" w:rsidRPr="00376673" w:rsidRDefault="00AB0327" w:rsidP="00AB0327">
            <w:pPr>
              <w:jc w:val="center"/>
              <w:rPr>
                <w:rFonts w:ascii="Arial" w:hAnsi="Arial" w:cs="Arial"/>
                <w:b/>
                <w:color w:val="3333CC"/>
                <w:lang w:val="sv-SE"/>
              </w:rPr>
            </w:pPr>
            <w:r w:rsidRPr="00376673">
              <w:rPr>
                <w:rFonts w:ascii="Arial" w:hAnsi="Arial" w:cs="Arial"/>
                <w:b/>
                <w:color w:val="3333CC"/>
                <w:lang w:val="sv-SE"/>
              </w:rPr>
              <w:t xml:space="preserve">Charles D. Baker </w:t>
            </w:r>
          </w:p>
          <w:p w:rsidR="00AB0327" w:rsidRPr="00376673" w:rsidRDefault="00AB0327" w:rsidP="00AB0327">
            <w:pPr>
              <w:jc w:val="center"/>
              <w:rPr>
                <w:rFonts w:ascii="Arial" w:hAnsi="Arial" w:cs="Arial"/>
                <w:color w:val="3333CC"/>
                <w:lang w:val="sv-SE"/>
              </w:rPr>
            </w:pPr>
            <w:r w:rsidRPr="00376673">
              <w:rPr>
                <w:rFonts w:ascii="Arial" w:hAnsi="Arial" w:cs="Arial"/>
                <w:color w:val="3333CC"/>
                <w:lang w:val="sv-SE"/>
              </w:rPr>
              <w:t>Governor</w:t>
            </w:r>
          </w:p>
          <w:p w:rsidR="00AB0327" w:rsidRPr="00376673" w:rsidRDefault="00AB0327" w:rsidP="00AB0327">
            <w:pPr>
              <w:jc w:val="center"/>
              <w:rPr>
                <w:rFonts w:ascii="Arial" w:hAnsi="Arial" w:cs="Arial"/>
                <w:color w:val="3333CC"/>
                <w:lang w:val="sv-SE"/>
              </w:rPr>
            </w:pPr>
          </w:p>
          <w:p w:rsidR="00AB0327" w:rsidRPr="00376673" w:rsidRDefault="00AB0327" w:rsidP="00AB0327">
            <w:pPr>
              <w:jc w:val="center"/>
              <w:rPr>
                <w:rFonts w:ascii="Arial" w:hAnsi="Arial" w:cs="Arial"/>
                <w:b/>
                <w:color w:val="3333CC"/>
                <w:lang w:val="sv-SE"/>
              </w:rPr>
            </w:pPr>
            <w:r w:rsidRPr="00376673">
              <w:rPr>
                <w:rFonts w:ascii="Arial" w:hAnsi="Arial" w:cs="Arial"/>
                <w:b/>
                <w:color w:val="3333CC"/>
                <w:lang w:val="sv-SE"/>
              </w:rPr>
              <w:t>Karyn E. Polito</w:t>
            </w:r>
          </w:p>
          <w:p w:rsidR="00AB0327" w:rsidRPr="00AB0327" w:rsidRDefault="00AB0327" w:rsidP="00AB0327">
            <w:pPr>
              <w:jc w:val="center"/>
              <w:rPr>
                <w:rFonts w:ascii="Arial" w:hAnsi="Arial" w:cs="Arial"/>
                <w:color w:val="0033CC"/>
              </w:rPr>
            </w:pPr>
            <w:r w:rsidRPr="00AB0327">
              <w:rPr>
                <w:rFonts w:ascii="Arial" w:hAnsi="Arial" w:cs="Arial"/>
                <w:color w:val="3333CC"/>
              </w:rPr>
              <w:t>Lieutenant Governor</w:t>
            </w:r>
          </w:p>
          <w:p w:rsidR="00AB0327" w:rsidRPr="00AB0327" w:rsidRDefault="00AB0327" w:rsidP="00AB0327">
            <w:pPr>
              <w:jc w:val="center"/>
              <w:rPr>
                <w:rFonts w:ascii="Monotype Corsiva" w:hAnsi="Monotype Corsiva"/>
                <w:i/>
                <w:color w:val="0033CC"/>
                <w:sz w:val="24"/>
                <w:szCs w:val="24"/>
              </w:rPr>
            </w:pPr>
          </w:p>
        </w:tc>
        <w:tc>
          <w:tcPr>
            <w:tcW w:w="6745" w:type="dxa"/>
            <w:tcBorders>
              <w:top w:val="single" w:sz="4" w:space="0" w:color="FFFFFF"/>
              <w:left w:val="single" w:sz="4" w:space="0" w:color="FFFFFF"/>
              <w:bottom w:val="single" w:sz="4" w:space="0" w:color="FFFFFF"/>
              <w:right w:val="single" w:sz="4" w:space="0" w:color="FFFFFF"/>
            </w:tcBorders>
            <w:shd w:val="clear" w:color="auto" w:fill="auto"/>
          </w:tcPr>
          <w:p w:rsidR="00AB0327" w:rsidRPr="00AB0327" w:rsidRDefault="00AB0327" w:rsidP="00AB0327">
            <w:pPr>
              <w:jc w:val="center"/>
              <w:rPr>
                <w:b/>
                <w:bCs/>
                <w:color w:val="3333CC"/>
                <w:sz w:val="32"/>
                <w:szCs w:val="32"/>
              </w:rPr>
            </w:pPr>
            <w:r w:rsidRPr="00AB0327">
              <w:rPr>
                <w:b/>
                <w:bCs/>
                <w:color w:val="3333CC"/>
                <w:sz w:val="32"/>
                <w:szCs w:val="32"/>
              </w:rPr>
              <w:t>The Commonwealth of Massachusetts</w:t>
            </w:r>
          </w:p>
          <w:p w:rsidR="00AB0327" w:rsidRPr="00AB0327" w:rsidRDefault="00AB0327" w:rsidP="00AB0327">
            <w:pPr>
              <w:jc w:val="center"/>
              <w:rPr>
                <w:b/>
                <w:color w:val="3333CC"/>
                <w:sz w:val="32"/>
                <w:szCs w:val="32"/>
              </w:rPr>
            </w:pPr>
            <w:r w:rsidRPr="00AB0327">
              <w:rPr>
                <w:b/>
                <w:bCs/>
                <w:color w:val="3333CC"/>
                <w:sz w:val="32"/>
                <w:szCs w:val="32"/>
              </w:rPr>
              <w:t>Executive Office of Public Safety and Security</w:t>
            </w:r>
          </w:p>
          <w:p w:rsidR="00AB0327" w:rsidRPr="00AB0327" w:rsidRDefault="00AB0327" w:rsidP="00AB0327">
            <w:pPr>
              <w:jc w:val="center"/>
              <w:rPr>
                <w:b/>
                <w:color w:val="3333CC"/>
                <w:sz w:val="28"/>
                <w:szCs w:val="28"/>
              </w:rPr>
            </w:pPr>
            <w:r w:rsidRPr="00AB0327">
              <w:rPr>
                <w:b/>
                <w:color w:val="3333CC"/>
                <w:sz w:val="28"/>
                <w:szCs w:val="28"/>
              </w:rPr>
              <w:t>Homeland Security Division</w:t>
            </w:r>
          </w:p>
          <w:p w:rsidR="00AB0327" w:rsidRPr="00AB0327" w:rsidRDefault="00AB0327" w:rsidP="00AB0327">
            <w:pPr>
              <w:jc w:val="center"/>
              <w:rPr>
                <w:color w:val="3333CC"/>
                <w:sz w:val="24"/>
                <w:szCs w:val="24"/>
              </w:rPr>
            </w:pPr>
            <w:r w:rsidRPr="00AB0327">
              <w:rPr>
                <w:color w:val="3333CC"/>
                <w:sz w:val="24"/>
                <w:szCs w:val="24"/>
              </w:rPr>
              <w:t>12 Mercer Road</w:t>
            </w:r>
          </w:p>
          <w:p w:rsidR="00AB0327" w:rsidRPr="00AB0327" w:rsidRDefault="00AB0327" w:rsidP="00AB0327">
            <w:pPr>
              <w:jc w:val="center"/>
              <w:rPr>
                <w:rFonts w:ascii="Monotype Corsiva" w:hAnsi="Monotype Corsiva"/>
                <w:i/>
                <w:color w:val="3333CC"/>
                <w:sz w:val="22"/>
                <w:szCs w:val="22"/>
              </w:rPr>
            </w:pPr>
            <w:r w:rsidRPr="00AB0327">
              <w:rPr>
                <w:color w:val="3333CC"/>
                <w:sz w:val="24"/>
                <w:szCs w:val="24"/>
              </w:rPr>
              <w:t>Natick, MA 01760</w:t>
            </w:r>
          </w:p>
        </w:tc>
        <w:tc>
          <w:tcPr>
            <w:tcW w:w="2543" w:type="dxa"/>
            <w:tcBorders>
              <w:top w:val="single" w:sz="4" w:space="0" w:color="FFFFFF"/>
              <w:left w:val="single" w:sz="4" w:space="0" w:color="FFFFFF"/>
              <w:bottom w:val="single" w:sz="4" w:space="0" w:color="FFFFFF"/>
              <w:right w:val="single" w:sz="4" w:space="0" w:color="FFFFFF"/>
            </w:tcBorders>
            <w:shd w:val="clear" w:color="auto" w:fill="auto"/>
          </w:tcPr>
          <w:p w:rsidR="00AB0327" w:rsidRPr="00AB0327" w:rsidRDefault="00AB0327" w:rsidP="00AB0327">
            <w:pPr>
              <w:jc w:val="center"/>
              <w:rPr>
                <w:rFonts w:ascii="Monotype Corsiva" w:hAnsi="Monotype Corsiva"/>
                <w:color w:val="3333CC"/>
              </w:rPr>
            </w:pPr>
          </w:p>
          <w:p w:rsidR="00AB0327" w:rsidRPr="00AB0327" w:rsidRDefault="00AB0327" w:rsidP="00AB0327">
            <w:pPr>
              <w:jc w:val="center"/>
              <w:rPr>
                <w:rFonts w:ascii="Monotype Corsiva" w:hAnsi="Monotype Corsiva"/>
                <w:color w:val="3333CC"/>
              </w:rPr>
            </w:pPr>
          </w:p>
          <w:p w:rsidR="00AB0327" w:rsidRPr="00AB0327" w:rsidRDefault="00AB0327" w:rsidP="00AB0327">
            <w:pPr>
              <w:jc w:val="center"/>
              <w:rPr>
                <w:rFonts w:ascii="Monotype Corsiva" w:hAnsi="Monotype Corsiva"/>
                <w:color w:val="3333CC"/>
              </w:rPr>
            </w:pPr>
          </w:p>
          <w:p w:rsidR="00AB0327" w:rsidRPr="00AB0327" w:rsidRDefault="00AB0327" w:rsidP="00AB0327">
            <w:pPr>
              <w:jc w:val="center"/>
              <w:rPr>
                <w:rFonts w:ascii="Monotype Corsiva" w:hAnsi="Monotype Corsiva"/>
                <w:color w:val="3333CC"/>
              </w:rPr>
            </w:pPr>
          </w:p>
          <w:p w:rsidR="00AB0327" w:rsidRPr="00AB0327" w:rsidRDefault="00AB0327" w:rsidP="00AB0327">
            <w:pPr>
              <w:jc w:val="center"/>
              <w:rPr>
                <w:rFonts w:ascii="Monotype Corsiva" w:hAnsi="Monotype Corsiva"/>
                <w:color w:val="3333CC"/>
              </w:rPr>
            </w:pPr>
          </w:p>
          <w:p w:rsidR="00AB0327" w:rsidRPr="00AB0327" w:rsidRDefault="00AB0327" w:rsidP="00AB0327">
            <w:pPr>
              <w:ind w:right="-415"/>
              <w:rPr>
                <w:rFonts w:ascii="Arial" w:hAnsi="Arial" w:cs="Arial"/>
                <w:b/>
                <w:color w:val="3333CC"/>
              </w:rPr>
            </w:pPr>
          </w:p>
          <w:p w:rsidR="00AB0327" w:rsidRPr="00AB0327" w:rsidRDefault="00AB0327" w:rsidP="00AB0327">
            <w:pPr>
              <w:ind w:right="-415"/>
              <w:rPr>
                <w:rFonts w:ascii="Arial" w:hAnsi="Arial" w:cs="Arial"/>
                <w:b/>
                <w:color w:val="3333CC"/>
              </w:rPr>
            </w:pPr>
          </w:p>
          <w:p w:rsidR="00AB0327" w:rsidRPr="00AB0327" w:rsidRDefault="00AB0327" w:rsidP="00AB0327">
            <w:pPr>
              <w:ind w:right="-415"/>
              <w:rPr>
                <w:rFonts w:ascii="Arial" w:hAnsi="Arial" w:cs="Arial"/>
                <w:b/>
                <w:color w:val="3333CC"/>
              </w:rPr>
            </w:pPr>
          </w:p>
          <w:p w:rsidR="00AB0327" w:rsidRPr="00AB0327" w:rsidRDefault="00AB0327" w:rsidP="00AB0327">
            <w:pPr>
              <w:ind w:right="-415"/>
              <w:rPr>
                <w:rFonts w:ascii="Arial" w:hAnsi="Arial" w:cs="Arial"/>
                <w:b/>
                <w:color w:val="3333CC"/>
              </w:rPr>
            </w:pPr>
            <w:r w:rsidRPr="00AB0327">
              <w:rPr>
                <w:rFonts w:ascii="Arial" w:hAnsi="Arial" w:cs="Arial"/>
                <w:b/>
                <w:color w:val="3333CC"/>
              </w:rPr>
              <w:t xml:space="preserve">   </w:t>
            </w:r>
          </w:p>
          <w:p w:rsidR="00AB0327" w:rsidRPr="00AB0327" w:rsidRDefault="00AB0327" w:rsidP="00AB0327">
            <w:pPr>
              <w:ind w:right="-415"/>
              <w:rPr>
                <w:rFonts w:ascii="Arial" w:hAnsi="Arial" w:cs="Arial"/>
                <w:b/>
                <w:color w:val="3333CC"/>
              </w:rPr>
            </w:pPr>
            <w:r w:rsidRPr="00AB0327">
              <w:rPr>
                <w:rFonts w:ascii="Arial" w:hAnsi="Arial" w:cs="Arial"/>
                <w:b/>
                <w:color w:val="3333CC"/>
              </w:rPr>
              <w:t xml:space="preserve">       Daniel Bennett</w:t>
            </w:r>
          </w:p>
          <w:p w:rsidR="00AB0327" w:rsidRPr="00AB0327" w:rsidRDefault="00AB0327" w:rsidP="00AB0327">
            <w:pPr>
              <w:jc w:val="center"/>
              <w:rPr>
                <w:rFonts w:ascii="Arial" w:hAnsi="Arial" w:cs="Arial"/>
                <w:color w:val="3333CC"/>
              </w:rPr>
            </w:pPr>
            <w:r w:rsidRPr="00AB0327">
              <w:rPr>
                <w:rFonts w:ascii="Arial" w:hAnsi="Arial" w:cs="Arial"/>
                <w:color w:val="3333CC"/>
              </w:rPr>
              <w:t>Secretary</w:t>
            </w:r>
          </w:p>
          <w:p w:rsidR="00AB0327" w:rsidRPr="00AB0327" w:rsidRDefault="00AB0327" w:rsidP="00AB0327">
            <w:pPr>
              <w:ind w:right="-253"/>
              <w:rPr>
                <w:rFonts w:ascii="Arial" w:hAnsi="Arial" w:cs="Arial"/>
                <w:color w:val="3333CC"/>
              </w:rPr>
            </w:pPr>
          </w:p>
          <w:p w:rsidR="00AB0327" w:rsidRPr="00AB0327" w:rsidRDefault="00AB0327" w:rsidP="00AB0327">
            <w:pPr>
              <w:ind w:right="-253"/>
              <w:rPr>
                <w:rFonts w:ascii="Arial" w:hAnsi="Arial" w:cs="Arial"/>
                <w:b/>
                <w:color w:val="3333CC"/>
              </w:rPr>
            </w:pPr>
            <w:r w:rsidRPr="00AB0327">
              <w:rPr>
                <w:rFonts w:ascii="Arial" w:hAnsi="Arial" w:cs="Arial"/>
                <w:b/>
                <w:color w:val="3333CC"/>
              </w:rPr>
              <w:t xml:space="preserve">     Patrick McMurray</w:t>
            </w:r>
          </w:p>
          <w:p w:rsidR="00AB0327" w:rsidRPr="00AB0327" w:rsidRDefault="00AB0327" w:rsidP="00AB0327">
            <w:pPr>
              <w:ind w:right="-253"/>
              <w:rPr>
                <w:rFonts w:ascii="Arial" w:hAnsi="Arial" w:cs="Arial"/>
                <w:color w:val="3333CC"/>
              </w:rPr>
            </w:pPr>
            <w:r w:rsidRPr="00AB0327">
              <w:rPr>
                <w:rFonts w:ascii="Arial" w:hAnsi="Arial" w:cs="Arial"/>
                <w:color w:val="3333CC"/>
              </w:rPr>
              <w:t xml:space="preserve">        Undersecretary</w:t>
            </w:r>
          </w:p>
        </w:tc>
      </w:tr>
    </w:tbl>
    <w:p w:rsidR="00AB0327" w:rsidRPr="00AB0327" w:rsidRDefault="00AB0327" w:rsidP="00AB0327">
      <w:pPr>
        <w:rPr>
          <w:sz w:val="21"/>
          <w:szCs w:val="21"/>
        </w:rPr>
      </w:pPr>
    </w:p>
    <w:p w:rsidR="00AB0327" w:rsidRDefault="00AB0327" w:rsidP="00AB0327">
      <w:pPr>
        <w:tabs>
          <w:tab w:val="center" w:pos="4320"/>
          <w:tab w:val="right" w:pos="8640"/>
        </w:tabs>
        <w:jc w:val="center"/>
        <w:rPr>
          <w:rFonts w:ascii="Arial" w:hAnsi="Arial" w:cs="Arial"/>
          <w:b/>
          <w:sz w:val="24"/>
          <w:szCs w:val="24"/>
        </w:rPr>
      </w:pPr>
    </w:p>
    <w:p w:rsidR="00AB0327" w:rsidRPr="00AB0327" w:rsidRDefault="00AB0327" w:rsidP="00AB0327">
      <w:pPr>
        <w:tabs>
          <w:tab w:val="center" w:pos="4320"/>
          <w:tab w:val="right" w:pos="8640"/>
        </w:tabs>
        <w:jc w:val="center"/>
        <w:rPr>
          <w:rFonts w:ascii="Arial" w:hAnsi="Arial" w:cs="Arial"/>
          <w:b/>
          <w:sz w:val="24"/>
          <w:szCs w:val="24"/>
        </w:rPr>
      </w:pPr>
    </w:p>
    <w:p w:rsidR="00AB0327" w:rsidRPr="00AB0327" w:rsidRDefault="00AB0327" w:rsidP="00AB0327">
      <w:pPr>
        <w:tabs>
          <w:tab w:val="center" w:pos="4320"/>
          <w:tab w:val="right" w:pos="8640"/>
        </w:tabs>
        <w:ind w:left="-720" w:right="-270"/>
        <w:jc w:val="center"/>
        <w:rPr>
          <w:b/>
          <w:sz w:val="52"/>
          <w:szCs w:val="52"/>
        </w:rPr>
      </w:pPr>
      <w:r w:rsidRPr="00AB0327">
        <w:rPr>
          <w:b/>
          <w:smallCaps/>
          <w:sz w:val="52"/>
          <w:szCs w:val="52"/>
        </w:rPr>
        <w:t xml:space="preserve">Notice of funding Opportunity </w:t>
      </w:r>
    </w:p>
    <w:p w:rsidR="00AB0327" w:rsidRPr="00AB0327" w:rsidRDefault="00AB0327" w:rsidP="00AB0327">
      <w:pPr>
        <w:tabs>
          <w:tab w:val="center" w:pos="4320"/>
          <w:tab w:val="center" w:pos="4860"/>
          <w:tab w:val="left" w:pos="8190"/>
          <w:tab w:val="right" w:pos="8640"/>
        </w:tabs>
        <w:jc w:val="center"/>
        <w:rPr>
          <w:b/>
          <w:smallCaps/>
          <w:sz w:val="44"/>
          <w:szCs w:val="44"/>
        </w:rPr>
      </w:pPr>
    </w:p>
    <w:p w:rsidR="00AB0327" w:rsidRPr="00AB0327" w:rsidRDefault="00AB0327" w:rsidP="00AB0327">
      <w:pPr>
        <w:tabs>
          <w:tab w:val="center" w:pos="4320"/>
          <w:tab w:val="center" w:pos="4860"/>
          <w:tab w:val="left" w:pos="8190"/>
          <w:tab w:val="right" w:pos="8640"/>
        </w:tabs>
        <w:jc w:val="center"/>
        <w:rPr>
          <w:b/>
          <w:smallCaps/>
          <w:sz w:val="44"/>
          <w:szCs w:val="44"/>
        </w:rPr>
      </w:pPr>
      <w:r w:rsidRPr="00AB0327">
        <w:rPr>
          <w:b/>
          <w:smallCaps/>
          <w:sz w:val="44"/>
          <w:szCs w:val="44"/>
        </w:rPr>
        <w:t>State FISCAL YEAR 2019</w:t>
      </w:r>
    </w:p>
    <w:p w:rsidR="00AB0327" w:rsidRPr="00AB0327" w:rsidRDefault="00AB0327" w:rsidP="00AB0327">
      <w:pPr>
        <w:tabs>
          <w:tab w:val="center" w:pos="4320"/>
          <w:tab w:val="right" w:pos="8640"/>
        </w:tabs>
        <w:jc w:val="center"/>
        <w:rPr>
          <w:b/>
          <w:smallCaps/>
          <w:sz w:val="44"/>
          <w:szCs w:val="44"/>
        </w:rPr>
      </w:pPr>
    </w:p>
    <w:p w:rsidR="00AB0327" w:rsidRPr="00AB0327" w:rsidRDefault="00AB0327" w:rsidP="00AB0327">
      <w:pPr>
        <w:tabs>
          <w:tab w:val="center" w:pos="4320"/>
          <w:tab w:val="right" w:pos="8640"/>
        </w:tabs>
        <w:jc w:val="center"/>
        <w:rPr>
          <w:b/>
          <w:smallCaps/>
          <w:sz w:val="44"/>
          <w:szCs w:val="44"/>
        </w:rPr>
      </w:pPr>
      <w:r w:rsidRPr="00AB0327">
        <w:rPr>
          <w:b/>
          <w:smallCaps/>
          <w:sz w:val="44"/>
          <w:szCs w:val="44"/>
        </w:rPr>
        <w:t>Commonwealth Nonprofit Security Grant Program</w:t>
      </w:r>
    </w:p>
    <w:p w:rsidR="00AB0327" w:rsidRPr="00AB0327" w:rsidRDefault="00AB0327" w:rsidP="00AB0327">
      <w:pPr>
        <w:tabs>
          <w:tab w:val="center" w:pos="4320"/>
          <w:tab w:val="right" w:pos="8640"/>
        </w:tabs>
        <w:jc w:val="center"/>
        <w:rPr>
          <w:b/>
          <w:smallCaps/>
          <w:sz w:val="44"/>
          <w:szCs w:val="44"/>
        </w:rPr>
      </w:pPr>
    </w:p>
    <w:p w:rsidR="00705254" w:rsidRPr="0054095A" w:rsidRDefault="00705254" w:rsidP="002C0871">
      <w:pPr>
        <w:pBdr>
          <w:bottom w:val="single" w:sz="6" w:space="1" w:color="auto"/>
        </w:pBdr>
        <w:jc w:val="center"/>
        <w:rPr>
          <w:b/>
          <w:sz w:val="24"/>
          <w:szCs w:val="24"/>
        </w:rPr>
        <w:sectPr w:rsidR="00705254" w:rsidRPr="0054095A" w:rsidSect="00892634">
          <w:footerReference w:type="even" r:id="rId9"/>
          <w:footerReference w:type="default" r:id="rId10"/>
          <w:footerReference w:type="first" r:id="rId11"/>
          <w:pgSz w:w="12240" w:h="15840"/>
          <w:pgMar w:top="1080" w:right="1080" w:bottom="1080" w:left="1440" w:header="720" w:footer="720" w:gutter="0"/>
          <w:pgNumType w:start="1"/>
          <w:cols w:space="720"/>
          <w:docGrid w:linePitch="360"/>
        </w:sectPr>
      </w:pPr>
    </w:p>
    <w:p w:rsidR="00892634" w:rsidRPr="00892634" w:rsidRDefault="00892634" w:rsidP="00892634">
      <w:pPr>
        <w:pBdr>
          <w:bottom w:val="single" w:sz="6" w:space="1" w:color="auto"/>
        </w:pBdr>
        <w:jc w:val="center"/>
        <w:rPr>
          <w:b/>
          <w:sz w:val="22"/>
          <w:szCs w:val="22"/>
        </w:rPr>
      </w:pPr>
      <w:r w:rsidRPr="00892634">
        <w:rPr>
          <w:b/>
          <w:sz w:val="22"/>
          <w:szCs w:val="22"/>
        </w:rPr>
        <w:lastRenderedPageBreak/>
        <w:t>TABLE OF CONTENTS</w:t>
      </w:r>
    </w:p>
    <w:p w:rsidR="00892634" w:rsidRPr="00892634" w:rsidRDefault="00892634" w:rsidP="00892634">
      <w:pPr>
        <w:overflowPunct w:val="0"/>
        <w:autoSpaceDE w:val="0"/>
        <w:autoSpaceDN w:val="0"/>
        <w:adjustRightInd w:val="0"/>
        <w:textAlignment w:val="baseline"/>
        <w:rPr>
          <w:b/>
          <w:sz w:val="22"/>
          <w:szCs w:val="22"/>
        </w:rPr>
      </w:pP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INTRODUCTION</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PROGRAM BACKGROUND / FUNDING AMOUNT</w:t>
      </w:r>
    </w:p>
    <w:p w:rsidR="00892634" w:rsidRPr="00892634" w:rsidRDefault="00892634" w:rsidP="00892634">
      <w:pPr>
        <w:numPr>
          <w:ilvl w:val="0"/>
          <w:numId w:val="2"/>
        </w:numPr>
        <w:contextualSpacing/>
        <w:rPr>
          <w:b/>
          <w:sz w:val="22"/>
          <w:szCs w:val="22"/>
        </w:rPr>
      </w:pPr>
      <w:r w:rsidRPr="00892634">
        <w:rPr>
          <w:b/>
          <w:sz w:val="22"/>
          <w:szCs w:val="22"/>
        </w:rPr>
        <w:t>PERIOD OF PERFORMANCE</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ELIGIBILTY</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NOFO CONTACT INFORMATION</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SUBMISSION INSTRUCTIONS / APPLICATION DUE DATE</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PROGRAM DETAILS</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EVALUATION CRITERIA</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PROPOSAL RATING</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FUNDING RECOMMENDATION</w:t>
      </w:r>
      <w:r w:rsidR="00F70CE3">
        <w:rPr>
          <w:b/>
          <w:sz w:val="22"/>
          <w:szCs w:val="22"/>
        </w:rPr>
        <w:t xml:space="preserve"> / NOTIFICATION PROCESS</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POST AWARD REQUIREMENTS</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PROCUREMENT</w:t>
      </w:r>
    </w:p>
    <w:p w:rsidR="00892634" w:rsidRPr="00892634" w:rsidRDefault="00892634" w:rsidP="00892634">
      <w:pPr>
        <w:numPr>
          <w:ilvl w:val="0"/>
          <w:numId w:val="2"/>
        </w:numPr>
        <w:overflowPunct w:val="0"/>
        <w:autoSpaceDE w:val="0"/>
        <w:autoSpaceDN w:val="0"/>
        <w:adjustRightInd w:val="0"/>
        <w:textAlignment w:val="baseline"/>
        <w:rPr>
          <w:b/>
          <w:sz w:val="22"/>
          <w:szCs w:val="22"/>
        </w:rPr>
      </w:pPr>
      <w:r w:rsidRPr="00892634">
        <w:rPr>
          <w:b/>
          <w:sz w:val="22"/>
          <w:szCs w:val="22"/>
        </w:rPr>
        <w:t>APPLICATION CHECKLIST</w:t>
      </w:r>
    </w:p>
    <w:p w:rsidR="00892634" w:rsidRPr="00892634" w:rsidRDefault="00892634" w:rsidP="00892634">
      <w:pPr>
        <w:pBdr>
          <w:bottom w:val="single" w:sz="6" w:space="1" w:color="auto"/>
        </w:pBdr>
        <w:rPr>
          <w:sz w:val="22"/>
          <w:szCs w:val="22"/>
        </w:rPr>
      </w:pPr>
    </w:p>
    <w:p w:rsidR="00892634" w:rsidRPr="00892634" w:rsidRDefault="00892634" w:rsidP="00892634">
      <w:pPr>
        <w:rPr>
          <w:sz w:val="22"/>
          <w:szCs w:val="22"/>
        </w:rPr>
      </w:pPr>
    </w:p>
    <w:p w:rsidR="00892634" w:rsidRPr="00892634" w:rsidRDefault="00892634" w:rsidP="00892634">
      <w:pPr>
        <w:numPr>
          <w:ilvl w:val="0"/>
          <w:numId w:val="3"/>
        </w:numPr>
        <w:contextualSpacing/>
        <w:rPr>
          <w:sz w:val="22"/>
          <w:szCs w:val="22"/>
        </w:rPr>
      </w:pPr>
      <w:r w:rsidRPr="00892634">
        <w:rPr>
          <w:b/>
          <w:sz w:val="22"/>
          <w:szCs w:val="22"/>
        </w:rPr>
        <w:t>INTRODUCTION</w:t>
      </w:r>
    </w:p>
    <w:p w:rsidR="00892634" w:rsidRPr="00892634" w:rsidRDefault="00892634" w:rsidP="00892634">
      <w:pPr>
        <w:rPr>
          <w:sz w:val="18"/>
          <w:szCs w:val="18"/>
        </w:rPr>
      </w:pPr>
    </w:p>
    <w:p w:rsidR="00892634" w:rsidRPr="00892634" w:rsidRDefault="00892634" w:rsidP="00892634">
      <w:pPr>
        <w:ind w:left="360"/>
        <w:rPr>
          <w:sz w:val="22"/>
          <w:szCs w:val="22"/>
        </w:rPr>
      </w:pPr>
      <w:r w:rsidRPr="00892634">
        <w:rPr>
          <w:sz w:val="22"/>
          <w:szCs w:val="22"/>
        </w:rPr>
        <w:t>This Notice of Funding Opportunity (NOFO) provides the information and forms necessary to prepare and submit an application for State Fiscal Year (SFY19) Massachusetts Executive Office of Public Safety and Security (EOPSS) grant funds for the Commonwealth Nonprofit Security Grant Program (CNSGP).</w:t>
      </w:r>
    </w:p>
    <w:p w:rsidR="00892634" w:rsidRPr="00892634" w:rsidRDefault="00892634" w:rsidP="00892634">
      <w:pPr>
        <w:ind w:left="720"/>
        <w:rPr>
          <w:sz w:val="22"/>
          <w:szCs w:val="22"/>
        </w:rPr>
      </w:pPr>
    </w:p>
    <w:p w:rsidR="00892634" w:rsidRPr="00892634" w:rsidRDefault="00892634" w:rsidP="00892634">
      <w:pPr>
        <w:numPr>
          <w:ilvl w:val="0"/>
          <w:numId w:val="3"/>
        </w:numPr>
        <w:contextualSpacing/>
        <w:rPr>
          <w:b/>
          <w:sz w:val="22"/>
          <w:szCs w:val="22"/>
        </w:rPr>
      </w:pPr>
      <w:r w:rsidRPr="00892634">
        <w:rPr>
          <w:b/>
          <w:sz w:val="22"/>
          <w:szCs w:val="22"/>
        </w:rPr>
        <w:t>PROGRAM BACKGROUND / FUNDING AMOUNT</w:t>
      </w:r>
    </w:p>
    <w:p w:rsidR="00892634" w:rsidRPr="00892634" w:rsidRDefault="00892634" w:rsidP="00892634">
      <w:pPr>
        <w:ind w:left="720"/>
        <w:contextualSpacing/>
        <w:rPr>
          <w:b/>
          <w:sz w:val="18"/>
          <w:szCs w:val="18"/>
        </w:rPr>
      </w:pPr>
    </w:p>
    <w:p w:rsidR="00892634" w:rsidRPr="00892634" w:rsidRDefault="00892634" w:rsidP="00892634">
      <w:pPr>
        <w:autoSpaceDE w:val="0"/>
        <w:autoSpaceDN w:val="0"/>
        <w:adjustRightInd w:val="0"/>
        <w:ind w:left="360"/>
        <w:rPr>
          <w:color w:val="000000"/>
          <w:sz w:val="22"/>
          <w:szCs w:val="22"/>
        </w:rPr>
      </w:pPr>
      <w:r w:rsidRPr="00892634">
        <w:rPr>
          <w:color w:val="000000"/>
          <w:sz w:val="22"/>
          <w:szCs w:val="22"/>
        </w:rPr>
        <w:t>On May 21, 2018, the U.S. Department of Homeland Security (DHS)/Federal Emergency Management Agency (FEMA) released the Federal Fiscal Year 2018 (FFY18) Nonprofit Security Grant Program (NSGP) Notice of Funding Opportunity announcement. The FFY18 NSGP is a federal program designed to support security enhancements for nonprofit organizations that are at high risk of a terrorist attack.</w:t>
      </w:r>
    </w:p>
    <w:p w:rsidR="00892634" w:rsidRPr="00892634" w:rsidRDefault="00892634" w:rsidP="00892634">
      <w:pPr>
        <w:ind w:left="720"/>
        <w:contextualSpacing/>
        <w:rPr>
          <w:b/>
          <w:sz w:val="22"/>
          <w:szCs w:val="22"/>
        </w:rPr>
      </w:pPr>
    </w:p>
    <w:p w:rsidR="00892634" w:rsidRPr="00892634" w:rsidRDefault="009775D3" w:rsidP="00892634">
      <w:pPr>
        <w:ind w:left="360"/>
        <w:rPr>
          <w:sz w:val="22"/>
          <w:szCs w:val="22"/>
        </w:rPr>
      </w:pPr>
      <w:r>
        <w:rPr>
          <w:sz w:val="22"/>
          <w:szCs w:val="22"/>
        </w:rPr>
        <w:t xml:space="preserve">Due to the increasing threat Massachusetts considers terrorism preparedness a priority and has set aside state funding to assist. </w:t>
      </w:r>
      <w:r w:rsidR="00892634" w:rsidRPr="00892634">
        <w:rPr>
          <w:sz w:val="22"/>
          <w:szCs w:val="22"/>
        </w:rPr>
        <w:t xml:space="preserve">In accordance with Massachusetts Budget Summary SFY 2019, </w:t>
      </w:r>
      <w:hyperlink r:id="rId12" w:history="1">
        <w:r w:rsidR="00892634" w:rsidRPr="00892634">
          <w:rPr>
            <w:color w:val="0000FF"/>
            <w:sz w:val="22"/>
            <w:szCs w:val="22"/>
            <w:u w:val="single"/>
          </w:rPr>
          <w:t>80000313 - Local Public Safety Projects and Grants Earmarks</w:t>
        </w:r>
      </w:hyperlink>
      <w:r w:rsidR="00892634" w:rsidRPr="00892634">
        <w:rPr>
          <w:sz w:val="22"/>
          <w:szCs w:val="22"/>
        </w:rPr>
        <w:t>…not less than $150,000 shall be expended for a non-profit security grant pilot program for non-profit organization that are at high risk of terrorist attack and are ineligible for the United States Department of Homeland Security’s Non-profit Security Grant Program based on their location; provided further, that:</w:t>
      </w:r>
    </w:p>
    <w:p w:rsidR="00892634" w:rsidRPr="00892634" w:rsidRDefault="00892634" w:rsidP="00892634">
      <w:pPr>
        <w:numPr>
          <w:ilvl w:val="0"/>
          <w:numId w:val="15"/>
        </w:numPr>
        <w:ind w:left="1080"/>
        <w:contextualSpacing/>
        <w:rPr>
          <w:sz w:val="22"/>
          <w:szCs w:val="22"/>
        </w:rPr>
      </w:pPr>
      <w:r w:rsidRPr="00892634">
        <w:rPr>
          <w:sz w:val="22"/>
          <w:szCs w:val="22"/>
        </w:rPr>
        <w:t>Not less than one such grant shall be awarded to a non-profit organization in the eastern region of the state;</w:t>
      </w:r>
    </w:p>
    <w:p w:rsidR="00892634" w:rsidRPr="00892634" w:rsidRDefault="00892634" w:rsidP="00892634">
      <w:pPr>
        <w:numPr>
          <w:ilvl w:val="0"/>
          <w:numId w:val="15"/>
        </w:numPr>
        <w:ind w:left="1080"/>
        <w:contextualSpacing/>
        <w:rPr>
          <w:sz w:val="22"/>
          <w:szCs w:val="22"/>
        </w:rPr>
      </w:pPr>
      <w:r w:rsidRPr="00892634">
        <w:rPr>
          <w:sz w:val="22"/>
          <w:szCs w:val="22"/>
        </w:rPr>
        <w:t>Not less than one such grant shall be awarded to ta non-profit organization in the central region of the state and;</w:t>
      </w:r>
    </w:p>
    <w:p w:rsidR="00EC260B" w:rsidRPr="00892634" w:rsidRDefault="00892634" w:rsidP="00892634">
      <w:pPr>
        <w:numPr>
          <w:ilvl w:val="0"/>
          <w:numId w:val="15"/>
        </w:numPr>
        <w:ind w:left="1080"/>
        <w:contextualSpacing/>
        <w:rPr>
          <w:sz w:val="22"/>
          <w:szCs w:val="22"/>
        </w:rPr>
      </w:pPr>
      <w:r w:rsidRPr="00892634">
        <w:rPr>
          <w:sz w:val="22"/>
          <w:szCs w:val="22"/>
        </w:rPr>
        <w:t>Not less than one such grant shall be awarded to the western region of the state.</w:t>
      </w:r>
    </w:p>
    <w:p w:rsidR="00892634" w:rsidRPr="00892634" w:rsidRDefault="00892634" w:rsidP="00892634">
      <w:pPr>
        <w:ind w:left="720"/>
        <w:rPr>
          <w:sz w:val="22"/>
          <w:szCs w:val="22"/>
        </w:rPr>
      </w:pPr>
    </w:p>
    <w:p w:rsidR="00892634" w:rsidRPr="00892634" w:rsidRDefault="00892634" w:rsidP="00892634">
      <w:pPr>
        <w:ind w:left="360"/>
        <w:rPr>
          <w:sz w:val="22"/>
          <w:szCs w:val="22"/>
        </w:rPr>
      </w:pPr>
      <w:r w:rsidRPr="00892634">
        <w:rPr>
          <w:sz w:val="22"/>
          <w:szCs w:val="22"/>
        </w:rPr>
        <w:t xml:space="preserve">Applicants are encouraged to apply only for the amount of funding necessary to safeguard their facility and enhance preparedness at their facility. The funding requests are capped at $50,000 per project.  </w:t>
      </w:r>
    </w:p>
    <w:p w:rsidR="00892634" w:rsidRPr="00892634" w:rsidRDefault="00892634" w:rsidP="00892634">
      <w:pPr>
        <w:ind w:left="360"/>
        <w:rPr>
          <w:sz w:val="22"/>
          <w:szCs w:val="22"/>
        </w:rPr>
      </w:pPr>
    </w:p>
    <w:p w:rsidR="00892634" w:rsidRPr="00892634" w:rsidRDefault="00892634" w:rsidP="00892634">
      <w:pPr>
        <w:numPr>
          <w:ilvl w:val="0"/>
          <w:numId w:val="3"/>
        </w:numPr>
        <w:contextualSpacing/>
        <w:rPr>
          <w:b/>
          <w:sz w:val="22"/>
          <w:szCs w:val="22"/>
        </w:rPr>
      </w:pPr>
      <w:r w:rsidRPr="00892634">
        <w:rPr>
          <w:b/>
          <w:sz w:val="22"/>
          <w:szCs w:val="22"/>
        </w:rPr>
        <w:t>PERIOD OF PERFORMANCE</w:t>
      </w:r>
    </w:p>
    <w:p w:rsidR="00892634" w:rsidRPr="00892634" w:rsidRDefault="00892634" w:rsidP="00892634">
      <w:pPr>
        <w:tabs>
          <w:tab w:val="right" w:leader="dot" w:pos="10800"/>
        </w:tabs>
        <w:ind w:left="720"/>
        <w:rPr>
          <w:sz w:val="18"/>
          <w:szCs w:val="18"/>
        </w:rPr>
      </w:pPr>
    </w:p>
    <w:p w:rsidR="00892634" w:rsidRPr="00892634" w:rsidRDefault="00892634" w:rsidP="00892634">
      <w:pPr>
        <w:ind w:left="360"/>
        <w:rPr>
          <w:sz w:val="22"/>
          <w:szCs w:val="22"/>
        </w:rPr>
      </w:pPr>
      <w:r w:rsidRPr="00892634">
        <w:rPr>
          <w:sz w:val="22"/>
          <w:szCs w:val="22"/>
        </w:rPr>
        <w:t xml:space="preserve">The SFY19 CNSGP period of performance for this grant is anticipated to begin February 1, 2019, and will end no later than June 30, 2019. Awarded funds not spent by June 30, 2019 will be reverted back to the Commonwealth. </w:t>
      </w:r>
    </w:p>
    <w:p w:rsidR="00892634" w:rsidRDefault="00892634" w:rsidP="00892634">
      <w:pPr>
        <w:ind w:left="720"/>
        <w:rPr>
          <w:sz w:val="22"/>
          <w:szCs w:val="22"/>
        </w:rPr>
      </w:pPr>
    </w:p>
    <w:p w:rsidR="00892634" w:rsidRPr="00892634" w:rsidRDefault="00892634" w:rsidP="00892634">
      <w:pPr>
        <w:numPr>
          <w:ilvl w:val="0"/>
          <w:numId w:val="3"/>
        </w:numPr>
        <w:contextualSpacing/>
        <w:rPr>
          <w:b/>
          <w:sz w:val="22"/>
          <w:szCs w:val="22"/>
        </w:rPr>
      </w:pPr>
      <w:r w:rsidRPr="00892634">
        <w:rPr>
          <w:b/>
          <w:sz w:val="22"/>
          <w:szCs w:val="22"/>
        </w:rPr>
        <w:t>ELIGIBILITY</w:t>
      </w:r>
    </w:p>
    <w:p w:rsidR="00892634" w:rsidRPr="00892634" w:rsidRDefault="00892634" w:rsidP="00892634">
      <w:pPr>
        <w:rPr>
          <w:sz w:val="18"/>
          <w:szCs w:val="18"/>
        </w:rPr>
      </w:pPr>
    </w:p>
    <w:p w:rsidR="00892634" w:rsidRPr="00892634" w:rsidRDefault="00892634" w:rsidP="00892634">
      <w:pPr>
        <w:tabs>
          <w:tab w:val="left" w:pos="450"/>
          <w:tab w:val="left" w:pos="1080"/>
        </w:tabs>
        <w:autoSpaceDE w:val="0"/>
        <w:autoSpaceDN w:val="0"/>
        <w:adjustRightInd w:val="0"/>
        <w:ind w:left="360"/>
        <w:rPr>
          <w:color w:val="000000"/>
          <w:sz w:val="22"/>
          <w:szCs w:val="22"/>
        </w:rPr>
      </w:pPr>
      <w:r w:rsidRPr="00892634">
        <w:rPr>
          <w:color w:val="000000"/>
          <w:sz w:val="22"/>
          <w:szCs w:val="22"/>
        </w:rPr>
        <w:t>Eligible applicants are only those nonprofit organizations that are located within the Commonwealth of Massachusetts and outside of the Metro-Boston Homeland Security Region.  Applicants must have been determined to be at high risk of a terrorist</w:t>
      </w:r>
      <w:r w:rsidRPr="00892634">
        <w:rPr>
          <w:color w:val="000000"/>
          <w:spacing w:val="-5"/>
          <w:sz w:val="22"/>
          <w:szCs w:val="22"/>
        </w:rPr>
        <w:t xml:space="preserve"> </w:t>
      </w:r>
      <w:r w:rsidRPr="00892634">
        <w:rPr>
          <w:color w:val="000000"/>
          <w:sz w:val="22"/>
          <w:szCs w:val="22"/>
        </w:rPr>
        <w:t>attack and must meet requirements as described under section 501 (c) (3) of the Internal Revenue Code of 1986 (IRC) and exempt from tax under section 501 (a) of such code. Further information can be found at the following links:</w:t>
      </w:r>
    </w:p>
    <w:p w:rsidR="00892634" w:rsidRPr="00892634" w:rsidRDefault="00B16B40" w:rsidP="00892634">
      <w:pPr>
        <w:numPr>
          <w:ilvl w:val="0"/>
          <w:numId w:val="14"/>
        </w:numPr>
        <w:autoSpaceDE w:val="0"/>
        <w:autoSpaceDN w:val="0"/>
        <w:adjustRightInd w:val="0"/>
        <w:ind w:left="1080" w:hanging="270"/>
        <w:rPr>
          <w:color w:val="0000FF"/>
          <w:sz w:val="22"/>
          <w:szCs w:val="22"/>
        </w:rPr>
      </w:pPr>
      <w:hyperlink r:id="rId13" w:history="1">
        <w:r w:rsidR="00892634" w:rsidRPr="00892634">
          <w:rPr>
            <w:color w:val="0000FF"/>
            <w:sz w:val="22"/>
            <w:szCs w:val="22"/>
            <w:u w:val="single"/>
          </w:rPr>
          <w:t>https://www.irs.gov/charities-non-profits/charitable-organizations/exemption-requirements-section-501-c-3-organizations</w:t>
        </w:r>
      </w:hyperlink>
    </w:p>
    <w:p w:rsidR="00892634" w:rsidRPr="00892634" w:rsidRDefault="00B16B40" w:rsidP="00892634">
      <w:pPr>
        <w:numPr>
          <w:ilvl w:val="0"/>
          <w:numId w:val="14"/>
        </w:numPr>
        <w:autoSpaceDE w:val="0"/>
        <w:autoSpaceDN w:val="0"/>
        <w:adjustRightInd w:val="0"/>
        <w:ind w:left="1080" w:hanging="270"/>
        <w:rPr>
          <w:color w:val="0000FF"/>
          <w:sz w:val="22"/>
          <w:szCs w:val="22"/>
        </w:rPr>
      </w:pPr>
      <w:hyperlink r:id="rId14" w:history="1">
        <w:r w:rsidR="00892634" w:rsidRPr="00892634">
          <w:rPr>
            <w:color w:val="0000FF"/>
            <w:sz w:val="22"/>
            <w:szCs w:val="22"/>
            <w:u w:val="single"/>
          </w:rPr>
          <w:t>https://www.irs.gov/publications/p557/ch03.html</w:t>
        </w:r>
      </w:hyperlink>
    </w:p>
    <w:p w:rsidR="00892634" w:rsidRPr="00892634" w:rsidRDefault="00B16B40" w:rsidP="00892634">
      <w:pPr>
        <w:numPr>
          <w:ilvl w:val="0"/>
          <w:numId w:val="14"/>
        </w:numPr>
        <w:autoSpaceDE w:val="0"/>
        <w:autoSpaceDN w:val="0"/>
        <w:adjustRightInd w:val="0"/>
        <w:ind w:left="1080" w:hanging="270"/>
        <w:rPr>
          <w:color w:val="0000FF"/>
          <w:sz w:val="22"/>
          <w:szCs w:val="22"/>
        </w:rPr>
      </w:pPr>
      <w:hyperlink r:id="rId15" w:history="1">
        <w:r w:rsidR="00892634" w:rsidRPr="00892634">
          <w:rPr>
            <w:color w:val="0000FF"/>
            <w:sz w:val="22"/>
            <w:szCs w:val="22"/>
            <w:u w:val="single"/>
          </w:rPr>
          <w:t>https://www.irs.gov/charities-non-profits</w:t>
        </w:r>
      </w:hyperlink>
    </w:p>
    <w:p w:rsidR="00892634" w:rsidRPr="00892634" w:rsidRDefault="00892634" w:rsidP="00892634">
      <w:pPr>
        <w:autoSpaceDE w:val="0"/>
        <w:autoSpaceDN w:val="0"/>
        <w:adjustRightInd w:val="0"/>
        <w:ind w:left="810"/>
        <w:rPr>
          <w:color w:val="000000"/>
          <w:sz w:val="22"/>
          <w:szCs w:val="22"/>
        </w:rPr>
      </w:pPr>
    </w:p>
    <w:p w:rsidR="00892634" w:rsidRPr="00892634" w:rsidRDefault="00892634" w:rsidP="00892634">
      <w:pPr>
        <w:tabs>
          <w:tab w:val="left" w:pos="450"/>
          <w:tab w:val="left" w:pos="1080"/>
        </w:tabs>
        <w:autoSpaceDE w:val="0"/>
        <w:autoSpaceDN w:val="0"/>
        <w:adjustRightInd w:val="0"/>
        <w:ind w:left="360"/>
        <w:rPr>
          <w:sz w:val="22"/>
          <w:szCs w:val="22"/>
          <w:shd w:val="clear" w:color="auto" w:fill="FFFFFF"/>
        </w:rPr>
      </w:pPr>
      <w:r w:rsidRPr="00892634">
        <w:rPr>
          <w:sz w:val="22"/>
          <w:szCs w:val="22"/>
        </w:rPr>
        <w:t xml:space="preserve">Applicants located within </w:t>
      </w:r>
      <w:r w:rsidRPr="00892634">
        <w:rPr>
          <w:sz w:val="22"/>
          <w:szCs w:val="22"/>
          <w:shd w:val="clear" w:color="auto" w:fill="FFFFFF"/>
        </w:rPr>
        <w:t xml:space="preserve">Boston, Brookline, Cambridge, Chelsea, Everett, Quincy, </w:t>
      </w:r>
      <w:r w:rsidRPr="00892634">
        <w:rPr>
          <w:bCs/>
          <w:sz w:val="22"/>
          <w:szCs w:val="22"/>
          <w:shd w:val="clear" w:color="auto" w:fill="FFFFFF"/>
        </w:rPr>
        <w:t>Revere</w:t>
      </w:r>
      <w:r w:rsidRPr="00892634">
        <w:rPr>
          <w:b/>
          <w:bCs/>
          <w:sz w:val="22"/>
          <w:szCs w:val="22"/>
          <w:shd w:val="clear" w:color="auto" w:fill="FFFFFF"/>
        </w:rPr>
        <w:t xml:space="preserve">, </w:t>
      </w:r>
      <w:r w:rsidRPr="00892634">
        <w:rPr>
          <w:sz w:val="22"/>
          <w:szCs w:val="22"/>
          <w:shd w:val="clear" w:color="auto" w:fill="FFFFFF"/>
        </w:rPr>
        <w:t xml:space="preserve">Somerville, Winthrop considered those communities within the Metro-Boston Homeland Security Region and are not eligible to apply for this funds. </w:t>
      </w:r>
    </w:p>
    <w:p w:rsidR="00892634" w:rsidRPr="00892634" w:rsidRDefault="00892634" w:rsidP="00892634">
      <w:pPr>
        <w:tabs>
          <w:tab w:val="left" w:pos="450"/>
          <w:tab w:val="left" w:pos="1080"/>
        </w:tabs>
        <w:autoSpaceDE w:val="0"/>
        <w:autoSpaceDN w:val="0"/>
        <w:adjustRightInd w:val="0"/>
        <w:ind w:left="360"/>
        <w:rPr>
          <w:sz w:val="22"/>
          <w:szCs w:val="22"/>
          <w:shd w:val="clear" w:color="auto" w:fill="FFFFFF"/>
        </w:rPr>
      </w:pPr>
    </w:p>
    <w:p w:rsidR="00892634" w:rsidRPr="00892634" w:rsidRDefault="00892634" w:rsidP="00892634">
      <w:pPr>
        <w:tabs>
          <w:tab w:val="left" w:pos="450"/>
          <w:tab w:val="left" w:pos="1080"/>
        </w:tabs>
        <w:autoSpaceDE w:val="0"/>
        <w:autoSpaceDN w:val="0"/>
        <w:adjustRightInd w:val="0"/>
        <w:ind w:left="360"/>
        <w:rPr>
          <w:color w:val="000000"/>
          <w:sz w:val="22"/>
          <w:szCs w:val="22"/>
        </w:rPr>
      </w:pPr>
      <w:r w:rsidRPr="00892634">
        <w:rPr>
          <w:sz w:val="22"/>
          <w:szCs w:val="22"/>
          <w:shd w:val="clear" w:color="auto" w:fill="FFFFFF"/>
        </w:rPr>
        <w:t>Nonprofit organizations within the Metro-Boston Homeland Security Region are eligible for Federal funding further detailed at</w:t>
      </w:r>
      <w:r w:rsidRPr="00892634">
        <w:rPr>
          <w:color w:val="545454"/>
          <w:sz w:val="22"/>
          <w:szCs w:val="22"/>
          <w:shd w:val="clear" w:color="auto" w:fill="FFFFFF"/>
        </w:rPr>
        <w:t xml:space="preserve"> </w:t>
      </w:r>
      <w:hyperlink r:id="rId16" w:history="1">
        <w:r w:rsidRPr="00892634">
          <w:rPr>
            <w:color w:val="0000FF"/>
            <w:sz w:val="22"/>
            <w:szCs w:val="22"/>
            <w:u w:val="single"/>
            <w:shd w:val="clear" w:color="auto" w:fill="FFFFFF"/>
          </w:rPr>
          <w:t>https://www.fema.gov/nonprofit-security-grant-program</w:t>
        </w:r>
      </w:hyperlink>
      <w:r w:rsidRPr="00892634">
        <w:rPr>
          <w:color w:val="545454"/>
          <w:sz w:val="22"/>
          <w:szCs w:val="22"/>
          <w:shd w:val="clear" w:color="auto" w:fill="FFFFFF"/>
        </w:rPr>
        <w:t>)</w:t>
      </w:r>
    </w:p>
    <w:p w:rsidR="00892634" w:rsidRPr="00892634" w:rsidRDefault="00892634" w:rsidP="00892634">
      <w:pPr>
        <w:autoSpaceDE w:val="0"/>
        <w:autoSpaceDN w:val="0"/>
        <w:adjustRightInd w:val="0"/>
        <w:ind w:left="360"/>
        <w:rPr>
          <w:color w:val="0000FF"/>
          <w:sz w:val="22"/>
          <w:szCs w:val="22"/>
        </w:rPr>
      </w:pPr>
    </w:p>
    <w:p w:rsidR="00892634" w:rsidRPr="00892634" w:rsidRDefault="00892634" w:rsidP="00892634">
      <w:pPr>
        <w:tabs>
          <w:tab w:val="left" w:pos="450"/>
          <w:tab w:val="left" w:pos="1080"/>
        </w:tabs>
        <w:autoSpaceDE w:val="0"/>
        <w:autoSpaceDN w:val="0"/>
        <w:adjustRightInd w:val="0"/>
        <w:ind w:left="360"/>
        <w:rPr>
          <w:color w:val="1E477B"/>
          <w:sz w:val="24"/>
          <w:szCs w:val="24"/>
        </w:rPr>
      </w:pPr>
      <w:r w:rsidRPr="00892634">
        <w:rPr>
          <w:color w:val="000000"/>
          <w:sz w:val="22"/>
          <w:szCs w:val="22"/>
        </w:rPr>
        <w:t>Note:</w:t>
      </w:r>
      <w:r w:rsidRPr="00892634">
        <w:rPr>
          <w:color w:val="000000"/>
          <w:sz w:val="24"/>
          <w:szCs w:val="24"/>
        </w:rPr>
        <w:t xml:space="preserve"> </w:t>
      </w:r>
      <w:r w:rsidRPr="00892634">
        <w:rPr>
          <w:i/>
          <w:color w:val="000000"/>
        </w:rPr>
        <w:t>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evidence that they are nonprofit organizations (as described under section 501(c)(3) of the Internal Revenue Code of 1986 and exempt from tax under section 501(a) of such code).  These organizations are not required to provide recognition of exemption. For organizations that the IRS requires to apply for and receive a recognition of exemption under 501(c)(3), the state may or may not require recognition of exemption, as long as the method chosen is applied consistently</w:t>
      </w:r>
      <w:r w:rsidRPr="00892634">
        <w:rPr>
          <w:color w:val="1E477B"/>
        </w:rPr>
        <w:t>.</w:t>
      </w:r>
    </w:p>
    <w:p w:rsidR="00892634" w:rsidRPr="00892634" w:rsidRDefault="00892634" w:rsidP="00892634">
      <w:pPr>
        <w:tabs>
          <w:tab w:val="left" w:pos="450"/>
          <w:tab w:val="left" w:pos="1080"/>
        </w:tabs>
        <w:autoSpaceDE w:val="0"/>
        <w:autoSpaceDN w:val="0"/>
        <w:adjustRightInd w:val="0"/>
        <w:ind w:left="720"/>
        <w:rPr>
          <w:color w:val="1E477B"/>
          <w:sz w:val="22"/>
          <w:szCs w:val="22"/>
        </w:rPr>
      </w:pPr>
    </w:p>
    <w:p w:rsidR="00892634" w:rsidRPr="00892634" w:rsidRDefault="00892634" w:rsidP="00892634">
      <w:pPr>
        <w:numPr>
          <w:ilvl w:val="0"/>
          <w:numId w:val="3"/>
        </w:numPr>
        <w:contextualSpacing/>
        <w:rPr>
          <w:b/>
          <w:sz w:val="22"/>
          <w:szCs w:val="22"/>
        </w:rPr>
      </w:pPr>
      <w:r w:rsidRPr="00892634">
        <w:rPr>
          <w:b/>
          <w:sz w:val="22"/>
          <w:szCs w:val="22"/>
        </w:rPr>
        <w:t>NOFO CONTACT INFORMATION</w:t>
      </w:r>
    </w:p>
    <w:p w:rsidR="00892634" w:rsidRPr="00892634" w:rsidRDefault="00892634" w:rsidP="00892634">
      <w:pPr>
        <w:rPr>
          <w:sz w:val="18"/>
          <w:szCs w:val="18"/>
        </w:rPr>
      </w:pPr>
    </w:p>
    <w:p w:rsidR="00892634" w:rsidRPr="00892634" w:rsidRDefault="00892634" w:rsidP="00892634">
      <w:pPr>
        <w:ind w:left="360"/>
        <w:rPr>
          <w:sz w:val="22"/>
          <w:szCs w:val="22"/>
        </w:rPr>
      </w:pPr>
      <w:r w:rsidRPr="00892634">
        <w:rPr>
          <w:sz w:val="22"/>
          <w:szCs w:val="22"/>
        </w:rPr>
        <w:t xml:space="preserve">Questions concerning this NOFO, the proposal process, or programmatic issues should be submitted via e-mail to: </w:t>
      </w:r>
      <w:hyperlink r:id="rId17" w:history="1">
        <w:r w:rsidRPr="00892634">
          <w:rPr>
            <w:color w:val="0000FF"/>
            <w:sz w:val="22"/>
            <w:szCs w:val="22"/>
            <w:u w:val="single"/>
          </w:rPr>
          <w:t>CNSGP.PC@Mass.gov</w:t>
        </w:r>
      </w:hyperlink>
    </w:p>
    <w:p w:rsidR="00892634" w:rsidRPr="00892634" w:rsidRDefault="00892634" w:rsidP="00892634">
      <w:pPr>
        <w:ind w:left="360"/>
        <w:rPr>
          <w:bCs/>
          <w:sz w:val="22"/>
          <w:szCs w:val="22"/>
        </w:rPr>
      </w:pPr>
    </w:p>
    <w:p w:rsidR="00892634" w:rsidRPr="00892634" w:rsidRDefault="00892634" w:rsidP="00892634">
      <w:pPr>
        <w:ind w:left="360"/>
        <w:rPr>
          <w:sz w:val="22"/>
          <w:szCs w:val="22"/>
        </w:rPr>
      </w:pPr>
      <w:r w:rsidRPr="00892634">
        <w:rPr>
          <w:sz w:val="22"/>
          <w:szCs w:val="22"/>
        </w:rPr>
        <w:t>Please note that due to the competitive nature of this NOFO, EOPSS staff will not be able to assist applicants with the actual preparation of their proposal. During the period of time between the publication date of the NOFO and the date the competitive proposal is due, EOPSS can only respond to technical questions about the NOFO.</w:t>
      </w:r>
    </w:p>
    <w:p w:rsidR="00892634" w:rsidRPr="00892634" w:rsidRDefault="00892634" w:rsidP="00892634">
      <w:pPr>
        <w:rPr>
          <w:sz w:val="22"/>
          <w:szCs w:val="22"/>
        </w:rPr>
      </w:pPr>
    </w:p>
    <w:p w:rsidR="00892634" w:rsidRPr="00892634" w:rsidRDefault="00892634" w:rsidP="00892634">
      <w:pPr>
        <w:numPr>
          <w:ilvl w:val="0"/>
          <w:numId w:val="3"/>
        </w:numPr>
        <w:contextualSpacing/>
        <w:rPr>
          <w:b/>
          <w:sz w:val="22"/>
          <w:szCs w:val="22"/>
        </w:rPr>
      </w:pPr>
      <w:r w:rsidRPr="00892634">
        <w:rPr>
          <w:b/>
          <w:sz w:val="22"/>
          <w:szCs w:val="22"/>
        </w:rPr>
        <w:t>SUBMISSION INSTRUCTIONS / APPLICATION DUE DATE</w:t>
      </w:r>
    </w:p>
    <w:p w:rsidR="00892634" w:rsidRPr="00892634" w:rsidRDefault="00892634" w:rsidP="00892634">
      <w:pPr>
        <w:rPr>
          <w:sz w:val="18"/>
          <w:szCs w:val="18"/>
        </w:rPr>
      </w:pPr>
    </w:p>
    <w:p w:rsidR="00892634" w:rsidRPr="00892634" w:rsidRDefault="00892634" w:rsidP="00892634">
      <w:pPr>
        <w:numPr>
          <w:ilvl w:val="0"/>
          <w:numId w:val="9"/>
        </w:numPr>
        <w:tabs>
          <w:tab w:val="right" w:leader="dot" w:pos="10800"/>
        </w:tabs>
        <w:contextualSpacing/>
        <w:rPr>
          <w:bCs/>
          <w:sz w:val="22"/>
          <w:szCs w:val="22"/>
        </w:rPr>
      </w:pPr>
      <w:r w:rsidRPr="00892634">
        <w:rPr>
          <w:i/>
          <w:sz w:val="22"/>
          <w:szCs w:val="22"/>
        </w:rPr>
        <w:t>Letter of Intent.</w:t>
      </w:r>
      <w:r w:rsidRPr="00892634">
        <w:rPr>
          <w:b/>
          <w:sz w:val="22"/>
          <w:szCs w:val="22"/>
        </w:rPr>
        <w:t xml:space="preserve"> </w:t>
      </w:r>
      <w:r w:rsidRPr="00892634">
        <w:rPr>
          <w:sz w:val="22"/>
          <w:szCs w:val="22"/>
        </w:rPr>
        <w:t>Applicants intending to apply for the SFY2019 CNSGP must email a non-binding</w:t>
      </w:r>
      <w:r w:rsidR="00376673">
        <w:rPr>
          <w:sz w:val="22"/>
          <w:szCs w:val="22"/>
        </w:rPr>
        <w:t xml:space="preserve"> letter of intent by December 24</w:t>
      </w:r>
      <w:r w:rsidRPr="00892634">
        <w:rPr>
          <w:sz w:val="22"/>
          <w:szCs w:val="22"/>
        </w:rPr>
        <w:t xml:space="preserve">, 2018 to </w:t>
      </w:r>
      <w:hyperlink r:id="rId18" w:history="1">
        <w:r w:rsidRPr="00892634">
          <w:rPr>
            <w:color w:val="0000FF"/>
            <w:sz w:val="22"/>
            <w:szCs w:val="22"/>
            <w:u w:val="single"/>
          </w:rPr>
          <w:t>CNSGP.PC@Mass.gov</w:t>
        </w:r>
      </w:hyperlink>
    </w:p>
    <w:p w:rsidR="00892634" w:rsidRPr="00892634" w:rsidRDefault="00892634" w:rsidP="00892634">
      <w:pPr>
        <w:tabs>
          <w:tab w:val="right" w:leader="dot" w:pos="10800"/>
        </w:tabs>
        <w:ind w:left="720"/>
        <w:contextualSpacing/>
        <w:rPr>
          <w:bCs/>
          <w:sz w:val="22"/>
          <w:szCs w:val="22"/>
        </w:rPr>
      </w:pPr>
    </w:p>
    <w:p w:rsidR="00892634" w:rsidRDefault="00892634" w:rsidP="00892634">
      <w:pPr>
        <w:numPr>
          <w:ilvl w:val="0"/>
          <w:numId w:val="9"/>
        </w:numPr>
        <w:tabs>
          <w:tab w:val="right" w:leader="dot" w:pos="10800"/>
        </w:tabs>
        <w:contextualSpacing/>
        <w:rPr>
          <w:sz w:val="22"/>
          <w:szCs w:val="22"/>
        </w:rPr>
      </w:pPr>
      <w:r w:rsidRPr="00892634">
        <w:rPr>
          <w:i/>
          <w:sz w:val="22"/>
          <w:szCs w:val="22"/>
        </w:rPr>
        <w:t>Application Instructions.</w:t>
      </w:r>
      <w:r w:rsidRPr="00892634">
        <w:rPr>
          <w:sz w:val="22"/>
          <w:szCs w:val="22"/>
        </w:rPr>
        <w:t xml:space="preserve"> Acceptable applications include:</w:t>
      </w:r>
    </w:p>
    <w:p w:rsidR="00892634" w:rsidRPr="00892634" w:rsidRDefault="00892634" w:rsidP="00892634">
      <w:pPr>
        <w:tabs>
          <w:tab w:val="right" w:leader="dot" w:pos="10800"/>
        </w:tabs>
        <w:contextualSpacing/>
        <w:rPr>
          <w:sz w:val="22"/>
          <w:szCs w:val="22"/>
        </w:rPr>
      </w:pPr>
    </w:p>
    <w:p w:rsidR="00892634" w:rsidRPr="00892634" w:rsidRDefault="00892634" w:rsidP="00892634">
      <w:pPr>
        <w:widowControl w:val="0"/>
        <w:numPr>
          <w:ilvl w:val="0"/>
          <w:numId w:val="7"/>
        </w:numPr>
        <w:tabs>
          <w:tab w:val="left" w:pos="1243"/>
          <w:tab w:val="left" w:pos="1244"/>
        </w:tabs>
        <w:autoSpaceDE w:val="0"/>
        <w:autoSpaceDN w:val="0"/>
        <w:spacing w:before="31" w:line="276" w:lineRule="auto"/>
        <w:ind w:right="410"/>
        <w:rPr>
          <w:rFonts w:eastAsia="Calibri"/>
          <w:sz w:val="22"/>
          <w:szCs w:val="22"/>
        </w:rPr>
      </w:pPr>
      <w:r w:rsidRPr="00892634">
        <w:rPr>
          <w:rFonts w:eastAsia="Calibri"/>
          <w:sz w:val="22"/>
          <w:szCs w:val="22"/>
        </w:rPr>
        <w:t>501(c)(3) letter which designates an organization as being not for profit or self-declared letter from the organization stating that they qualify for 501(c)(3)</w:t>
      </w:r>
      <w:r w:rsidRPr="00892634">
        <w:rPr>
          <w:rFonts w:eastAsia="Calibri"/>
          <w:spacing w:val="-12"/>
          <w:sz w:val="22"/>
          <w:szCs w:val="22"/>
        </w:rPr>
        <w:t xml:space="preserve"> </w:t>
      </w:r>
      <w:r w:rsidRPr="00892634">
        <w:rPr>
          <w:rFonts w:eastAsia="Calibri"/>
          <w:sz w:val="22"/>
          <w:szCs w:val="22"/>
        </w:rPr>
        <w:t>status.</w:t>
      </w:r>
    </w:p>
    <w:p w:rsidR="00892634" w:rsidRPr="00892634" w:rsidRDefault="00892634" w:rsidP="00892634">
      <w:pPr>
        <w:tabs>
          <w:tab w:val="right" w:leader="dot" w:pos="10800"/>
        </w:tabs>
        <w:ind w:left="720"/>
        <w:contextualSpacing/>
        <w:rPr>
          <w:b/>
          <w:sz w:val="22"/>
          <w:szCs w:val="22"/>
        </w:rPr>
      </w:pPr>
    </w:p>
    <w:p w:rsidR="00892634" w:rsidRPr="00892634" w:rsidRDefault="00892634" w:rsidP="00892634">
      <w:pPr>
        <w:numPr>
          <w:ilvl w:val="0"/>
          <w:numId w:val="7"/>
        </w:numPr>
        <w:tabs>
          <w:tab w:val="right" w:leader="dot" w:pos="10800"/>
        </w:tabs>
        <w:contextualSpacing/>
        <w:rPr>
          <w:sz w:val="22"/>
          <w:szCs w:val="22"/>
        </w:rPr>
      </w:pPr>
      <w:r w:rsidRPr="00892634">
        <w:rPr>
          <w:bCs/>
          <w:sz w:val="22"/>
          <w:szCs w:val="22"/>
          <w:u w:val="single"/>
        </w:rPr>
        <w:t xml:space="preserve">CNSGP </w:t>
      </w:r>
      <w:r w:rsidRPr="00892634">
        <w:rPr>
          <w:sz w:val="22"/>
          <w:szCs w:val="22"/>
          <w:u w:val="single"/>
        </w:rPr>
        <w:t>Investment Justification</w:t>
      </w:r>
      <w:r w:rsidRPr="00892634">
        <w:rPr>
          <w:sz w:val="22"/>
          <w:szCs w:val="22"/>
        </w:rPr>
        <w:t xml:space="preserve"> (IJ). It is recommended that applicants contact their local police department for verifiable threat information to be used in completing the IJ. </w:t>
      </w:r>
    </w:p>
    <w:p w:rsidR="00892634" w:rsidRPr="00892634" w:rsidRDefault="00892634" w:rsidP="00892634">
      <w:pPr>
        <w:ind w:left="720"/>
        <w:contextualSpacing/>
        <w:rPr>
          <w:sz w:val="22"/>
          <w:szCs w:val="22"/>
        </w:rPr>
      </w:pPr>
    </w:p>
    <w:p w:rsidR="00892634" w:rsidRPr="00892634" w:rsidRDefault="00892634" w:rsidP="00892634">
      <w:pPr>
        <w:numPr>
          <w:ilvl w:val="0"/>
          <w:numId w:val="7"/>
        </w:numPr>
        <w:tabs>
          <w:tab w:val="right" w:leader="dot" w:pos="10800"/>
        </w:tabs>
        <w:contextualSpacing/>
        <w:rPr>
          <w:sz w:val="22"/>
          <w:szCs w:val="22"/>
        </w:rPr>
      </w:pPr>
      <w:r w:rsidRPr="00892634">
        <w:rPr>
          <w:sz w:val="22"/>
          <w:szCs w:val="22"/>
          <w:u w:val="single"/>
        </w:rPr>
        <w:t>Contractor Authorized Signatory Listing</w:t>
      </w:r>
      <w:r w:rsidRPr="00892634">
        <w:rPr>
          <w:sz w:val="22"/>
          <w:szCs w:val="22"/>
        </w:rPr>
        <w:t xml:space="preserve">. Complete this form as instructed.  </w:t>
      </w:r>
    </w:p>
    <w:p w:rsidR="00892634" w:rsidRPr="00892634" w:rsidRDefault="00892634" w:rsidP="00892634">
      <w:pPr>
        <w:tabs>
          <w:tab w:val="right" w:leader="dot" w:pos="10800"/>
        </w:tabs>
        <w:ind w:left="720"/>
        <w:contextualSpacing/>
        <w:rPr>
          <w:sz w:val="22"/>
          <w:szCs w:val="22"/>
        </w:rPr>
      </w:pPr>
    </w:p>
    <w:p w:rsidR="00892634" w:rsidRPr="00892634" w:rsidRDefault="00892634" w:rsidP="00892634">
      <w:pPr>
        <w:numPr>
          <w:ilvl w:val="0"/>
          <w:numId w:val="7"/>
        </w:numPr>
        <w:tabs>
          <w:tab w:val="right" w:leader="dot" w:pos="10800"/>
        </w:tabs>
        <w:contextualSpacing/>
        <w:rPr>
          <w:sz w:val="22"/>
          <w:szCs w:val="22"/>
        </w:rPr>
      </w:pPr>
      <w:r w:rsidRPr="00892634">
        <w:rPr>
          <w:sz w:val="22"/>
          <w:szCs w:val="22"/>
          <w:u w:val="single"/>
        </w:rPr>
        <w:t>Additional Material</w:t>
      </w:r>
      <w:r w:rsidRPr="00892634">
        <w:rPr>
          <w:sz w:val="22"/>
          <w:szCs w:val="22"/>
        </w:rPr>
        <w:t>. Attach any additional material, including but not limited to community assessments, cooperative agreements or letters of support to demonstrate collaboration and press clippings or survey results that illustrate the community crime problems, etc. Applicants should be aware that award determinations will be based primarily on the information provided in the application.</w:t>
      </w:r>
    </w:p>
    <w:p w:rsidR="00892634" w:rsidRPr="00892634" w:rsidRDefault="00892634" w:rsidP="00892634">
      <w:pPr>
        <w:tabs>
          <w:tab w:val="right" w:leader="dot" w:pos="10800"/>
        </w:tabs>
        <w:ind w:left="720"/>
        <w:contextualSpacing/>
        <w:rPr>
          <w:bCs/>
          <w:sz w:val="22"/>
          <w:szCs w:val="22"/>
        </w:rPr>
      </w:pPr>
    </w:p>
    <w:p w:rsidR="00892634" w:rsidRPr="00892634" w:rsidRDefault="00892634" w:rsidP="00892634">
      <w:pPr>
        <w:tabs>
          <w:tab w:val="right" w:leader="dot" w:pos="10800"/>
        </w:tabs>
        <w:ind w:left="720"/>
        <w:contextualSpacing/>
        <w:rPr>
          <w:bCs/>
          <w:sz w:val="22"/>
          <w:szCs w:val="22"/>
        </w:rPr>
      </w:pPr>
      <w:r w:rsidRPr="00892634">
        <w:rPr>
          <w:bCs/>
          <w:sz w:val="22"/>
          <w:szCs w:val="22"/>
        </w:rPr>
        <w:t xml:space="preserve">All application documents are to be submitted via emailed to </w:t>
      </w:r>
      <w:hyperlink r:id="rId19" w:history="1">
        <w:r w:rsidRPr="00892634">
          <w:rPr>
            <w:color w:val="0000FF"/>
            <w:sz w:val="22"/>
            <w:szCs w:val="22"/>
            <w:u w:val="single"/>
          </w:rPr>
          <w:t>CNSGP.PC@Mass.gov</w:t>
        </w:r>
      </w:hyperlink>
    </w:p>
    <w:p w:rsidR="00892634" w:rsidRPr="00892634" w:rsidRDefault="00892634" w:rsidP="00892634">
      <w:pPr>
        <w:tabs>
          <w:tab w:val="right" w:leader="dot" w:pos="10800"/>
        </w:tabs>
        <w:ind w:left="720"/>
        <w:contextualSpacing/>
        <w:rPr>
          <w:bCs/>
          <w:sz w:val="22"/>
          <w:szCs w:val="22"/>
        </w:rPr>
      </w:pPr>
    </w:p>
    <w:p w:rsidR="00892634" w:rsidRPr="00892634" w:rsidRDefault="00892634" w:rsidP="00892634">
      <w:pPr>
        <w:tabs>
          <w:tab w:val="right" w:leader="dot" w:pos="10800"/>
        </w:tabs>
        <w:ind w:left="720"/>
        <w:contextualSpacing/>
        <w:rPr>
          <w:sz w:val="22"/>
          <w:szCs w:val="22"/>
        </w:rPr>
      </w:pPr>
      <w:r w:rsidRPr="00892634">
        <w:rPr>
          <w:b/>
          <w:bCs/>
          <w:sz w:val="22"/>
          <w:szCs w:val="22"/>
        </w:rPr>
        <w:t>Application</w:t>
      </w:r>
      <w:r w:rsidR="00376673">
        <w:rPr>
          <w:b/>
          <w:bCs/>
          <w:sz w:val="22"/>
          <w:szCs w:val="22"/>
        </w:rPr>
        <w:t xml:space="preserve"> Deadline: 5:00 P.M. January 14</w:t>
      </w:r>
      <w:r w:rsidR="00637AFB">
        <w:rPr>
          <w:b/>
          <w:bCs/>
          <w:sz w:val="22"/>
          <w:szCs w:val="22"/>
        </w:rPr>
        <w:t>, 2019</w:t>
      </w:r>
      <w:r w:rsidRPr="00892634">
        <w:rPr>
          <w:b/>
          <w:bCs/>
          <w:sz w:val="22"/>
          <w:szCs w:val="22"/>
        </w:rPr>
        <w:t>. No late submissions will be considered.</w:t>
      </w:r>
    </w:p>
    <w:p w:rsidR="00892634" w:rsidRDefault="00892634" w:rsidP="00892634">
      <w:pPr>
        <w:rPr>
          <w:sz w:val="22"/>
          <w:szCs w:val="22"/>
        </w:rPr>
      </w:pPr>
    </w:p>
    <w:p w:rsidR="009775D3" w:rsidRDefault="009775D3" w:rsidP="00892634">
      <w:pPr>
        <w:rPr>
          <w:sz w:val="22"/>
          <w:szCs w:val="22"/>
        </w:rPr>
      </w:pPr>
    </w:p>
    <w:p w:rsidR="009775D3" w:rsidRDefault="009775D3" w:rsidP="00892634">
      <w:pPr>
        <w:rPr>
          <w:sz w:val="22"/>
          <w:szCs w:val="22"/>
        </w:rPr>
      </w:pPr>
    </w:p>
    <w:p w:rsidR="009775D3" w:rsidRPr="00892634" w:rsidRDefault="009775D3" w:rsidP="00892634">
      <w:pPr>
        <w:rPr>
          <w:sz w:val="22"/>
          <w:szCs w:val="22"/>
        </w:rPr>
      </w:pPr>
    </w:p>
    <w:p w:rsidR="00892634" w:rsidRPr="00892634" w:rsidRDefault="00892634" w:rsidP="00892634">
      <w:pPr>
        <w:numPr>
          <w:ilvl w:val="0"/>
          <w:numId w:val="3"/>
        </w:numPr>
        <w:contextualSpacing/>
        <w:rPr>
          <w:b/>
          <w:sz w:val="22"/>
          <w:szCs w:val="22"/>
        </w:rPr>
      </w:pPr>
      <w:r w:rsidRPr="00892634">
        <w:rPr>
          <w:b/>
          <w:sz w:val="22"/>
          <w:szCs w:val="22"/>
        </w:rPr>
        <w:lastRenderedPageBreak/>
        <w:t>PROGRAM DETAILS</w:t>
      </w:r>
    </w:p>
    <w:p w:rsidR="00892634" w:rsidRPr="00892634" w:rsidRDefault="00892634" w:rsidP="00892634">
      <w:pPr>
        <w:tabs>
          <w:tab w:val="right" w:leader="dot" w:pos="10800"/>
        </w:tabs>
        <w:rPr>
          <w:sz w:val="18"/>
          <w:szCs w:val="18"/>
        </w:rPr>
      </w:pPr>
    </w:p>
    <w:p w:rsidR="00892634" w:rsidRPr="00892634" w:rsidRDefault="00892634" w:rsidP="00892634">
      <w:pPr>
        <w:numPr>
          <w:ilvl w:val="0"/>
          <w:numId w:val="10"/>
        </w:numPr>
        <w:tabs>
          <w:tab w:val="left" w:pos="720"/>
        </w:tabs>
        <w:autoSpaceDE w:val="0"/>
        <w:autoSpaceDN w:val="0"/>
        <w:adjustRightInd w:val="0"/>
        <w:rPr>
          <w:color w:val="0000FF"/>
          <w:sz w:val="22"/>
          <w:szCs w:val="22"/>
          <w:u w:val="single"/>
        </w:rPr>
      </w:pPr>
      <w:r w:rsidRPr="00892634">
        <w:rPr>
          <w:i/>
          <w:color w:val="000000"/>
          <w:sz w:val="22"/>
          <w:szCs w:val="22"/>
        </w:rPr>
        <w:t>Allowable Equipment and Systems</w:t>
      </w:r>
      <w:r w:rsidRPr="00892634">
        <w:rPr>
          <w:color w:val="000000"/>
          <w:sz w:val="22"/>
          <w:szCs w:val="22"/>
        </w:rPr>
        <w:t xml:space="preserve">. Allowable costs are focused on target hardening activities. Funding can be used for the acquisition and installation of security equipment on real property (including buildings and improvements) owned or leased by the nonprofit organization, specifically in prevention of and/or protection against the risk of a terrorist attack. This equipment is </w:t>
      </w:r>
      <w:r w:rsidRPr="00892634">
        <w:rPr>
          <w:b/>
          <w:bCs/>
          <w:color w:val="000000"/>
          <w:sz w:val="22"/>
          <w:szCs w:val="22"/>
        </w:rPr>
        <w:t xml:space="preserve">limited to select items from two categories </w:t>
      </w:r>
      <w:r w:rsidRPr="00892634">
        <w:rPr>
          <w:color w:val="000000"/>
          <w:sz w:val="22"/>
          <w:szCs w:val="22"/>
        </w:rPr>
        <w:t xml:space="preserve">on the DHS Authorized Equipment List (AEL), at </w:t>
      </w:r>
      <w:hyperlink r:id="rId20" w:history="1">
        <w:r w:rsidRPr="00892634">
          <w:rPr>
            <w:color w:val="0000FF"/>
            <w:sz w:val="22"/>
            <w:szCs w:val="22"/>
            <w:u w:val="single"/>
          </w:rPr>
          <w:t>https://www.fema.gov/media-library/assets/documents/101566</w:t>
        </w:r>
      </w:hyperlink>
      <w:r w:rsidRPr="00892634">
        <w:rPr>
          <w:color w:val="0000FF"/>
          <w:sz w:val="22"/>
          <w:szCs w:val="22"/>
          <w:u w:val="single"/>
        </w:rPr>
        <w:t>.</w:t>
      </w:r>
    </w:p>
    <w:p w:rsidR="00892634" w:rsidRPr="00892634" w:rsidRDefault="00892634" w:rsidP="00892634">
      <w:pPr>
        <w:autoSpaceDE w:val="0"/>
        <w:autoSpaceDN w:val="0"/>
        <w:adjustRightInd w:val="0"/>
        <w:ind w:left="1080"/>
        <w:rPr>
          <w:color w:val="000000"/>
          <w:sz w:val="22"/>
          <w:szCs w:val="22"/>
        </w:rPr>
      </w:pPr>
    </w:p>
    <w:p w:rsidR="00892634" w:rsidRPr="00892634" w:rsidRDefault="00892634" w:rsidP="00892634">
      <w:pPr>
        <w:autoSpaceDE w:val="0"/>
        <w:autoSpaceDN w:val="0"/>
        <w:adjustRightInd w:val="0"/>
        <w:ind w:left="1350" w:hanging="270"/>
        <w:rPr>
          <w:color w:val="000000"/>
          <w:sz w:val="22"/>
          <w:szCs w:val="22"/>
        </w:rPr>
      </w:pPr>
      <w:r w:rsidRPr="00892634">
        <w:rPr>
          <w:color w:val="000000"/>
          <w:sz w:val="22"/>
          <w:szCs w:val="22"/>
        </w:rPr>
        <w:t>The categories are:</w:t>
      </w:r>
    </w:p>
    <w:p w:rsidR="00892634" w:rsidRPr="00892634" w:rsidRDefault="00892634" w:rsidP="00892634">
      <w:pPr>
        <w:autoSpaceDE w:val="0"/>
        <w:autoSpaceDN w:val="0"/>
        <w:adjustRightInd w:val="0"/>
        <w:spacing w:after="44"/>
        <w:ind w:left="1260"/>
        <w:rPr>
          <w:color w:val="000000"/>
          <w:sz w:val="22"/>
          <w:szCs w:val="22"/>
        </w:rPr>
      </w:pPr>
      <w:r w:rsidRPr="00892634">
        <w:rPr>
          <w:color w:val="000000"/>
          <w:sz w:val="22"/>
          <w:szCs w:val="22"/>
        </w:rPr>
        <w:t xml:space="preserve"> Physical Security Enhancement Equipment (Category 14) </w:t>
      </w:r>
    </w:p>
    <w:p w:rsidR="00892634" w:rsidRPr="00892634" w:rsidRDefault="00892634" w:rsidP="00892634">
      <w:pPr>
        <w:autoSpaceDE w:val="0"/>
        <w:autoSpaceDN w:val="0"/>
        <w:adjustRightInd w:val="0"/>
        <w:ind w:left="1260"/>
        <w:rPr>
          <w:color w:val="000000"/>
          <w:sz w:val="22"/>
          <w:szCs w:val="22"/>
        </w:rPr>
      </w:pPr>
      <w:r w:rsidRPr="00892634">
        <w:rPr>
          <w:color w:val="000000"/>
          <w:sz w:val="22"/>
          <w:szCs w:val="22"/>
        </w:rPr>
        <w:t xml:space="preserve"> Inspection and Screening Systems (Category 15) </w:t>
      </w:r>
    </w:p>
    <w:p w:rsidR="00892634" w:rsidRPr="00892634" w:rsidRDefault="00892634" w:rsidP="00892634">
      <w:pPr>
        <w:autoSpaceDE w:val="0"/>
        <w:autoSpaceDN w:val="0"/>
        <w:adjustRightInd w:val="0"/>
        <w:rPr>
          <w:color w:val="000000"/>
          <w:sz w:val="22"/>
          <w:szCs w:val="22"/>
        </w:rPr>
      </w:pPr>
    </w:p>
    <w:p w:rsidR="00892634" w:rsidRPr="00892634" w:rsidRDefault="00892634" w:rsidP="00892634">
      <w:pPr>
        <w:ind w:left="1080" w:right="-86"/>
        <w:rPr>
          <w:sz w:val="22"/>
          <w:szCs w:val="22"/>
        </w:rPr>
      </w:pPr>
      <w:r w:rsidRPr="00892634">
        <w:rPr>
          <w:sz w:val="22"/>
          <w:szCs w:val="22"/>
        </w:rPr>
        <w:t>Recipients must provide EOPSS with all necessary required documents that must include:  Make, Model, Quantity of equipment to be purchased as well as location of where the equipment will be installed. Pictures of the facility may be required to verify that equipment is not already in place.</w:t>
      </w:r>
    </w:p>
    <w:p w:rsidR="00892634" w:rsidRPr="00892634" w:rsidRDefault="00892634" w:rsidP="00892634">
      <w:pPr>
        <w:ind w:left="1080" w:right="-86"/>
        <w:rPr>
          <w:sz w:val="22"/>
          <w:szCs w:val="22"/>
        </w:rPr>
      </w:pPr>
    </w:p>
    <w:p w:rsidR="00892634" w:rsidRPr="00892634" w:rsidRDefault="00892634" w:rsidP="00892634">
      <w:pPr>
        <w:ind w:left="1080" w:right="-86"/>
        <w:rPr>
          <w:sz w:val="22"/>
          <w:szCs w:val="22"/>
        </w:rPr>
      </w:pPr>
      <w:r w:rsidRPr="00892634">
        <w:rPr>
          <w:sz w:val="22"/>
          <w:szCs w:val="22"/>
        </w:rPr>
        <w:t>Construction type project as well as installation of equipment may require historical and/or environmental reviews depending on the nature of the project.</w:t>
      </w:r>
    </w:p>
    <w:p w:rsidR="00892634" w:rsidRPr="00892634" w:rsidRDefault="00892634" w:rsidP="00892634">
      <w:pPr>
        <w:autoSpaceDE w:val="0"/>
        <w:autoSpaceDN w:val="0"/>
        <w:adjustRightInd w:val="0"/>
        <w:rPr>
          <w:color w:val="000000"/>
          <w:sz w:val="22"/>
          <w:szCs w:val="22"/>
        </w:rPr>
      </w:pPr>
    </w:p>
    <w:p w:rsidR="00892634" w:rsidRPr="00892634" w:rsidRDefault="00892634" w:rsidP="00892634">
      <w:pPr>
        <w:numPr>
          <w:ilvl w:val="0"/>
          <w:numId w:val="10"/>
        </w:numPr>
        <w:ind w:right="-86"/>
        <w:contextualSpacing/>
        <w:rPr>
          <w:sz w:val="22"/>
          <w:szCs w:val="22"/>
        </w:rPr>
      </w:pPr>
      <w:r w:rsidRPr="00892634">
        <w:rPr>
          <w:i/>
          <w:sz w:val="22"/>
          <w:szCs w:val="22"/>
        </w:rPr>
        <w:t>Allowable Training Costs</w:t>
      </w:r>
      <w:r w:rsidRPr="00892634">
        <w:rPr>
          <w:sz w:val="22"/>
          <w:szCs w:val="22"/>
        </w:rPr>
        <w:t>. Allowable training-related costs under FY19 CNSGP are limited to services and attendance fees for the training, and related expenses such as materials, supplies, and/or equipment. No personnel costs, such as overtime and backfill costs, associated with attending the training courses are allowable. Travel costs are also not eligible. Training topics must be security preparedness related including cyber security and must address a specific threat and/or vulnerability as identified in the IJ.</w:t>
      </w:r>
    </w:p>
    <w:p w:rsidR="00892634" w:rsidRPr="00892634" w:rsidRDefault="00892634" w:rsidP="00892634">
      <w:pPr>
        <w:rPr>
          <w:i/>
          <w:iCs/>
          <w:sz w:val="22"/>
          <w:szCs w:val="22"/>
        </w:rPr>
      </w:pPr>
    </w:p>
    <w:p w:rsidR="00892634" w:rsidRPr="00892634" w:rsidRDefault="00892634" w:rsidP="00892634">
      <w:pPr>
        <w:numPr>
          <w:ilvl w:val="0"/>
          <w:numId w:val="3"/>
        </w:numPr>
        <w:overflowPunct w:val="0"/>
        <w:autoSpaceDE w:val="0"/>
        <w:autoSpaceDN w:val="0"/>
        <w:adjustRightInd w:val="0"/>
        <w:contextualSpacing/>
        <w:textAlignment w:val="baseline"/>
        <w:rPr>
          <w:b/>
          <w:sz w:val="22"/>
          <w:szCs w:val="22"/>
        </w:rPr>
      </w:pPr>
      <w:r w:rsidRPr="00892634">
        <w:rPr>
          <w:b/>
          <w:sz w:val="22"/>
          <w:szCs w:val="22"/>
        </w:rPr>
        <w:t>EVALUATION CRITERIA</w:t>
      </w:r>
    </w:p>
    <w:p w:rsidR="00892634" w:rsidRPr="00892634" w:rsidRDefault="00892634" w:rsidP="00892634">
      <w:pPr>
        <w:overflowPunct w:val="0"/>
        <w:autoSpaceDE w:val="0"/>
        <w:autoSpaceDN w:val="0"/>
        <w:adjustRightInd w:val="0"/>
        <w:ind w:left="720"/>
        <w:textAlignment w:val="baseline"/>
        <w:rPr>
          <w:b/>
          <w:sz w:val="18"/>
          <w:szCs w:val="18"/>
        </w:rPr>
      </w:pPr>
    </w:p>
    <w:p w:rsidR="00892634" w:rsidRPr="00892634" w:rsidRDefault="00892634" w:rsidP="00892634">
      <w:pPr>
        <w:autoSpaceDE w:val="0"/>
        <w:autoSpaceDN w:val="0"/>
        <w:adjustRightInd w:val="0"/>
        <w:ind w:left="360"/>
        <w:rPr>
          <w:color w:val="000000"/>
          <w:sz w:val="22"/>
          <w:szCs w:val="22"/>
        </w:rPr>
      </w:pPr>
      <w:r w:rsidRPr="00892634">
        <w:rPr>
          <w:color w:val="000000"/>
          <w:sz w:val="22"/>
          <w:szCs w:val="22"/>
        </w:rPr>
        <w:t xml:space="preserve">The following are SFY 2019 CNSGP evaluation criteria: </w:t>
      </w:r>
    </w:p>
    <w:p w:rsidR="00892634" w:rsidRPr="00892634" w:rsidRDefault="00892634" w:rsidP="00892634">
      <w:pPr>
        <w:autoSpaceDE w:val="0"/>
        <w:autoSpaceDN w:val="0"/>
        <w:adjustRightInd w:val="0"/>
        <w:ind w:left="720"/>
        <w:rPr>
          <w:color w:val="000000"/>
          <w:sz w:val="22"/>
          <w:szCs w:val="22"/>
        </w:rPr>
      </w:pP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Identification and substantiation of current or persistent threats or attacks (from within or outside the U.S.) by a terrorist organization, network, or cell against the applicant based on their ideology, beliefs, or mission.</w:t>
      </w: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Symbolic value of the site(s) as a highly recognized regional and/or national or historical institution(s) that renders the site a possible target of terrorism</w:t>
      </w: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Role of the applicant nonprofit organization in responding to or recovering from terrorist attacks or other types of disasters and emergencies.</w:t>
      </w: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Findings from previously conducted threat and/or vulnerability assessments</w:t>
      </w: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Integration of nonprofit preparedness with broader state and local preparedness efforts</w:t>
      </w:r>
    </w:p>
    <w:p w:rsidR="00892634" w:rsidRPr="00892634" w:rsidRDefault="00892634" w:rsidP="00892634">
      <w:pPr>
        <w:numPr>
          <w:ilvl w:val="1"/>
          <w:numId w:val="5"/>
        </w:numPr>
        <w:tabs>
          <w:tab w:val="left" w:pos="720"/>
        </w:tabs>
        <w:autoSpaceDE w:val="0"/>
        <w:autoSpaceDN w:val="0"/>
        <w:adjustRightInd w:val="0"/>
        <w:ind w:left="1080"/>
        <w:rPr>
          <w:color w:val="000000"/>
          <w:sz w:val="22"/>
          <w:szCs w:val="22"/>
        </w:rPr>
      </w:pPr>
      <w:r w:rsidRPr="00892634">
        <w:rPr>
          <w:color w:val="000000"/>
          <w:sz w:val="22"/>
          <w:szCs w:val="22"/>
        </w:rPr>
        <w:t>Complete and feasible IJ that addresses an identified risk, including the assessed threat, vulnerability, and consequence of the risk, and proposes building or sustaining a core capability identified in the National Preparedness Goals.</w:t>
      </w:r>
    </w:p>
    <w:p w:rsidR="00892634" w:rsidRPr="00892634" w:rsidRDefault="00892634" w:rsidP="00892634">
      <w:pPr>
        <w:overflowPunct w:val="0"/>
        <w:autoSpaceDE w:val="0"/>
        <w:autoSpaceDN w:val="0"/>
        <w:adjustRightInd w:val="0"/>
        <w:ind w:left="720"/>
        <w:textAlignment w:val="baseline"/>
        <w:rPr>
          <w:sz w:val="22"/>
          <w:szCs w:val="22"/>
        </w:rPr>
      </w:pPr>
    </w:p>
    <w:p w:rsidR="00892634" w:rsidRPr="00892634" w:rsidRDefault="00892634" w:rsidP="00892634">
      <w:pPr>
        <w:numPr>
          <w:ilvl w:val="0"/>
          <w:numId w:val="3"/>
        </w:numPr>
        <w:overflowPunct w:val="0"/>
        <w:autoSpaceDE w:val="0"/>
        <w:autoSpaceDN w:val="0"/>
        <w:adjustRightInd w:val="0"/>
        <w:contextualSpacing/>
        <w:textAlignment w:val="baseline"/>
        <w:rPr>
          <w:b/>
          <w:sz w:val="22"/>
          <w:szCs w:val="22"/>
        </w:rPr>
      </w:pPr>
      <w:r w:rsidRPr="00892634">
        <w:rPr>
          <w:b/>
          <w:sz w:val="22"/>
          <w:szCs w:val="22"/>
        </w:rPr>
        <w:t>PROPOSAL RATING</w:t>
      </w:r>
    </w:p>
    <w:p w:rsidR="00892634" w:rsidRPr="00892634" w:rsidRDefault="00892634" w:rsidP="00892634">
      <w:pPr>
        <w:overflowPunct w:val="0"/>
        <w:autoSpaceDE w:val="0"/>
        <w:autoSpaceDN w:val="0"/>
        <w:adjustRightInd w:val="0"/>
        <w:ind w:left="720"/>
        <w:textAlignment w:val="baseline"/>
        <w:rPr>
          <w:b/>
          <w:sz w:val="18"/>
          <w:szCs w:val="18"/>
        </w:rPr>
      </w:pPr>
    </w:p>
    <w:p w:rsidR="00892634" w:rsidRPr="00892634" w:rsidRDefault="00892634" w:rsidP="00892634">
      <w:pPr>
        <w:autoSpaceDE w:val="0"/>
        <w:autoSpaceDN w:val="0"/>
        <w:adjustRightInd w:val="0"/>
        <w:ind w:left="360"/>
        <w:rPr>
          <w:b/>
          <w:bCs/>
          <w:color w:val="000000"/>
          <w:sz w:val="22"/>
          <w:szCs w:val="22"/>
        </w:rPr>
      </w:pPr>
      <w:r w:rsidRPr="00892634">
        <w:rPr>
          <w:color w:val="000000"/>
          <w:sz w:val="22"/>
          <w:szCs w:val="22"/>
        </w:rPr>
        <w:t>This grant is competitive. Therefore, scoring criteria have been established and grants will be awarded for the top-scoring applications until all allocated funding is awarded. Applications will be recommended for funding based on the threat, vulnerability, and consequence faced by a specific facility/location.</w:t>
      </w:r>
      <w:r w:rsidRPr="00892634">
        <w:rPr>
          <w:b/>
          <w:bCs/>
          <w:color w:val="000000"/>
          <w:sz w:val="22"/>
          <w:szCs w:val="22"/>
        </w:rPr>
        <w:t xml:space="preserve"> </w:t>
      </w:r>
    </w:p>
    <w:p w:rsidR="00892634" w:rsidRPr="00892634" w:rsidRDefault="00892634" w:rsidP="00892634">
      <w:pPr>
        <w:overflowPunct w:val="0"/>
        <w:autoSpaceDE w:val="0"/>
        <w:autoSpaceDN w:val="0"/>
        <w:adjustRightInd w:val="0"/>
        <w:ind w:left="360"/>
        <w:textAlignment w:val="baseline"/>
        <w:rPr>
          <w:b/>
          <w:sz w:val="22"/>
          <w:szCs w:val="22"/>
        </w:rPr>
      </w:pPr>
    </w:p>
    <w:p w:rsidR="00892634" w:rsidRPr="00892634" w:rsidRDefault="00892634" w:rsidP="00892634">
      <w:pPr>
        <w:ind w:left="360"/>
        <w:rPr>
          <w:b/>
          <w:bCs/>
          <w:sz w:val="22"/>
          <w:szCs w:val="22"/>
        </w:rPr>
      </w:pPr>
      <w:r w:rsidRPr="00892634">
        <w:rPr>
          <w:sz w:val="22"/>
          <w:szCs w:val="22"/>
        </w:rPr>
        <w:t>Eligible applications received by the deadline will have a high-level, cursory review by internal EOPSS program staff to first determine eligibility based on the established criteria. Once eligibility has been verified, EOPSS program staff will convene a review team to officially review and score all eligible applications submitted. The reviewer’s scores are totaled, averaged and then ranked numerically. All applications will be scored as listed below:</w:t>
      </w:r>
    </w:p>
    <w:p w:rsidR="00892634" w:rsidRPr="00892634" w:rsidRDefault="00892634" w:rsidP="00892634">
      <w:pPr>
        <w:ind w:left="720"/>
        <w:rPr>
          <w:bCs/>
          <w:sz w:val="22"/>
          <w:szCs w:val="22"/>
        </w:rPr>
      </w:pPr>
    </w:p>
    <w:tbl>
      <w:tblPr>
        <w:tblStyle w:val="TableGrid1"/>
        <w:tblW w:w="0" w:type="auto"/>
        <w:tblInd w:w="1705" w:type="dxa"/>
        <w:tblLook w:val="04A0" w:firstRow="1" w:lastRow="0" w:firstColumn="1" w:lastColumn="0" w:noHBand="0" w:noVBand="1"/>
      </w:tblPr>
      <w:tblGrid>
        <w:gridCol w:w="1980"/>
        <w:gridCol w:w="2250"/>
      </w:tblGrid>
      <w:tr w:rsidR="00892634" w:rsidRPr="00892634" w:rsidTr="001C6781">
        <w:tc>
          <w:tcPr>
            <w:tcW w:w="1980" w:type="dxa"/>
          </w:tcPr>
          <w:p w:rsidR="00892634" w:rsidRPr="00892634" w:rsidRDefault="00892634" w:rsidP="00892634">
            <w:pPr>
              <w:rPr>
                <w:bCs/>
                <w:sz w:val="22"/>
                <w:szCs w:val="22"/>
              </w:rPr>
            </w:pPr>
            <w:r w:rsidRPr="00892634">
              <w:rPr>
                <w:bCs/>
                <w:sz w:val="22"/>
                <w:szCs w:val="22"/>
              </w:rPr>
              <w:t>TOTAL</w:t>
            </w:r>
          </w:p>
        </w:tc>
        <w:tc>
          <w:tcPr>
            <w:tcW w:w="2250" w:type="dxa"/>
          </w:tcPr>
          <w:p w:rsidR="00892634" w:rsidRPr="00892634" w:rsidRDefault="00892634" w:rsidP="00892634">
            <w:pPr>
              <w:jc w:val="right"/>
              <w:rPr>
                <w:bCs/>
                <w:sz w:val="22"/>
                <w:szCs w:val="22"/>
              </w:rPr>
            </w:pPr>
            <w:r w:rsidRPr="00892634">
              <w:rPr>
                <w:bCs/>
                <w:sz w:val="22"/>
                <w:szCs w:val="22"/>
              </w:rPr>
              <w:t>40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I</w:t>
            </w:r>
          </w:p>
        </w:tc>
        <w:tc>
          <w:tcPr>
            <w:tcW w:w="2250" w:type="dxa"/>
          </w:tcPr>
          <w:p w:rsidR="00892634" w:rsidRPr="00892634" w:rsidRDefault="00892634" w:rsidP="00892634">
            <w:pPr>
              <w:jc w:val="right"/>
              <w:rPr>
                <w:bCs/>
                <w:sz w:val="22"/>
                <w:szCs w:val="22"/>
              </w:rPr>
            </w:pPr>
            <w:r w:rsidRPr="00892634">
              <w:rPr>
                <w:bCs/>
                <w:sz w:val="22"/>
                <w:szCs w:val="22"/>
              </w:rPr>
              <w:t>Not scored</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II</w:t>
            </w:r>
          </w:p>
        </w:tc>
        <w:tc>
          <w:tcPr>
            <w:tcW w:w="2250" w:type="dxa"/>
          </w:tcPr>
          <w:p w:rsidR="00892634" w:rsidRPr="00892634" w:rsidRDefault="00892634" w:rsidP="00892634">
            <w:pPr>
              <w:jc w:val="right"/>
              <w:rPr>
                <w:bCs/>
                <w:sz w:val="22"/>
                <w:szCs w:val="22"/>
              </w:rPr>
            </w:pPr>
            <w:r w:rsidRPr="00892634">
              <w:rPr>
                <w:bCs/>
                <w:sz w:val="22"/>
                <w:szCs w:val="22"/>
              </w:rPr>
              <w:t>2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III</w:t>
            </w:r>
          </w:p>
        </w:tc>
        <w:tc>
          <w:tcPr>
            <w:tcW w:w="2250" w:type="dxa"/>
          </w:tcPr>
          <w:p w:rsidR="00892634" w:rsidRPr="00892634" w:rsidRDefault="00892634" w:rsidP="00892634">
            <w:pPr>
              <w:jc w:val="right"/>
              <w:rPr>
                <w:bCs/>
                <w:sz w:val="22"/>
                <w:szCs w:val="22"/>
              </w:rPr>
            </w:pPr>
            <w:r w:rsidRPr="00892634">
              <w:rPr>
                <w:bCs/>
                <w:sz w:val="22"/>
                <w:szCs w:val="22"/>
              </w:rPr>
              <w:t>12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lastRenderedPageBreak/>
              <w:t>Section IV</w:t>
            </w:r>
          </w:p>
        </w:tc>
        <w:tc>
          <w:tcPr>
            <w:tcW w:w="2250" w:type="dxa"/>
          </w:tcPr>
          <w:p w:rsidR="00892634" w:rsidRPr="00892634" w:rsidRDefault="00892634" w:rsidP="00892634">
            <w:pPr>
              <w:jc w:val="right"/>
              <w:rPr>
                <w:bCs/>
                <w:sz w:val="22"/>
                <w:szCs w:val="22"/>
              </w:rPr>
            </w:pPr>
            <w:r w:rsidRPr="00892634">
              <w:rPr>
                <w:bCs/>
                <w:sz w:val="22"/>
                <w:szCs w:val="22"/>
              </w:rPr>
              <w:t>14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V</w:t>
            </w:r>
          </w:p>
        </w:tc>
        <w:tc>
          <w:tcPr>
            <w:tcW w:w="2250" w:type="dxa"/>
          </w:tcPr>
          <w:p w:rsidR="00892634" w:rsidRPr="00892634" w:rsidRDefault="00892634" w:rsidP="00892634">
            <w:pPr>
              <w:jc w:val="right"/>
              <w:rPr>
                <w:bCs/>
                <w:sz w:val="22"/>
                <w:szCs w:val="22"/>
              </w:rPr>
            </w:pPr>
            <w:r w:rsidRPr="00892634">
              <w:rPr>
                <w:bCs/>
                <w:sz w:val="22"/>
                <w:szCs w:val="22"/>
              </w:rPr>
              <w:t>4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VI</w:t>
            </w:r>
          </w:p>
        </w:tc>
        <w:tc>
          <w:tcPr>
            <w:tcW w:w="2250" w:type="dxa"/>
          </w:tcPr>
          <w:p w:rsidR="00892634" w:rsidRPr="00892634" w:rsidRDefault="00892634" w:rsidP="00892634">
            <w:pPr>
              <w:jc w:val="right"/>
              <w:rPr>
                <w:bCs/>
                <w:sz w:val="22"/>
                <w:szCs w:val="22"/>
              </w:rPr>
            </w:pPr>
            <w:r w:rsidRPr="00892634">
              <w:rPr>
                <w:bCs/>
                <w:sz w:val="22"/>
                <w:szCs w:val="22"/>
              </w:rPr>
              <w:t>3 possible points</w:t>
            </w:r>
          </w:p>
        </w:tc>
      </w:tr>
      <w:tr w:rsidR="00892634" w:rsidRPr="00892634" w:rsidTr="001C6781">
        <w:tc>
          <w:tcPr>
            <w:tcW w:w="1980" w:type="dxa"/>
          </w:tcPr>
          <w:p w:rsidR="00892634" w:rsidRPr="00892634" w:rsidRDefault="00892634" w:rsidP="00892634">
            <w:pPr>
              <w:rPr>
                <w:bCs/>
                <w:sz w:val="22"/>
                <w:szCs w:val="22"/>
              </w:rPr>
            </w:pPr>
            <w:r w:rsidRPr="00892634">
              <w:rPr>
                <w:bCs/>
                <w:sz w:val="22"/>
                <w:szCs w:val="22"/>
              </w:rPr>
              <w:t>Section VII</w:t>
            </w:r>
          </w:p>
        </w:tc>
        <w:tc>
          <w:tcPr>
            <w:tcW w:w="2250" w:type="dxa"/>
          </w:tcPr>
          <w:p w:rsidR="00892634" w:rsidRPr="00892634" w:rsidRDefault="00892634" w:rsidP="00892634">
            <w:pPr>
              <w:jc w:val="right"/>
              <w:rPr>
                <w:bCs/>
                <w:sz w:val="22"/>
                <w:szCs w:val="22"/>
              </w:rPr>
            </w:pPr>
            <w:r w:rsidRPr="00892634">
              <w:rPr>
                <w:bCs/>
                <w:sz w:val="22"/>
                <w:szCs w:val="22"/>
              </w:rPr>
              <w:t>5 possible points</w:t>
            </w:r>
          </w:p>
        </w:tc>
      </w:tr>
    </w:tbl>
    <w:p w:rsidR="00892634" w:rsidRPr="00892634" w:rsidRDefault="00892634" w:rsidP="00892634">
      <w:pPr>
        <w:tabs>
          <w:tab w:val="num" w:pos="720"/>
        </w:tabs>
        <w:ind w:left="720"/>
        <w:rPr>
          <w:bCs/>
          <w:sz w:val="22"/>
          <w:szCs w:val="22"/>
          <w:lang w:val="fr-FR"/>
        </w:rPr>
      </w:pPr>
    </w:p>
    <w:p w:rsidR="00892634" w:rsidRPr="00892634" w:rsidRDefault="00892634" w:rsidP="00892634">
      <w:pPr>
        <w:ind w:left="360"/>
        <w:rPr>
          <w:bCs/>
          <w:sz w:val="22"/>
          <w:szCs w:val="22"/>
        </w:rPr>
      </w:pPr>
      <w:r w:rsidRPr="00892634">
        <w:rPr>
          <w:bCs/>
          <w:sz w:val="22"/>
          <w:szCs w:val="22"/>
        </w:rPr>
        <w:t>In the event of a tie during the scoring process, priority may be given to organizations that demonstrate the relative need for the nonprofit organization compared to the other applicants as well and the potential impact of the nonprofit organization in achieving the maximum prevention and/protection results at minimal cost. EOPSS-HLS retains the discretion to consider other factors and information in addition to those stated in this NOFO.</w:t>
      </w:r>
    </w:p>
    <w:p w:rsidR="00892634" w:rsidRPr="00892634" w:rsidRDefault="00892634" w:rsidP="00892634">
      <w:pPr>
        <w:ind w:left="360"/>
        <w:rPr>
          <w:bCs/>
          <w:sz w:val="22"/>
          <w:szCs w:val="22"/>
        </w:rPr>
      </w:pPr>
    </w:p>
    <w:p w:rsidR="00892634" w:rsidRPr="00892634" w:rsidRDefault="00892634" w:rsidP="00892634">
      <w:pPr>
        <w:numPr>
          <w:ilvl w:val="0"/>
          <w:numId w:val="3"/>
        </w:numPr>
        <w:contextualSpacing/>
        <w:rPr>
          <w:b/>
          <w:sz w:val="22"/>
          <w:szCs w:val="22"/>
        </w:rPr>
      </w:pPr>
      <w:r w:rsidRPr="00892634">
        <w:rPr>
          <w:b/>
          <w:sz w:val="22"/>
          <w:szCs w:val="22"/>
        </w:rPr>
        <w:t>FUNDING RECOMMENDATION</w:t>
      </w:r>
      <w:r w:rsidR="00F70CE3">
        <w:rPr>
          <w:b/>
          <w:sz w:val="22"/>
          <w:szCs w:val="22"/>
        </w:rPr>
        <w:t xml:space="preserve"> / NOTIFICATION PROCESS</w:t>
      </w:r>
    </w:p>
    <w:p w:rsidR="00892634" w:rsidRPr="00892634" w:rsidRDefault="00892634" w:rsidP="00892634">
      <w:pPr>
        <w:rPr>
          <w:sz w:val="18"/>
          <w:szCs w:val="18"/>
        </w:rPr>
      </w:pPr>
    </w:p>
    <w:p w:rsidR="00892634" w:rsidRPr="00892634" w:rsidRDefault="00892634" w:rsidP="00892634">
      <w:pPr>
        <w:ind w:left="360"/>
        <w:rPr>
          <w:sz w:val="22"/>
          <w:szCs w:val="22"/>
        </w:rPr>
      </w:pPr>
      <w:r w:rsidRPr="00892634">
        <w:rPr>
          <w:sz w:val="22"/>
          <w:szCs w:val="22"/>
        </w:rPr>
        <w:t xml:space="preserve">Final funding recommendation are presented to the Secretary of Public Safety and Security. Funding approvals, form the Secretary, are based on the following: </w:t>
      </w:r>
    </w:p>
    <w:p w:rsidR="00892634" w:rsidRPr="00892634" w:rsidRDefault="00892634" w:rsidP="00892634">
      <w:pPr>
        <w:ind w:left="720"/>
        <w:rPr>
          <w:sz w:val="22"/>
          <w:szCs w:val="22"/>
        </w:rPr>
      </w:pPr>
    </w:p>
    <w:p w:rsidR="00892634" w:rsidRPr="00892634" w:rsidRDefault="00892634" w:rsidP="00892634">
      <w:pPr>
        <w:numPr>
          <w:ilvl w:val="0"/>
          <w:numId w:val="1"/>
        </w:numPr>
        <w:tabs>
          <w:tab w:val="left" w:pos="1710"/>
          <w:tab w:val="left" w:pos="1890"/>
        </w:tabs>
        <w:rPr>
          <w:sz w:val="22"/>
          <w:szCs w:val="22"/>
        </w:rPr>
      </w:pPr>
      <w:r w:rsidRPr="00892634">
        <w:rPr>
          <w:sz w:val="22"/>
          <w:szCs w:val="22"/>
        </w:rPr>
        <w:t xml:space="preserve">The ranked score of the application; </w:t>
      </w:r>
    </w:p>
    <w:p w:rsidR="00892634" w:rsidRPr="00892634" w:rsidRDefault="00892634" w:rsidP="00892634">
      <w:pPr>
        <w:numPr>
          <w:ilvl w:val="0"/>
          <w:numId w:val="1"/>
        </w:numPr>
        <w:tabs>
          <w:tab w:val="left" w:pos="1710"/>
          <w:tab w:val="left" w:pos="1890"/>
        </w:tabs>
        <w:rPr>
          <w:sz w:val="22"/>
          <w:szCs w:val="22"/>
        </w:rPr>
      </w:pPr>
      <w:r w:rsidRPr="00892634">
        <w:rPr>
          <w:sz w:val="22"/>
          <w:szCs w:val="22"/>
        </w:rPr>
        <w:t>Consideration of funding priorities or geographical distribution specific to the CNSGP;</w:t>
      </w:r>
    </w:p>
    <w:p w:rsidR="00892634" w:rsidRPr="00892634" w:rsidRDefault="00892634" w:rsidP="00892634">
      <w:pPr>
        <w:numPr>
          <w:ilvl w:val="0"/>
          <w:numId w:val="1"/>
        </w:numPr>
        <w:tabs>
          <w:tab w:val="left" w:pos="1710"/>
          <w:tab w:val="left" w:pos="1890"/>
        </w:tabs>
        <w:rPr>
          <w:sz w:val="22"/>
          <w:szCs w:val="22"/>
        </w:rPr>
      </w:pPr>
      <w:r w:rsidRPr="00892634">
        <w:rPr>
          <w:sz w:val="22"/>
          <w:szCs w:val="22"/>
        </w:rPr>
        <w:t xml:space="preserve">Previous CNSGP grant funding; and </w:t>
      </w:r>
    </w:p>
    <w:p w:rsidR="00892634" w:rsidRPr="00892634" w:rsidRDefault="00892634" w:rsidP="00892634">
      <w:pPr>
        <w:ind w:left="720"/>
        <w:rPr>
          <w:sz w:val="22"/>
          <w:szCs w:val="22"/>
        </w:rPr>
      </w:pPr>
    </w:p>
    <w:p w:rsidR="00892634" w:rsidRPr="00892634" w:rsidRDefault="00892634" w:rsidP="00892634">
      <w:pPr>
        <w:ind w:left="360"/>
        <w:rPr>
          <w:sz w:val="22"/>
          <w:szCs w:val="22"/>
        </w:rPr>
      </w:pPr>
      <w:r w:rsidRPr="00892634">
        <w:rPr>
          <w:sz w:val="22"/>
          <w:szCs w:val="22"/>
        </w:rPr>
        <w:t xml:space="preserve">Applicants will be notified of either award or denial via email. </w:t>
      </w:r>
    </w:p>
    <w:p w:rsidR="00892634" w:rsidRPr="00892634" w:rsidRDefault="00892634" w:rsidP="00892634">
      <w:pPr>
        <w:rPr>
          <w:sz w:val="22"/>
          <w:szCs w:val="22"/>
        </w:rPr>
      </w:pPr>
    </w:p>
    <w:p w:rsidR="00892634" w:rsidRPr="00892634" w:rsidRDefault="00892634" w:rsidP="00892634">
      <w:pPr>
        <w:numPr>
          <w:ilvl w:val="0"/>
          <w:numId w:val="3"/>
        </w:numPr>
        <w:contextualSpacing/>
        <w:rPr>
          <w:b/>
          <w:sz w:val="22"/>
          <w:szCs w:val="22"/>
        </w:rPr>
      </w:pPr>
      <w:r w:rsidRPr="00892634">
        <w:rPr>
          <w:b/>
          <w:sz w:val="22"/>
          <w:szCs w:val="22"/>
        </w:rPr>
        <w:t>POST AWARD REQUIREMENTS</w:t>
      </w:r>
    </w:p>
    <w:p w:rsidR="00892634" w:rsidRPr="00892634" w:rsidRDefault="00892634" w:rsidP="00892634">
      <w:pPr>
        <w:rPr>
          <w:b/>
          <w:sz w:val="22"/>
          <w:szCs w:val="22"/>
        </w:rPr>
      </w:pPr>
    </w:p>
    <w:p w:rsidR="00892634" w:rsidRPr="00892634" w:rsidRDefault="00892634" w:rsidP="00892634">
      <w:pPr>
        <w:ind w:left="360"/>
        <w:rPr>
          <w:sz w:val="22"/>
          <w:szCs w:val="22"/>
        </w:rPr>
      </w:pPr>
      <w:r w:rsidRPr="00892634">
        <w:rPr>
          <w:sz w:val="22"/>
          <w:szCs w:val="22"/>
        </w:rPr>
        <w:t xml:space="preserve">Successful applicants must abide by the grant requirements below as well as all of the EOPSS Sub-recipient Grant Conditions which will be provided at the time of contracting. Further, if awarded, EOPSS requires the following items from CNSGP sub-recipients: </w:t>
      </w:r>
    </w:p>
    <w:p w:rsidR="00892634" w:rsidRPr="00892634" w:rsidRDefault="00892634" w:rsidP="00892634">
      <w:pPr>
        <w:ind w:left="720"/>
        <w:rPr>
          <w:sz w:val="22"/>
          <w:szCs w:val="22"/>
        </w:rPr>
      </w:pPr>
    </w:p>
    <w:p w:rsidR="00892634" w:rsidRPr="00892634" w:rsidRDefault="00892634" w:rsidP="00892634">
      <w:pPr>
        <w:numPr>
          <w:ilvl w:val="1"/>
          <w:numId w:val="3"/>
        </w:numPr>
        <w:ind w:left="1080"/>
        <w:contextualSpacing/>
        <w:rPr>
          <w:sz w:val="22"/>
          <w:szCs w:val="22"/>
        </w:rPr>
      </w:pPr>
      <w:r w:rsidRPr="00892634">
        <w:rPr>
          <w:sz w:val="22"/>
          <w:szCs w:val="22"/>
        </w:rPr>
        <w:t xml:space="preserve">EOPSS Sub-recipient Grant Conditions to be signed and dated. </w:t>
      </w:r>
    </w:p>
    <w:p w:rsidR="00892634" w:rsidRPr="00892634" w:rsidRDefault="00892634" w:rsidP="00892634">
      <w:pPr>
        <w:numPr>
          <w:ilvl w:val="1"/>
          <w:numId w:val="3"/>
        </w:numPr>
        <w:ind w:left="1080"/>
        <w:contextualSpacing/>
        <w:rPr>
          <w:sz w:val="22"/>
          <w:szCs w:val="22"/>
        </w:rPr>
      </w:pPr>
      <w:r w:rsidRPr="00892634">
        <w:rPr>
          <w:sz w:val="22"/>
          <w:szCs w:val="22"/>
        </w:rPr>
        <w:t xml:space="preserve">The submission of satisfactory and timely progress reports. </w:t>
      </w:r>
    </w:p>
    <w:p w:rsidR="00892634" w:rsidRPr="00892634" w:rsidRDefault="00892634" w:rsidP="00892634">
      <w:pPr>
        <w:numPr>
          <w:ilvl w:val="1"/>
          <w:numId w:val="3"/>
        </w:numPr>
        <w:ind w:left="1080"/>
        <w:contextualSpacing/>
        <w:rPr>
          <w:sz w:val="22"/>
          <w:szCs w:val="22"/>
        </w:rPr>
      </w:pPr>
      <w:r w:rsidRPr="00892634">
        <w:rPr>
          <w:sz w:val="22"/>
          <w:szCs w:val="22"/>
        </w:rPr>
        <w:t xml:space="preserve">The identification of a project manager and fiscal manager to include contact information and their roles and responsibilities as they relate to the project. </w:t>
      </w:r>
    </w:p>
    <w:p w:rsidR="00EC260B" w:rsidRPr="00892634" w:rsidRDefault="00892634" w:rsidP="00892634">
      <w:pPr>
        <w:numPr>
          <w:ilvl w:val="1"/>
          <w:numId w:val="3"/>
        </w:numPr>
        <w:ind w:left="1080"/>
        <w:contextualSpacing/>
        <w:rPr>
          <w:sz w:val="22"/>
          <w:szCs w:val="22"/>
        </w:rPr>
      </w:pPr>
      <w:r w:rsidRPr="00892634">
        <w:rPr>
          <w:sz w:val="22"/>
          <w:szCs w:val="22"/>
        </w:rPr>
        <w:t>Due to the competitive process, changes to the scope of work may not be allowed. Please ensure the projects being proposed are well-planned, as any funds that remain at the end of the performance period will be disencumbered and returned to EOPSS.</w:t>
      </w:r>
    </w:p>
    <w:p w:rsidR="00892634" w:rsidRDefault="00892634" w:rsidP="00892634">
      <w:pPr>
        <w:numPr>
          <w:ilvl w:val="1"/>
          <w:numId w:val="3"/>
        </w:numPr>
        <w:ind w:left="1080" w:right="-86"/>
        <w:contextualSpacing/>
        <w:rPr>
          <w:sz w:val="22"/>
          <w:szCs w:val="22"/>
        </w:rPr>
      </w:pPr>
      <w:r w:rsidRPr="00892634">
        <w:rPr>
          <w:sz w:val="22"/>
          <w:szCs w:val="22"/>
        </w:rPr>
        <w:t>Cooperation during EOPSS monitoring endeavors, including site visits, and desk reviews. The monitoring will encompass the subrecipient’s administrative, programmatic and fiscal management of the grants. These reviews may include, but are not limited to:</w:t>
      </w:r>
    </w:p>
    <w:p w:rsidR="00F70CE3" w:rsidRPr="00892634" w:rsidRDefault="00F70CE3" w:rsidP="00F70CE3">
      <w:pPr>
        <w:ind w:left="1080" w:right="-86"/>
        <w:contextualSpacing/>
        <w:rPr>
          <w:sz w:val="22"/>
          <w:szCs w:val="22"/>
        </w:rPr>
      </w:pPr>
    </w:p>
    <w:p w:rsidR="00892634" w:rsidRPr="00892634" w:rsidRDefault="00892634" w:rsidP="00892634">
      <w:pPr>
        <w:numPr>
          <w:ilvl w:val="0"/>
          <w:numId w:val="12"/>
        </w:numPr>
        <w:spacing w:line="276" w:lineRule="auto"/>
        <w:ind w:right="-86"/>
        <w:contextualSpacing/>
        <w:rPr>
          <w:sz w:val="22"/>
          <w:szCs w:val="22"/>
        </w:rPr>
      </w:pPr>
      <w:r w:rsidRPr="00892634">
        <w:rPr>
          <w:sz w:val="22"/>
          <w:szCs w:val="22"/>
        </w:rPr>
        <w:t>Eligibility of expenditures</w:t>
      </w:r>
    </w:p>
    <w:p w:rsidR="00892634" w:rsidRPr="00892634" w:rsidRDefault="00892634" w:rsidP="00892634">
      <w:pPr>
        <w:numPr>
          <w:ilvl w:val="0"/>
          <w:numId w:val="12"/>
        </w:numPr>
        <w:tabs>
          <w:tab w:val="left" w:pos="1260"/>
          <w:tab w:val="left" w:pos="1530"/>
        </w:tabs>
        <w:spacing w:line="276" w:lineRule="auto"/>
        <w:ind w:right="-86"/>
        <w:contextualSpacing/>
        <w:rPr>
          <w:sz w:val="22"/>
          <w:szCs w:val="22"/>
        </w:rPr>
      </w:pPr>
      <w:r w:rsidRPr="00892634">
        <w:rPr>
          <w:sz w:val="22"/>
          <w:szCs w:val="22"/>
        </w:rPr>
        <w:t>Consistency between subrecipient’s CNSGP activities and those approved in the CNSGP application.</w:t>
      </w:r>
    </w:p>
    <w:p w:rsidR="00892634" w:rsidRPr="00892634" w:rsidRDefault="00892634" w:rsidP="00892634">
      <w:pPr>
        <w:spacing w:line="276" w:lineRule="auto"/>
        <w:ind w:left="1800" w:right="-86"/>
        <w:contextualSpacing/>
        <w:rPr>
          <w:sz w:val="22"/>
          <w:szCs w:val="22"/>
        </w:rPr>
      </w:pPr>
    </w:p>
    <w:p w:rsidR="00892634" w:rsidRPr="00892634" w:rsidRDefault="00892634" w:rsidP="00892634">
      <w:pPr>
        <w:ind w:left="360" w:right="-86"/>
        <w:rPr>
          <w:sz w:val="22"/>
          <w:szCs w:val="22"/>
        </w:rPr>
      </w:pPr>
      <w:r w:rsidRPr="00892634">
        <w:rPr>
          <w:sz w:val="22"/>
          <w:szCs w:val="22"/>
        </w:rPr>
        <w:t>EOPSS may suspend or terminate subrecipient funding, in whole or in part, or other measures may be imposed for any of the following reasons:</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Failing to expend funds in a timely manner consistent with the grant milestones, guidance, and assurances.</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Failing to comply with the requirements or statutory objectives of federal or state law.</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Failing to make satisfactory progress toward the goals or objectives set forth in the recipient application.</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Failing to follow grant agreement requirements or special conditions.</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Proposing or implementing substantial plan changes to the extent that, if originally submitted, the application would not have been selected for funding.</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Failing to submit required reports.</w:t>
      </w:r>
    </w:p>
    <w:p w:rsidR="00892634" w:rsidRPr="00892634" w:rsidRDefault="00892634" w:rsidP="00892634">
      <w:pPr>
        <w:numPr>
          <w:ilvl w:val="0"/>
          <w:numId w:val="6"/>
        </w:numPr>
        <w:spacing w:line="276" w:lineRule="auto"/>
        <w:ind w:left="1080" w:right="-86"/>
        <w:contextualSpacing/>
        <w:rPr>
          <w:sz w:val="22"/>
          <w:szCs w:val="22"/>
        </w:rPr>
      </w:pPr>
      <w:r w:rsidRPr="00892634">
        <w:rPr>
          <w:sz w:val="22"/>
          <w:szCs w:val="22"/>
        </w:rPr>
        <w:t>Filing a false certification in the application or other report or document.</w:t>
      </w:r>
    </w:p>
    <w:p w:rsidR="00892634" w:rsidRDefault="00892634" w:rsidP="00892634">
      <w:pPr>
        <w:ind w:left="720"/>
        <w:rPr>
          <w:sz w:val="22"/>
          <w:szCs w:val="22"/>
        </w:rPr>
      </w:pPr>
    </w:p>
    <w:p w:rsidR="00F70CE3" w:rsidRDefault="00F70CE3" w:rsidP="00892634">
      <w:pPr>
        <w:ind w:left="720"/>
        <w:rPr>
          <w:sz w:val="22"/>
          <w:szCs w:val="22"/>
        </w:rPr>
      </w:pPr>
    </w:p>
    <w:p w:rsidR="00F70CE3" w:rsidRPr="00892634" w:rsidRDefault="00F70CE3" w:rsidP="00892634">
      <w:pPr>
        <w:ind w:left="720"/>
        <w:rPr>
          <w:sz w:val="22"/>
          <w:szCs w:val="22"/>
        </w:rPr>
      </w:pPr>
    </w:p>
    <w:p w:rsidR="00892634" w:rsidRPr="00892634" w:rsidRDefault="00892634" w:rsidP="00892634">
      <w:pPr>
        <w:widowControl w:val="0"/>
        <w:numPr>
          <w:ilvl w:val="0"/>
          <w:numId w:val="3"/>
        </w:numPr>
        <w:autoSpaceDE w:val="0"/>
        <w:autoSpaceDN w:val="0"/>
        <w:ind w:right="205"/>
        <w:rPr>
          <w:rFonts w:eastAsia="Calibri"/>
          <w:b/>
          <w:sz w:val="22"/>
          <w:szCs w:val="22"/>
        </w:rPr>
      </w:pPr>
      <w:r w:rsidRPr="00892634">
        <w:rPr>
          <w:rFonts w:eastAsia="Calibri"/>
          <w:b/>
          <w:sz w:val="22"/>
          <w:szCs w:val="22"/>
        </w:rPr>
        <w:lastRenderedPageBreak/>
        <w:t xml:space="preserve">PROCUREMENT </w:t>
      </w:r>
    </w:p>
    <w:p w:rsidR="00892634" w:rsidRPr="00892634" w:rsidRDefault="00892634" w:rsidP="00892634">
      <w:pPr>
        <w:widowControl w:val="0"/>
        <w:autoSpaceDE w:val="0"/>
        <w:autoSpaceDN w:val="0"/>
        <w:ind w:left="810" w:right="205" w:hanging="286"/>
        <w:rPr>
          <w:rFonts w:eastAsia="Calibri"/>
          <w:sz w:val="18"/>
          <w:szCs w:val="18"/>
        </w:rPr>
      </w:pPr>
    </w:p>
    <w:p w:rsidR="00892634" w:rsidRPr="00892634" w:rsidRDefault="00892634" w:rsidP="00892634">
      <w:pPr>
        <w:widowControl w:val="0"/>
        <w:numPr>
          <w:ilvl w:val="1"/>
          <w:numId w:val="3"/>
        </w:numPr>
        <w:autoSpaceDE w:val="0"/>
        <w:autoSpaceDN w:val="0"/>
        <w:ind w:left="1080" w:right="205"/>
        <w:rPr>
          <w:rFonts w:eastAsia="Calibri"/>
          <w:sz w:val="22"/>
          <w:szCs w:val="22"/>
        </w:rPr>
      </w:pPr>
      <w:r w:rsidRPr="00892634">
        <w:rPr>
          <w:rFonts w:eastAsia="Calibri"/>
          <w:i/>
          <w:sz w:val="22"/>
          <w:szCs w:val="22"/>
        </w:rPr>
        <w:t xml:space="preserve">Applicable Regulation. </w:t>
      </w:r>
      <w:r w:rsidRPr="00892634">
        <w:rPr>
          <w:rFonts w:eastAsia="Calibri"/>
          <w:sz w:val="22"/>
          <w:szCs w:val="22"/>
        </w:rPr>
        <w:t xml:space="preserve">Procurement of services, equipment, and supplies must follow M.G.L. Ch. 30B for local units of government and non-profit entities and Operational Services Division (OSD) Purchasing Guide for state agencies. Local units of government must ensure that subcontracts with private organizations have provisions ensuring any goods and services provided by the subcontractor are consistent with M.G.L. Ch. 30B procedures. Each awardee must abide by their local city and county environmental and historic preservation ordinances. </w:t>
      </w:r>
    </w:p>
    <w:p w:rsidR="00892634" w:rsidRPr="00892634" w:rsidRDefault="00892634" w:rsidP="00892634">
      <w:pPr>
        <w:widowControl w:val="0"/>
        <w:autoSpaceDE w:val="0"/>
        <w:autoSpaceDN w:val="0"/>
        <w:ind w:left="1080" w:right="205"/>
        <w:rPr>
          <w:rFonts w:eastAsia="Calibri"/>
          <w:i/>
          <w:sz w:val="22"/>
          <w:szCs w:val="22"/>
        </w:rPr>
      </w:pPr>
    </w:p>
    <w:p w:rsidR="00892634" w:rsidRPr="00892634" w:rsidRDefault="00892634" w:rsidP="00892634">
      <w:pPr>
        <w:widowControl w:val="0"/>
        <w:numPr>
          <w:ilvl w:val="1"/>
          <w:numId w:val="3"/>
        </w:numPr>
        <w:autoSpaceDE w:val="0"/>
        <w:autoSpaceDN w:val="0"/>
        <w:ind w:left="1080" w:right="205"/>
        <w:rPr>
          <w:rFonts w:eastAsia="Calibri"/>
          <w:sz w:val="22"/>
          <w:szCs w:val="22"/>
        </w:rPr>
      </w:pPr>
      <w:r w:rsidRPr="00892634">
        <w:rPr>
          <w:rFonts w:eastAsia="Calibri"/>
          <w:i/>
          <w:sz w:val="22"/>
          <w:szCs w:val="22"/>
        </w:rPr>
        <w:t>Sub-granting</w:t>
      </w:r>
      <w:r w:rsidRPr="00892634">
        <w:rPr>
          <w:rFonts w:eastAsia="Calibri"/>
          <w:sz w:val="22"/>
          <w:szCs w:val="22"/>
        </w:rPr>
        <w:t xml:space="preserve">. Sub-recipients choosing to further sub-grant to an implementing agency or an independent contractor, all or any part of the amount of the grant award, shall include the provisions of the EOPSS standard sub-grant conditions and enter into a written contract or Memorandum of Understanding (MOU) with the implementing agency or independent contractor. A copy of the contract or MOU must be submitted to EOPSS for the sub-recipient grant folder, once an award is made. For the grant application, submit a letter of collaboration signed by the parties that explains the relationship of the agencies that will enter into a formal MOU if awarded. </w:t>
      </w:r>
    </w:p>
    <w:p w:rsidR="00892634" w:rsidRPr="00892634" w:rsidRDefault="00892634" w:rsidP="00892634">
      <w:pPr>
        <w:widowControl w:val="0"/>
        <w:autoSpaceDE w:val="0"/>
        <w:autoSpaceDN w:val="0"/>
        <w:ind w:left="1080" w:right="205"/>
        <w:rPr>
          <w:rFonts w:eastAsia="Calibri"/>
          <w:sz w:val="22"/>
          <w:szCs w:val="22"/>
        </w:rPr>
      </w:pPr>
      <w:r w:rsidRPr="00892634">
        <w:rPr>
          <w:rFonts w:eastAsia="Calibri"/>
          <w:sz w:val="22"/>
          <w:szCs w:val="22"/>
        </w:rPr>
        <w:t xml:space="preserve"> </w:t>
      </w:r>
    </w:p>
    <w:p w:rsidR="00892634" w:rsidRPr="00892634" w:rsidRDefault="00892634" w:rsidP="00892634">
      <w:pPr>
        <w:widowControl w:val="0"/>
        <w:numPr>
          <w:ilvl w:val="1"/>
          <w:numId w:val="3"/>
        </w:numPr>
        <w:autoSpaceDE w:val="0"/>
        <w:autoSpaceDN w:val="0"/>
        <w:ind w:left="1080" w:right="205"/>
        <w:rPr>
          <w:rFonts w:eastAsia="Calibri"/>
          <w:sz w:val="22"/>
          <w:szCs w:val="22"/>
        </w:rPr>
      </w:pPr>
      <w:r w:rsidRPr="00892634">
        <w:rPr>
          <w:rFonts w:eastAsia="Calibri"/>
          <w:i/>
          <w:sz w:val="22"/>
          <w:szCs w:val="22"/>
        </w:rPr>
        <w:t xml:space="preserve">Reporting Waste, Fraud, or Abuse. </w:t>
      </w:r>
      <w:r w:rsidRPr="00892634">
        <w:rPr>
          <w:rFonts w:eastAsia="Calibri"/>
          <w:sz w:val="22"/>
          <w:szCs w:val="22"/>
        </w:rPr>
        <w:t xml:space="preserve">It is the responsibility of the subrecipient to report alleged waste, fraud or abuse including any alleged violations, serious irregularities, sensitive issues or overt or covert acts involving the use of public funds in a manner not consistent with related laws and regulations, appropriate guidelines for purposes of the grant. Reports should be made to the Offices of the Massachusetts Inspector General or State Auditor. </w:t>
      </w:r>
    </w:p>
    <w:p w:rsidR="00892634" w:rsidRPr="00892634" w:rsidRDefault="00892634" w:rsidP="00892634">
      <w:pPr>
        <w:widowControl w:val="0"/>
        <w:autoSpaceDE w:val="0"/>
        <w:autoSpaceDN w:val="0"/>
        <w:ind w:left="810" w:right="205" w:hanging="286"/>
        <w:rPr>
          <w:rFonts w:eastAsia="Calibri"/>
          <w:sz w:val="22"/>
          <w:szCs w:val="22"/>
        </w:rPr>
      </w:pP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Office of the Inspector General John W. McCormack State Office Building </w:t>
      </w: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One Ashburton Place, Room 1311 </w:t>
      </w: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Boston, MA 02108 </w:t>
      </w: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617-727-9140 </w:t>
      </w:r>
    </w:p>
    <w:p w:rsidR="00892634" w:rsidRPr="00892634" w:rsidRDefault="00B16B40" w:rsidP="00892634">
      <w:pPr>
        <w:widowControl w:val="0"/>
        <w:autoSpaceDE w:val="0"/>
        <w:autoSpaceDN w:val="0"/>
        <w:ind w:left="1350" w:right="205" w:hanging="286"/>
        <w:rPr>
          <w:rFonts w:eastAsia="Calibri"/>
          <w:sz w:val="22"/>
          <w:szCs w:val="22"/>
        </w:rPr>
      </w:pPr>
      <w:hyperlink r:id="rId21" w:history="1">
        <w:r w:rsidR="00892634" w:rsidRPr="00892634">
          <w:rPr>
            <w:rFonts w:eastAsia="Calibri"/>
            <w:color w:val="0000FF"/>
            <w:sz w:val="22"/>
            <w:szCs w:val="22"/>
            <w:u w:val="single"/>
          </w:rPr>
          <w:t>MA-IGO-General-Mail@massmail.state.ma.us</w:t>
        </w:r>
      </w:hyperlink>
      <w:r w:rsidR="00892634" w:rsidRPr="00892634">
        <w:rPr>
          <w:rFonts w:eastAsia="Calibri"/>
          <w:sz w:val="22"/>
          <w:szCs w:val="22"/>
        </w:rPr>
        <w:t xml:space="preserve"> </w:t>
      </w:r>
    </w:p>
    <w:p w:rsidR="00892634" w:rsidRPr="00892634" w:rsidRDefault="00892634" w:rsidP="00892634">
      <w:pPr>
        <w:widowControl w:val="0"/>
        <w:autoSpaceDE w:val="0"/>
        <w:autoSpaceDN w:val="0"/>
        <w:ind w:left="1350" w:right="205" w:hanging="286"/>
        <w:rPr>
          <w:rFonts w:eastAsia="Calibri"/>
          <w:sz w:val="22"/>
          <w:szCs w:val="22"/>
        </w:rPr>
      </w:pP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Office of the State Auditor </w:t>
      </w:r>
    </w:p>
    <w:p w:rsidR="00892634" w:rsidRPr="00892634" w:rsidRDefault="00892634" w:rsidP="00892634">
      <w:pPr>
        <w:widowControl w:val="0"/>
        <w:autoSpaceDE w:val="0"/>
        <w:autoSpaceDN w:val="0"/>
        <w:ind w:left="1350" w:right="205" w:hanging="286"/>
        <w:rPr>
          <w:rFonts w:eastAsia="Calibri"/>
          <w:sz w:val="22"/>
          <w:szCs w:val="22"/>
        </w:rPr>
      </w:pPr>
      <w:r w:rsidRPr="00892634">
        <w:rPr>
          <w:rFonts w:eastAsia="Calibri"/>
          <w:sz w:val="22"/>
          <w:szCs w:val="22"/>
        </w:rPr>
        <w:t xml:space="preserve">Massachusetts State House, Room 230 </w:t>
      </w:r>
    </w:p>
    <w:p w:rsidR="00892634" w:rsidRPr="00892634" w:rsidRDefault="00892634" w:rsidP="00892634">
      <w:pPr>
        <w:widowControl w:val="0"/>
        <w:autoSpaceDE w:val="0"/>
        <w:autoSpaceDN w:val="0"/>
        <w:ind w:left="1350" w:right="205" w:hanging="286"/>
        <w:rPr>
          <w:rFonts w:eastAsia="Calibri"/>
          <w:sz w:val="22"/>
          <w:szCs w:val="22"/>
          <w:lang w:val="it-IT"/>
        </w:rPr>
      </w:pPr>
      <w:r w:rsidRPr="00892634">
        <w:rPr>
          <w:rFonts w:eastAsia="Calibri"/>
          <w:sz w:val="22"/>
          <w:szCs w:val="22"/>
          <w:lang w:val="it-IT"/>
        </w:rPr>
        <w:t xml:space="preserve">Boston, MA 02133 617-727-2075 </w:t>
      </w:r>
    </w:p>
    <w:p w:rsidR="00892634" w:rsidRPr="00892634" w:rsidRDefault="00B16B40" w:rsidP="00892634">
      <w:pPr>
        <w:widowControl w:val="0"/>
        <w:autoSpaceDE w:val="0"/>
        <w:autoSpaceDN w:val="0"/>
        <w:ind w:left="1350" w:right="205" w:hanging="286"/>
        <w:rPr>
          <w:rFonts w:eastAsia="Calibri"/>
          <w:sz w:val="22"/>
          <w:szCs w:val="22"/>
          <w:lang w:val="it-IT"/>
        </w:rPr>
      </w:pPr>
      <w:hyperlink r:id="rId22" w:history="1">
        <w:r w:rsidR="00892634" w:rsidRPr="00892634">
          <w:rPr>
            <w:rFonts w:eastAsia="Calibri"/>
            <w:color w:val="0000FF"/>
            <w:sz w:val="22"/>
            <w:szCs w:val="22"/>
            <w:u w:val="single"/>
            <w:lang w:val="it-IT"/>
          </w:rPr>
          <w:t>www.mass.gov/auditor/report-fraud-and-waste.html</w:t>
        </w:r>
      </w:hyperlink>
    </w:p>
    <w:p w:rsidR="00892634" w:rsidRPr="00892634" w:rsidRDefault="00892634" w:rsidP="00892634">
      <w:pPr>
        <w:ind w:left="1440"/>
        <w:contextualSpacing/>
        <w:rPr>
          <w:sz w:val="22"/>
          <w:szCs w:val="22"/>
          <w:lang w:val="it-IT"/>
        </w:rPr>
      </w:pPr>
    </w:p>
    <w:p w:rsidR="00892634" w:rsidRPr="00892634" w:rsidRDefault="00892634" w:rsidP="00892634">
      <w:pPr>
        <w:numPr>
          <w:ilvl w:val="0"/>
          <w:numId w:val="3"/>
        </w:numPr>
        <w:overflowPunct w:val="0"/>
        <w:autoSpaceDE w:val="0"/>
        <w:autoSpaceDN w:val="0"/>
        <w:adjustRightInd w:val="0"/>
        <w:textAlignment w:val="baseline"/>
        <w:rPr>
          <w:b/>
          <w:sz w:val="22"/>
          <w:szCs w:val="22"/>
        </w:rPr>
      </w:pPr>
      <w:r w:rsidRPr="00892634">
        <w:rPr>
          <w:b/>
          <w:sz w:val="22"/>
          <w:szCs w:val="22"/>
        </w:rPr>
        <w:t>APPLICATION CHECKLIST</w:t>
      </w:r>
    </w:p>
    <w:p w:rsidR="00892634" w:rsidRPr="00892634" w:rsidRDefault="00892634" w:rsidP="00F70CE3">
      <w:pPr>
        <w:rPr>
          <w:b/>
          <w:sz w:val="18"/>
          <w:szCs w:val="18"/>
        </w:rPr>
      </w:pPr>
    </w:p>
    <w:p w:rsidR="00892634" w:rsidRPr="00892634" w:rsidRDefault="00892634" w:rsidP="00892634">
      <w:pPr>
        <w:widowControl w:val="0"/>
        <w:tabs>
          <w:tab w:val="left" w:pos="1243"/>
          <w:tab w:val="left" w:pos="1244"/>
        </w:tabs>
        <w:autoSpaceDE w:val="0"/>
        <w:autoSpaceDN w:val="0"/>
        <w:spacing w:before="31" w:line="276" w:lineRule="auto"/>
        <w:ind w:left="360" w:right="410"/>
        <w:rPr>
          <w:rFonts w:eastAsia="Calibri"/>
          <w:sz w:val="22"/>
          <w:szCs w:val="22"/>
        </w:rPr>
      </w:pPr>
      <w:r w:rsidRPr="00892634">
        <w:rPr>
          <w:rFonts w:eastAsia="Calibri"/>
          <w:sz w:val="22"/>
          <w:szCs w:val="22"/>
        </w:rPr>
        <w:t>___ 501(c)(3) letter which designates an organization as being not for profit or self-declared letter from the organization stating that they qualify for 501(c)(3)</w:t>
      </w:r>
      <w:r w:rsidRPr="00892634">
        <w:rPr>
          <w:rFonts w:eastAsia="Calibri"/>
          <w:spacing w:val="-12"/>
          <w:sz w:val="22"/>
          <w:szCs w:val="22"/>
        </w:rPr>
        <w:t xml:space="preserve"> </w:t>
      </w:r>
      <w:r w:rsidRPr="00892634">
        <w:rPr>
          <w:rFonts w:eastAsia="Calibri"/>
          <w:sz w:val="22"/>
          <w:szCs w:val="22"/>
        </w:rPr>
        <w:t>status.</w:t>
      </w:r>
    </w:p>
    <w:p w:rsidR="00892634" w:rsidRPr="00892634" w:rsidRDefault="00892634" w:rsidP="00892634">
      <w:pPr>
        <w:tabs>
          <w:tab w:val="right" w:leader="dot" w:pos="10800"/>
        </w:tabs>
        <w:ind w:left="360"/>
        <w:contextualSpacing/>
        <w:rPr>
          <w:b/>
          <w:sz w:val="22"/>
          <w:szCs w:val="22"/>
        </w:rPr>
      </w:pPr>
    </w:p>
    <w:p w:rsidR="00892634" w:rsidRPr="00892634" w:rsidRDefault="00892634" w:rsidP="00892634">
      <w:pPr>
        <w:tabs>
          <w:tab w:val="right" w:leader="dot" w:pos="10800"/>
        </w:tabs>
        <w:ind w:left="360"/>
        <w:rPr>
          <w:sz w:val="22"/>
          <w:szCs w:val="22"/>
        </w:rPr>
      </w:pPr>
      <w:r w:rsidRPr="00892634">
        <w:rPr>
          <w:sz w:val="22"/>
          <w:szCs w:val="22"/>
        </w:rPr>
        <w:t xml:space="preserve">___ </w:t>
      </w:r>
      <w:r w:rsidRPr="00892634">
        <w:rPr>
          <w:bCs/>
          <w:sz w:val="22"/>
          <w:szCs w:val="22"/>
        </w:rPr>
        <w:t xml:space="preserve">CNSGP </w:t>
      </w:r>
      <w:r w:rsidRPr="00892634">
        <w:rPr>
          <w:sz w:val="22"/>
          <w:szCs w:val="22"/>
        </w:rPr>
        <w:t xml:space="preserve">Investment Justification </w:t>
      </w:r>
    </w:p>
    <w:p w:rsidR="00892634" w:rsidRPr="00892634" w:rsidRDefault="00892634" w:rsidP="00892634">
      <w:pPr>
        <w:tabs>
          <w:tab w:val="right" w:leader="dot" w:pos="10800"/>
        </w:tabs>
        <w:ind w:left="360"/>
        <w:rPr>
          <w:sz w:val="22"/>
          <w:szCs w:val="22"/>
        </w:rPr>
      </w:pPr>
    </w:p>
    <w:p w:rsidR="00892634" w:rsidRPr="00892634" w:rsidRDefault="00892634" w:rsidP="00892634">
      <w:pPr>
        <w:tabs>
          <w:tab w:val="right" w:leader="dot" w:pos="10800"/>
        </w:tabs>
        <w:ind w:left="360"/>
        <w:rPr>
          <w:sz w:val="22"/>
          <w:szCs w:val="22"/>
        </w:rPr>
      </w:pPr>
      <w:r w:rsidRPr="00892634">
        <w:rPr>
          <w:sz w:val="22"/>
          <w:szCs w:val="22"/>
        </w:rPr>
        <w:t>___ Contractor Authorized Signatory Listing</w:t>
      </w:r>
    </w:p>
    <w:p w:rsidR="00892634" w:rsidRPr="00892634" w:rsidRDefault="00892634" w:rsidP="00892634">
      <w:pPr>
        <w:tabs>
          <w:tab w:val="right" w:leader="dot" w:pos="10800"/>
        </w:tabs>
        <w:ind w:left="360"/>
        <w:rPr>
          <w:sz w:val="22"/>
          <w:szCs w:val="22"/>
        </w:rPr>
      </w:pPr>
    </w:p>
    <w:p w:rsidR="00892634" w:rsidRPr="00892634" w:rsidRDefault="00892634" w:rsidP="00892634">
      <w:pPr>
        <w:tabs>
          <w:tab w:val="right" w:leader="dot" w:pos="10800"/>
        </w:tabs>
        <w:ind w:left="360"/>
        <w:rPr>
          <w:b/>
          <w:sz w:val="24"/>
          <w:szCs w:val="24"/>
        </w:rPr>
      </w:pPr>
      <w:r w:rsidRPr="00892634">
        <w:rPr>
          <w:sz w:val="22"/>
          <w:szCs w:val="22"/>
        </w:rPr>
        <w:t>___ Additional Materials. Additional materials include, but are not limited to community assessments, cooperative agreements or letters of support to demonstrate collaboration and press clippings or survey results that illustrate the community crime problems, etc. Applicants should be aware that award determinations will be based primarily on the information provided in the application.</w:t>
      </w:r>
    </w:p>
    <w:p w:rsidR="00FA0E43" w:rsidRPr="00722356" w:rsidRDefault="00FA0E43" w:rsidP="00946EE2">
      <w:pPr>
        <w:ind w:left="360"/>
        <w:rPr>
          <w:sz w:val="22"/>
          <w:szCs w:val="22"/>
        </w:rPr>
      </w:pPr>
    </w:p>
    <w:sectPr w:rsidR="00FA0E43" w:rsidRPr="00722356" w:rsidSect="00892634">
      <w:footerReference w:type="default" r:id="rId23"/>
      <w:pgSz w:w="12240" w:h="15840" w:code="1"/>
      <w:pgMar w:top="720" w:right="720" w:bottom="720" w:left="720" w:header="720" w:footer="432" w:gutter="0"/>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77" w:rsidRDefault="00757277" w:rsidP="00705254">
      <w:r>
        <w:separator/>
      </w:r>
    </w:p>
  </w:endnote>
  <w:endnote w:type="continuationSeparator" w:id="0">
    <w:p w:rsidR="00757277" w:rsidRDefault="00757277" w:rsidP="0070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A1" w:rsidRPr="0083408A" w:rsidRDefault="002E1ABC" w:rsidP="007E15A1">
    <w:pPr>
      <w:pStyle w:val="Footer"/>
      <w:tabs>
        <w:tab w:val="clear" w:pos="4320"/>
        <w:tab w:val="clear" w:pos="8640"/>
        <w:tab w:val="center" w:pos="4590"/>
        <w:tab w:val="right" w:pos="9450"/>
      </w:tabs>
      <w:rPr>
        <w:smallCaps/>
      </w:rPr>
    </w:pPr>
    <w:r>
      <w:rPr>
        <w:smallCaps/>
      </w:rPr>
      <w:t>Page 4 of 5</w:t>
    </w:r>
    <w:r w:rsidRPr="0083408A">
      <w:rPr>
        <w:smallCaps/>
      </w:rPr>
      <w:tab/>
    </w:r>
    <w:r w:rsidRPr="0083408A">
      <w:rPr>
        <w:smallCaps/>
        <w:noProof/>
      </w:rPr>
      <w:tab/>
      <w:t>Part I - Overview</w:t>
    </w:r>
  </w:p>
  <w:p w:rsidR="007E15A1" w:rsidRPr="0083408A" w:rsidRDefault="00B16B40" w:rsidP="00834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43852"/>
      <w:docPartObj>
        <w:docPartGallery w:val="Page Numbers (Bottom of Page)"/>
        <w:docPartUnique/>
      </w:docPartObj>
    </w:sdtPr>
    <w:sdtEndPr>
      <w:rPr>
        <w:noProof/>
      </w:rPr>
    </w:sdtEndPr>
    <w:sdtContent>
      <w:p w:rsidR="00892634" w:rsidRDefault="00892634">
        <w:pPr>
          <w:pStyle w:val="Footer"/>
          <w:jc w:val="center"/>
        </w:pPr>
        <w:r>
          <w:fldChar w:fldCharType="begin"/>
        </w:r>
        <w:r>
          <w:instrText xml:space="preserve"> PAGE   \* MERGEFORMAT </w:instrText>
        </w:r>
        <w:r>
          <w:fldChar w:fldCharType="separate"/>
        </w:r>
        <w:r w:rsidR="00B16B40">
          <w:rPr>
            <w:noProof/>
          </w:rPr>
          <w:t>1</w:t>
        </w:r>
        <w:r>
          <w:rPr>
            <w:noProof/>
          </w:rPr>
          <w:fldChar w:fldCharType="end"/>
        </w:r>
      </w:p>
    </w:sdtContent>
  </w:sdt>
  <w:p w:rsidR="00CF4685" w:rsidRDefault="00CF4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35871"/>
      <w:docPartObj>
        <w:docPartGallery w:val="Page Numbers (Bottom of Page)"/>
        <w:docPartUnique/>
      </w:docPartObj>
    </w:sdtPr>
    <w:sdtEndPr>
      <w:rPr>
        <w:noProof/>
      </w:rPr>
    </w:sdtEndPr>
    <w:sdtContent>
      <w:p w:rsidR="00CF4685" w:rsidRDefault="00CF4685">
        <w:pPr>
          <w:pStyle w:val="Footer"/>
          <w:jc w:val="center"/>
        </w:pPr>
        <w:r>
          <w:fldChar w:fldCharType="begin"/>
        </w:r>
        <w:r>
          <w:instrText xml:space="preserve"> PAGE   \* MERGEFORMAT </w:instrText>
        </w:r>
        <w:r>
          <w:fldChar w:fldCharType="separate"/>
        </w:r>
        <w:r w:rsidR="00B16B40">
          <w:rPr>
            <w:noProof/>
          </w:rPr>
          <w:t>2</w:t>
        </w:r>
        <w:r>
          <w:rPr>
            <w:noProof/>
          </w:rPr>
          <w:fldChar w:fldCharType="end"/>
        </w:r>
      </w:p>
    </w:sdtContent>
  </w:sdt>
  <w:p w:rsidR="000009E3" w:rsidRDefault="00B16B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30294"/>
      <w:docPartObj>
        <w:docPartGallery w:val="Page Numbers (Bottom of Page)"/>
        <w:docPartUnique/>
      </w:docPartObj>
    </w:sdtPr>
    <w:sdtEndPr>
      <w:rPr>
        <w:noProof/>
      </w:rPr>
    </w:sdtEndPr>
    <w:sdtContent>
      <w:p w:rsidR="00892634" w:rsidRDefault="00892634">
        <w:pPr>
          <w:pStyle w:val="Footer"/>
          <w:jc w:val="center"/>
        </w:pPr>
        <w:r>
          <w:fldChar w:fldCharType="begin"/>
        </w:r>
        <w:r>
          <w:instrText xml:space="preserve"> PAGE   \* MERGEFORMAT </w:instrText>
        </w:r>
        <w:r>
          <w:fldChar w:fldCharType="separate"/>
        </w:r>
        <w:r w:rsidR="00B16B40">
          <w:rPr>
            <w:noProof/>
          </w:rPr>
          <w:t>3</w:t>
        </w:r>
        <w:r>
          <w:rPr>
            <w:noProof/>
          </w:rPr>
          <w:fldChar w:fldCharType="end"/>
        </w:r>
      </w:p>
    </w:sdtContent>
  </w:sdt>
  <w:p w:rsidR="00892634" w:rsidRDefault="00892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77" w:rsidRDefault="00757277" w:rsidP="00705254">
      <w:r>
        <w:separator/>
      </w:r>
    </w:p>
  </w:footnote>
  <w:footnote w:type="continuationSeparator" w:id="0">
    <w:p w:rsidR="00757277" w:rsidRDefault="00757277" w:rsidP="0070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09C"/>
    <w:multiLevelType w:val="hybridMultilevel"/>
    <w:tmpl w:val="F61E85C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EE7301"/>
    <w:multiLevelType w:val="hybridMultilevel"/>
    <w:tmpl w:val="60E24C8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E18C3"/>
    <w:multiLevelType w:val="hybridMultilevel"/>
    <w:tmpl w:val="D414B298"/>
    <w:lvl w:ilvl="0" w:tplc="86CCC360">
      <w:start w:val="1"/>
      <w:numFmt w:val="decimal"/>
      <w:lvlText w:val="%1."/>
      <w:lvlJc w:val="left"/>
      <w:pPr>
        <w:ind w:left="1080" w:hanging="360"/>
      </w:pPr>
      <w:rPr>
        <w:rFonts w:hint="default"/>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57AEE"/>
    <w:multiLevelType w:val="hybridMultilevel"/>
    <w:tmpl w:val="91EEC87A"/>
    <w:lvl w:ilvl="0" w:tplc="7390E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00039"/>
    <w:multiLevelType w:val="hybridMultilevel"/>
    <w:tmpl w:val="CAFEED52"/>
    <w:lvl w:ilvl="0" w:tplc="35A0B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3321"/>
    <w:multiLevelType w:val="hybridMultilevel"/>
    <w:tmpl w:val="458EEEF0"/>
    <w:lvl w:ilvl="0" w:tplc="E0C44C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5659B1"/>
    <w:multiLevelType w:val="hybridMultilevel"/>
    <w:tmpl w:val="834EC1D8"/>
    <w:lvl w:ilvl="0" w:tplc="866C4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A51F5"/>
    <w:multiLevelType w:val="hybridMultilevel"/>
    <w:tmpl w:val="DC86AC6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FA50DC"/>
    <w:multiLevelType w:val="hybridMultilevel"/>
    <w:tmpl w:val="ACA0224C"/>
    <w:lvl w:ilvl="0" w:tplc="8B525FDC">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F75E8"/>
    <w:multiLevelType w:val="hybridMultilevel"/>
    <w:tmpl w:val="8C485268"/>
    <w:lvl w:ilvl="0" w:tplc="29CA9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D241ED"/>
    <w:multiLevelType w:val="hybridMultilevel"/>
    <w:tmpl w:val="60E6D9E0"/>
    <w:lvl w:ilvl="0" w:tplc="54DC0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F4372"/>
    <w:multiLevelType w:val="hybridMultilevel"/>
    <w:tmpl w:val="32FAE8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11C02"/>
    <w:multiLevelType w:val="hybridMultilevel"/>
    <w:tmpl w:val="02EC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1348F8"/>
    <w:multiLevelType w:val="hybridMultilevel"/>
    <w:tmpl w:val="46AE0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9A29F1"/>
    <w:multiLevelType w:val="hybridMultilevel"/>
    <w:tmpl w:val="8C485268"/>
    <w:lvl w:ilvl="0" w:tplc="29CA91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3C31BC"/>
    <w:multiLevelType w:val="hybridMultilevel"/>
    <w:tmpl w:val="CAFEED52"/>
    <w:lvl w:ilvl="0" w:tplc="35A0B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5"/>
  </w:num>
  <w:num w:numId="5">
    <w:abstractNumId w:val="11"/>
  </w:num>
  <w:num w:numId="6">
    <w:abstractNumId w:val="0"/>
  </w:num>
  <w:num w:numId="7">
    <w:abstractNumId w:val="14"/>
  </w:num>
  <w:num w:numId="8">
    <w:abstractNumId w:val="5"/>
  </w:num>
  <w:num w:numId="9">
    <w:abstractNumId w:val="1"/>
  </w:num>
  <w:num w:numId="10">
    <w:abstractNumId w:val="2"/>
  </w:num>
  <w:num w:numId="11">
    <w:abstractNumId w:val="10"/>
  </w:num>
  <w:num w:numId="12">
    <w:abstractNumId w:val="7"/>
  </w:num>
  <w:num w:numId="13">
    <w:abstractNumId w:val="9"/>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4"/>
    <w:rsid w:val="000243BF"/>
    <w:rsid w:val="0003119C"/>
    <w:rsid w:val="000D2BBF"/>
    <w:rsid w:val="00103010"/>
    <w:rsid w:val="00131331"/>
    <w:rsid w:val="00141393"/>
    <w:rsid w:val="001D04A1"/>
    <w:rsid w:val="00232F89"/>
    <w:rsid w:val="002C0871"/>
    <w:rsid w:val="002E1ABC"/>
    <w:rsid w:val="003158C4"/>
    <w:rsid w:val="00376673"/>
    <w:rsid w:val="004C3A8A"/>
    <w:rsid w:val="004E7700"/>
    <w:rsid w:val="00531A19"/>
    <w:rsid w:val="0053321A"/>
    <w:rsid w:val="00637AFB"/>
    <w:rsid w:val="00681948"/>
    <w:rsid w:val="006A2C79"/>
    <w:rsid w:val="006D0106"/>
    <w:rsid w:val="00705254"/>
    <w:rsid w:val="00722356"/>
    <w:rsid w:val="00757277"/>
    <w:rsid w:val="00797E78"/>
    <w:rsid w:val="007F29A7"/>
    <w:rsid w:val="008309E2"/>
    <w:rsid w:val="00870EE2"/>
    <w:rsid w:val="008731D7"/>
    <w:rsid w:val="008812AF"/>
    <w:rsid w:val="00892634"/>
    <w:rsid w:val="00894BDD"/>
    <w:rsid w:val="00946EE2"/>
    <w:rsid w:val="009775D3"/>
    <w:rsid w:val="00AB0327"/>
    <w:rsid w:val="00B16B40"/>
    <w:rsid w:val="00B315FD"/>
    <w:rsid w:val="00B427D0"/>
    <w:rsid w:val="00BC30FC"/>
    <w:rsid w:val="00BD77BF"/>
    <w:rsid w:val="00C134F5"/>
    <w:rsid w:val="00C14F6B"/>
    <w:rsid w:val="00C70594"/>
    <w:rsid w:val="00C8062C"/>
    <w:rsid w:val="00CC1FCB"/>
    <w:rsid w:val="00CD660C"/>
    <w:rsid w:val="00CF4685"/>
    <w:rsid w:val="00DC1BCF"/>
    <w:rsid w:val="00DD29AE"/>
    <w:rsid w:val="00F22DA8"/>
    <w:rsid w:val="00F70CE3"/>
    <w:rsid w:val="00FA0E43"/>
    <w:rsid w:val="00FE0B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FEDB-D2F0-44F5-BF98-153C61D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254"/>
    <w:pPr>
      <w:tabs>
        <w:tab w:val="center" w:pos="4320"/>
        <w:tab w:val="right" w:pos="8640"/>
      </w:tabs>
    </w:pPr>
  </w:style>
  <w:style w:type="character" w:customStyle="1" w:styleId="HeaderChar">
    <w:name w:val="Header Char"/>
    <w:basedOn w:val="DefaultParagraphFont"/>
    <w:link w:val="Header"/>
    <w:uiPriority w:val="99"/>
    <w:rsid w:val="00705254"/>
    <w:rPr>
      <w:rFonts w:ascii="Times New Roman" w:eastAsia="Times New Roman" w:hAnsi="Times New Roman" w:cs="Times New Roman"/>
      <w:sz w:val="20"/>
      <w:szCs w:val="20"/>
    </w:rPr>
  </w:style>
  <w:style w:type="paragraph" w:styleId="Footer">
    <w:name w:val="footer"/>
    <w:basedOn w:val="Normal"/>
    <w:link w:val="FooterChar"/>
    <w:uiPriority w:val="99"/>
    <w:rsid w:val="00705254"/>
    <w:pPr>
      <w:tabs>
        <w:tab w:val="center" w:pos="4320"/>
        <w:tab w:val="right" w:pos="8640"/>
      </w:tabs>
    </w:pPr>
  </w:style>
  <w:style w:type="character" w:customStyle="1" w:styleId="FooterChar">
    <w:name w:val="Footer Char"/>
    <w:basedOn w:val="DefaultParagraphFont"/>
    <w:link w:val="Footer"/>
    <w:uiPriority w:val="99"/>
    <w:rsid w:val="00705254"/>
    <w:rPr>
      <w:rFonts w:ascii="Times New Roman" w:eastAsia="Times New Roman" w:hAnsi="Times New Roman" w:cs="Times New Roman"/>
      <w:sz w:val="20"/>
      <w:szCs w:val="20"/>
    </w:rPr>
  </w:style>
  <w:style w:type="character" w:styleId="Hyperlink">
    <w:name w:val="Hyperlink"/>
    <w:basedOn w:val="DefaultParagraphFont"/>
    <w:rsid w:val="00705254"/>
    <w:rPr>
      <w:color w:val="0000FF"/>
      <w:u w:val="single"/>
    </w:rPr>
  </w:style>
  <w:style w:type="paragraph" w:customStyle="1" w:styleId="InsideAddressName">
    <w:name w:val="Inside Address Name"/>
    <w:basedOn w:val="Normal"/>
    <w:rsid w:val="00705254"/>
    <w:pPr>
      <w:overflowPunct w:val="0"/>
      <w:autoSpaceDE w:val="0"/>
      <w:autoSpaceDN w:val="0"/>
      <w:adjustRightInd w:val="0"/>
      <w:textAlignment w:val="baseline"/>
    </w:pPr>
    <w:rPr>
      <w:sz w:val="24"/>
    </w:rPr>
  </w:style>
  <w:style w:type="paragraph" w:customStyle="1" w:styleId="Default">
    <w:name w:val="Default"/>
    <w:rsid w:val="007052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05254"/>
    <w:pPr>
      <w:ind w:left="720"/>
      <w:contextualSpacing/>
    </w:pPr>
  </w:style>
  <w:style w:type="paragraph" w:customStyle="1" w:styleId="TableParagraph">
    <w:name w:val="Table Paragraph"/>
    <w:basedOn w:val="Normal"/>
    <w:uiPriority w:val="1"/>
    <w:qFormat/>
    <w:rsid w:val="00705254"/>
    <w:pPr>
      <w:widowControl w:val="0"/>
      <w:autoSpaceDE w:val="0"/>
      <w:autoSpaceDN w:val="0"/>
      <w:ind w:left="200"/>
    </w:pPr>
    <w:rPr>
      <w:rFonts w:ascii="Calibri" w:eastAsia="Calibri" w:hAnsi="Calibri" w:cs="Calibri"/>
      <w:sz w:val="22"/>
      <w:szCs w:val="22"/>
    </w:rPr>
  </w:style>
  <w:style w:type="character" w:styleId="Emphasis">
    <w:name w:val="Emphasis"/>
    <w:basedOn w:val="DefaultParagraphFont"/>
    <w:uiPriority w:val="20"/>
    <w:qFormat/>
    <w:rsid w:val="00705254"/>
    <w:rPr>
      <w:i/>
      <w:iCs/>
    </w:rPr>
  </w:style>
  <w:style w:type="character" w:styleId="FollowedHyperlink">
    <w:name w:val="FollowedHyperlink"/>
    <w:basedOn w:val="DefaultParagraphFont"/>
    <w:uiPriority w:val="99"/>
    <w:semiHidden/>
    <w:unhideWhenUsed/>
    <w:rsid w:val="007F29A7"/>
    <w:rPr>
      <w:color w:val="800080" w:themeColor="followedHyperlink"/>
      <w:u w:val="single"/>
    </w:rPr>
  </w:style>
  <w:style w:type="paragraph" w:styleId="BalloonText">
    <w:name w:val="Balloon Text"/>
    <w:basedOn w:val="Normal"/>
    <w:link w:val="BalloonTextChar"/>
    <w:uiPriority w:val="99"/>
    <w:semiHidden/>
    <w:unhideWhenUsed/>
    <w:rsid w:val="00024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BF"/>
    <w:rPr>
      <w:rFonts w:ascii="Segoe UI" w:eastAsia="Times New Roman" w:hAnsi="Segoe UI" w:cs="Segoe UI"/>
      <w:sz w:val="18"/>
      <w:szCs w:val="18"/>
    </w:rPr>
  </w:style>
  <w:style w:type="table" w:styleId="TableGrid">
    <w:name w:val="Table Grid"/>
    <w:basedOn w:val="TableNormal"/>
    <w:uiPriority w:val="59"/>
    <w:rsid w:val="0002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C79"/>
    <w:rPr>
      <w:sz w:val="16"/>
      <w:szCs w:val="16"/>
    </w:rPr>
  </w:style>
  <w:style w:type="paragraph" w:styleId="CommentText">
    <w:name w:val="annotation text"/>
    <w:basedOn w:val="Normal"/>
    <w:link w:val="CommentTextChar"/>
    <w:uiPriority w:val="99"/>
    <w:semiHidden/>
    <w:unhideWhenUsed/>
    <w:rsid w:val="006A2C79"/>
  </w:style>
  <w:style w:type="character" w:customStyle="1" w:styleId="CommentTextChar">
    <w:name w:val="Comment Text Char"/>
    <w:basedOn w:val="DefaultParagraphFont"/>
    <w:link w:val="CommentText"/>
    <w:uiPriority w:val="99"/>
    <w:semiHidden/>
    <w:rsid w:val="006A2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C79"/>
    <w:rPr>
      <w:b/>
      <w:bCs/>
    </w:rPr>
  </w:style>
  <w:style w:type="character" w:customStyle="1" w:styleId="CommentSubjectChar">
    <w:name w:val="Comment Subject Char"/>
    <w:basedOn w:val="CommentTextChar"/>
    <w:link w:val="CommentSubject"/>
    <w:uiPriority w:val="99"/>
    <w:semiHidden/>
    <w:rsid w:val="006A2C7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9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charities-non-profits/charitable-organizations/exemption-requirements-section-501-c-3-organizations" TargetMode="External"/><Relationship Id="rId18" Type="http://schemas.openxmlformats.org/officeDocument/2006/relationships/hyperlink" Target="mailto:CNSGP.PC@Mass.gov" TargetMode="External"/><Relationship Id="rId3" Type="http://schemas.openxmlformats.org/officeDocument/2006/relationships/styles" Target="styles.xml"/><Relationship Id="rId21" Type="http://schemas.openxmlformats.org/officeDocument/2006/relationships/hyperlink" Target="mailto:MA-IGO-General-Mail@massmail.state.ma.us" TargetMode="External"/><Relationship Id="rId7" Type="http://schemas.openxmlformats.org/officeDocument/2006/relationships/endnotes" Target="endnotes.xml"/><Relationship Id="rId12" Type="http://schemas.openxmlformats.org/officeDocument/2006/relationships/hyperlink" Target="http://budget.digital.mass.gov/bb/gaa/fy2019/app_19/act_19/h80000313.htm" TargetMode="External"/><Relationship Id="rId17" Type="http://schemas.openxmlformats.org/officeDocument/2006/relationships/hyperlink" Target="mailto:CNSGP.PC@Mas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ma.gov/nonprofit-security-grant-program" TargetMode="External"/><Relationship Id="rId20" Type="http://schemas.openxmlformats.org/officeDocument/2006/relationships/hyperlink" Target="https://www.fema.gov/media-library/assets/documents/101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gov/charities-non-profits"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CNSGP.PC@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publications/p557/ch03.html" TargetMode="External"/><Relationship Id="rId22" Type="http://schemas.openxmlformats.org/officeDocument/2006/relationships/hyperlink" Target="http://www.mass.gov/auditor/report-fraud-and-was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50EF-9AFA-4A3C-80AB-D621DCD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Adrian (PAR)</dc:creator>
  <cp:lastModifiedBy>Schey, Sonya (HLS)</cp:lastModifiedBy>
  <cp:revision>2</cp:revision>
  <cp:lastPrinted>2018-12-04T14:06:00Z</cp:lastPrinted>
  <dcterms:created xsi:type="dcterms:W3CDTF">2018-12-07T19:58:00Z</dcterms:created>
  <dcterms:modified xsi:type="dcterms:W3CDTF">2018-12-07T19:58:00Z</dcterms:modified>
</cp:coreProperties>
</file>