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BC4DF" w14:textId="7BAD3E80" w:rsidR="000C7792" w:rsidRPr="00F92237" w:rsidRDefault="000C317E" w:rsidP="000C7792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32"/>
        </w:rPr>
      </w:pPr>
      <w:r>
        <w:rPr>
          <w:rFonts w:cs="MyriadPro-Regular"/>
          <w:b/>
          <w:sz w:val="32"/>
        </w:rPr>
        <w:t xml:space="preserve">SAFEPLAN Program - </w:t>
      </w:r>
      <w:r w:rsidR="000C7792" w:rsidRPr="00F92237">
        <w:rPr>
          <w:rFonts w:cs="MyriadPro-Regular"/>
          <w:b/>
          <w:sz w:val="32"/>
        </w:rPr>
        <w:t>Logic Model</w:t>
      </w:r>
      <w:r w:rsidR="000C7792">
        <w:rPr>
          <w:rFonts w:cs="MyriadPro-Regular"/>
          <w:b/>
          <w:sz w:val="32"/>
        </w:rPr>
        <w:t xml:space="preserve"> </w:t>
      </w:r>
      <w:r w:rsidR="00966747">
        <w:rPr>
          <w:rFonts w:cs="MyriadPro-Regular"/>
          <w:b/>
          <w:sz w:val="32"/>
        </w:rPr>
        <w:t>Example</w:t>
      </w:r>
    </w:p>
    <w:p w14:paraId="3A60165F" w14:textId="77777777" w:rsidR="000C7792" w:rsidRDefault="000C7792" w:rsidP="000C7792">
      <w:pPr>
        <w:pStyle w:val="NoSpacing"/>
      </w:pPr>
    </w:p>
    <w:p w14:paraId="3780EA41" w14:textId="04C38F58" w:rsidR="000C7792" w:rsidRPr="000017B3" w:rsidRDefault="000C7792" w:rsidP="000C7792">
      <w:pPr>
        <w:pStyle w:val="NoSpacing"/>
        <w:rPr>
          <w:u w:val="single"/>
        </w:rPr>
      </w:pPr>
      <w:r w:rsidRPr="00B272C7">
        <w:rPr>
          <w:u w:val="single"/>
        </w:rPr>
        <w:t>A</w:t>
      </w:r>
      <w:r w:rsidR="00966747" w:rsidRPr="00B272C7">
        <w:rPr>
          <w:u w:val="single"/>
        </w:rPr>
        <w:t>gency</w:t>
      </w:r>
      <w:r w:rsidRPr="00B272C7">
        <w:rPr>
          <w:u w:val="single"/>
        </w:rPr>
        <w:t xml:space="preserve"> Name:</w:t>
      </w:r>
      <w:r w:rsidR="00B272C7" w:rsidRPr="00B272C7">
        <w:rPr>
          <w:u w:val="single"/>
        </w:rPr>
        <w:t xml:space="preserve">  </w:t>
      </w:r>
      <w:r w:rsidRPr="00B272C7">
        <w:rPr>
          <w:u w:val="single"/>
        </w:rPr>
        <w:t xml:space="preserve"> </w:t>
      </w:r>
      <w:r w:rsidR="00B272C7" w:rsidRPr="00B272C7">
        <w:rPr>
          <w:u w:val="single"/>
        </w:rPr>
        <w:t>Sample Agency</w:t>
      </w:r>
    </w:p>
    <w:p w14:paraId="67A79E8C" w14:textId="77777777" w:rsidR="000C7792" w:rsidRDefault="000C7792" w:rsidP="000C779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363A1F" w14:paraId="4C54D1CF" w14:textId="77777777" w:rsidTr="00363A1F">
        <w:tc>
          <w:tcPr>
            <w:tcW w:w="2878" w:type="dxa"/>
          </w:tcPr>
          <w:p w14:paraId="672A57D6" w14:textId="4EB1914B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Inputs</w:t>
            </w:r>
          </w:p>
        </w:tc>
        <w:tc>
          <w:tcPr>
            <w:tcW w:w="2878" w:type="dxa"/>
          </w:tcPr>
          <w:p w14:paraId="5E78A7C6" w14:textId="0D1FD7CB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Activities</w:t>
            </w:r>
          </w:p>
        </w:tc>
        <w:tc>
          <w:tcPr>
            <w:tcW w:w="2878" w:type="dxa"/>
          </w:tcPr>
          <w:p w14:paraId="55C93A82" w14:textId="74941F1D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Outputs</w:t>
            </w:r>
            <w:r w:rsidR="008C569C">
              <w:rPr>
                <w:b/>
                <w:sz w:val="28"/>
              </w:rPr>
              <w:t>/Benefiting Population</w:t>
            </w:r>
          </w:p>
        </w:tc>
        <w:tc>
          <w:tcPr>
            <w:tcW w:w="2878" w:type="dxa"/>
          </w:tcPr>
          <w:p w14:paraId="23D6766E" w14:textId="45B587C5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Short-term outcomes</w:t>
            </w:r>
          </w:p>
        </w:tc>
        <w:tc>
          <w:tcPr>
            <w:tcW w:w="2878" w:type="dxa"/>
          </w:tcPr>
          <w:p w14:paraId="758A0E55" w14:textId="1D0436C3" w:rsidR="00363A1F" w:rsidRPr="00363A1F" w:rsidRDefault="00363A1F" w:rsidP="00363A1F">
            <w:pPr>
              <w:jc w:val="center"/>
              <w:rPr>
                <w:b/>
                <w:sz w:val="28"/>
              </w:rPr>
            </w:pPr>
            <w:r w:rsidRPr="00363A1F">
              <w:rPr>
                <w:b/>
                <w:sz w:val="28"/>
              </w:rPr>
              <w:t>Long-term outcomes</w:t>
            </w:r>
          </w:p>
        </w:tc>
      </w:tr>
      <w:tr w:rsidR="000C317E" w14:paraId="10E8D149" w14:textId="77777777" w:rsidTr="00363A1F">
        <w:tc>
          <w:tcPr>
            <w:tcW w:w="2878" w:type="dxa"/>
          </w:tcPr>
          <w:p w14:paraId="5EF9B925" w14:textId="274E3A7C" w:rsidR="000C317E" w:rsidRDefault="001566A0" w:rsidP="000C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MOVA </w:t>
            </w:r>
            <w:r w:rsidR="000C317E">
              <w:rPr>
                <w:rFonts w:cstheme="minorHAnsi"/>
                <w:bCs/>
                <w:sz w:val="20"/>
                <w:szCs w:val="20"/>
              </w:rPr>
              <w:t>F</w:t>
            </w:r>
            <w:r w:rsidR="000C317E" w:rsidRPr="005E51CA">
              <w:rPr>
                <w:rFonts w:cstheme="minorHAnsi"/>
                <w:bCs/>
                <w:sz w:val="20"/>
                <w:szCs w:val="20"/>
              </w:rPr>
              <w:t xml:space="preserve">unding to support </w:t>
            </w:r>
            <w:r w:rsidR="004E0180" w:rsidRPr="006D1A04">
              <w:rPr>
                <w:rFonts w:cstheme="minorHAnsi"/>
                <w:bCs/>
                <w:color w:val="7030A0"/>
                <w:sz w:val="20"/>
                <w:szCs w:val="20"/>
              </w:rPr>
              <w:t>[</w:t>
            </w:r>
            <w:r w:rsidR="00641470" w:rsidRPr="00641470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number of staff</w:t>
            </w:r>
            <w:r w:rsidR="00641470">
              <w:rPr>
                <w:rFonts w:cstheme="minorHAnsi"/>
                <w:bCs/>
                <w:color w:val="7030A0"/>
                <w:sz w:val="20"/>
                <w:szCs w:val="20"/>
              </w:rPr>
              <w:t xml:space="preserve">, </w:t>
            </w:r>
            <w:r w:rsidR="004E0180" w:rsidRPr="006D1A04">
              <w:rPr>
                <w:rFonts w:cstheme="minorHAnsi"/>
                <w:bCs/>
                <w:i/>
                <w:iCs/>
                <w:color w:val="7030A0"/>
                <w:sz w:val="20"/>
                <w:szCs w:val="20"/>
              </w:rPr>
              <w:t>name of court</w:t>
            </w:r>
            <w:r w:rsidR="004E0180" w:rsidRPr="006D1A04">
              <w:rPr>
                <w:rFonts w:cstheme="minorHAnsi"/>
                <w:bCs/>
                <w:color w:val="7030A0"/>
                <w:sz w:val="20"/>
                <w:szCs w:val="20"/>
              </w:rPr>
              <w:t>, add new line for each court]</w:t>
            </w:r>
            <w:r w:rsidR="000C317E" w:rsidRPr="006D1A04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0C317E">
              <w:rPr>
                <w:rFonts w:cstheme="minorHAnsi"/>
                <w:sz w:val="20"/>
                <w:szCs w:val="20"/>
              </w:rPr>
              <w:t>SAFEPLAN Advocates</w:t>
            </w:r>
          </w:p>
          <w:p w14:paraId="261D4348" w14:textId="77777777" w:rsidR="000C317E" w:rsidRDefault="000C317E" w:rsidP="000C317E">
            <w:pPr>
              <w:rPr>
                <w:rFonts w:cstheme="minorHAnsi"/>
                <w:sz w:val="20"/>
                <w:szCs w:val="20"/>
              </w:rPr>
            </w:pPr>
          </w:p>
          <w:p w14:paraId="2C011A5B" w14:textId="16E65DCF" w:rsidR="000C317E" w:rsidRDefault="000C317E" w:rsidP="000C317E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3BCB604B" w14:textId="38437CBF" w:rsidR="00534E9B" w:rsidRPr="00534E9B" w:rsidRDefault="00534E9B" w:rsidP="00534E9B">
            <w:pPr>
              <w:rPr>
                <w:rFonts w:cstheme="minorHAnsi"/>
                <w:sz w:val="20"/>
                <w:szCs w:val="20"/>
              </w:rPr>
            </w:pPr>
            <w:r w:rsidRPr="00534E9B">
              <w:rPr>
                <w:rFonts w:cstheme="minorHAnsi"/>
                <w:sz w:val="20"/>
                <w:szCs w:val="20"/>
              </w:rPr>
              <w:t>Provision of SAFEPLAN services</w:t>
            </w:r>
            <w:r w:rsidR="002653F3">
              <w:rPr>
                <w:rFonts w:cstheme="minorHAnsi"/>
                <w:sz w:val="20"/>
                <w:szCs w:val="20"/>
              </w:rPr>
              <w:t xml:space="preserve"> to domestic violence and sexual assault victims</w:t>
            </w:r>
            <w:r w:rsidRPr="00534E9B">
              <w:rPr>
                <w:rFonts w:cstheme="minorHAnsi"/>
                <w:sz w:val="20"/>
                <w:szCs w:val="20"/>
              </w:rPr>
              <w:t>, including:</w:t>
            </w:r>
          </w:p>
          <w:p w14:paraId="22FE4904" w14:textId="5D55B346" w:rsidR="000C317E" w:rsidRPr="002E5480" w:rsidRDefault="002E5480" w:rsidP="000C317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>Creation of a comprehensive, individual s</w:t>
            </w:r>
            <w:r w:rsidR="000C317E" w:rsidRPr="002E5480">
              <w:rPr>
                <w:rFonts w:cstheme="minorHAnsi"/>
                <w:sz w:val="20"/>
                <w:szCs w:val="20"/>
              </w:rPr>
              <w:t>afety plan</w:t>
            </w:r>
          </w:p>
          <w:p w14:paraId="4762F30E" w14:textId="77777777" w:rsidR="002E5480" w:rsidRPr="002E5480" w:rsidRDefault="000C317E" w:rsidP="002E5480">
            <w:pPr>
              <w:numPr>
                <w:ilvl w:val="0"/>
                <w:numId w:val="5"/>
              </w:numPr>
              <w:ind w:left="342" w:hanging="342"/>
              <w:rPr>
                <w:rFonts w:ascii="Calibri" w:hAnsi="Calibr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>Court-based advocacy</w:t>
            </w:r>
            <w:r w:rsidR="002E5480" w:rsidRPr="002E5480">
              <w:rPr>
                <w:rFonts w:cstheme="minorHAnsi"/>
                <w:sz w:val="20"/>
                <w:szCs w:val="20"/>
              </w:rPr>
              <w:t xml:space="preserve"> </w:t>
            </w:r>
            <w:r w:rsidR="002E5480">
              <w:rPr>
                <w:rFonts w:cstheme="minorHAnsi"/>
                <w:sz w:val="20"/>
                <w:szCs w:val="20"/>
              </w:rPr>
              <w:t>–</w:t>
            </w:r>
            <w:r w:rsidR="002E5480" w:rsidRPr="002E5480">
              <w:rPr>
                <w:rFonts w:cstheme="minorHAnsi"/>
                <w:sz w:val="20"/>
                <w:szCs w:val="20"/>
              </w:rPr>
              <w:t xml:space="preserve"> including</w:t>
            </w:r>
            <w:r w:rsidR="002E5480">
              <w:rPr>
                <w:rFonts w:cstheme="minorHAnsi"/>
                <w:sz w:val="20"/>
                <w:szCs w:val="20"/>
              </w:rPr>
              <w:t>:</w:t>
            </w:r>
          </w:p>
          <w:p w14:paraId="2D0F2C03" w14:textId="77777777" w:rsidR="002E5480" w:rsidRDefault="002E5480" w:rsidP="002E5480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>providing i</w:t>
            </w:r>
            <w:r w:rsidRPr="002E5480">
              <w:rPr>
                <w:rFonts w:ascii="Calibri" w:hAnsi="Calibri"/>
                <w:sz w:val="20"/>
                <w:szCs w:val="20"/>
              </w:rPr>
              <w:t xml:space="preserve">nformation on legal options and the process to obtain a protective </w:t>
            </w:r>
            <w:proofErr w:type="gramStart"/>
            <w:r w:rsidRPr="002E5480">
              <w:rPr>
                <w:rFonts w:ascii="Calibri" w:hAnsi="Calibri"/>
                <w:sz w:val="20"/>
                <w:szCs w:val="20"/>
              </w:rPr>
              <w:t>order;</w:t>
            </w:r>
            <w:proofErr w:type="gramEnd"/>
          </w:p>
          <w:p w14:paraId="3542594E" w14:textId="77777777" w:rsidR="002E5480" w:rsidRDefault="002E5480" w:rsidP="002E5480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2E5480">
              <w:rPr>
                <w:rFonts w:ascii="Calibri" w:hAnsi="Calibri"/>
                <w:sz w:val="20"/>
                <w:szCs w:val="20"/>
              </w:rPr>
              <w:t xml:space="preserve">ssistance in completing protective order application </w:t>
            </w:r>
            <w:proofErr w:type="gramStart"/>
            <w:r w:rsidRPr="002E5480">
              <w:rPr>
                <w:rFonts w:ascii="Calibri" w:hAnsi="Calibri"/>
                <w:sz w:val="20"/>
                <w:szCs w:val="20"/>
              </w:rPr>
              <w:t>forms;</w:t>
            </w:r>
            <w:proofErr w:type="gramEnd"/>
          </w:p>
          <w:p w14:paraId="38CD4691" w14:textId="77777777" w:rsidR="002E5480" w:rsidRDefault="002E5480" w:rsidP="002E5480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2E5480">
              <w:rPr>
                <w:rFonts w:ascii="Calibri" w:hAnsi="Calibri"/>
                <w:sz w:val="20"/>
                <w:szCs w:val="20"/>
              </w:rPr>
              <w:t xml:space="preserve">ccompaniment and advocacy during civil court </w:t>
            </w:r>
            <w:proofErr w:type="gramStart"/>
            <w:r w:rsidRPr="002E5480">
              <w:rPr>
                <w:rFonts w:ascii="Calibri" w:hAnsi="Calibri"/>
                <w:sz w:val="20"/>
                <w:szCs w:val="20"/>
              </w:rPr>
              <w:t>proceedings;</w:t>
            </w:r>
            <w:proofErr w:type="gramEnd"/>
          </w:p>
          <w:p w14:paraId="1EF17122" w14:textId="25287F2C" w:rsidR="002E5480" w:rsidRPr="002E5480" w:rsidRDefault="002E5480" w:rsidP="002E5480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Pr="002E5480">
              <w:rPr>
                <w:rFonts w:ascii="Calibri" w:hAnsi="Calibri"/>
                <w:sz w:val="20"/>
                <w:szCs w:val="20"/>
              </w:rPr>
              <w:t>vailability to assist victims, in accordance with the court coverage agreement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393DF0D2" w14:textId="349DD404" w:rsidR="000C317E" w:rsidRPr="002E5480" w:rsidRDefault="002A1D1F" w:rsidP="002E548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 xml:space="preserve">Crisis assessment and </w:t>
            </w:r>
            <w:r w:rsidR="001566A0" w:rsidRPr="002E5480">
              <w:rPr>
                <w:rFonts w:cstheme="minorHAnsi"/>
                <w:sz w:val="20"/>
                <w:szCs w:val="20"/>
              </w:rPr>
              <w:t>intervention</w:t>
            </w:r>
          </w:p>
          <w:p w14:paraId="0EEE4F87" w14:textId="7EE79263" w:rsidR="000C317E" w:rsidRPr="002E5480" w:rsidRDefault="002E5480" w:rsidP="000C317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Provision of r</w:t>
            </w:r>
            <w:r w:rsidRPr="002E5480">
              <w:rPr>
                <w:rFonts w:ascii="Calibri" w:hAnsi="Calibri"/>
                <w:sz w:val="20"/>
                <w:szCs w:val="20"/>
              </w:rPr>
              <w:t>eferrals to the SAFEPLAN host agency, and other referrals deemed appropriate for each individual client, or by client request</w:t>
            </w:r>
          </w:p>
          <w:p w14:paraId="6B5D5961" w14:textId="027CC83B" w:rsidR="002E5480" w:rsidRPr="002E5480" w:rsidRDefault="002E5480" w:rsidP="000C317E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>Coordination with appropriate follow-up services and other referrals deemed appropriate</w:t>
            </w:r>
          </w:p>
          <w:p w14:paraId="415CDCFD" w14:textId="59A568F0" w:rsidR="000C317E" w:rsidRPr="002E5480" w:rsidRDefault="000C317E" w:rsidP="002E5480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8" w:type="dxa"/>
          </w:tcPr>
          <w:p w14:paraId="24938609" w14:textId="541D28C2" w:rsidR="000C317E" w:rsidRDefault="008D224A" w:rsidP="000C317E">
            <w:pPr>
              <w:rPr>
                <w:rFonts w:cstheme="minorHAnsi"/>
                <w:sz w:val="20"/>
                <w:szCs w:val="20"/>
              </w:rPr>
            </w:pP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goal number of new clients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="000C317E" w:rsidRPr="006D1A04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0C317E">
              <w:rPr>
                <w:rFonts w:cstheme="minorHAnsi"/>
                <w:sz w:val="20"/>
                <w:szCs w:val="20"/>
              </w:rPr>
              <w:t xml:space="preserve">new </w:t>
            </w:r>
            <w:r w:rsidR="00E9120B">
              <w:rPr>
                <w:rFonts w:cstheme="minorHAnsi"/>
                <w:sz w:val="20"/>
                <w:szCs w:val="20"/>
              </w:rPr>
              <w:t xml:space="preserve">209A </w:t>
            </w:r>
            <w:r w:rsidR="000C317E">
              <w:rPr>
                <w:rFonts w:cstheme="minorHAnsi"/>
                <w:sz w:val="20"/>
                <w:szCs w:val="20"/>
              </w:rPr>
              <w:t xml:space="preserve">clients </w:t>
            </w:r>
            <w:r w:rsidR="00641470">
              <w:rPr>
                <w:rFonts w:cstheme="minorHAnsi"/>
                <w:sz w:val="20"/>
                <w:szCs w:val="20"/>
              </w:rPr>
              <w:t xml:space="preserve">will be served </w:t>
            </w:r>
            <w:r w:rsidR="000C317E">
              <w:rPr>
                <w:rFonts w:cstheme="minorHAnsi"/>
                <w:sz w:val="20"/>
                <w:szCs w:val="20"/>
              </w:rPr>
              <w:t xml:space="preserve">in </w:t>
            </w:r>
            <w:r w:rsidR="00E95885"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="00E95885"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name of court</w:t>
            </w:r>
            <w:r w:rsidR="00E95885"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="002E5480">
              <w:rPr>
                <w:rFonts w:cstheme="minorHAnsi"/>
                <w:sz w:val="20"/>
                <w:szCs w:val="20"/>
              </w:rPr>
              <w:t xml:space="preserve"> (FY21)</w:t>
            </w:r>
          </w:p>
          <w:p w14:paraId="188C812D" w14:textId="264E996F" w:rsidR="000C317E" w:rsidRDefault="000C317E" w:rsidP="000C317E">
            <w:pPr>
              <w:rPr>
                <w:rFonts w:cstheme="minorHAnsi"/>
                <w:sz w:val="20"/>
                <w:szCs w:val="20"/>
              </w:rPr>
            </w:pPr>
          </w:p>
          <w:p w14:paraId="15DF5550" w14:textId="35B6F9ED" w:rsidR="00E9120B" w:rsidRDefault="00E9120B" w:rsidP="00E9120B">
            <w:pPr>
              <w:rPr>
                <w:rFonts w:cstheme="minorHAnsi"/>
                <w:sz w:val="20"/>
                <w:szCs w:val="20"/>
              </w:rPr>
            </w:pP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goal number of new clients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 xml:space="preserve">] </w:t>
            </w:r>
            <w:r>
              <w:rPr>
                <w:rFonts w:cstheme="minorHAnsi"/>
                <w:sz w:val="20"/>
                <w:szCs w:val="20"/>
              </w:rPr>
              <w:t xml:space="preserve">new 258E clients will be served in 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name of court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>
              <w:rPr>
                <w:rFonts w:cstheme="minorHAnsi"/>
                <w:sz w:val="20"/>
                <w:szCs w:val="20"/>
              </w:rPr>
              <w:t xml:space="preserve"> (FY21)</w:t>
            </w:r>
          </w:p>
          <w:p w14:paraId="30610A92" w14:textId="77777777" w:rsidR="00E9120B" w:rsidRDefault="00E9120B" w:rsidP="000C317E">
            <w:pPr>
              <w:rPr>
                <w:rFonts w:cstheme="minorHAnsi"/>
                <w:sz w:val="20"/>
                <w:szCs w:val="20"/>
              </w:rPr>
            </w:pPr>
          </w:p>
          <w:p w14:paraId="48FFDB19" w14:textId="16029F9D" w:rsidR="000C317E" w:rsidRDefault="000C317E" w:rsidP="000C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Support of </w:t>
            </w:r>
            <w:r w:rsidR="006D1A04"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="006D1A04"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goal number of ongoing clients</w:t>
            </w:r>
            <w:r w:rsidR="006D1A04"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ongoing </w:t>
            </w:r>
            <w:r w:rsidR="00E9120B">
              <w:rPr>
                <w:rFonts w:cstheme="minorHAnsi"/>
                <w:sz w:val="20"/>
                <w:szCs w:val="20"/>
              </w:rPr>
              <w:t xml:space="preserve">209A </w:t>
            </w:r>
            <w:r>
              <w:rPr>
                <w:rFonts w:cstheme="minorHAnsi"/>
                <w:sz w:val="20"/>
                <w:szCs w:val="20"/>
              </w:rPr>
              <w:t xml:space="preserve">clients in </w:t>
            </w:r>
            <w:r w:rsidR="00E95885"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="00E95885"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name of court</w:t>
            </w:r>
            <w:r w:rsidR="00E95885"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="00E95885" w:rsidRPr="00E95885">
              <w:rPr>
                <w:rFonts w:cstheme="minorHAnsi"/>
                <w:sz w:val="20"/>
                <w:szCs w:val="20"/>
              </w:rPr>
              <w:t xml:space="preserve"> </w:t>
            </w:r>
            <w:r w:rsidR="002E5480">
              <w:rPr>
                <w:rFonts w:cstheme="minorHAnsi"/>
                <w:sz w:val="20"/>
                <w:szCs w:val="20"/>
              </w:rPr>
              <w:t>(FY21)</w:t>
            </w:r>
          </w:p>
          <w:p w14:paraId="29281089" w14:textId="18DDCF94" w:rsidR="000C317E" w:rsidRDefault="000C317E" w:rsidP="000C317E">
            <w:pPr>
              <w:rPr>
                <w:sz w:val="24"/>
              </w:rPr>
            </w:pPr>
          </w:p>
          <w:p w14:paraId="6138B11E" w14:textId="15079AAD" w:rsidR="00E9120B" w:rsidRDefault="00E9120B" w:rsidP="00E912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Support of 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goal number of ongoing clients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 xml:space="preserve">] </w:t>
            </w:r>
            <w:r>
              <w:rPr>
                <w:rFonts w:cstheme="minorHAnsi"/>
                <w:sz w:val="20"/>
                <w:szCs w:val="20"/>
              </w:rPr>
              <w:t xml:space="preserve">ongoing 258E clients in 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name of court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Pr="00E958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(FY21)</w:t>
            </w:r>
          </w:p>
          <w:p w14:paraId="10712F85" w14:textId="77777777" w:rsidR="00E9120B" w:rsidRDefault="00E9120B" w:rsidP="000C317E">
            <w:pPr>
              <w:rPr>
                <w:sz w:val="24"/>
              </w:rPr>
            </w:pPr>
          </w:p>
          <w:p w14:paraId="2296BE23" w14:textId="07EEBE65" w:rsidR="006D449B" w:rsidRDefault="006D449B" w:rsidP="000C317E">
            <w:pPr>
              <w:rPr>
                <w:sz w:val="24"/>
              </w:rPr>
            </w:pPr>
            <w:r w:rsidRPr="006D1A04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goal number of</w:t>
            </w:r>
            <w:r>
              <w:rPr>
                <w:rFonts w:cstheme="minorHAnsi"/>
                <w:i/>
                <w:iCs/>
                <w:color w:val="7030A0"/>
                <w:sz w:val="20"/>
                <w:szCs w:val="20"/>
              </w:rPr>
              <w:t xml:space="preserve"> all</w:t>
            </w:r>
            <w:r w:rsidRPr="006D1A04">
              <w:rPr>
                <w:rFonts w:cstheme="minorHAnsi"/>
                <w:i/>
                <w:iCs/>
                <w:color w:val="7030A0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color w:val="7030A0"/>
                <w:sz w:val="20"/>
                <w:szCs w:val="20"/>
              </w:rPr>
              <w:t>referrals</w:t>
            </w:r>
            <w:r w:rsidRPr="006D1A04">
              <w:rPr>
                <w:rFonts w:cstheme="minorHAnsi"/>
                <w:color w:val="7030A0"/>
                <w:sz w:val="20"/>
                <w:szCs w:val="20"/>
              </w:rPr>
              <w:t>]</w:t>
            </w:r>
            <w:r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will be provided to all clients across all courts (FY21)</w:t>
            </w:r>
          </w:p>
        </w:tc>
        <w:tc>
          <w:tcPr>
            <w:tcW w:w="2878" w:type="dxa"/>
          </w:tcPr>
          <w:p w14:paraId="40494560" w14:textId="07428ED9" w:rsidR="000C317E" w:rsidRDefault="00E525EF" w:rsidP="000C317E">
            <w:pPr>
              <w:rPr>
                <w:rFonts w:cstheme="minorHAnsi"/>
                <w:sz w:val="20"/>
                <w:szCs w:val="20"/>
              </w:rPr>
            </w:pPr>
            <w:r w:rsidRPr="00E525EF">
              <w:rPr>
                <w:rFonts w:cstheme="minorHAnsi"/>
                <w:color w:val="7030A0"/>
                <w:sz w:val="20"/>
                <w:szCs w:val="20"/>
              </w:rPr>
              <w:t>[</w:t>
            </w:r>
            <w:r w:rsidRPr="00E525EF">
              <w:rPr>
                <w:rFonts w:cstheme="minorHAnsi"/>
                <w:i/>
                <w:iCs/>
                <w:color w:val="7030A0"/>
                <w:sz w:val="20"/>
                <w:szCs w:val="20"/>
              </w:rPr>
              <w:t xml:space="preserve">goal </w:t>
            </w:r>
            <w:proofErr w:type="gramStart"/>
            <w:r w:rsidRPr="00E525EF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percentage</w:t>
            </w:r>
            <w:r w:rsidRPr="00E525EF">
              <w:rPr>
                <w:rFonts w:cstheme="minorHAnsi"/>
                <w:color w:val="7030A0"/>
                <w:sz w:val="20"/>
                <w:szCs w:val="20"/>
              </w:rPr>
              <w:t>]</w:t>
            </w:r>
            <w:r w:rsidR="000C317E">
              <w:rPr>
                <w:rFonts w:cstheme="minorHAnsi"/>
                <w:sz w:val="20"/>
                <w:szCs w:val="20"/>
              </w:rPr>
              <w:t>%</w:t>
            </w:r>
            <w:proofErr w:type="gramEnd"/>
            <w:r w:rsidR="000C317E">
              <w:rPr>
                <w:rFonts w:cstheme="minorHAnsi"/>
                <w:sz w:val="20"/>
                <w:szCs w:val="20"/>
              </w:rPr>
              <w:t xml:space="preserve"> of individuals appropriate for SAFEPLAN services will receive </w:t>
            </w:r>
            <w:r w:rsidR="00430CBF">
              <w:rPr>
                <w:rFonts w:cstheme="minorHAnsi"/>
                <w:sz w:val="20"/>
                <w:szCs w:val="20"/>
              </w:rPr>
              <w:t xml:space="preserve">crisis intervention, </w:t>
            </w:r>
            <w:r w:rsidR="00FE0079">
              <w:rPr>
                <w:rFonts w:cstheme="minorHAnsi"/>
                <w:sz w:val="20"/>
                <w:szCs w:val="20"/>
              </w:rPr>
              <w:t>suppor</w:t>
            </w:r>
            <w:r w:rsidR="00451A7D">
              <w:rPr>
                <w:rFonts w:cstheme="minorHAnsi"/>
                <w:sz w:val="20"/>
                <w:szCs w:val="20"/>
              </w:rPr>
              <w:t>t and</w:t>
            </w:r>
            <w:r w:rsidR="00C84FB0">
              <w:rPr>
                <w:rFonts w:cstheme="minorHAnsi"/>
                <w:sz w:val="20"/>
                <w:szCs w:val="20"/>
              </w:rPr>
              <w:t xml:space="preserve"> </w:t>
            </w:r>
            <w:r w:rsidR="00430CBF">
              <w:rPr>
                <w:rFonts w:cstheme="minorHAnsi"/>
                <w:sz w:val="20"/>
                <w:szCs w:val="20"/>
              </w:rPr>
              <w:t xml:space="preserve">court-based </w:t>
            </w:r>
            <w:r w:rsidR="00C84FB0">
              <w:rPr>
                <w:rFonts w:cstheme="minorHAnsi"/>
                <w:sz w:val="20"/>
                <w:szCs w:val="20"/>
              </w:rPr>
              <w:t>advocacy</w:t>
            </w:r>
            <w:r w:rsidR="00187D1E">
              <w:rPr>
                <w:rFonts w:cstheme="minorHAnsi"/>
                <w:sz w:val="20"/>
                <w:szCs w:val="20"/>
              </w:rPr>
              <w:t xml:space="preserve"> as outlined in the SAFEPLAN Policies and Procedures Manual</w:t>
            </w:r>
            <w:r w:rsidR="000C317E">
              <w:rPr>
                <w:rFonts w:cstheme="minorHAnsi"/>
                <w:sz w:val="20"/>
                <w:szCs w:val="20"/>
              </w:rPr>
              <w:t>.</w:t>
            </w:r>
          </w:p>
          <w:p w14:paraId="5B5295E3" w14:textId="0A4D1B68" w:rsidR="00430649" w:rsidRDefault="00430649" w:rsidP="000C317E">
            <w:pPr>
              <w:rPr>
                <w:rFonts w:cstheme="minorHAnsi"/>
                <w:sz w:val="20"/>
                <w:szCs w:val="20"/>
              </w:rPr>
            </w:pPr>
          </w:p>
          <w:p w14:paraId="7A35B7F4" w14:textId="6747C6A4" w:rsidR="000C317E" w:rsidRDefault="006D443E" w:rsidP="000C317E">
            <w:pPr>
              <w:rPr>
                <w:rFonts w:cstheme="minorHAnsi"/>
                <w:sz w:val="20"/>
                <w:szCs w:val="20"/>
              </w:rPr>
            </w:pPr>
            <w:r w:rsidRPr="00823525">
              <w:rPr>
                <w:rFonts w:cstheme="minorHAnsi"/>
                <w:i/>
                <w:iCs/>
                <w:color w:val="7030A0"/>
                <w:sz w:val="20"/>
                <w:szCs w:val="20"/>
              </w:rPr>
              <w:t xml:space="preserve">[goal </w:t>
            </w:r>
            <w:proofErr w:type="gramStart"/>
            <w:r w:rsidRPr="00823525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percentage]</w:t>
            </w:r>
            <w:r w:rsidR="00823525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%</w:t>
            </w:r>
            <w:proofErr w:type="gramEnd"/>
            <w:r w:rsidRPr="00823525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451A7D" w:rsidRPr="00451A7D">
              <w:rPr>
                <w:rFonts w:cstheme="minorHAnsi"/>
                <w:sz w:val="20"/>
                <w:szCs w:val="20"/>
              </w:rPr>
              <w:t>of individuals appropriate for SAFEPLAN services</w:t>
            </w:r>
            <w:r w:rsidR="00451A7D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430CBF">
              <w:rPr>
                <w:rFonts w:cstheme="minorHAnsi"/>
                <w:sz w:val="20"/>
                <w:szCs w:val="20"/>
              </w:rPr>
              <w:t>will receive</w:t>
            </w:r>
            <w:r>
              <w:rPr>
                <w:rFonts w:cstheme="minorHAnsi"/>
                <w:sz w:val="20"/>
                <w:szCs w:val="20"/>
              </w:rPr>
              <w:t xml:space="preserve"> safety planning and/or</w:t>
            </w:r>
            <w:r w:rsidR="00451A7D">
              <w:rPr>
                <w:rFonts w:cstheme="minorHAnsi"/>
                <w:sz w:val="20"/>
                <w:szCs w:val="20"/>
              </w:rPr>
              <w:t xml:space="preserve"> </w:t>
            </w:r>
            <w:r w:rsidR="00430CBF">
              <w:rPr>
                <w:rFonts w:cstheme="minorHAnsi"/>
                <w:sz w:val="20"/>
                <w:szCs w:val="20"/>
              </w:rPr>
              <w:t xml:space="preserve">will be </w:t>
            </w:r>
            <w:r w:rsidR="00451A7D">
              <w:rPr>
                <w:rFonts w:cstheme="minorHAnsi"/>
                <w:sz w:val="20"/>
                <w:szCs w:val="20"/>
              </w:rPr>
              <w:t>provided with</w:t>
            </w:r>
            <w:r>
              <w:rPr>
                <w:rFonts w:cstheme="minorHAnsi"/>
                <w:sz w:val="20"/>
                <w:szCs w:val="20"/>
              </w:rPr>
              <w:t xml:space="preserve"> options around safety planning</w:t>
            </w:r>
            <w:r w:rsidR="00451A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F75668" w14:textId="77777777" w:rsidR="000C317E" w:rsidRDefault="000C317E" w:rsidP="000C317E">
            <w:pPr>
              <w:rPr>
                <w:rFonts w:cstheme="minorHAnsi"/>
                <w:sz w:val="20"/>
                <w:szCs w:val="20"/>
              </w:rPr>
            </w:pPr>
          </w:p>
          <w:p w14:paraId="2A354DA0" w14:textId="12FF8C6C" w:rsidR="00451A7D" w:rsidRDefault="000C317E" w:rsidP="00451A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51A7D" w:rsidRPr="00823525">
              <w:rPr>
                <w:rFonts w:cstheme="minorHAnsi"/>
                <w:i/>
                <w:iCs/>
                <w:color w:val="7030A0"/>
                <w:sz w:val="20"/>
                <w:szCs w:val="20"/>
              </w:rPr>
              <w:t xml:space="preserve">[goal </w:t>
            </w:r>
            <w:proofErr w:type="gramStart"/>
            <w:r w:rsidR="00451A7D" w:rsidRPr="00823525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percentage]</w:t>
            </w:r>
            <w:r w:rsidR="00451A7D">
              <w:rPr>
                <w:rFonts w:cstheme="minorHAnsi"/>
                <w:i/>
                <w:iCs/>
                <w:color w:val="7030A0"/>
                <w:sz w:val="20"/>
                <w:szCs w:val="20"/>
              </w:rPr>
              <w:t>%</w:t>
            </w:r>
            <w:proofErr w:type="gramEnd"/>
            <w:r w:rsidR="00451A7D" w:rsidRPr="00823525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451A7D" w:rsidRPr="00451A7D">
              <w:rPr>
                <w:rFonts w:cstheme="minorHAnsi"/>
                <w:sz w:val="20"/>
                <w:szCs w:val="20"/>
              </w:rPr>
              <w:t>of individuals appropriate for SAFEPLAN services</w:t>
            </w:r>
            <w:r w:rsidR="00451A7D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  <w:r w:rsidR="00430CBF">
              <w:rPr>
                <w:rFonts w:cstheme="minorHAnsi"/>
                <w:sz w:val="20"/>
                <w:szCs w:val="20"/>
              </w:rPr>
              <w:t xml:space="preserve">will receive </w:t>
            </w:r>
            <w:r w:rsidR="00451A7D">
              <w:rPr>
                <w:rFonts w:cstheme="minorHAnsi"/>
                <w:sz w:val="20"/>
                <w:szCs w:val="20"/>
              </w:rPr>
              <w:t xml:space="preserve">information and referrals deemed appropriate </w:t>
            </w:r>
            <w:r w:rsidR="00430CBF">
              <w:rPr>
                <w:rFonts w:cstheme="minorHAnsi"/>
                <w:sz w:val="20"/>
                <w:szCs w:val="20"/>
              </w:rPr>
              <w:t xml:space="preserve">by the SAFEPLAN advocate </w:t>
            </w:r>
            <w:r w:rsidR="00451A7D">
              <w:rPr>
                <w:rFonts w:cstheme="minorHAnsi"/>
                <w:sz w:val="20"/>
                <w:szCs w:val="20"/>
              </w:rPr>
              <w:t xml:space="preserve">or by client request. </w:t>
            </w:r>
          </w:p>
          <w:p w14:paraId="0C091198" w14:textId="59EFCDB6" w:rsidR="000C317E" w:rsidRDefault="000C317E" w:rsidP="000C317E">
            <w:pPr>
              <w:rPr>
                <w:sz w:val="24"/>
              </w:rPr>
            </w:pPr>
          </w:p>
        </w:tc>
        <w:tc>
          <w:tcPr>
            <w:tcW w:w="2878" w:type="dxa"/>
          </w:tcPr>
          <w:p w14:paraId="5B15B8AC" w14:textId="77777777" w:rsidR="007A173B" w:rsidRDefault="002E5480" w:rsidP="002E5480">
            <w:pPr>
              <w:rPr>
                <w:rFonts w:cstheme="minorHAnsi"/>
                <w:sz w:val="20"/>
                <w:szCs w:val="20"/>
              </w:rPr>
            </w:pPr>
            <w:r w:rsidRPr="002E5480">
              <w:rPr>
                <w:rFonts w:cstheme="minorHAnsi"/>
                <w:sz w:val="20"/>
                <w:szCs w:val="20"/>
              </w:rPr>
              <w:t>Through collaborations with court personnel, local police, and the District Attorney’s office, clients will benefit from a</w:t>
            </w:r>
            <w:r w:rsidR="00B60F46">
              <w:rPr>
                <w:rFonts w:cstheme="minorHAnsi"/>
                <w:sz w:val="20"/>
                <w:szCs w:val="20"/>
              </w:rPr>
              <w:t>n effective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60F46">
              <w:rPr>
                <w:rFonts w:cstheme="minorHAnsi"/>
                <w:sz w:val="20"/>
                <w:szCs w:val="20"/>
              </w:rPr>
              <w:t xml:space="preserve">system of cross-referrals and a wider safety net.  </w:t>
            </w:r>
            <w:r w:rsidRPr="002E54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F4B5A1" w14:textId="6B5A9791" w:rsidR="000C317E" w:rsidRPr="00DD43B0" w:rsidRDefault="00B60F46" w:rsidP="002E5480">
            <w:pPr>
              <w:rPr>
                <w:rFonts w:cstheme="minorHAnsi"/>
                <w:sz w:val="20"/>
                <w:szCs w:val="20"/>
              </w:rPr>
            </w:pPr>
            <w:r w:rsidRPr="00DD43B0">
              <w:rPr>
                <w:sz w:val="20"/>
                <w:szCs w:val="20"/>
              </w:rPr>
              <w:t xml:space="preserve">Warm, direct referrals are </w:t>
            </w:r>
            <w:r w:rsidRPr="00644A06">
              <w:rPr>
                <w:sz w:val="20"/>
                <w:szCs w:val="20"/>
              </w:rPr>
              <w:t>specifically beneficial to clients</w:t>
            </w:r>
            <w:r w:rsidR="00DD43B0" w:rsidRPr="00644A06">
              <w:rPr>
                <w:sz w:val="20"/>
                <w:szCs w:val="20"/>
              </w:rPr>
              <w:t xml:space="preserve">.  </w:t>
            </w:r>
            <w:r w:rsidR="007A173B" w:rsidRPr="00644A06">
              <w:rPr>
                <w:sz w:val="20"/>
                <w:szCs w:val="20"/>
              </w:rPr>
              <w:t>Enhanced</w:t>
            </w:r>
            <w:r w:rsidRPr="00644A06">
              <w:rPr>
                <w:sz w:val="20"/>
                <w:szCs w:val="20"/>
              </w:rPr>
              <w:t xml:space="preserve"> relationships and collaborations directly benefit clients by increas</w:t>
            </w:r>
            <w:r w:rsidR="007A173B" w:rsidRPr="00644A06">
              <w:rPr>
                <w:sz w:val="20"/>
                <w:szCs w:val="20"/>
              </w:rPr>
              <w:t>ed accessibility to services and resources</w:t>
            </w:r>
            <w:r w:rsidRPr="00644A06">
              <w:rPr>
                <w:sz w:val="20"/>
                <w:szCs w:val="20"/>
              </w:rPr>
              <w:t>.</w:t>
            </w:r>
            <w:r w:rsidRPr="00DD43B0">
              <w:rPr>
                <w:sz w:val="20"/>
                <w:szCs w:val="20"/>
              </w:rPr>
              <w:t xml:space="preserve"> </w:t>
            </w:r>
          </w:p>
        </w:tc>
      </w:tr>
      <w:tr w:rsidR="00D41D4A" w14:paraId="6707738A" w14:textId="77777777" w:rsidTr="000C317E">
        <w:trPr>
          <w:trHeight w:val="2078"/>
        </w:trPr>
        <w:tc>
          <w:tcPr>
            <w:tcW w:w="2878" w:type="dxa"/>
          </w:tcPr>
          <w:p w14:paraId="2313D29E" w14:textId="2816CEAD" w:rsidR="00A428C6" w:rsidRPr="000017B3" w:rsidRDefault="00003AF4" w:rsidP="000C317E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Optional/If applicable</w:t>
            </w:r>
            <w:r w:rsidR="00D87849" w:rsidRPr="000017B3">
              <w:rPr>
                <w:i/>
                <w:iCs/>
              </w:rPr>
              <w:t xml:space="preserve">:  </w:t>
            </w:r>
          </w:p>
          <w:p w14:paraId="398C960C" w14:textId="77777777" w:rsidR="00A428C6" w:rsidRDefault="00A428C6" w:rsidP="000C317E"/>
          <w:p w14:paraId="19BDE760" w14:textId="0016C79F" w:rsidR="00D41D4A" w:rsidRPr="000C317E" w:rsidRDefault="00D41D4A" w:rsidP="000C317E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t>MOVA funding to suppor</w:t>
            </w:r>
            <w:r w:rsidR="00DD43B0">
              <w:t xml:space="preserve">t </w:t>
            </w:r>
            <w:r w:rsidR="00D87849" w:rsidRPr="00D87849">
              <w:rPr>
                <w:color w:val="7030A0"/>
              </w:rPr>
              <w:t>[</w:t>
            </w:r>
            <w:r w:rsidRPr="00D87849">
              <w:rPr>
                <w:i/>
                <w:iCs/>
                <w:color w:val="7030A0"/>
              </w:rPr>
              <w:t>technology costs, transportation costs, translation services</w:t>
            </w:r>
            <w:r w:rsidR="00D87849" w:rsidRPr="00D87849">
              <w:rPr>
                <w:i/>
                <w:iCs/>
                <w:color w:val="7030A0"/>
              </w:rPr>
              <w:t>, etc.</w:t>
            </w:r>
            <w:r w:rsidR="00D87849" w:rsidRPr="00D87849">
              <w:rPr>
                <w:color w:val="7030A0"/>
              </w:rPr>
              <w:t>]</w:t>
            </w:r>
          </w:p>
        </w:tc>
        <w:tc>
          <w:tcPr>
            <w:tcW w:w="2878" w:type="dxa"/>
          </w:tcPr>
          <w:p w14:paraId="256215BC" w14:textId="77777777" w:rsidR="00D41D4A" w:rsidRPr="000C317E" w:rsidRDefault="00D41D4A" w:rsidP="000C31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8" w:type="dxa"/>
          </w:tcPr>
          <w:p w14:paraId="3EE88831" w14:textId="77777777" w:rsidR="00D41D4A" w:rsidRDefault="00D41D4A" w:rsidP="000C31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8" w:type="dxa"/>
          </w:tcPr>
          <w:p w14:paraId="79BD90CC" w14:textId="77777777" w:rsidR="00D41D4A" w:rsidRDefault="00D41D4A" w:rsidP="000C31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8" w:type="dxa"/>
          </w:tcPr>
          <w:p w14:paraId="7868C982" w14:textId="77777777" w:rsidR="00D41D4A" w:rsidRDefault="00D41D4A" w:rsidP="000C317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471135" w14:textId="0770CDC7" w:rsidR="000C7792" w:rsidRDefault="000C7792" w:rsidP="00161762">
      <w:pPr>
        <w:rPr>
          <w:sz w:val="24"/>
        </w:rPr>
      </w:pPr>
    </w:p>
    <w:p w14:paraId="1F17E2EF" w14:textId="65E536DD" w:rsidR="000017B3" w:rsidRPr="000017B3" w:rsidRDefault="000017B3" w:rsidP="000017B3">
      <w:pPr>
        <w:pStyle w:val="NoSpacing"/>
        <w:rPr>
          <w:b/>
          <w:bCs/>
          <w:sz w:val="20"/>
          <w:szCs w:val="20"/>
          <w:u w:val="single"/>
        </w:rPr>
      </w:pPr>
      <w:r w:rsidRPr="000017B3">
        <w:rPr>
          <w:b/>
          <w:bCs/>
          <w:sz w:val="20"/>
          <w:szCs w:val="20"/>
          <w:u w:val="single"/>
        </w:rPr>
        <w:t>Notes:</w:t>
      </w:r>
    </w:p>
    <w:p w14:paraId="5D5EDAF0" w14:textId="47FBB9E8" w:rsidR="000017B3" w:rsidRPr="00B74FEE" w:rsidRDefault="000017B3" w:rsidP="000017B3">
      <w:pPr>
        <w:pStyle w:val="NoSpacing"/>
        <w:rPr>
          <w:sz w:val="20"/>
          <w:szCs w:val="20"/>
        </w:rPr>
      </w:pPr>
      <w:r w:rsidRPr="00B74FEE">
        <w:rPr>
          <w:b/>
          <w:bCs/>
          <w:sz w:val="20"/>
          <w:szCs w:val="20"/>
        </w:rPr>
        <w:t xml:space="preserve">Inputs </w:t>
      </w:r>
      <w:r w:rsidRPr="00B74FEE">
        <w:rPr>
          <w:sz w:val="20"/>
          <w:szCs w:val="20"/>
        </w:rPr>
        <w:t xml:space="preserve">are made up of resources (e.g., funding, people) that are being invested in the project, such as additional staff and new technology. </w:t>
      </w:r>
    </w:p>
    <w:p w14:paraId="1B021D54" w14:textId="77777777" w:rsidR="000017B3" w:rsidRPr="00B74FEE" w:rsidRDefault="000017B3" w:rsidP="000017B3">
      <w:pPr>
        <w:pStyle w:val="NoSpacing"/>
        <w:rPr>
          <w:sz w:val="20"/>
          <w:szCs w:val="20"/>
        </w:rPr>
      </w:pPr>
      <w:r w:rsidRPr="00B74FEE">
        <w:rPr>
          <w:b/>
          <w:bCs/>
          <w:sz w:val="20"/>
          <w:szCs w:val="20"/>
        </w:rPr>
        <w:t xml:space="preserve">Activities </w:t>
      </w:r>
      <w:r w:rsidRPr="00B74FEE">
        <w:rPr>
          <w:sz w:val="20"/>
          <w:szCs w:val="20"/>
        </w:rPr>
        <w:t xml:space="preserve">are the actions or events that the project does with the resources provided, such as hire advocates, provide support groups, create survivor networks, and supply food, shelter, or other items. </w:t>
      </w:r>
    </w:p>
    <w:p w14:paraId="3B2BE7D2" w14:textId="77777777" w:rsidR="000017B3" w:rsidRPr="00B74FEE" w:rsidRDefault="000017B3" w:rsidP="000017B3">
      <w:pPr>
        <w:pStyle w:val="NoSpacing"/>
        <w:rPr>
          <w:sz w:val="20"/>
          <w:szCs w:val="20"/>
        </w:rPr>
      </w:pPr>
      <w:r w:rsidRPr="00B74FEE">
        <w:rPr>
          <w:b/>
          <w:bCs/>
          <w:sz w:val="20"/>
          <w:szCs w:val="20"/>
        </w:rPr>
        <w:t xml:space="preserve">Outputs </w:t>
      </w:r>
      <w:r w:rsidRPr="00B74FEE">
        <w:rPr>
          <w:sz w:val="20"/>
          <w:szCs w:val="20"/>
        </w:rPr>
        <w:t xml:space="preserve">describe the products that result from those activities and who will be included in them, such as the survivors who attend support groups or professionals that are trained. </w:t>
      </w:r>
    </w:p>
    <w:p w14:paraId="1E6947FF" w14:textId="77777777" w:rsidR="000017B3" w:rsidRPr="00B74FEE" w:rsidRDefault="000017B3" w:rsidP="000017B3">
      <w:pPr>
        <w:pStyle w:val="NoSpacing"/>
        <w:rPr>
          <w:sz w:val="20"/>
          <w:szCs w:val="20"/>
        </w:rPr>
      </w:pPr>
      <w:r w:rsidRPr="00B74FEE">
        <w:rPr>
          <w:b/>
          <w:bCs/>
          <w:sz w:val="20"/>
          <w:szCs w:val="20"/>
        </w:rPr>
        <w:t xml:space="preserve">Projected outcomes </w:t>
      </w:r>
      <w:r w:rsidRPr="00B74FEE">
        <w:rPr>
          <w:sz w:val="20"/>
          <w:szCs w:val="20"/>
        </w:rPr>
        <w:t xml:space="preserve">are both </w:t>
      </w:r>
      <w:proofErr w:type="gramStart"/>
      <w:r w:rsidRPr="00B74FEE">
        <w:rPr>
          <w:sz w:val="20"/>
          <w:szCs w:val="20"/>
        </w:rPr>
        <w:t>short and long term</w:t>
      </w:r>
      <w:proofErr w:type="gramEnd"/>
      <w:r w:rsidRPr="00B74FEE">
        <w:rPr>
          <w:sz w:val="20"/>
          <w:szCs w:val="20"/>
        </w:rPr>
        <w:t xml:space="preserve"> changes in behavior or knowledge as a result of the program. Short term outcomes are immediate, measurable results of the activity that are typically presented in less than two years and </w:t>
      </w:r>
      <w:proofErr w:type="gramStart"/>
      <w:r w:rsidRPr="00B74FEE">
        <w:rPr>
          <w:sz w:val="20"/>
          <w:szCs w:val="20"/>
        </w:rPr>
        <w:t>long term</w:t>
      </w:r>
      <w:proofErr w:type="gramEnd"/>
      <w:r w:rsidRPr="00B74FEE">
        <w:rPr>
          <w:sz w:val="20"/>
          <w:szCs w:val="20"/>
        </w:rPr>
        <w:t xml:space="preserve"> outcomes are intended project results in the future (i.e., four to five years, or more). </w:t>
      </w:r>
    </w:p>
    <w:p w14:paraId="0D931075" w14:textId="5DEAFEB7" w:rsidR="00BE7CEA" w:rsidRPr="00BE7CEA" w:rsidRDefault="00BE7CEA" w:rsidP="00BE7CEA">
      <w:pPr>
        <w:rPr>
          <w:sz w:val="24"/>
        </w:rPr>
      </w:pPr>
    </w:p>
    <w:p w14:paraId="1B3AA4C0" w14:textId="33CF0D4D" w:rsidR="00BE7CEA" w:rsidRDefault="00BE7CEA" w:rsidP="00BE7CEA">
      <w:pPr>
        <w:rPr>
          <w:sz w:val="24"/>
        </w:rPr>
      </w:pPr>
    </w:p>
    <w:p w14:paraId="293E1B9D" w14:textId="4EB62B4E" w:rsidR="00BE7CEA" w:rsidRPr="00BE7CEA" w:rsidRDefault="00BE7CEA" w:rsidP="00BE7CEA">
      <w:pPr>
        <w:tabs>
          <w:tab w:val="left" w:pos="12400"/>
        </w:tabs>
        <w:rPr>
          <w:sz w:val="24"/>
        </w:rPr>
      </w:pPr>
      <w:r>
        <w:rPr>
          <w:sz w:val="24"/>
        </w:rPr>
        <w:tab/>
      </w:r>
    </w:p>
    <w:sectPr w:rsidR="00BE7CEA" w:rsidRPr="00BE7CEA" w:rsidSect="005C66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3D20"/>
    <w:multiLevelType w:val="hybridMultilevel"/>
    <w:tmpl w:val="A73654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1F70DA"/>
    <w:multiLevelType w:val="hybridMultilevel"/>
    <w:tmpl w:val="13BE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59C5"/>
    <w:multiLevelType w:val="hybridMultilevel"/>
    <w:tmpl w:val="EC400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07F2A"/>
    <w:multiLevelType w:val="hybridMultilevel"/>
    <w:tmpl w:val="CD7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4E0"/>
    <w:multiLevelType w:val="hybridMultilevel"/>
    <w:tmpl w:val="22F0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62"/>
    <w:rsid w:val="000017B3"/>
    <w:rsid w:val="00003AF4"/>
    <w:rsid w:val="000725E3"/>
    <w:rsid w:val="000C317E"/>
    <w:rsid w:val="000C7792"/>
    <w:rsid w:val="000E27BC"/>
    <w:rsid w:val="001315C4"/>
    <w:rsid w:val="00134858"/>
    <w:rsid w:val="00144C03"/>
    <w:rsid w:val="001566A0"/>
    <w:rsid w:val="00161762"/>
    <w:rsid w:val="00187D1E"/>
    <w:rsid w:val="001E5170"/>
    <w:rsid w:val="002016AF"/>
    <w:rsid w:val="0024276F"/>
    <w:rsid w:val="002653F3"/>
    <w:rsid w:val="002A1D1F"/>
    <w:rsid w:val="002B3F40"/>
    <w:rsid w:val="002E5480"/>
    <w:rsid w:val="0034649A"/>
    <w:rsid w:val="00360144"/>
    <w:rsid w:val="00363A1F"/>
    <w:rsid w:val="003B778F"/>
    <w:rsid w:val="003D27B3"/>
    <w:rsid w:val="00430649"/>
    <w:rsid w:val="00430CBF"/>
    <w:rsid w:val="00451A7D"/>
    <w:rsid w:val="004A6973"/>
    <w:rsid w:val="004E0180"/>
    <w:rsid w:val="00534E9B"/>
    <w:rsid w:val="005524C5"/>
    <w:rsid w:val="00592F4E"/>
    <w:rsid w:val="005C6693"/>
    <w:rsid w:val="005E51CA"/>
    <w:rsid w:val="00641470"/>
    <w:rsid w:val="00644A06"/>
    <w:rsid w:val="0069133E"/>
    <w:rsid w:val="006D1A04"/>
    <w:rsid w:val="006D443E"/>
    <w:rsid w:val="006D449B"/>
    <w:rsid w:val="007A173B"/>
    <w:rsid w:val="007D4A11"/>
    <w:rsid w:val="00823525"/>
    <w:rsid w:val="00863BA1"/>
    <w:rsid w:val="00893674"/>
    <w:rsid w:val="008C569C"/>
    <w:rsid w:val="008D224A"/>
    <w:rsid w:val="00962EAB"/>
    <w:rsid w:val="00966747"/>
    <w:rsid w:val="009818EF"/>
    <w:rsid w:val="00994CE8"/>
    <w:rsid w:val="009B192C"/>
    <w:rsid w:val="009C76DD"/>
    <w:rsid w:val="00A05D31"/>
    <w:rsid w:val="00A428C6"/>
    <w:rsid w:val="00A83FA9"/>
    <w:rsid w:val="00B22F17"/>
    <w:rsid w:val="00B272C7"/>
    <w:rsid w:val="00B4477B"/>
    <w:rsid w:val="00B60F46"/>
    <w:rsid w:val="00B74FEE"/>
    <w:rsid w:val="00BA0520"/>
    <w:rsid w:val="00BC2E64"/>
    <w:rsid w:val="00BE7CEA"/>
    <w:rsid w:val="00C84FB0"/>
    <w:rsid w:val="00C86183"/>
    <w:rsid w:val="00C96100"/>
    <w:rsid w:val="00CA00DA"/>
    <w:rsid w:val="00CC3098"/>
    <w:rsid w:val="00CF34D6"/>
    <w:rsid w:val="00D13D83"/>
    <w:rsid w:val="00D41D4A"/>
    <w:rsid w:val="00D4446B"/>
    <w:rsid w:val="00D50197"/>
    <w:rsid w:val="00D86930"/>
    <w:rsid w:val="00D87849"/>
    <w:rsid w:val="00DD43B0"/>
    <w:rsid w:val="00E135F8"/>
    <w:rsid w:val="00E331CF"/>
    <w:rsid w:val="00E525EF"/>
    <w:rsid w:val="00E9120B"/>
    <w:rsid w:val="00E95885"/>
    <w:rsid w:val="00E95E55"/>
    <w:rsid w:val="00E963BF"/>
    <w:rsid w:val="00EE1E8B"/>
    <w:rsid w:val="00EF5003"/>
    <w:rsid w:val="00F12F33"/>
    <w:rsid w:val="00F60950"/>
    <w:rsid w:val="00F92237"/>
    <w:rsid w:val="00FB0ABC"/>
    <w:rsid w:val="00FB226B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55A2"/>
  <w15:chartTrackingRefBased/>
  <w15:docId w15:val="{ADD3E555-511E-4E93-B350-0655331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7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4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2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C7792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rsid w:val="002E5480"/>
    <w:pPr>
      <w:spacing w:before="120" w:after="120" w:line="240" w:lineRule="auto"/>
    </w:pPr>
    <w:rPr>
      <w:rFonts w:eastAsia="Times New Roman" w:cstheme="minorHAnsi"/>
      <w:bCs/>
      <w:cap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1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57DDF2642BB41BEF302174947C1B5" ma:contentTypeVersion="15" ma:contentTypeDescription="Create a new document." ma:contentTypeScope="" ma:versionID="cf0797a0d053df8fb656998d5d9b85fa">
  <xsd:schema xmlns:xsd="http://www.w3.org/2001/XMLSchema" xmlns:xs="http://www.w3.org/2001/XMLSchema" xmlns:p="http://schemas.microsoft.com/office/2006/metadata/properties" xmlns:ns1="http://schemas.microsoft.com/sharepoint/v3" xmlns:ns3="e8223a37-5e6e-40e5-bf67-3e36ea02be9e" xmlns:ns4="02a15aca-42f1-430c-a3a4-a32ee14f5f66" targetNamespace="http://schemas.microsoft.com/office/2006/metadata/properties" ma:root="true" ma:fieldsID="cdb869f51648abb8c2177d588d9e6fd0" ns1:_="" ns3:_="" ns4:_="">
    <xsd:import namespace="http://schemas.microsoft.com/sharepoint/v3"/>
    <xsd:import namespace="e8223a37-5e6e-40e5-bf67-3e36ea02be9e"/>
    <xsd:import namespace="02a15aca-42f1-430c-a3a4-a32ee14f5f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a37-5e6e-40e5-bf67-3e36ea02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15aca-42f1-430c-a3a4-a32ee14f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AC42D-AD82-40D7-BEA2-E3ACE2E0F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72755-6ADA-4828-AF4A-ADFBF1D34D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5F28CD-10CF-4E73-8578-601D433E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223a37-5e6e-40e5-bf67-3e36ea02be9e"/>
    <ds:schemaRef ds:uri="02a15aca-42f1-430c-a3a4-a32ee14f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Tavano, Kristen (VWA)</dc:creator>
  <cp:keywords/>
  <dc:description/>
  <cp:lastModifiedBy>Tavano, Kristen (VWA)</cp:lastModifiedBy>
  <cp:revision>2</cp:revision>
  <dcterms:created xsi:type="dcterms:W3CDTF">2020-12-17T17:52:00Z</dcterms:created>
  <dcterms:modified xsi:type="dcterms:W3CDTF">2020-12-17T17:52:00Z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0x010100C2257DDF2642BB41BEF302174947C1B5</vt:lpwstr>
  </property>
</Properties>
</file>