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052F1" w14:textId="12ED03B9" w:rsidR="00290E13" w:rsidRPr="00A44D75" w:rsidRDefault="00290E13" w:rsidP="00290E13">
      <w:pPr>
        <w:tabs>
          <w:tab w:val="left" w:pos="2200"/>
        </w:tabs>
        <w:rPr>
          <w:rFonts w:ascii="Times New Roman" w:hAnsi="Times New Roman"/>
        </w:rPr>
      </w:pPr>
    </w:p>
    <w:p w14:paraId="6F802126" w14:textId="1B95221F" w:rsidR="00B01C41" w:rsidRPr="006B5418" w:rsidRDefault="00B01C41" w:rsidP="00B01C41">
      <w:pPr>
        <w:tabs>
          <w:tab w:val="left" w:pos="2200"/>
        </w:tabs>
        <w:rPr>
          <w:rFonts w:ascii="Times New Roman" w:hAnsi="Times New Roman"/>
        </w:rPr>
      </w:pPr>
      <w:r w:rsidRPr="00A44D75">
        <w:rPr>
          <w:rFonts w:ascii="Times New Roman" w:hAnsi="Times New Roman"/>
          <w:b/>
        </w:rPr>
        <w:t xml:space="preserve">To: </w:t>
      </w:r>
      <w:r w:rsidR="00A860B0" w:rsidRPr="00A44D75">
        <w:rPr>
          <w:rFonts w:ascii="Times New Roman" w:hAnsi="Times New Roman"/>
          <w:b/>
        </w:rPr>
        <w:t>Secretary Peyser</w:t>
      </w:r>
    </w:p>
    <w:p w14:paraId="5B9C538C" w14:textId="28D76B7A" w:rsidR="00B03FC2" w:rsidRPr="00B03FC2" w:rsidRDefault="00B01C41" w:rsidP="00B01C41">
      <w:pPr>
        <w:tabs>
          <w:tab w:val="left" w:pos="2200"/>
        </w:tabs>
        <w:rPr>
          <w:rFonts w:ascii="Times New Roman" w:hAnsi="Times New Roman"/>
          <w:b/>
        </w:rPr>
      </w:pPr>
      <w:r w:rsidRPr="00A44D75">
        <w:rPr>
          <w:rFonts w:ascii="Times New Roman" w:hAnsi="Times New Roman"/>
          <w:b/>
        </w:rPr>
        <w:t xml:space="preserve">From: </w:t>
      </w:r>
      <w:r w:rsidR="00DD0BC9" w:rsidRPr="00A44D75">
        <w:rPr>
          <w:rFonts w:ascii="Times New Roman" w:hAnsi="Times New Roman"/>
          <w:b/>
        </w:rPr>
        <w:t>Board of Early Education and Care</w:t>
      </w:r>
    </w:p>
    <w:p w14:paraId="39641418" w14:textId="0D1A71E4" w:rsidR="00290E13" w:rsidRPr="006B5418" w:rsidRDefault="00B01C41" w:rsidP="04BB1B5D">
      <w:pPr>
        <w:tabs>
          <w:tab w:val="left" w:pos="2200"/>
        </w:tabs>
        <w:rPr>
          <w:rFonts w:ascii="Times New Roman" w:hAnsi="Times New Roman"/>
        </w:rPr>
      </w:pPr>
      <w:r w:rsidRPr="00A44D75">
        <w:rPr>
          <w:rFonts w:ascii="Times New Roman" w:hAnsi="Times New Roman"/>
          <w:b/>
        </w:rPr>
        <w:t>Subject: FY2</w:t>
      </w:r>
      <w:r w:rsidR="004C739B" w:rsidRPr="00A44D75">
        <w:rPr>
          <w:rFonts w:ascii="Times New Roman" w:hAnsi="Times New Roman"/>
          <w:b/>
        </w:rPr>
        <w:t>3</w:t>
      </w:r>
      <w:r w:rsidRPr="00A44D75">
        <w:rPr>
          <w:rFonts w:ascii="Times New Roman" w:hAnsi="Times New Roman"/>
          <w:b/>
        </w:rPr>
        <w:t xml:space="preserve"> Budget Priorities</w:t>
      </w:r>
    </w:p>
    <w:p w14:paraId="7772BC16" w14:textId="0377B90C" w:rsidR="00290E13" w:rsidRPr="006B5418" w:rsidRDefault="1A211242" w:rsidP="00F16808">
      <w:pPr>
        <w:tabs>
          <w:tab w:val="left" w:pos="2200"/>
        </w:tabs>
        <w:rPr>
          <w:rFonts w:ascii="Times New Roman" w:hAnsi="Times New Roman"/>
        </w:rPr>
      </w:pPr>
      <w:r w:rsidRPr="00A44D75">
        <w:rPr>
          <w:rFonts w:ascii="Times New Roman" w:hAnsi="Times New Roman"/>
        </w:rPr>
        <w:t xml:space="preserve"> </w:t>
      </w:r>
    </w:p>
    <w:p w14:paraId="0BF35A7C" w14:textId="2A17194B" w:rsidR="008A63B9" w:rsidRPr="00A44D75" w:rsidRDefault="00B03243" w:rsidP="00290E13">
      <w:pPr>
        <w:tabs>
          <w:tab w:val="left" w:pos="2200"/>
        </w:tabs>
        <w:rPr>
          <w:rFonts w:ascii="Times New Roman" w:hAnsi="Times New Roman"/>
        </w:rPr>
      </w:pPr>
      <w:r w:rsidRPr="00A44D75">
        <w:rPr>
          <w:rFonts w:ascii="Times New Roman" w:hAnsi="Times New Roman"/>
        </w:rPr>
        <w:t xml:space="preserve">Through extraordinary times, we are proud of </w:t>
      </w:r>
      <w:r w:rsidR="00592E3B" w:rsidRPr="00A44D75">
        <w:rPr>
          <w:rFonts w:ascii="Times New Roman" w:hAnsi="Times New Roman"/>
        </w:rPr>
        <w:t>how</w:t>
      </w:r>
      <w:r w:rsidRPr="00A44D75">
        <w:rPr>
          <w:rFonts w:ascii="Times New Roman" w:hAnsi="Times New Roman"/>
        </w:rPr>
        <w:t xml:space="preserve"> the early education and care </w:t>
      </w:r>
      <w:r w:rsidR="00C91A52" w:rsidRPr="00A44D75">
        <w:rPr>
          <w:rFonts w:ascii="Times New Roman" w:hAnsi="Times New Roman"/>
        </w:rPr>
        <w:t xml:space="preserve">sector has </w:t>
      </w:r>
      <w:r w:rsidR="008A63B9" w:rsidRPr="00A44D75">
        <w:rPr>
          <w:rFonts w:ascii="Times New Roman" w:hAnsi="Times New Roman"/>
        </w:rPr>
        <w:t>stepped forward to provide a</w:t>
      </w:r>
      <w:r w:rsidR="00C867C2" w:rsidRPr="00A44D75">
        <w:rPr>
          <w:rFonts w:ascii="Times New Roman" w:hAnsi="Times New Roman"/>
        </w:rPr>
        <w:t xml:space="preserve"> social safety net </w:t>
      </w:r>
      <w:r w:rsidR="008A63B9" w:rsidRPr="00A44D75">
        <w:rPr>
          <w:rFonts w:ascii="Times New Roman" w:hAnsi="Times New Roman"/>
        </w:rPr>
        <w:t>for families facing pandemic disruption across many aspects of their lives.</w:t>
      </w:r>
    </w:p>
    <w:p w14:paraId="5063AAD1" w14:textId="3B12CE0B" w:rsidR="00970DD3" w:rsidRPr="006B5418" w:rsidRDefault="00970DD3" w:rsidP="00290E13">
      <w:pPr>
        <w:tabs>
          <w:tab w:val="left" w:pos="2200"/>
        </w:tabs>
        <w:rPr>
          <w:rFonts w:ascii="Times New Roman" w:hAnsi="Times New Roman"/>
        </w:rPr>
      </w:pPr>
    </w:p>
    <w:p w14:paraId="5148008B" w14:textId="0B2AAFAB" w:rsidR="00287DBA" w:rsidRPr="006B5418" w:rsidRDefault="00287DBA" w:rsidP="00287DBA">
      <w:pPr>
        <w:tabs>
          <w:tab w:val="left" w:pos="2200"/>
        </w:tabs>
        <w:rPr>
          <w:rFonts w:ascii="Times New Roman" w:hAnsi="Times New Roman"/>
        </w:rPr>
      </w:pPr>
      <w:r w:rsidRPr="00A44D75">
        <w:rPr>
          <w:rFonts w:ascii="Times New Roman" w:hAnsi="Times New Roman"/>
        </w:rPr>
        <w:t xml:space="preserve">In our role as the Board of Early Education and Care, and in preparation for the FY23 budget recommendations, we </w:t>
      </w:r>
      <w:r w:rsidR="00CA62FC" w:rsidRPr="00A44D75">
        <w:rPr>
          <w:rFonts w:ascii="Times New Roman" w:hAnsi="Times New Roman"/>
        </w:rPr>
        <w:t xml:space="preserve">respectfully submit </w:t>
      </w:r>
      <w:r w:rsidR="005C3870" w:rsidRPr="00A44D75">
        <w:rPr>
          <w:rFonts w:ascii="Times New Roman" w:hAnsi="Times New Roman"/>
        </w:rPr>
        <w:t>three</w:t>
      </w:r>
      <w:r w:rsidR="008D3D53" w:rsidRPr="00A44D75">
        <w:rPr>
          <w:rFonts w:ascii="Times New Roman" w:hAnsi="Times New Roman"/>
        </w:rPr>
        <w:t xml:space="preserve"> </w:t>
      </w:r>
      <w:r w:rsidR="005C3870" w:rsidRPr="00A44D75">
        <w:rPr>
          <w:rFonts w:ascii="Times New Roman" w:hAnsi="Times New Roman"/>
        </w:rPr>
        <w:t xml:space="preserve">areas of investment </w:t>
      </w:r>
      <w:r w:rsidR="009351F0" w:rsidRPr="00A44D75">
        <w:rPr>
          <w:rFonts w:ascii="Times New Roman" w:hAnsi="Times New Roman"/>
        </w:rPr>
        <w:t>priority</w:t>
      </w:r>
      <w:r w:rsidR="008F665A" w:rsidRPr="00A44D75">
        <w:rPr>
          <w:rFonts w:ascii="Times New Roman" w:hAnsi="Times New Roman"/>
        </w:rPr>
        <w:t xml:space="preserve"> </w:t>
      </w:r>
      <w:r w:rsidR="005C3870" w:rsidRPr="00A44D75">
        <w:rPr>
          <w:rFonts w:ascii="Times New Roman" w:hAnsi="Times New Roman"/>
        </w:rPr>
        <w:t xml:space="preserve">as the </w:t>
      </w:r>
      <w:r w:rsidRPr="00A44D75">
        <w:rPr>
          <w:rFonts w:ascii="Times New Roman" w:hAnsi="Times New Roman"/>
        </w:rPr>
        <w:t xml:space="preserve">budget </w:t>
      </w:r>
      <w:r w:rsidR="005C3870" w:rsidRPr="00A44D75">
        <w:rPr>
          <w:rFonts w:ascii="Times New Roman" w:hAnsi="Times New Roman"/>
        </w:rPr>
        <w:t xml:space="preserve">is </w:t>
      </w:r>
      <w:r w:rsidR="009351F0" w:rsidRPr="00A44D75">
        <w:rPr>
          <w:rFonts w:ascii="Times New Roman" w:hAnsi="Times New Roman"/>
        </w:rPr>
        <w:t xml:space="preserve">developed </w:t>
      </w:r>
      <w:r w:rsidR="005C3870" w:rsidRPr="00A44D75">
        <w:rPr>
          <w:rFonts w:ascii="Times New Roman" w:hAnsi="Times New Roman"/>
        </w:rPr>
        <w:t xml:space="preserve">for next year.  </w:t>
      </w:r>
    </w:p>
    <w:p w14:paraId="30A21187" w14:textId="2625E3EA" w:rsidR="00287DBA" w:rsidRPr="006B5418" w:rsidRDefault="1A211242" w:rsidP="00287DBA">
      <w:pPr>
        <w:tabs>
          <w:tab w:val="left" w:pos="2200"/>
        </w:tabs>
        <w:rPr>
          <w:rFonts w:ascii="Times New Roman" w:hAnsi="Times New Roman"/>
        </w:rPr>
      </w:pPr>
      <w:r w:rsidRPr="00A44D75">
        <w:rPr>
          <w:rFonts w:ascii="Times New Roman" w:hAnsi="Times New Roman"/>
        </w:rPr>
        <w:t xml:space="preserve"> </w:t>
      </w:r>
    </w:p>
    <w:p w14:paraId="4BBD9167" w14:textId="78984004" w:rsidR="008A63B9" w:rsidRDefault="003F3339" w:rsidP="00287DBA">
      <w:pPr>
        <w:tabs>
          <w:tab w:val="left" w:pos="2200"/>
        </w:tabs>
        <w:rPr>
          <w:rFonts w:ascii="Times New Roman" w:hAnsi="Times New Roman"/>
        </w:rPr>
      </w:pPr>
      <w:r w:rsidRPr="00A44D75">
        <w:rPr>
          <w:rFonts w:ascii="Times New Roman" w:hAnsi="Times New Roman"/>
        </w:rPr>
        <w:t xml:space="preserve">The Commonwealth’s investments </w:t>
      </w:r>
      <w:r w:rsidR="008A63B9" w:rsidRPr="00A44D75">
        <w:rPr>
          <w:rFonts w:ascii="Times New Roman" w:hAnsi="Times New Roman"/>
        </w:rPr>
        <w:t xml:space="preserve">have </w:t>
      </w:r>
      <w:r w:rsidR="0017042F" w:rsidRPr="00A44D75">
        <w:rPr>
          <w:rFonts w:ascii="Times New Roman" w:hAnsi="Times New Roman"/>
        </w:rPr>
        <w:t xml:space="preserve">sustained </w:t>
      </w:r>
      <w:r w:rsidR="002866F1" w:rsidRPr="00A44D75">
        <w:rPr>
          <w:rFonts w:ascii="Times New Roman" w:hAnsi="Times New Roman"/>
        </w:rPr>
        <w:t xml:space="preserve">critical </w:t>
      </w:r>
      <w:r w:rsidR="008A63B9" w:rsidRPr="00A44D75">
        <w:rPr>
          <w:rFonts w:ascii="Times New Roman" w:hAnsi="Times New Roman"/>
        </w:rPr>
        <w:t xml:space="preserve">early education and care </w:t>
      </w:r>
      <w:r w:rsidR="002866F1" w:rsidRPr="00A44D75">
        <w:rPr>
          <w:rFonts w:ascii="Times New Roman" w:hAnsi="Times New Roman"/>
        </w:rPr>
        <w:t xml:space="preserve">infrastructure </w:t>
      </w:r>
      <w:r w:rsidR="008A63B9" w:rsidRPr="00A44D75">
        <w:rPr>
          <w:rFonts w:ascii="Times New Roman" w:hAnsi="Times New Roman"/>
        </w:rPr>
        <w:t>for families facing</w:t>
      </w:r>
      <w:r w:rsidR="0017042F" w:rsidRPr="00A44D75">
        <w:rPr>
          <w:rFonts w:ascii="Times New Roman" w:hAnsi="Times New Roman"/>
        </w:rPr>
        <w:t xml:space="preserve"> </w:t>
      </w:r>
      <w:r w:rsidR="005B3FA3" w:rsidRPr="00A44D75">
        <w:rPr>
          <w:rFonts w:ascii="Times New Roman" w:hAnsi="Times New Roman"/>
        </w:rPr>
        <w:t>interruptions in employment, in-person education</w:t>
      </w:r>
      <w:r w:rsidR="003867C8" w:rsidRPr="00A44D75">
        <w:rPr>
          <w:rFonts w:ascii="Times New Roman" w:hAnsi="Times New Roman"/>
        </w:rPr>
        <w:t xml:space="preserve">al services, and </w:t>
      </w:r>
      <w:r w:rsidR="008A63B9" w:rsidRPr="00A44D75">
        <w:rPr>
          <w:rFonts w:ascii="Times New Roman" w:hAnsi="Times New Roman"/>
        </w:rPr>
        <w:t>economic distress</w:t>
      </w:r>
      <w:r w:rsidR="00FF68A3" w:rsidRPr="00A44D75">
        <w:rPr>
          <w:rFonts w:ascii="Times New Roman" w:hAnsi="Times New Roman"/>
        </w:rPr>
        <w:t xml:space="preserve">.  </w:t>
      </w:r>
      <w:r w:rsidR="00F56647" w:rsidRPr="00F56647">
        <w:rPr>
          <w:rFonts w:ascii="Times New Roman" w:hAnsi="Times New Roman"/>
        </w:rPr>
        <w:t>As school districts employed different models of delivering educational content throughout the State of Emergency, the Commonwealth’s support of EEC-licensed programs enabled them to open to provide critical in-person service to children of essential workers and working parents.</w:t>
      </w:r>
    </w:p>
    <w:p w14:paraId="6FFDD9C5" w14:textId="77777777" w:rsidR="00F56647" w:rsidRPr="00A44D75" w:rsidRDefault="00F56647" w:rsidP="00287DBA">
      <w:pPr>
        <w:tabs>
          <w:tab w:val="left" w:pos="2200"/>
        </w:tabs>
        <w:rPr>
          <w:rFonts w:ascii="Times New Roman" w:hAnsi="Times New Roman"/>
        </w:rPr>
      </w:pPr>
    </w:p>
    <w:p w14:paraId="09743CC6" w14:textId="17A9F745" w:rsidR="002B6F0C" w:rsidRPr="00A44D75" w:rsidRDefault="00FF68A3" w:rsidP="00287DBA">
      <w:pPr>
        <w:tabs>
          <w:tab w:val="left" w:pos="2200"/>
        </w:tabs>
        <w:rPr>
          <w:rFonts w:ascii="Times New Roman" w:hAnsi="Times New Roman"/>
        </w:rPr>
      </w:pPr>
      <w:r w:rsidRPr="00420096">
        <w:rPr>
          <w:rFonts w:ascii="Times New Roman" w:hAnsi="Times New Roman"/>
        </w:rPr>
        <w:t xml:space="preserve">Now, as we look towards economic recovery, it is clear that </w:t>
      </w:r>
      <w:r w:rsidR="001A0E6D" w:rsidRPr="00420096">
        <w:rPr>
          <w:rFonts w:ascii="Times New Roman" w:hAnsi="Times New Roman"/>
        </w:rPr>
        <w:t xml:space="preserve">EEC supported services for families </w:t>
      </w:r>
      <w:r w:rsidR="008A63B9" w:rsidRPr="00420096">
        <w:rPr>
          <w:rFonts w:ascii="Times New Roman" w:hAnsi="Times New Roman"/>
        </w:rPr>
        <w:t xml:space="preserve">and child care infrastructure-building </w:t>
      </w:r>
      <w:r w:rsidR="001A0E6D" w:rsidRPr="00420096">
        <w:rPr>
          <w:rFonts w:ascii="Times New Roman" w:hAnsi="Times New Roman"/>
        </w:rPr>
        <w:t xml:space="preserve">will </w:t>
      </w:r>
      <w:r w:rsidR="00287DBA" w:rsidRPr="00420096">
        <w:rPr>
          <w:rFonts w:ascii="Times New Roman" w:hAnsi="Times New Roman"/>
        </w:rPr>
        <w:t xml:space="preserve">be a critical enabler </w:t>
      </w:r>
      <w:r w:rsidR="008A63B9" w:rsidRPr="00420096">
        <w:rPr>
          <w:rFonts w:ascii="Times New Roman" w:hAnsi="Times New Roman"/>
        </w:rPr>
        <w:t>of</w:t>
      </w:r>
      <w:r w:rsidR="00287DBA" w:rsidRPr="00420096">
        <w:rPr>
          <w:rFonts w:ascii="Times New Roman" w:hAnsi="Times New Roman"/>
        </w:rPr>
        <w:t xml:space="preserve"> </w:t>
      </w:r>
      <w:r w:rsidR="00EE74B6" w:rsidRPr="00420096">
        <w:rPr>
          <w:rFonts w:ascii="Times New Roman" w:hAnsi="Times New Roman"/>
        </w:rPr>
        <w:t xml:space="preserve">the </w:t>
      </w:r>
      <w:r w:rsidR="00B27732" w:rsidRPr="00420096">
        <w:rPr>
          <w:rFonts w:ascii="Times New Roman" w:hAnsi="Times New Roman"/>
        </w:rPr>
        <w:t>Baker-Polito Administration</w:t>
      </w:r>
      <w:r w:rsidR="00287DBA" w:rsidRPr="00420096">
        <w:rPr>
          <w:rFonts w:ascii="Times New Roman" w:hAnsi="Times New Roman"/>
        </w:rPr>
        <w:t>’s vision for the future of work</w:t>
      </w:r>
      <w:r w:rsidR="001A0E6D" w:rsidRPr="00420096">
        <w:rPr>
          <w:rFonts w:ascii="Times New Roman" w:hAnsi="Times New Roman"/>
        </w:rPr>
        <w:t xml:space="preserve">.  </w:t>
      </w:r>
      <w:r w:rsidR="00C3574F" w:rsidRPr="00420096">
        <w:rPr>
          <w:rFonts w:ascii="Times New Roman" w:hAnsi="Times New Roman"/>
        </w:rPr>
        <w:t xml:space="preserve">In addition, partnerships across schools and child care providers focused on community-level services designed to meet the specific needs of children and families they serve will become an essential catalyst </w:t>
      </w:r>
      <w:r w:rsidR="009A1171" w:rsidRPr="00420096">
        <w:rPr>
          <w:rFonts w:ascii="Times New Roman" w:hAnsi="Times New Roman"/>
        </w:rPr>
        <w:t>in supporting the economy of the future.</w:t>
      </w:r>
      <w:r w:rsidR="009A1171">
        <w:rPr>
          <w:rFonts w:ascii="Times New Roman" w:hAnsi="Times New Roman"/>
        </w:rPr>
        <w:t xml:space="preserve">  </w:t>
      </w:r>
    </w:p>
    <w:p w14:paraId="46BF28B5" w14:textId="77777777" w:rsidR="002B6F0C" w:rsidRPr="00A44D75" w:rsidRDefault="002B6F0C" w:rsidP="00287DBA">
      <w:pPr>
        <w:tabs>
          <w:tab w:val="left" w:pos="2200"/>
        </w:tabs>
        <w:rPr>
          <w:rFonts w:ascii="Times New Roman" w:hAnsi="Times New Roman"/>
        </w:rPr>
      </w:pPr>
    </w:p>
    <w:p w14:paraId="66481BD6" w14:textId="6AEC29F9" w:rsidR="00287DBA" w:rsidRPr="00A44D75" w:rsidRDefault="002B6F0C" w:rsidP="00287DBA">
      <w:pPr>
        <w:tabs>
          <w:tab w:val="left" w:pos="2200"/>
        </w:tabs>
        <w:rPr>
          <w:rFonts w:ascii="Times New Roman" w:hAnsi="Times New Roman"/>
        </w:rPr>
      </w:pPr>
      <w:r w:rsidRPr="00A44D75">
        <w:rPr>
          <w:rFonts w:ascii="Times New Roman" w:hAnsi="Times New Roman"/>
        </w:rPr>
        <w:t>H</w:t>
      </w:r>
      <w:r w:rsidR="00BF2048" w:rsidRPr="00A44D75">
        <w:rPr>
          <w:rFonts w:ascii="Times New Roman" w:hAnsi="Times New Roman"/>
        </w:rPr>
        <w:t xml:space="preserve">istoric federal and state investments </w:t>
      </w:r>
      <w:r w:rsidR="00CA4FBC" w:rsidRPr="00A44D75">
        <w:rPr>
          <w:rFonts w:ascii="Times New Roman" w:hAnsi="Times New Roman"/>
        </w:rPr>
        <w:t>in</w:t>
      </w:r>
      <w:r w:rsidR="00BF2048" w:rsidRPr="00A44D75">
        <w:rPr>
          <w:rFonts w:ascii="Times New Roman" w:hAnsi="Times New Roman"/>
        </w:rPr>
        <w:t xml:space="preserve"> </w:t>
      </w:r>
      <w:r w:rsidR="009040C2" w:rsidRPr="00A44D75">
        <w:rPr>
          <w:rFonts w:ascii="Times New Roman" w:hAnsi="Times New Roman"/>
        </w:rPr>
        <w:t xml:space="preserve">FY22 </w:t>
      </w:r>
      <w:r w:rsidR="00CA4FBC" w:rsidRPr="00A44D75">
        <w:rPr>
          <w:rFonts w:ascii="Times New Roman" w:hAnsi="Times New Roman"/>
        </w:rPr>
        <w:t>yield</w:t>
      </w:r>
      <w:r w:rsidR="00523EC4" w:rsidRPr="00A44D75">
        <w:rPr>
          <w:rFonts w:ascii="Times New Roman" w:hAnsi="Times New Roman"/>
        </w:rPr>
        <w:t xml:space="preserve"> </w:t>
      </w:r>
      <w:r w:rsidR="009040C2" w:rsidRPr="00A44D75">
        <w:rPr>
          <w:rFonts w:ascii="Times New Roman" w:hAnsi="Times New Roman"/>
        </w:rPr>
        <w:t xml:space="preserve">real-time learning </w:t>
      </w:r>
      <w:r w:rsidR="00CA4FBC" w:rsidRPr="00A44D75">
        <w:rPr>
          <w:rFonts w:ascii="Times New Roman" w:hAnsi="Times New Roman"/>
        </w:rPr>
        <w:t>about</w:t>
      </w:r>
      <w:r w:rsidR="00523EC4" w:rsidRPr="00A44D75">
        <w:rPr>
          <w:rFonts w:ascii="Times New Roman" w:hAnsi="Times New Roman"/>
        </w:rPr>
        <w:t xml:space="preserve"> </w:t>
      </w:r>
      <w:r w:rsidR="00CA4FBC" w:rsidRPr="00A44D75">
        <w:rPr>
          <w:rFonts w:ascii="Times New Roman" w:hAnsi="Times New Roman"/>
        </w:rPr>
        <w:t>how</w:t>
      </w:r>
      <w:r w:rsidR="008E2DA3" w:rsidRPr="00A44D75">
        <w:rPr>
          <w:rFonts w:ascii="Times New Roman" w:hAnsi="Times New Roman"/>
        </w:rPr>
        <w:t xml:space="preserve"> </w:t>
      </w:r>
      <w:r w:rsidR="00CA4FBC" w:rsidRPr="00A44D75">
        <w:rPr>
          <w:rFonts w:ascii="Times New Roman" w:hAnsi="Times New Roman"/>
        </w:rPr>
        <w:t xml:space="preserve">we might re-envision </w:t>
      </w:r>
      <w:r w:rsidR="00F110CB" w:rsidRPr="00A44D75">
        <w:rPr>
          <w:rFonts w:ascii="Times New Roman" w:hAnsi="Times New Roman"/>
        </w:rPr>
        <w:t>care infrastructure’s role</w:t>
      </w:r>
      <w:r w:rsidR="007120C4" w:rsidRPr="00A44D75">
        <w:rPr>
          <w:rFonts w:ascii="Times New Roman" w:hAnsi="Times New Roman"/>
        </w:rPr>
        <w:t>,</w:t>
      </w:r>
      <w:r w:rsidR="00F110CB" w:rsidRPr="00A44D75">
        <w:rPr>
          <w:rFonts w:ascii="Times New Roman" w:hAnsi="Times New Roman"/>
        </w:rPr>
        <w:t xml:space="preserve"> </w:t>
      </w:r>
      <w:r w:rsidR="007120C4" w:rsidRPr="00A44D75">
        <w:rPr>
          <w:rFonts w:ascii="Times New Roman" w:hAnsi="Times New Roman"/>
        </w:rPr>
        <w:t>building a stronger</w:t>
      </w:r>
      <w:r w:rsidR="00523EC4" w:rsidRPr="00A44D75">
        <w:rPr>
          <w:rFonts w:ascii="Times New Roman" w:hAnsi="Times New Roman"/>
        </w:rPr>
        <w:t xml:space="preserve"> </w:t>
      </w:r>
      <w:r w:rsidR="00A35667" w:rsidRPr="00A44D75">
        <w:rPr>
          <w:rFonts w:ascii="Times New Roman" w:hAnsi="Times New Roman"/>
        </w:rPr>
        <w:t xml:space="preserve">backbone </w:t>
      </w:r>
      <w:r w:rsidR="00523EC4" w:rsidRPr="00A44D75">
        <w:rPr>
          <w:rFonts w:ascii="Times New Roman" w:hAnsi="Times New Roman"/>
        </w:rPr>
        <w:t>for</w:t>
      </w:r>
      <w:r w:rsidR="00A35667" w:rsidRPr="00A44D75">
        <w:rPr>
          <w:rFonts w:ascii="Times New Roman" w:hAnsi="Times New Roman"/>
        </w:rPr>
        <w:t xml:space="preserve"> economic</w:t>
      </w:r>
      <w:r w:rsidR="009040C2" w:rsidRPr="00A44D75">
        <w:rPr>
          <w:rFonts w:ascii="Times New Roman" w:hAnsi="Times New Roman"/>
        </w:rPr>
        <w:t xml:space="preserve"> recovery</w:t>
      </w:r>
      <w:r w:rsidR="00523EC4" w:rsidRPr="00A44D75">
        <w:rPr>
          <w:rFonts w:ascii="Times New Roman" w:hAnsi="Times New Roman"/>
        </w:rPr>
        <w:t xml:space="preserve">. </w:t>
      </w:r>
      <w:r w:rsidR="00F110CB" w:rsidRPr="00A44D75">
        <w:rPr>
          <w:rFonts w:ascii="Times New Roman" w:hAnsi="Times New Roman"/>
        </w:rPr>
        <w:t>Having absorbed these lessons, the</w:t>
      </w:r>
      <w:r w:rsidR="000C3375" w:rsidRPr="00A44D75">
        <w:rPr>
          <w:rFonts w:ascii="Times New Roman" w:hAnsi="Times New Roman"/>
        </w:rPr>
        <w:t xml:space="preserve"> Board of Early Education and Care</w:t>
      </w:r>
      <w:r w:rsidR="00287DBA" w:rsidRPr="00A44D75">
        <w:rPr>
          <w:rFonts w:ascii="Times New Roman" w:hAnsi="Times New Roman"/>
        </w:rPr>
        <w:t xml:space="preserve"> </w:t>
      </w:r>
      <w:r w:rsidR="00A141ED" w:rsidRPr="00A44D75">
        <w:rPr>
          <w:rFonts w:ascii="Times New Roman" w:hAnsi="Times New Roman"/>
        </w:rPr>
        <w:t>re</w:t>
      </w:r>
      <w:r w:rsidR="000C3375" w:rsidRPr="00A44D75">
        <w:rPr>
          <w:rFonts w:ascii="Times New Roman" w:hAnsi="Times New Roman"/>
        </w:rPr>
        <w:t xml:space="preserve">commends the following </w:t>
      </w:r>
      <w:r w:rsidR="00AC5FE7" w:rsidRPr="00A44D75">
        <w:rPr>
          <w:rFonts w:ascii="Times New Roman" w:hAnsi="Times New Roman"/>
        </w:rPr>
        <w:t>FY23 investments to support the overall goals of</w:t>
      </w:r>
      <w:r w:rsidR="00A141ED" w:rsidRPr="00A44D75">
        <w:rPr>
          <w:rFonts w:ascii="Times New Roman" w:hAnsi="Times New Roman"/>
        </w:rPr>
        <w:t xml:space="preserve"> the Commonwealth</w:t>
      </w:r>
      <w:r w:rsidR="00287DBA" w:rsidRPr="00A44D75">
        <w:rPr>
          <w:rFonts w:ascii="Times New Roman" w:hAnsi="Times New Roman"/>
        </w:rPr>
        <w:t>:</w:t>
      </w:r>
    </w:p>
    <w:p w14:paraId="1BE7F6CD" w14:textId="77777777" w:rsidR="00B94182" w:rsidRPr="006B5418" w:rsidRDefault="00B94182" w:rsidP="00287DBA">
      <w:pPr>
        <w:tabs>
          <w:tab w:val="left" w:pos="2200"/>
        </w:tabs>
        <w:rPr>
          <w:rFonts w:ascii="Times New Roman" w:hAnsi="Times New Roman"/>
        </w:rPr>
      </w:pPr>
    </w:p>
    <w:p w14:paraId="01260DB5" w14:textId="01132388" w:rsidR="007120C4" w:rsidRPr="006B5418" w:rsidRDefault="002018C9" w:rsidP="04BB1B5D">
      <w:pPr>
        <w:pStyle w:val="ListParagraph"/>
        <w:numPr>
          <w:ilvl w:val="0"/>
          <w:numId w:val="15"/>
        </w:numPr>
        <w:rPr>
          <w:rFonts w:ascii="Times New Roman" w:eastAsiaTheme="minorEastAsia" w:hAnsi="Times New Roman"/>
          <w:b/>
        </w:rPr>
      </w:pPr>
      <w:r w:rsidRPr="00A44D75">
        <w:rPr>
          <w:rFonts w:ascii="Times New Roman" w:hAnsi="Times New Roman"/>
          <w:b/>
          <w:bCs/>
        </w:rPr>
        <w:t>I</w:t>
      </w:r>
      <w:r w:rsidR="00CD3DF4" w:rsidRPr="00A44D75">
        <w:rPr>
          <w:rFonts w:ascii="Times New Roman" w:hAnsi="Times New Roman"/>
          <w:b/>
          <w:bCs/>
        </w:rPr>
        <w:t xml:space="preserve">nvest in child care </w:t>
      </w:r>
      <w:r w:rsidRPr="00A44D75">
        <w:rPr>
          <w:rFonts w:ascii="Times New Roman" w:hAnsi="Times New Roman"/>
          <w:b/>
          <w:bCs/>
        </w:rPr>
        <w:t>infrastructure</w:t>
      </w:r>
    </w:p>
    <w:p w14:paraId="69661EDF" w14:textId="0C5B5294" w:rsidR="007120C4" w:rsidRPr="006B5418" w:rsidRDefault="007120C4" w:rsidP="007120C4">
      <w:pPr>
        <w:pStyle w:val="ListParagraph"/>
        <w:numPr>
          <w:ilvl w:val="1"/>
          <w:numId w:val="15"/>
        </w:numPr>
        <w:rPr>
          <w:rFonts w:ascii="Times New Roman" w:eastAsiaTheme="minorEastAsia" w:hAnsi="Times New Roman"/>
          <w:b/>
        </w:rPr>
      </w:pPr>
      <w:r w:rsidRPr="00A44D75">
        <w:rPr>
          <w:rFonts w:ascii="Times New Roman" w:hAnsi="Times New Roman"/>
        </w:rPr>
        <w:t>Use</w:t>
      </w:r>
      <w:r w:rsidR="00484A2F" w:rsidRPr="00A44D75">
        <w:rPr>
          <w:rFonts w:ascii="Times New Roman" w:hAnsi="Times New Roman"/>
        </w:rPr>
        <w:t xml:space="preserve"> emerging data to inform </w:t>
      </w:r>
      <w:r w:rsidR="001922DC" w:rsidRPr="00A44D75">
        <w:rPr>
          <w:rFonts w:ascii="Times New Roman" w:hAnsi="Times New Roman"/>
        </w:rPr>
        <w:t>enhancements</w:t>
      </w:r>
      <w:r w:rsidR="00484A2F" w:rsidRPr="00A44D75">
        <w:rPr>
          <w:rFonts w:ascii="Times New Roman" w:hAnsi="Times New Roman"/>
        </w:rPr>
        <w:t xml:space="preserve"> to</w:t>
      </w:r>
      <w:r w:rsidR="00287DBA" w:rsidRPr="00A44D75">
        <w:rPr>
          <w:rFonts w:ascii="Times New Roman" w:hAnsi="Times New Roman"/>
        </w:rPr>
        <w:t xml:space="preserve"> operational </w:t>
      </w:r>
      <w:r w:rsidR="001922DC" w:rsidRPr="00A44D75">
        <w:rPr>
          <w:rFonts w:ascii="Times New Roman" w:hAnsi="Times New Roman"/>
        </w:rPr>
        <w:t xml:space="preserve">infrastructure </w:t>
      </w:r>
      <w:r w:rsidR="002018C9" w:rsidRPr="00A44D75">
        <w:rPr>
          <w:rFonts w:ascii="Times New Roman" w:hAnsi="Times New Roman"/>
        </w:rPr>
        <w:t>grants</w:t>
      </w:r>
      <w:r w:rsidR="00287DBA" w:rsidRPr="00A44D75">
        <w:rPr>
          <w:rFonts w:ascii="Times New Roman" w:hAnsi="Times New Roman"/>
        </w:rPr>
        <w:t xml:space="preserve"> launched in FY22 </w:t>
      </w:r>
      <w:r w:rsidR="00292F28" w:rsidRPr="00A44D75">
        <w:rPr>
          <w:rFonts w:ascii="Times New Roman" w:hAnsi="Times New Roman"/>
        </w:rPr>
        <w:t>with</w:t>
      </w:r>
      <w:r w:rsidR="00287DBA" w:rsidRPr="00A44D75">
        <w:rPr>
          <w:rFonts w:ascii="Times New Roman" w:hAnsi="Times New Roman"/>
        </w:rPr>
        <w:t xml:space="preserve"> ARPA </w:t>
      </w:r>
      <w:r w:rsidR="001922DC" w:rsidRPr="00A44D75">
        <w:rPr>
          <w:rFonts w:ascii="Times New Roman" w:hAnsi="Times New Roman"/>
        </w:rPr>
        <w:t xml:space="preserve">&amp; CRRSA </w:t>
      </w:r>
      <w:r w:rsidR="00287DBA" w:rsidRPr="00A44D75">
        <w:rPr>
          <w:rFonts w:ascii="Times New Roman" w:hAnsi="Times New Roman"/>
        </w:rPr>
        <w:t>funds</w:t>
      </w:r>
      <w:r w:rsidR="00542103" w:rsidRPr="00A44D75">
        <w:rPr>
          <w:rFonts w:ascii="Times New Roman" w:hAnsi="Times New Roman"/>
        </w:rPr>
        <w:t>.  Early indicators of success of the</w:t>
      </w:r>
      <w:r w:rsidR="00287DBA" w:rsidRPr="00A44D75">
        <w:rPr>
          <w:rFonts w:ascii="Times New Roman" w:hAnsi="Times New Roman"/>
        </w:rPr>
        <w:t xml:space="preserve"> </w:t>
      </w:r>
      <w:r w:rsidR="00287DBA" w:rsidRPr="006B5418">
        <w:rPr>
          <w:rFonts w:ascii="Times New Roman" w:hAnsi="Times New Roman"/>
          <w:i/>
          <w:iCs/>
        </w:rPr>
        <w:t>Commonwealth Cares for Children</w:t>
      </w:r>
      <w:r w:rsidR="00287DBA" w:rsidRPr="00A44D75">
        <w:rPr>
          <w:rFonts w:ascii="Times New Roman" w:hAnsi="Times New Roman"/>
        </w:rPr>
        <w:t xml:space="preserve"> </w:t>
      </w:r>
      <w:r w:rsidRPr="00A44D75">
        <w:rPr>
          <w:rFonts w:ascii="Times New Roman" w:hAnsi="Times New Roman"/>
        </w:rPr>
        <w:t xml:space="preserve">(C3) </w:t>
      </w:r>
      <w:r w:rsidR="00287DBA" w:rsidRPr="00A44D75">
        <w:rPr>
          <w:rFonts w:ascii="Times New Roman" w:hAnsi="Times New Roman"/>
        </w:rPr>
        <w:t>formula</w:t>
      </w:r>
      <w:r w:rsidR="00F63BAE" w:rsidRPr="00A44D75">
        <w:rPr>
          <w:rFonts w:ascii="Times New Roman" w:hAnsi="Times New Roman"/>
        </w:rPr>
        <w:t xml:space="preserve"> suggest </w:t>
      </w:r>
      <w:r w:rsidRPr="00A44D75">
        <w:rPr>
          <w:rFonts w:ascii="Times New Roman" w:hAnsi="Times New Roman"/>
        </w:rPr>
        <w:t>funds are reaching areas of greatest need</w:t>
      </w:r>
      <w:r w:rsidR="00F63BAE" w:rsidRPr="00A44D75">
        <w:rPr>
          <w:rFonts w:ascii="Times New Roman" w:hAnsi="Times New Roman"/>
        </w:rPr>
        <w:t xml:space="preserve"> </w:t>
      </w:r>
      <w:r w:rsidR="005D2282" w:rsidRPr="00A44D75">
        <w:rPr>
          <w:rFonts w:ascii="Times New Roman" w:hAnsi="Times New Roman"/>
        </w:rPr>
        <w:t>and</w:t>
      </w:r>
      <w:r w:rsidR="00287DBA" w:rsidRPr="00A44D75">
        <w:rPr>
          <w:rFonts w:ascii="Times New Roman" w:hAnsi="Times New Roman"/>
        </w:rPr>
        <w:t xml:space="preserve"> </w:t>
      </w:r>
      <w:r w:rsidRPr="00A44D75">
        <w:rPr>
          <w:rFonts w:ascii="Times New Roman" w:hAnsi="Times New Roman"/>
        </w:rPr>
        <w:t>supporting</w:t>
      </w:r>
      <w:r w:rsidR="00287DBA" w:rsidRPr="00A44D75">
        <w:rPr>
          <w:rFonts w:ascii="Times New Roman" w:hAnsi="Times New Roman"/>
        </w:rPr>
        <w:t xml:space="preserve"> stabilization goals</w:t>
      </w:r>
      <w:r w:rsidR="005D2282" w:rsidRPr="00A44D75">
        <w:rPr>
          <w:rFonts w:ascii="Times New Roman" w:hAnsi="Times New Roman"/>
        </w:rPr>
        <w:t xml:space="preserve">.  </w:t>
      </w:r>
    </w:p>
    <w:p w14:paraId="2B1F1226" w14:textId="28CB42BE" w:rsidR="007120C4" w:rsidRPr="006B5418" w:rsidRDefault="007120C4" w:rsidP="007120C4">
      <w:pPr>
        <w:pStyle w:val="ListParagraph"/>
        <w:numPr>
          <w:ilvl w:val="1"/>
          <w:numId w:val="15"/>
        </w:numPr>
        <w:rPr>
          <w:rFonts w:ascii="Times New Roman" w:eastAsiaTheme="minorEastAsia" w:hAnsi="Times New Roman"/>
          <w:b/>
        </w:rPr>
      </w:pPr>
      <w:r w:rsidRPr="00A44D75">
        <w:rPr>
          <w:rFonts w:ascii="Times New Roman" w:hAnsi="Times New Roman"/>
        </w:rPr>
        <w:t xml:space="preserve">Additional learning will be gathered from </w:t>
      </w:r>
      <w:r w:rsidR="007C637D" w:rsidRPr="00A44D75">
        <w:rPr>
          <w:rFonts w:ascii="Times New Roman" w:hAnsi="Times New Roman"/>
        </w:rPr>
        <w:t xml:space="preserve">enhancements through FY22 to address </w:t>
      </w:r>
      <w:r w:rsidR="00287DBA" w:rsidRPr="00A44D75">
        <w:rPr>
          <w:rFonts w:ascii="Times New Roman" w:hAnsi="Times New Roman"/>
        </w:rPr>
        <w:t xml:space="preserve">the Commonwealth’s goals </w:t>
      </w:r>
      <w:r w:rsidR="001F6E82" w:rsidRPr="00A44D75">
        <w:rPr>
          <w:rFonts w:ascii="Times New Roman" w:hAnsi="Times New Roman"/>
        </w:rPr>
        <w:t>– including</w:t>
      </w:r>
      <w:r w:rsidR="00287DBA" w:rsidRPr="00A44D75">
        <w:rPr>
          <w:rFonts w:ascii="Times New Roman" w:hAnsi="Times New Roman"/>
        </w:rPr>
        <w:t xml:space="preserve"> </w:t>
      </w:r>
      <w:r w:rsidR="007C637D" w:rsidRPr="00A44D75">
        <w:rPr>
          <w:rFonts w:ascii="Times New Roman" w:hAnsi="Times New Roman"/>
        </w:rPr>
        <w:t>innovation</w:t>
      </w:r>
      <w:r w:rsidR="009177CB" w:rsidRPr="00A44D75">
        <w:rPr>
          <w:rFonts w:ascii="Times New Roman" w:hAnsi="Times New Roman"/>
        </w:rPr>
        <w:t xml:space="preserve"> </w:t>
      </w:r>
      <w:r w:rsidRPr="00A44D75">
        <w:rPr>
          <w:rFonts w:ascii="Times New Roman" w:hAnsi="Times New Roman"/>
        </w:rPr>
        <w:t xml:space="preserve">or new service models; </w:t>
      </w:r>
      <w:r w:rsidR="001F6E82" w:rsidRPr="00A44D75">
        <w:rPr>
          <w:rFonts w:ascii="Times New Roman" w:hAnsi="Times New Roman"/>
        </w:rPr>
        <w:t xml:space="preserve">further program stabilization and growth in </w:t>
      </w:r>
      <w:r w:rsidRPr="00A44D75">
        <w:rPr>
          <w:rFonts w:ascii="Times New Roman" w:hAnsi="Times New Roman"/>
        </w:rPr>
        <w:t>capacity</w:t>
      </w:r>
      <w:r w:rsidR="009D57FE" w:rsidRPr="00A44D75">
        <w:rPr>
          <w:rFonts w:ascii="Times New Roman" w:hAnsi="Times New Roman"/>
        </w:rPr>
        <w:t>;</w:t>
      </w:r>
      <w:r w:rsidR="007C637D" w:rsidRPr="00A44D75">
        <w:rPr>
          <w:rFonts w:ascii="Times New Roman" w:hAnsi="Times New Roman"/>
        </w:rPr>
        <w:t xml:space="preserve"> </w:t>
      </w:r>
      <w:r w:rsidR="00E20E86" w:rsidRPr="00A44D75">
        <w:rPr>
          <w:rFonts w:ascii="Times New Roman" w:hAnsi="Times New Roman"/>
        </w:rPr>
        <w:t xml:space="preserve">resources to support continuous quality improvement in accordance with </w:t>
      </w:r>
      <w:r w:rsidR="00AC5B17">
        <w:rPr>
          <w:rFonts w:ascii="Times New Roman" w:hAnsi="Times New Roman"/>
        </w:rPr>
        <w:t xml:space="preserve">the development of new </w:t>
      </w:r>
      <w:r w:rsidR="00E20E86" w:rsidRPr="00A44D75">
        <w:rPr>
          <w:rFonts w:ascii="Times New Roman" w:hAnsi="Times New Roman"/>
        </w:rPr>
        <w:t xml:space="preserve">business models and </w:t>
      </w:r>
      <w:r w:rsidR="00AC5B17">
        <w:rPr>
          <w:rFonts w:ascii="Times New Roman" w:hAnsi="Times New Roman"/>
        </w:rPr>
        <w:t xml:space="preserve">relevant to the </w:t>
      </w:r>
      <w:r w:rsidR="00E20E86" w:rsidRPr="00A44D75">
        <w:rPr>
          <w:rFonts w:ascii="Times New Roman" w:hAnsi="Times New Roman"/>
        </w:rPr>
        <w:t xml:space="preserve">communities served; </w:t>
      </w:r>
      <w:r w:rsidRPr="00A44D75">
        <w:rPr>
          <w:rFonts w:ascii="Times New Roman" w:hAnsi="Times New Roman"/>
        </w:rPr>
        <w:t>and</w:t>
      </w:r>
      <w:r w:rsidR="009D57FE" w:rsidRPr="00A44D75">
        <w:rPr>
          <w:rFonts w:ascii="Times New Roman" w:hAnsi="Times New Roman"/>
        </w:rPr>
        <w:t>,</w:t>
      </w:r>
      <w:r w:rsidRPr="00A44D75">
        <w:rPr>
          <w:rFonts w:ascii="Times New Roman" w:hAnsi="Times New Roman"/>
        </w:rPr>
        <w:t xml:space="preserve"> to address</w:t>
      </w:r>
      <w:r w:rsidR="00B842E7" w:rsidRPr="00A44D75">
        <w:rPr>
          <w:rFonts w:ascii="Times New Roman" w:hAnsi="Times New Roman"/>
        </w:rPr>
        <w:t xml:space="preserve"> </w:t>
      </w:r>
      <w:r w:rsidRPr="00A44D75">
        <w:rPr>
          <w:rFonts w:ascii="Times New Roman" w:hAnsi="Times New Roman"/>
        </w:rPr>
        <w:t xml:space="preserve">longstanding </w:t>
      </w:r>
      <w:r w:rsidR="006E38C3" w:rsidRPr="00A44D75">
        <w:rPr>
          <w:rFonts w:ascii="Times New Roman" w:hAnsi="Times New Roman"/>
        </w:rPr>
        <w:t xml:space="preserve">educator </w:t>
      </w:r>
      <w:r w:rsidR="00287DBA" w:rsidRPr="00A44D75">
        <w:rPr>
          <w:rFonts w:ascii="Times New Roman" w:hAnsi="Times New Roman"/>
        </w:rPr>
        <w:t xml:space="preserve">compensation </w:t>
      </w:r>
      <w:r w:rsidRPr="00A44D75">
        <w:rPr>
          <w:rFonts w:ascii="Times New Roman" w:hAnsi="Times New Roman"/>
        </w:rPr>
        <w:t xml:space="preserve">challenges </w:t>
      </w:r>
      <w:r w:rsidR="00287DBA" w:rsidRPr="00A44D75">
        <w:rPr>
          <w:rFonts w:ascii="Times New Roman" w:hAnsi="Times New Roman"/>
        </w:rPr>
        <w:t>and hiring</w:t>
      </w:r>
      <w:r w:rsidR="005D5E91" w:rsidRPr="00A44D75">
        <w:rPr>
          <w:rFonts w:ascii="Times New Roman" w:hAnsi="Times New Roman"/>
        </w:rPr>
        <w:t xml:space="preserve"> </w:t>
      </w:r>
      <w:r w:rsidRPr="00A44D75">
        <w:rPr>
          <w:rFonts w:ascii="Times New Roman" w:hAnsi="Times New Roman"/>
        </w:rPr>
        <w:t xml:space="preserve">barriers. </w:t>
      </w:r>
    </w:p>
    <w:p w14:paraId="3947A284" w14:textId="77777777" w:rsidR="00E20E86" w:rsidRPr="006B5418" w:rsidRDefault="00E20E86" w:rsidP="000630A2">
      <w:pPr>
        <w:pStyle w:val="ListParagraph"/>
        <w:ind w:left="1440"/>
        <w:rPr>
          <w:rFonts w:ascii="Times New Roman" w:eastAsiaTheme="minorEastAsia" w:hAnsi="Times New Roman"/>
          <w:b/>
        </w:rPr>
      </w:pPr>
    </w:p>
    <w:p w14:paraId="30565FE3" w14:textId="77777777" w:rsidR="008B3731" w:rsidRPr="006B5418" w:rsidRDefault="008A5944" w:rsidP="04BB1B5D">
      <w:pPr>
        <w:pStyle w:val="ListParagraph"/>
        <w:numPr>
          <w:ilvl w:val="0"/>
          <w:numId w:val="15"/>
        </w:numPr>
        <w:rPr>
          <w:rFonts w:ascii="Times New Roman" w:eastAsiaTheme="minorEastAsia" w:hAnsi="Times New Roman"/>
        </w:rPr>
      </w:pPr>
      <w:r w:rsidRPr="00A44D75">
        <w:rPr>
          <w:rFonts w:ascii="Times New Roman" w:hAnsi="Times New Roman"/>
        </w:rPr>
        <w:t>A</w:t>
      </w:r>
      <w:r w:rsidR="00287DBA" w:rsidRPr="00A44D75">
        <w:rPr>
          <w:rFonts w:ascii="Times New Roman" w:hAnsi="Times New Roman"/>
          <w:b/>
          <w:bCs/>
        </w:rPr>
        <w:t>ddress</w:t>
      </w:r>
      <w:r w:rsidRPr="00A44D75">
        <w:rPr>
          <w:rFonts w:ascii="Times New Roman" w:hAnsi="Times New Roman"/>
          <w:b/>
          <w:bCs/>
        </w:rPr>
        <w:t xml:space="preserve"> affordability </w:t>
      </w:r>
      <w:r w:rsidR="00A53719" w:rsidRPr="00A44D75">
        <w:rPr>
          <w:rFonts w:ascii="Times New Roman" w:hAnsi="Times New Roman"/>
          <w:b/>
          <w:bCs/>
        </w:rPr>
        <w:t>of child care for families</w:t>
      </w:r>
      <w:r w:rsidR="00287DBA" w:rsidRPr="00A44D75">
        <w:rPr>
          <w:rFonts w:ascii="Times New Roman" w:hAnsi="Times New Roman"/>
        </w:rPr>
        <w:t xml:space="preserve"> </w:t>
      </w:r>
    </w:p>
    <w:p w14:paraId="78F0DB6C" w14:textId="35FC230B" w:rsidR="00972147" w:rsidRPr="006B5418" w:rsidRDefault="008B3731" w:rsidP="008B3731">
      <w:pPr>
        <w:pStyle w:val="ListParagraph"/>
        <w:numPr>
          <w:ilvl w:val="1"/>
          <w:numId w:val="15"/>
        </w:numPr>
        <w:rPr>
          <w:rFonts w:ascii="Times New Roman" w:eastAsiaTheme="minorEastAsia" w:hAnsi="Times New Roman"/>
        </w:rPr>
      </w:pPr>
      <w:r w:rsidRPr="00A44D75">
        <w:rPr>
          <w:rFonts w:ascii="Times New Roman" w:hAnsi="Times New Roman"/>
        </w:rPr>
        <w:t xml:space="preserve">Undertake </w:t>
      </w:r>
      <w:r w:rsidR="00287DBA" w:rsidRPr="00A44D75">
        <w:rPr>
          <w:rFonts w:ascii="Times New Roman" w:hAnsi="Times New Roman"/>
        </w:rPr>
        <w:t xml:space="preserve">a substantial re-vamp of </w:t>
      </w:r>
      <w:r w:rsidR="00A7761A" w:rsidRPr="00A44D75">
        <w:rPr>
          <w:rFonts w:ascii="Times New Roman" w:hAnsi="Times New Roman"/>
        </w:rPr>
        <w:t xml:space="preserve">the current child care subsidy system </w:t>
      </w:r>
      <w:r w:rsidR="00287DBA" w:rsidRPr="00A44D75">
        <w:rPr>
          <w:rFonts w:ascii="Times New Roman" w:hAnsi="Times New Roman"/>
        </w:rPr>
        <w:t>–</w:t>
      </w:r>
      <w:r w:rsidR="00596B00" w:rsidRPr="00A44D75">
        <w:rPr>
          <w:rFonts w:ascii="Times New Roman" w:hAnsi="Times New Roman"/>
        </w:rPr>
        <w:t xml:space="preserve"> maintaining or expanding funding levels and </w:t>
      </w:r>
      <w:r w:rsidR="00000915" w:rsidRPr="00A44D75">
        <w:rPr>
          <w:rFonts w:ascii="Times New Roman" w:hAnsi="Times New Roman"/>
        </w:rPr>
        <w:t xml:space="preserve">focusing on </w:t>
      </w:r>
      <w:r w:rsidR="00A44A05" w:rsidRPr="00A44D75">
        <w:rPr>
          <w:rFonts w:ascii="Times New Roman" w:hAnsi="Times New Roman"/>
        </w:rPr>
        <w:t>removing barriers and stabilizing access</w:t>
      </w:r>
      <w:r w:rsidR="00000915" w:rsidRPr="00A44D75">
        <w:rPr>
          <w:rFonts w:ascii="Times New Roman" w:hAnsi="Times New Roman"/>
        </w:rPr>
        <w:t xml:space="preserve"> for families seeking financial support </w:t>
      </w:r>
      <w:r w:rsidR="00A44A05" w:rsidRPr="00A44D75">
        <w:rPr>
          <w:rFonts w:ascii="Times New Roman" w:hAnsi="Times New Roman"/>
        </w:rPr>
        <w:t xml:space="preserve">for </w:t>
      </w:r>
      <w:r w:rsidR="00000915" w:rsidRPr="00A44D75">
        <w:rPr>
          <w:rFonts w:ascii="Times New Roman" w:hAnsi="Times New Roman"/>
        </w:rPr>
        <w:t>care</w:t>
      </w:r>
    </w:p>
    <w:p w14:paraId="2260A6DA" w14:textId="06D30528" w:rsidR="003532CE" w:rsidRPr="006B5418" w:rsidRDefault="00AC5B17" w:rsidP="00411B7D">
      <w:pPr>
        <w:pStyle w:val="ListParagraph"/>
        <w:numPr>
          <w:ilvl w:val="1"/>
          <w:numId w:val="15"/>
        </w:numPr>
        <w:rPr>
          <w:rFonts w:ascii="Times New Roman" w:eastAsiaTheme="minorEastAsia" w:hAnsi="Times New Roman"/>
        </w:rPr>
      </w:pPr>
      <w:r>
        <w:rPr>
          <w:rFonts w:ascii="Times New Roman" w:hAnsi="Times New Roman"/>
        </w:rPr>
        <w:lastRenderedPageBreak/>
        <w:t>I</w:t>
      </w:r>
      <w:r w:rsidR="00810F29" w:rsidRPr="00A44D75">
        <w:rPr>
          <w:rFonts w:ascii="Times New Roman" w:hAnsi="Times New Roman"/>
        </w:rPr>
        <w:t xml:space="preserve">dentify strategies to ensure </w:t>
      </w:r>
      <w:r w:rsidR="00041CEE" w:rsidRPr="00A44D75">
        <w:rPr>
          <w:rFonts w:ascii="Times New Roman" w:hAnsi="Times New Roman"/>
        </w:rPr>
        <w:t xml:space="preserve">stable access for the most vulnerable families while </w:t>
      </w:r>
      <w:r w:rsidR="00287DBA" w:rsidRPr="00A44D75">
        <w:rPr>
          <w:rFonts w:ascii="Times New Roman" w:hAnsi="Times New Roman"/>
        </w:rPr>
        <w:t>empower</w:t>
      </w:r>
      <w:r w:rsidR="00041CEE" w:rsidRPr="00A44D75">
        <w:rPr>
          <w:rFonts w:ascii="Times New Roman" w:hAnsi="Times New Roman"/>
        </w:rPr>
        <w:t>ing</w:t>
      </w:r>
      <w:r w:rsidR="00287DBA" w:rsidRPr="00A44D75">
        <w:rPr>
          <w:rFonts w:ascii="Times New Roman" w:hAnsi="Times New Roman"/>
        </w:rPr>
        <w:t xml:space="preserve"> the department to pursue </w:t>
      </w:r>
      <w:r w:rsidR="00041CEE" w:rsidRPr="00A44D75">
        <w:rPr>
          <w:rFonts w:ascii="Times New Roman" w:hAnsi="Times New Roman"/>
        </w:rPr>
        <w:t xml:space="preserve">additional </w:t>
      </w:r>
      <w:r w:rsidR="00287DBA" w:rsidRPr="00A44D75">
        <w:rPr>
          <w:rFonts w:ascii="Times New Roman" w:hAnsi="Times New Roman"/>
        </w:rPr>
        <w:t xml:space="preserve">innovations in support of affordability </w:t>
      </w:r>
      <w:r w:rsidR="002E35AC" w:rsidRPr="00A44D75">
        <w:rPr>
          <w:rFonts w:ascii="Times New Roman" w:hAnsi="Times New Roman"/>
        </w:rPr>
        <w:t xml:space="preserve">for all </w:t>
      </w:r>
      <w:r w:rsidR="007C7769" w:rsidRPr="00A44D75">
        <w:rPr>
          <w:rFonts w:ascii="Times New Roman" w:hAnsi="Times New Roman"/>
        </w:rPr>
        <w:t xml:space="preserve">working </w:t>
      </w:r>
      <w:r w:rsidR="002E35AC" w:rsidRPr="00A44D75">
        <w:rPr>
          <w:rFonts w:ascii="Times New Roman" w:hAnsi="Times New Roman"/>
        </w:rPr>
        <w:t>families</w:t>
      </w:r>
      <w:r w:rsidR="00041CEE" w:rsidRPr="00A44D75">
        <w:rPr>
          <w:rFonts w:ascii="Times New Roman" w:hAnsi="Times New Roman"/>
        </w:rPr>
        <w:t xml:space="preserve"> </w:t>
      </w:r>
      <w:r w:rsidR="007C7769" w:rsidRPr="00A44D75">
        <w:rPr>
          <w:rFonts w:ascii="Times New Roman" w:hAnsi="Times New Roman"/>
        </w:rPr>
        <w:t xml:space="preserve">throughout </w:t>
      </w:r>
      <w:r w:rsidR="00772AEF" w:rsidRPr="00A44D75">
        <w:rPr>
          <w:rFonts w:ascii="Times New Roman" w:hAnsi="Times New Roman"/>
        </w:rPr>
        <w:t>the year ahead</w:t>
      </w:r>
    </w:p>
    <w:p w14:paraId="26BD42BE" w14:textId="77777777" w:rsidR="00411B7D" w:rsidRPr="006B5418" w:rsidRDefault="00411B7D" w:rsidP="006B5418">
      <w:pPr>
        <w:pStyle w:val="ListParagraph"/>
        <w:ind w:left="1080"/>
        <w:rPr>
          <w:rFonts w:ascii="Times New Roman" w:eastAsiaTheme="minorEastAsia" w:hAnsi="Times New Roman"/>
        </w:rPr>
      </w:pPr>
    </w:p>
    <w:p w14:paraId="7C763A0D" w14:textId="77777777" w:rsidR="00411B7D" w:rsidRPr="006B5418" w:rsidRDefault="006132D6">
      <w:pPr>
        <w:pStyle w:val="ListParagraph"/>
        <w:numPr>
          <w:ilvl w:val="0"/>
          <w:numId w:val="15"/>
        </w:numPr>
        <w:rPr>
          <w:rFonts w:ascii="Times New Roman" w:eastAsiaTheme="minorEastAsia" w:hAnsi="Times New Roman"/>
          <w:b/>
        </w:rPr>
      </w:pPr>
      <w:r w:rsidRPr="006B5418">
        <w:rPr>
          <w:rFonts w:ascii="Times New Roman" w:hAnsi="Times New Roman"/>
          <w:b/>
          <w:bCs/>
        </w:rPr>
        <w:t>I</w:t>
      </w:r>
      <w:r w:rsidR="00772AEF" w:rsidRPr="006B5418">
        <w:rPr>
          <w:rFonts w:ascii="Times New Roman" w:hAnsi="Times New Roman"/>
          <w:b/>
          <w:bCs/>
        </w:rPr>
        <w:t>nvest in community</w:t>
      </w:r>
      <w:r w:rsidRPr="006B5418">
        <w:rPr>
          <w:rFonts w:ascii="Times New Roman" w:hAnsi="Times New Roman"/>
          <w:b/>
          <w:bCs/>
        </w:rPr>
        <w:t>-level</w:t>
      </w:r>
      <w:r w:rsidR="00772AEF" w:rsidRPr="006B5418">
        <w:rPr>
          <w:rFonts w:ascii="Times New Roman" w:hAnsi="Times New Roman"/>
          <w:b/>
          <w:bCs/>
        </w:rPr>
        <w:t xml:space="preserve"> integrat</w:t>
      </w:r>
      <w:r w:rsidRPr="006B5418">
        <w:rPr>
          <w:rFonts w:ascii="Times New Roman" w:hAnsi="Times New Roman"/>
          <w:b/>
          <w:bCs/>
        </w:rPr>
        <w:t>ion of</w:t>
      </w:r>
      <w:r w:rsidR="00CA685D" w:rsidRPr="006B5418">
        <w:rPr>
          <w:rFonts w:ascii="Times New Roman" w:hAnsi="Times New Roman"/>
          <w:b/>
          <w:bCs/>
        </w:rPr>
        <w:t xml:space="preserve"> services</w:t>
      </w:r>
      <w:r w:rsidR="00763856" w:rsidRPr="006B5418">
        <w:rPr>
          <w:rFonts w:ascii="Times New Roman" w:hAnsi="Times New Roman"/>
          <w:b/>
          <w:bCs/>
        </w:rPr>
        <w:t xml:space="preserve"> for</w:t>
      </w:r>
      <w:r w:rsidR="00760438" w:rsidRPr="006B5418">
        <w:rPr>
          <w:rFonts w:ascii="Times New Roman" w:hAnsi="Times New Roman"/>
          <w:b/>
          <w:bCs/>
        </w:rPr>
        <w:t xml:space="preserve"> families </w:t>
      </w:r>
      <w:r w:rsidR="00763856" w:rsidRPr="006B5418">
        <w:rPr>
          <w:rFonts w:ascii="Times New Roman" w:hAnsi="Times New Roman"/>
          <w:b/>
          <w:bCs/>
        </w:rPr>
        <w:t>with young children</w:t>
      </w:r>
    </w:p>
    <w:p w14:paraId="0292FDDA" w14:textId="6B79F7C6" w:rsidR="00411B7D" w:rsidRPr="00A44D75" w:rsidRDefault="00411B7D" w:rsidP="00411B7D">
      <w:pPr>
        <w:pStyle w:val="ListParagraph"/>
        <w:numPr>
          <w:ilvl w:val="1"/>
          <w:numId w:val="15"/>
        </w:numPr>
        <w:rPr>
          <w:rFonts w:ascii="Times New Roman" w:hAnsi="Times New Roman"/>
        </w:rPr>
      </w:pPr>
      <w:r w:rsidRPr="00A44D75">
        <w:rPr>
          <w:rFonts w:ascii="Times New Roman" w:hAnsi="Times New Roman"/>
        </w:rPr>
        <w:t>Learn from successful innovation to address family needs and connect parents to vital resources</w:t>
      </w:r>
      <w:r w:rsidR="00D80C7A" w:rsidRPr="00A44D75">
        <w:rPr>
          <w:rFonts w:ascii="Times New Roman" w:hAnsi="Times New Roman"/>
        </w:rPr>
        <w:t xml:space="preserve"> through creative collaboration at the community level – these have proven that effective family support is more efficiently accomplished locally</w:t>
      </w:r>
      <w:r w:rsidRPr="00A44D75">
        <w:rPr>
          <w:rFonts w:ascii="Times New Roman" w:hAnsi="Times New Roman"/>
        </w:rPr>
        <w:t xml:space="preserve">. </w:t>
      </w:r>
    </w:p>
    <w:p w14:paraId="213FF8E9" w14:textId="0FE23C5E" w:rsidR="00D80C7A" w:rsidRPr="006B5418" w:rsidRDefault="00D80C7A" w:rsidP="006B5418">
      <w:pPr>
        <w:pStyle w:val="ListParagraph"/>
        <w:numPr>
          <w:ilvl w:val="1"/>
          <w:numId w:val="15"/>
        </w:numPr>
        <w:rPr>
          <w:rFonts w:ascii="Times New Roman" w:hAnsi="Times New Roman"/>
        </w:rPr>
      </w:pPr>
      <w:r w:rsidRPr="00A44D75">
        <w:rPr>
          <w:rFonts w:ascii="Times New Roman" w:hAnsi="Times New Roman"/>
        </w:rPr>
        <w:t>Investments from the Department have resulted in alignment between community resources and incentives to build new pathways for integration towards a family oriented system of supports</w:t>
      </w:r>
    </w:p>
    <w:p w14:paraId="330784EE" w14:textId="1651A265" w:rsidR="00DA17D6" w:rsidRPr="006B5418" w:rsidRDefault="00DA17D6" w:rsidP="00290E13">
      <w:pPr>
        <w:tabs>
          <w:tab w:val="left" w:pos="2200"/>
        </w:tabs>
        <w:rPr>
          <w:rFonts w:ascii="Times New Roman" w:hAnsi="Times New Roman"/>
        </w:rPr>
      </w:pPr>
    </w:p>
    <w:p w14:paraId="0FF0C492" w14:textId="148524AD" w:rsidR="00FD7CC0" w:rsidRPr="006B5418" w:rsidRDefault="00763856" w:rsidP="00F3165F">
      <w:pPr>
        <w:tabs>
          <w:tab w:val="left" w:pos="2200"/>
        </w:tabs>
        <w:rPr>
          <w:rFonts w:ascii="Times New Roman" w:hAnsi="Times New Roman"/>
        </w:rPr>
      </w:pPr>
      <w:r w:rsidRPr="00A44D75">
        <w:rPr>
          <w:rFonts w:ascii="Times New Roman" w:hAnsi="Times New Roman"/>
          <w:b/>
          <w:bCs/>
        </w:rPr>
        <w:t>Recommendation</w:t>
      </w:r>
      <w:r w:rsidR="00FD7CC0" w:rsidRPr="00A44D75">
        <w:rPr>
          <w:rFonts w:ascii="Times New Roman" w:hAnsi="Times New Roman"/>
          <w:b/>
          <w:bCs/>
        </w:rPr>
        <w:t xml:space="preserve"> One</w:t>
      </w:r>
      <w:r w:rsidR="005B2B6B" w:rsidRPr="00A44D75">
        <w:rPr>
          <w:rFonts w:ascii="Times New Roman" w:hAnsi="Times New Roman"/>
          <w:b/>
          <w:bCs/>
        </w:rPr>
        <w:t xml:space="preserve">: </w:t>
      </w:r>
      <w:r w:rsidRPr="00A44D75">
        <w:rPr>
          <w:rFonts w:ascii="Times New Roman" w:hAnsi="Times New Roman"/>
          <w:b/>
          <w:bCs/>
        </w:rPr>
        <w:t>Invest in Child Care Infrastructure</w:t>
      </w:r>
    </w:p>
    <w:p w14:paraId="396C61E4" w14:textId="77777777" w:rsidR="00A33227" w:rsidRDefault="00A33227" w:rsidP="00F3165F">
      <w:pPr>
        <w:tabs>
          <w:tab w:val="left" w:pos="2200"/>
        </w:tabs>
        <w:rPr>
          <w:rFonts w:ascii="Times New Roman" w:hAnsi="Times New Roman"/>
        </w:rPr>
      </w:pPr>
    </w:p>
    <w:p w14:paraId="32976468" w14:textId="60038493" w:rsidR="00FA090A" w:rsidRPr="00A44D75" w:rsidRDefault="003C7BAC" w:rsidP="00F3165F">
      <w:pPr>
        <w:tabs>
          <w:tab w:val="left" w:pos="2200"/>
        </w:tabs>
        <w:rPr>
          <w:rFonts w:ascii="Times New Roman" w:hAnsi="Times New Roman"/>
        </w:rPr>
      </w:pPr>
      <w:r w:rsidRPr="00A44D75">
        <w:rPr>
          <w:rFonts w:ascii="Times New Roman" w:hAnsi="Times New Roman"/>
        </w:rPr>
        <w:t>The</w:t>
      </w:r>
      <w:r w:rsidR="00FA090A" w:rsidRPr="00A44D75">
        <w:rPr>
          <w:rFonts w:ascii="Times New Roman" w:hAnsi="Times New Roman"/>
        </w:rPr>
        <w:t xml:space="preserve"> Commonwealth has led the country in one of the most innovative approaches to infrastructure financing</w:t>
      </w:r>
      <w:r w:rsidRPr="00A44D75">
        <w:rPr>
          <w:rFonts w:ascii="Times New Roman" w:hAnsi="Times New Roman"/>
        </w:rPr>
        <w:t xml:space="preserve"> - one</w:t>
      </w:r>
      <w:r w:rsidR="00FA090A" w:rsidRPr="00A44D75">
        <w:rPr>
          <w:rFonts w:ascii="Times New Roman" w:hAnsi="Times New Roman"/>
        </w:rPr>
        <w:t xml:space="preserve"> that now serves as a model </w:t>
      </w:r>
      <w:r w:rsidR="00DE2C44" w:rsidRPr="00A44D75">
        <w:rPr>
          <w:rFonts w:ascii="Times New Roman" w:hAnsi="Times New Roman"/>
        </w:rPr>
        <w:t>for the country, and is replicated by other states</w:t>
      </w:r>
      <w:r w:rsidR="00FA090A" w:rsidRPr="00A44D75">
        <w:rPr>
          <w:rFonts w:ascii="Times New Roman" w:hAnsi="Times New Roman"/>
        </w:rPr>
        <w:t>.</w:t>
      </w:r>
      <w:r w:rsidR="00704ACD" w:rsidRPr="00A44D75">
        <w:rPr>
          <w:rFonts w:ascii="Times New Roman" w:hAnsi="Times New Roman"/>
        </w:rPr>
        <w:t xml:space="preserve"> Massachusetts </w:t>
      </w:r>
      <w:r w:rsidR="00347888" w:rsidRPr="00A44D75">
        <w:rPr>
          <w:rFonts w:ascii="Times New Roman" w:hAnsi="Times New Roman"/>
        </w:rPr>
        <w:t xml:space="preserve">began Stabilization Grant distributions in </w:t>
      </w:r>
      <w:r w:rsidR="005676FA">
        <w:rPr>
          <w:rFonts w:ascii="Times New Roman" w:hAnsi="Times New Roman"/>
        </w:rPr>
        <w:t xml:space="preserve">August, </w:t>
      </w:r>
      <w:r w:rsidR="00242837" w:rsidRPr="00A44D75">
        <w:rPr>
          <w:rFonts w:ascii="Times New Roman" w:hAnsi="Times New Roman"/>
        </w:rPr>
        <w:t>and was</w:t>
      </w:r>
      <w:r w:rsidR="00347888" w:rsidRPr="00A44D75">
        <w:rPr>
          <w:rFonts w:ascii="Times New Roman" w:hAnsi="Times New Roman"/>
        </w:rPr>
        <w:t xml:space="preserve"> </w:t>
      </w:r>
      <w:r w:rsidR="00704ACD" w:rsidRPr="00A44D75">
        <w:rPr>
          <w:rFonts w:ascii="Times New Roman" w:hAnsi="Times New Roman"/>
        </w:rPr>
        <w:t xml:space="preserve">one of just </w:t>
      </w:r>
      <w:hyperlink r:id="rId10">
        <w:r w:rsidR="00704ACD" w:rsidRPr="00A44D75">
          <w:rPr>
            <w:rStyle w:val="Hyperlink"/>
            <w:rFonts w:ascii="Times New Roman" w:hAnsi="Times New Roman"/>
          </w:rPr>
          <w:t>14 states</w:t>
        </w:r>
      </w:hyperlink>
      <w:r w:rsidR="00704ACD" w:rsidRPr="00A44D75">
        <w:rPr>
          <w:rFonts w:ascii="Times New Roman" w:hAnsi="Times New Roman"/>
        </w:rPr>
        <w:t xml:space="preserve"> to </w:t>
      </w:r>
      <w:r w:rsidR="008C692E" w:rsidRPr="00A44D75">
        <w:rPr>
          <w:rFonts w:ascii="Times New Roman" w:hAnsi="Times New Roman"/>
        </w:rPr>
        <w:t xml:space="preserve">successfully </w:t>
      </w:r>
      <w:r w:rsidR="00704ACD" w:rsidRPr="00A44D75">
        <w:rPr>
          <w:rFonts w:ascii="Times New Roman" w:hAnsi="Times New Roman"/>
        </w:rPr>
        <w:t xml:space="preserve">launch a </w:t>
      </w:r>
      <w:r w:rsidR="001E7AB8" w:rsidRPr="00A44D75">
        <w:rPr>
          <w:rFonts w:ascii="Times New Roman" w:hAnsi="Times New Roman"/>
        </w:rPr>
        <w:t xml:space="preserve">process </w:t>
      </w:r>
      <w:r w:rsidR="00242837" w:rsidRPr="00A44D75">
        <w:rPr>
          <w:rFonts w:ascii="Times New Roman" w:hAnsi="Times New Roman"/>
        </w:rPr>
        <w:t>before September</w:t>
      </w:r>
      <w:r w:rsidR="00704ACD" w:rsidRPr="00A44D75">
        <w:rPr>
          <w:rFonts w:ascii="Times New Roman" w:hAnsi="Times New Roman"/>
        </w:rPr>
        <w:t>.</w:t>
      </w:r>
    </w:p>
    <w:p w14:paraId="72647E71" w14:textId="77777777" w:rsidR="00FA090A" w:rsidRPr="00A44D75" w:rsidRDefault="00FA090A" w:rsidP="00F3165F">
      <w:pPr>
        <w:tabs>
          <w:tab w:val="left" w:pos="2200"/>
        </w:tabs>
        <w:rPr>
          <w:rFonts w:ascii="Times New Roman" w:hAnsi="Times New Roman"/>
        </w:rPr>
      </w:pPr>
    </w:p>
    <w:p w14:paraId="042387BE" w14:textId="683811BF" w:rsidR="003D7CFA" w:rsidRPr="00A44D75" w:rsidRDefault="1A211242" w:rsidP="00F3165F">
      <w:pPr>
        <w:tabs>
          <w:tab w:val="left" w:pos="2200"/>
        </w:tabs>
        <w:rPr>
          <w:rFonts w:ascii="Times New Roman" w:hAnsi="Times New Roman"/>
        </w:rPr>
      </w:pPr>
      <w:r w:rsidRPr="00A44D75">
        <w:rPr>
          <w:rFonts w:ascii="Times New Roman" w:hAnsi="Times New Roman"/>
        </w:rPr>
        <w:t xml:space="preserve">As the Commonwealth continues investments </w:t>
      </w:r>
      <w:r w:rsidR="003D7CFA" w:rsidRPr="00A44D75">
        <w:rPr>
          <w:rFonts w:ascii="Times New Roman" w:hAnsi="Times New Roman"/>
        </w:rPr>
        <w:t>throughout</w:t>
      </w:r>
      <w:r w:rsidRPr="00A44D75">
        <w:rPr>
          <w:rFonts w:ascii="Times New Roman" w:hAnsi="Times New Roman"/>
        </w:rPr>
        <w:t xml:space="preserve"> FY22, the Department will continue to analyze modifications to the formula </w:t>
      </w:r>
      <w:r w:rsidR="003D7CFA" w:rsidRPr="00A44D75">
        <w:rPr>
          <w:rFonts w:ascii="Times New Roman" w:hAnsi="Times New Roman"/>
        </w:rPr>
        <w:t>to guide</w:t>
      </w:r>
      <w:r w:rsidRPr="00A44D75">
        <w:rPr>
          <w:rFonts w:ascii="Times New Roman" w:hAnsi="Times New Roman"/>
        </w:rPr>
        <w:t xml:space="preserve"> structure and efficacy </w:t>
      </w:r>
      <w:r w:rsidR="003D7CFA" w:rsidRPr="00A44D75">
        <w:rPr>
          <w:rFonts w:ascii="Times New Roman" w:hAnsi="Times New Roman"/>
        </w:rPr>
        <w:t xml:space="preserve">improvements for continued </w:t>
      </w:r>
      <w:r w:rsidRPr="00A44D75">
        <w:rPr>
          <w:rFonts w:ascii="Times New Roman" w:hAnsi="Times New Roman"/>
        </w:rPr>
        <w:t>investment</w:t>
      </w:r>
      <w:r w:rsidR="003D7CFA" w:rsidRPr="00A44D75">
        <w:rPr>
          <w:rFonts w:ascii="Times New Roman" w:hAnsi="Times New Roman"/>
        </w:rPr>
        <w:t xml:space="preserve">s </w:t>
      </w:r>
      <w:r w:rsidR="00CE433B" w:rsidRPr="00A44D75">
        <w:rPr>
          <w:rFonts w:ascii="Times New Roman" w:hAnsi="Times New Roman"/>
        </w:rPr>
        <w:t>under</w:t>
      </w:r>
      <w:r w:rsidR="003D7CFA" w:rsidRPr="00A44D75">
        <w:rPr>
          <w:rFonts w:ascii="Times New Roman" w:hAnsi="Times New Roman"/>
        </w:rPr>
        <w:t xml:space="preserve"> the Commonwealth Cares for Children formula</w:t>
      </w:r>
      <w:r w:rsidRPr="00A44D75">
        <w:rPr>
          <w:rFonts w:ascii="Times New Roman" w:hAnsi="Times New Roman"/>
        </w:rPr>
        <w:t xml:space="preserve"> in FY23. </w:t>
      </w:r>
    </w:p>
    <w:p w14:paraId="46DFB5AF" w14:textId="77777777" w:rsidR="003D7CFA" w:rsidRPr="00A44D75" w:rsidRDefault="003D7CFA" w:rsidP="00F3165F">
      <w:pPr>
        <w:tabs>
          <w:tab w:val="left" w:pos="2200"/>
        </w:tabs>
        <w:rPr>
          <w:rFonts w:ascii="Times New Roman" w:hAnsi="Times New Roman"/>
        </w:rPr>
      </w:pPr>
    </w:p>
    <w:p w14:paraId="630F1DAC" w14:textId="24A6035B" w:rsidR="00DE4CED" w:rsidRPr="006B5418" w:rsidRDefault="00CE433B" w:rsidP="00F3165F">
      <w:pPr>
        <w:tabs>
          <w:tab w:val="left" w:pos="2200"/>
        </w:tabs>
        <w:rPr>
          <w:rFonts w:ascii="Times New Roman" w:hAnsi="Times New Roman"/>
        </w:rPr>
      </w:pPr>
      <w:r w:rsidRPr="00A44D75">
        <w:rPr>
          <w:rFonts w:ascii="Times New Roman" w:hAnsi="Times New Roman"/>
        </w:rPr>
        <w:t>Almost</w:t>
      </w:r>
      <w:r w:rsidR="1A211242" w:rsidRPr="00A44D75">
        <w:rPr>
          <w:rFonts w:ascii="Times New Roman" w:hAnsi="Times New Roman"/>
        </w:rPr>
        <w:t xml:space="preserve"> three quarters of child care </w:t>
      </w:r>
      <w:r w:rsidRPr="00A44D75">
        <w:rPr>
          <w:rFonts w:ascii="Times New Roman" w:hAnsi="Times New Roman"/>
        </w:rPr>
        <w:t xml:space="preserve">businesses </w:t>
      </w:r>
      <w:r w:rsidR="1A211242" w:rsidRPr="00A44D75">
        <w:rPr>
          <w:rFonts w:ascii="Times New Roman" w:hAnsi="Times New Roman"/>
        </w:rPr>
        <w:t xml:space="preserve">are </w:t>
      </w:r>
      <w:r w:rsidRPr="00A44D75">
        <w:rPr>
          <w:rFonts w:ascii="Times New Roman" w:hAnsi="Times New Roman"/>
        </w:rPr>
        <w:t xml:space="preserve">now </w:t>
      </w:r>
      <w:r w:rsidR="1A211242" w:rsidRPr="00A44D75">
        <w:rPr>
          <w:rFonts w:ascii="Times New Roman" w:hAnsi="Times New Roman"/>
        </w:rPr>
        <w:t>receiving monthly grants</w:t>
      </w:r>
      <w:r w:rsidR="003140B7" w:rsidRPr="00A44D75">
        <w:rPr>
          <w:rFonts w:ascii="Times New Roman" w:hAnsi="Times New Roman"/>
        </w:rPr>
        <w:t>. O</w:t>
      </w:r>
      <w:r w:rsidR="1A211242" w:rsidRPr="00A44D75">
        <w:rPr>
          <w:rFonts w:ascii="Times New Roman" w:hAnsi="Times New Roman"/>
        </w:rPr>
        <w:t xml:space="preserve">ver 98% of center-based providers </w:t>
      </w:r>
      <w:r w:rsidR="00B54346" w:rsidRPr="00A44D75">
        <w:rPr>
          <w:rFonts w:ascii="Times New Roman" w:hAnsi="Times New Roman"/>
        </w:rPr>
        <w:t>report</w:t>
      </w:r>
      <w:r w:rsidR="1A211242" w:rsidRPr="00A44D75">
        <w:rPr>
          <w:rFonts w:ascii="Times New Roman" w:hAnsi="Times New Roman"/>
        </w:rPr>
        <w:t xml:space="preserve"> plans to use </w:t>
      </w:r>
      <w:r w:rsidR="00B54346" w:rsidRPr="00A44D75">
        <w:rPr>
          <w:rFonts w:ascii="Times New Roman" w:hAnsi="Times New Roman"/>
        </w:rPr>
        <w:t>funds for</w:t>
      </w:r>
      <w:r w:rsidR="1A211242" w:rsidRPr="00A44D75">
        <w:rPr>
          <w:rFonts w:ascii="Times New Roman" w:hAnsi="Times New Roman"/>
        </w:rPr>
        <w:t xml:space="preserve"> staff compensation and workforce investments to sustain and expand capacity.  Over 70% of all Family Child Care businesses across the Commonwealth are receiving grants, indicating that the ease of access and flexibility of the funding structure will allow for more place-based solutions for </w:t>
      </w:r>
      <w:r w:rsidR="00084A2F" w:rsidRPr="00A44D75">
        <w:rPr>
          <w:rFonts w:ascii="Times New Roman" w:hAnsi="Times New Roman"/>
        </w:rPr>
        <w:t>matching providers to</w:t>
      </w:r>
      <w:r w:rsidR="1A211242" w:rsidRPr="00A44D75">
        <w:rPr>
          <w:rFonts w:ascii="Times New Roman" w:hAnsi="Times New Roman"/>
        </w:rPr>
        <w:t xml:space="preserve"> local family needs.</w:t>
      </w:r>
      <w:r w:rsidR="003A469B" w:rsidRPr="00A44D75">
        <w:rPr>
          <w:rFonts w:ascii="Times New Roman" w:hAnsi="Times New Roman"/>
        </w:rPr>
        <w:t xml:space="preserve"> </w:t>
      </w:r>
      <w:r w:rsidR="1A211242" w:rsidRPr="00A44D75">
        <w:rPr>
          <w:rFonts w:ascii="Times New Roman" w:hAnsi="Times New Roman"/>
        </w:rPr>
        <w:t xml:space="preserve">In addition, the percentage of grants to providers serving infants and toddlers, low-income families, Gateway Cities, and other vulnerable communities indicates the C3 formula has the potential to </w:t>
      </w:r>
      <w:r w:rsidR="00E8137F" w:rsidRPr="00A44D75">
        <w:rPr>
          <w:rFonts w:ascii="Times New Roman" w:hAnsi="Times New Roman"/>
        </w:rPr>
        <w:t xml:space="preserve">expand </w:t>
      </w:r>
      <w:r w:rsidR="1A211242" w:rsidRPr="00A44D75">
        <w:rPr>
          <w:rFonts w:ascii="Times New Roman" w:hAnsi="Times New Roman"/>
        </w:rPr>
        <w:t xml:space="preserve">equity efforts through data-driven approaches to funding distribution.  </w:t>
      </w:r>
    </w:p>
    <w:p w14:paraId="4ABBBA88" w14:textId="3B726F14" w:rsidR="00AF24E1" w:rsidRPr="006B5418" w:rsidRDefault="00AF24E1" w:rsidP="00F3165F">
      <w:pPr>
        <w:tabs>
          <w:tab w:val="left" w:pos="2200"/>
        </w:tabs>
        <w:rPr>
          <w:rFonts w:ascii="Times New Roman" w:hAnsi="Times New Roman"/>
        </w:rPr>
      </w:pPr>
    </w:p>
    <w:p w14:paraId="14AEAC73" w14:textId="4118276D" w:rsidR="00C61D9D" w:rsidRPr="00A44D75" w:rsidRDefault="00B90E16">
      <w:pPr>
        <w:tabs>
          <w:tab w:val="left" w:pos="2200"/>
        </w:tabs>
        <w:rPr>
          <w:rFonts w:ascii="Times New Roman" w:hAnsi="Times New Roman"/>
        </w:rPr>
      </w:pPr>
      <w:r w:rsidRPr="00A44D75">
        <w:rPr>
          <w:rFonts w:ascii="Times New Roman" w:hAnsi="Times New Roman"/>
        </w:rPr>
        <w:t>As the Commonwealth learns from this innovative</w:t>
      </w:r>
      <w:r w:rsidR="00C61A08" w:rsidRPr="00A44D75">
        <w:rPr>
          <w:rFonts w:ascii="Times New Roman" w:hAnsi="Times New Roman"/>
        </w:rPr>
        <w:t xml:space="preserve"> approach during the remainder of FY22, </w:t>
      </w:r>
      <w:r w:rsidR="00E01C86" w:rsidRPr="00A44D75">
        <w:rPr>
          <w:rFonts w:ascii="Times New Roman" w:hAnsi="Times New Roman"/>
        </w:rPr>
        <w:t xml:space="preserve">the Department </w:t>
      </w:r>
      <w:r w:rsidR="006945EA" w:rsidRPr="00A44D75">
        <w:rPr>
          <w:rFonts w:ascii="Times New Roman" w:hAnsi="Times New Roman"/>
        </w:rPr>
        <w:t xml:space="preserve"> </w:t>
      </w:r>
      <w:r w:rsidR="00AC5B17">
        <w:rPr>
          <w:rFonts w:ascii="Times New Roman" w:hAnsi="Times New Roman"/>
        </w:rPr>
        <w:t xml:space="preserve">will </w:t>
      </w:r>
      <w:r w:rsidR="006945EA" w:rsidRPr="00A44D75">
        <w:rPr>
          <w:rFonts w:ascii="Times New Roman" w:hAnsi="Times New Roman"/>
        </w:rPr>
        <w:t>build additional incentives for</w:t>
      </w:r>
      <w:r w:rsidR="00AC5B17">
        <w:rPr>
          <w:rFonts w:ascii="Times New Roman" w:hAnsi="Times New Roman"/>
        </w:rPr>
        <w:t xml:space="preserve"> child care</w:t>
      </w:r>
      <w:r w:rsidR="006945EA" w:rsidRPr="00A44D75">
        <w:rPr>
          <w:rFonts w:ascii="Times New Roman" w:hAnsi="Times New Roman"/>
        </w:rPr>
        <w:t xml:space="preserve"> businesses to sustain compensation increases and </w:t>
      </w:r>
      <w:r w:rsidR="00AC5B17">
        <w:rPr>
          <w:rFonts w:ascii="Times New Roman" w:hAnsi="Times New Roman"/>
        </w:rPr>
        <w:t xml:space="preserve">expanded </w:t>
      </w:r>
      <w:r w:rsidR="006945EA" w:rsidRPr="00A44D75">
        <w:rPr>
          <w:rFonts w:ascii="Times New Roman" w:hAnsi="Times New Roman"/>
        </w:rPr>
        <w:t>benefits for their workforce, as well as for new businesses to enter the market, and new service models to meet the changing needs of families and their employers.</w:t>
      </w:r>
      <w:r w:rsidR="00695B9B" w:rsidRPr="00A44D75">
        <w:rPr>
          <w:rFonts w:ascii="Times New Roman" w:hAnsi="Times New Roman"/>
        </w:rPr>
        <w:t xml:space="preserve"> </w:t>
      </w:r>
      <w:r w:rsidR="00E96740" w:rsidRPr="00A44D75">
        <w:rPr>
          <w:rFonts w:ascii="Times New Roman" w:hAnsi="Times New Roman"/>
        </w:rPr>
        <w:t>As this work</w:t>
      </w:r>
      <w:r w:rsidR="00D84F54" w:rsidRPr="00A44D75">
        <w:rPr>
          <w:rFonts w:ascii="Times New Roman" w:hAnsi="Times New Roman"/>
        </w:rPr>
        <w:t xml:space="preserve"> </w:t>
      </w:r>
      <w:r w:rsidR="00AA6EBE" w:rsidRPr="00A44D75">
        <w:rPr>
          <w:rFonts w:ascii="Times New Roman" w:hAnsi="Times New Roman"/>
        </w:rPr>
        <w:t>provide</w:t>
      </w:r>
      <w:r w:rsidR="00D84F54" w:rsidRPr="00A44D75">
        <w:rPr>
          <w:rFonts w:ascii="Times New Roman" w:hAnsi="Times New Roman"/>
        </w:rPr>
        <w:t>s</w:t>
      </w:r>
      <w:r w:rsidR="00AA6EBE" w:rsidRPr="00A44D75">
        <w:rPr>
          <w:rFonts w:ascii="Times New Roman" w:hAnsi="Times New Roman"/>
        </w:rPr>
        <w:t xml:space="preserve"> real-time, iterative </w:t>
      </w:r>
      <w:r w:rsidR="00695B9B" w:rsidRPr="00A44D75">
        <w:rPr>
          <w:rFonts w:ascii="Times New Roman" w:hAnsi="Times New Roman"/>
        </w:rPr>
        <w:t>data about the ties between investments and the</w:t>
      </w:r>
      <w:r w:rsidR="00D84F54" w:rsidRPr="00A44D75">
        <w:rPr>
          <w:rFonts w:ascii="Times New Roman" w:hAnsi="Times New Roman"/>
        </w:rPr>
        <w:t xml:space="preserve"> Commonwealth’s goals, the Board of Early Education and Care recommends </w:t>
      </w:r>
      <w:r w:rsidR="00BA4310" w:rsidRPr="00A44D75">
        <w:rPr>
          <w:rFonts w:ascii="Times New Roman" w:hAnsi="Times New Roman"/>
        </w:rPr>
        <w:t>that FY23 planning</w:t>
      </w:r>
      <w:r w:rsidR="00040C75" w:rsidRPr="00A44D75">
        <w:rPr>
          <w:rFonts w:ascii="Times New Roman" w:hAnsi="Times New Roman"/>
        </w:rPr>
        <w:t xml:space="preserve"> for infrastructure investments</w:t>
      </w:r>
      <w:r w:rsidR="00D84F54" w:rsidRPr="00A44D75">
        <w:rPr>
          <w:rFonts w:ascii="Times New Roman" w:hAnsi="Times New Roman"/>
        </w:rPr>
        <w:t xml:space="preserve">: </w:t>
      </w:r>
    </w:p>
    <w:p w14:paraId="766BA426" w14:textId="59AC122B" w:rsidR="007732EA" w:rsidRPr="00A44D75" w:rsidRDefault="1A211242" w:rsidP="00F3165F">
      <w:pPr>
        <w:tabs>
          <w:tab w:val="left" w:pos="2200"/>
        </w:tabs>
        <w:rPr>
          <w:rFonts w:ascii="Times New Roman" w:hAnsi="Times New Roman"/>
        </w:rPr>
      </w:pPr>
      <w:r w:rsidRPr="00A44D75">
        <w:rPr>
          <w:rFonts w:ascii="Times New Roman" w:hAnsi="Times New Roman"/>
        </w:rPr>
        <w:t xml:space="preserve"> </w:t>
      </w:r>
    </w:p>
    <w:p w14:paraId="09662C1B" w14:textId="7E0B3A01" w:rsidR="001B1BB9" w:rsidRPr="006B5418" w:rsidRDefault="002D1CAD">
      <w:pPr>
        <w:pStyle w:val="ListParagraph"/>
        <w:numPr>
          <w:ilvl w:val="0"/>
          <w:numId w:val="10"/>
        </w:numPr>
        <w:tabs>
          <w:tab w:val="left" w:pos="2200"/>
        </w:tabs>
        <w:rPr>
          <w:rFonts w:ascii="Times New Roman" w:eastAsiaTheme="minorEastAsia" w:hAnsi="Times New Roman"/>
        </w:rPr>
      </w:pPr>
      <w:r w:rsidRPr="00A44D75">
        <w:rPr>
          <w:rFonts w:ascii="Times New Roman" w:hAnsi="Times New Roman"/>
        </w:rPr>
        <w:t xml:space="preserve">Sustain effective strategies </w:t>
      </w:r>
      <w:r w:rsidR="00AC5B17">
        <w:rPr>
          <w:rFonts w:ascii="Times New Roman" w:hAnsi="Times New Roman"/>
        </w:rPr>
        <w:t>that drive</w:t>
      </w:r>
      <w:r w:rsidRPr="006B5418">
        <w:rPr>
          <w:rFonts w:ascii="Times New Roman" w:hAnsi="Times New Roman"/>
          <w:b/>
          <w:bCs/>
        </w:rPr>
        <w:t xml:space="preserve"> educator compensation and benefits</w:t>
      </w:r>
      <w:r w:rsidRPr="00A44D75">
        <w:rPr>
          <w:rFonts w:ascii="Times New Roman" w:hAnsi="Times New Roman"/>
        </w:rPr>
        <w:t xml:space="preserve"> </w:t>
      </w:r>
      <w:r w:rsidR="00040C75" w:rsidRPr="00A44D75">
        <w:rPr>
          <w:rFonts w:ascii="Times New Roman" w:hAnsi="Times New Roman"/>
        </w:rPr>
        <w:t xml:space="preserve">- </w:t>
      </w:r>
      <w:r w:rsidRPr="00A44D75">
        <w:rPr>
          <w:rFonts w:ascii="Times New Roman" w:hAnsi="Times New Roman"/>
        </w:rPr>
        <w:t>without impacting family affordability.</w:t>
      </w:r>
      <w:r w:rsidR="00040C75" w:rsidRPr="00A44D75">
        <w:rPr>
          <w:rFonts w:ascii="Times New Roman" w:hAnsi="Times New Roman"/>
        </w:rPr>
        <w:t xml:space="preserve"> </w:t>
      </w:r>
      <w:r w:rsidR="00106E1B" w:rsidRPr="00A44D75">
        <w:rPr>
          <w:rFonts w:ascii="Times New Roman" w:hAnsi="Times New Roman"/>
        </w:rPr>
        <w:t xml:space="preserve">The </w:t>
      </w:r>
      <w:r w:rsidR="009C7502">
        <w:rPr>
          <w:rFonts w:ascii="Times New Roman" w:hAnsi="Times New Roman"/>
        </w:rPr>
        <w:t>Administration</w:t>
      </w:r>
      <w:r w:rsidR="009C7502" w:rsidRPr="00A44D75">
        <w:rPr>
          <w:rFonts w:ascii="Times New Roman" w:hAnsi="Times New Roman"/>
        </w:rPr>
        <w:t xml:space="preserve">’s </w:t>
      </w:r>
      <w:hyperlink r:id="rId11" w:history="1">
        <w:r w:rsidR="00106E1B" w:rsidRPr="005676FA">
          <w:rPr>
            <w:rStyle w:val="Hyperlink"/>
            <w:rFonts w:ascii="Times New Roman" w:hAnsi="Times New Roman"/>
          </w:rPr>
          <w:t>Future of Work report</w:t>
        </w:r>
      </w:hyperlink>
      <w:r w:rsidR="00106E1B" w:rsidRPr="00A44D75">
        <w:rPr>
          <w:rFonts w:ascii="Times New Roman" w:hAnsi="Times New Roman"/>
        </w:rPr>
        <w:t xml:space="preserve"> </w:t>
      </w:r>
      <w:r w:rsidR="00040C75" w:rsidRPr="00A44D75">
        <w:rPr>
          <w:rFonts w:ascii="Times New Roman" w:hAnsi="Times New Roman"/>
        </w:rPr>
        <w:t xml:space="preserve">indicated the need for </w:t>
      </w:r>
      <w:r w:rsidR="00F3027C" w:rsidRPr="00A44D75">
        <w:rPr>
          <w:rFonts w:ascii="Times New Roman" w:hAnsi="Times New Roman"/>
        </w:rPr>
        <w:t xml:space="preserve">educators </w:t>
      </w:r>
      <w:r w:rsidR="00040C75" w:rsidRPr="00A44D75">
        <w:rPr>
          <w:rFonts w:ascii="Times New Roman" w:hAnsi="Times New Roman"/>
        </w:rPr>
        <w:t>as key to expanding</w:t>
      </w:r>
      <w:r w:rsidR="00CB5E9D" w:rsidRPr="00A44D75">
        <w:rPr>
          <w:rFonts w:ascii="Times New Roman" w:hAnsi="Times New Roman"/>
        </w:rPr>
        <w:t xml:space="preserve"> </w:t>
      </w:r>
      <w:r w:rsidR="00F3027C" w:rsidRPr="00A44D75">
        <w:rPr>
          <w:rFonts w:ascii="Times New Roman" w:hAnsi="Times New Roman"/>
        </w:rPr>
        <w:t xml:space="preserve">child care </w:t>
      </w:r>
      <w:r w:rsidR="00CB5E9D" w:rsidRPr="00A44D75">
        <w:rPr>
          <w:rFonts w:ascii="Times New Roman" w:hAnsi="Times New Roman"/>
        </w:rPr>
        <w:t>access</w:t>
      </w:r>
      <w:r w:rsidR="000E5641" w:rsidRPr="00A44D75">
        <w:rPr>
          <w:rFonts w:ascii="Times New Roman" w:hAnsi="Times New Roman"/>
        </w:rPr>
        <w:t xml:space="preserve"> – yet notes </w:t>
      </w:r>
      <w:r w:rsidR="00FF1B7D" w:rsidRPr="00A44D75">
        <w:rPr>
          <w:rFonts w:ascii="Times New Roman" w:hAnsi="Times New Roman"/>
        </w:rPr>
        <w:t xml:space="preserve">that </w:t>
      </w:r>
      <w:r w:rsidR="000E5641" w:rsidRPr="00A44D75">
        <w:rPr>
          <w:rFonts w:ascii="Times New Roman" w:hAnsi="Times New Roman"/>
        </w:rPr>
        <w:t xml:space="preserve">compensation </w:t>
      </w:r>
      <w:r w:rsidR="00FF1B7D" w:rsidRPr="00A44D75">
        <w:rPr>
          <w:rFonts w:ascii="Times New Roman" w:hAnsi="Times New Roman"/>
        </w:rPr>
        <w:t>is a significant</w:t>
      </w:r>
      <w:r w:rsidR="000E5641" w:rsidRPr="00A44D75">
        <w:rPr>
          <w:rFonts w:ascii="Times New Roman" w:hAnsi="Times New Roman"/>
        </w:rPr>
        <w:t xml:space="preserve"> barrier to workforce recruitment. With the majority of the sector’s revenue made up of parent tuition, public investment in compensation strategies can </w:t>
      </w:r>
      <w:r w:rsidR="00FF1B7D" w:rsidRPr="00A44D75">
        <w:rPr>
          <w:rFonts w:ascii="Times New Roman" w:hAnsi="Times New Roman"/>
        </w:rPr>
        <w:t>help open new classrooms and expand</w:t>
      </w:r>
      <w:r w:rsidR="000E5641" w:rsidRPr="00A44D75">
        <w:rPr>
          <w:rFonts w:ascii="Times New Roman" w:hAnsi="Times New Roman"/>
        </w:rPr>
        <w:t xml:space="preserve"> access </w:t>
      </w:r>
      <w:r w:rsidR="000E5641" w:rsidRPr="006B5418">
        <w:rPr>
          <w:rFonts w:ascii="Times New Roman" w:hAnsi="Times New Roman"/>
          <w:i/>
          <w:iCs/>
        </w:rPr>
        <w:t>without</w:t>
      </w:r>
      <w:r w:rsidR="000E5641" w:rsidRPr="00A44D75">
        <w:rPr>
          <w:rFonts w:ascii="Times New Roman" w:hAnsi="Times New Roman"/>
        </w:rPr>
        <w:t xml:space="preserve"> impacting the affordability of care in a way that sets additional limits on the return to work – particularly for women.</w:t>
      </w:r>
    </w:p>
    <w:p w14:paraId="1E057982" w14:textId="13628BB5" w:rsidR="0014231C" w:rsidRPr="00A44D75" w:rsidRDefault="007732EA" w:rsidP="00D84F54">
      <w:pPr>
        <w:pStyle w:val="ListParagraph"/>
        <w:numPr>
          <w:ilvl w:val="0"/>
          <w:numId w:val="10"/>
        </w:numPr>
        <w:tabs>
          <w:tab w:val="left" w:pos="2200"/>
        </w:tabs>
        <w:rPr>
          <w:rFonts w:ascii="Times New Roman" w:hAnsi="Times New Roman"/>
        </w:rPr>
      </w:pPr>
      <w:r w:rsidRPr="00A44D75">
        <w:rPr>
          <w:rFonts w:ascii="Times New Roman" w:hAnsi="Times New Roman"/>
        </w:rPr>
        <w:lastRenderedPageBreak/>
        <w:t>Continu</w:t>
      </w:r>
      <w:r w:rsidR="00CE7A9E" w:rsidRPr="00A44D75">
        <w:rPr>
          <w:rFonts w:ascii="Times New Roman" w:hAnsi="Times New Roman"/>
        </w:rPr>
        <w:t xml:space="preserve">e strategies that prove effective in incentivizing </w:t>
      </w:r>
      <w:r w:rsidR="003A3988" w:rsidRPr="006B5418">
        <w:rPr>
          <w:rFonts w:ascii="Times New Roman" w:hAnsi="Times New Roman"/>
          <w:b/>
          <w:bCs/>
        </w:rPr>
        <w:t xml:space="preserve">innovative </w:t>
      </w:r>
      <w:r w:rsidR="00016924" w:rsidRPr="006B5418">
        <w:rPr>
          <w:rFonts w:ascii="Times New Roman" w:hAnsi="Times New Roman"/>
          <w:b/>
          <w:bCs/>
        </w:rPr>
        <w:t>models of child care</w:t>
      </w:r>
      <w:r w:rsidR="00CD763A" w:rsidRPr="006B5418">
        <w:rPr>
          <w:rFonts w:ascii="Times New Roman" w:hAnsi="Times New Roman"/>
          <w:b/>
          <w:bCs/>
        </w:rPr>
        <w:t xml:space="preserve"> delivery</w:t>
      </w:r>
      <w:r w:rsidR="00CD763A" w:rsidRPr="00A44D75">
        <w:rPr>
          <w:rFonts w:ascii="Times New Roman" w:hAnsi="Times New Roman"/>
        </w:rPr>
        <w:t xml:space="preserve"> </w:t>
      </w:r>
      <w:r w:rsidR="003A3988" w:rsidRPr="00A44D75">
        <w:rPr>
          <w:rFonts w:ascii="Times New Roman" w:hAnsi="Times New Roman"/>
        </w:rPr>
        <w:t xml:space="preserve"> based on the</w:t>
      </w:r>
      <w:r w:rsidR="00016924" w:rsidRPr="00A44D75">
        <w:rPr>
          <w:rFonts w:ascii="Times New Roman" w:hAnsi="Times New Roman"/>
        </w:rPr>
        <w:t xml:space="preserve"> evolving needs of families</w:t>
      </w:r>
      <w:r w:rsidR="003A3988" w:rsidRPr="00A44D75">
        <w:rPr>
          <w:rFonts w:ascii="Times New Roman" w:hAnsi="Times New Roman"/>
        </w:rPr>
        <w:t>. Knowing these needs will continue to change,</w:t>
      </w:r>
      <w:r w:rsidR="00E27D1D" w:rsidRPr="00A44D75">
        <w:rPr>
          <w:rFonts w:ascii="Times New Roman" w:hAnsi="Times New Roman"/>
        </w:rPr>
        <w:t xml:space="preserve"> </w:t>
      </w:r>
      <w:r w:rsidR="00CD763A" w:rsidRPr="00A44D75">
        <w:rPr>
          <w:rFonts w:ascii="Times New Roman" w:hAnsi="Times New Roman"/>
        </w:rPr>
        <w:t>flexible investment</w:t>
      </w:r>
      <w:r w:rsidR="005E0C58" w:rsidRPr="00A44D75">
        <w:rPr>
          <w:rFonts w:ascii="Times New Roman" w:hAnsi="Times New Roman"/>
        </w:rPr>
        <w:t xml:space="preserve">s </w:t>
      </w:r>
      <w:r w:rsidR="003A3988" w:rsidRPr="00A44D75">
        <w:rPr>
          <w:rFonts w:ascii="Times New Roman" w:hAnsi="Times New Roman"/>
        </w:rPr>
        <w:t>will be critical to allow for ongoing testing and development of business models that can adapt as parents’ needs change.</w:t>
      </w:r>
    </w:p>
    <w:p w14:paraId="31AE8B2A" w14:textId="0B915239" w:rsidR="00343A30" w:rsidRPr="00A44D75" w:rsidRDefault="00343A30" w:rsidP="00D84F54">
      <w:pPr>
        <w:pStyle w:val="ListParagraph"/>
        <w:numPr>
          <w:ilvl w:val="0"/>
          <w:numId w:val="10"/>
        </w:numPr>
        <w:tabs>
          <w:tab w:val="left" w:pos="2200"/>
        </w:tabs>
        <w:rPr>
          <w:rFonts w:ascii="Times New Roman" w:hAnsi="Times New Roman"/>
        </w:rPr>
      </w:pPr>
      <w:r w:rsidRPr="00A44D75">
        <w:rPr>
          <w:rFonts w:ascii="Times New Roman" w:hAnsi="Times New Roman"/>
        </w:rPr>
        <w:t xml:space="preserve">Couple </w:t>
      </w:r>
      <w:r w:rsidR="00F85E5F" w:rsidRPr="00A44D75">
        <w:rPr>
          <w:rFonts w:ascii="Times New Roman" w:hAnsi="Times New Roman"/>
        </w:rPr>
        <w:t>investments in</w:t>
      </w:r>
      <w:r w:rsidRPr="00A44D75">
        <w:rPr>
          <w:rFonts w:ascii="Times New Roman" w:hAnsi="Times New Roman"/>
        </w:rPr>
        <w:t xml:space="preserve"> sustained business infrastructure with </w:t>
      </w:r>
      <w:r w:rsidRPr="006B5418">
        <w:rPr>
          <w:rFonts w:ascii="Times New Roman" w:hAnsi="Times New Roman"/>
          <w:b/>
          <w:bCs/>
        </w:rPr>
        <w:t>professional development and leadership supports</w:t>
      </w:r>
      <w:r w:rsidRPr="00A44D75">
        <w:rPr>
          <w:rFonts w:ascii="Times New Roman" w:hAnsi="Times New Roman"/>
        </w:rPr>
        <w:t xml:space="preserve"> </w:t>
      </w:r>
      <w:r w:rsidR="00F85E5F" w:rsidRPr="00A44D75">
        <w:rPr>
          <w:rFonts w:ascii="Times New Roman" w:hAnsi="Times New Roman"/>
        </w:rPr>
        <w:t>with proven results on</w:t>
      </w:r>
      <w:r w:rsidR="0039680C" w:rsidRPr="00A44D75">
        <w:rPr>
          <w:rFonts w:ascii="Times New Roman" w:hAnsi="Times New Roman"/>
        </w:rPr>
        <w:t xml:space="preserve"> </w:t>
      </w:r>
      <w:r w:rsidR="00A95F35" w:rsidRPr="00A44D75">
        <w:rPr>
          <w:rFonts w:ascii="Times New Roman" w:hAnsi="Times New Roman"/>
        </w:rPr>
        <w:t>quality of pro</w:t>
      </w:r>
      <w:r w:rsidR="004300DA" w:rsidRPr="00A44D75">
        <w:rPr>
          <w:rFonts w:ascii="Times New Roman" w:hAnsi="Times New Roman"/>
        </w:rPr>
        <w:t>gramming for children</w:t>
      </w:r>
      <w:r w:rsidR="00A95F35" w:rsidRPr="00A44D75">
        <w:rPr>
          <w:rFonts w:ascii="Times New Roman" w:hAnsi="Times New Roman"/>
        </w:rPr>
        <w:t>.</w:t>
      </w:r>
      <w:r w:rsidR="00FC1C66" w:rsidRPr="00A44D75">
        <w:rPr>
          <w:rFonts w:ascii="Times New Roman" w:hAnsi="Times New Roman"/>
        </w:rPr>
        <w:t xml:space="preserve">  Throughout the State of Emergency</w:t>
      </w:r>
      <w:r w:rsidR="003B5FC9" w:rsidRPr="00A44D75">
        <w:rPr>
          <w:rFonts w:ascii="Times New Roman" w:hAnsi="Times New Roman"/>
        </w:rPr>
        <w:t xml:space="preserve">, EEC balanced the need for business sustainability with supports </w:t>
      </w:r>
      <w:r w:rsidR="00E53A19" w:rsidRPr="00A44D75">
        <w:rPr>
          <w:rFonts w:ascii="Times New Roman" w:hAnsi="Times New Roman"/>
        </w:rPr>
        <w:t>for programs to</w:t>
      </w:r>
      <w:r w:rsidR="00C5720D" w:rsidRPr="00A44D75">
        <w:rPr>
          <w:rFonts w:ascii="Times New Roman" w:hAnsi="Times New Roman"/>
        </w:rPr>
        <w:t xml:space="preserve"> </w:t>
      </w:r>
      <w:r w:rsidR="0080602E" w:rsidRPr="00A44D75">
        <w:rPr>
          <w:rFonts w:ascii="Times New Roman" w:hAnsi="Times New Roman"/>
        </w:rPr>
        <w:t xml:space="preserve">deliver high quality education, care, and family engagement </w:t>
      </w:r>
      <w:r w:rsidR="009A1E94" w:rsidRPr="00A44D75">
        <w:rPr>
          <w:rFonts w:ascii="Times New Roman" w:hAnsi="Times New Roman"/>
        </w:rPr>
        <w:t>services.</w:t>
      </w:r>
      <w:r w:rsidR="00B1403F" w:rsidRPr="00A44D75">
        <w:rPr>
          <w:rFonts w:ascii="Times New Roman" w:hAnsi="Times New Roman"/>
        </w:rPr>
        <w:t xml:space="preserve"> </w:t>
      </w:r>
      <w:r w:rsidR="009A1E94" w:rsidRPr="00A44D75">
        <w:rPr>
          <w:rFonts w:ascii="Times New Roman" w:hAnsi="Times New Roman"/>
        </w:rPr>
        <w:t xml:space="preserve">While the Department continues to </w:t>
      </w:r>
      <w:r w:rsidR="0089460D" w:rsidRPr="00A44D75">
        <w:rPr>
          <w:rFonts w:ascii="Times New Roman" w:hAnsi="Times New Roman"/>
        </w:rPr>
        <w:t>sustain</w:t>
      </w:r>
      <w:r w:rsidR="009A1E94" w:rsidRPr="00A44D75">
        <w:rPr>
          <w:rFonts w:ascii="Times New Roman" w:hAnsi="Times New Roman"/>
        </w:rPr>
        <w:t xml:space="preserve"> child care infrastructure</w:t>
      </w:r>
      <w:r w:rsidR="009E6A3B" w:rsidRPr="00A44D75">
        <w:rPr>
          <w:rFonts w:ascii="Times New Roman" w:hAnsi="Times New Roman"/>
        </w:rPr>
        <w:t xml:space="preserve"> through the C3 formula, it is important that these investment in the quality of services </w:t>
      </w:r>
      <w:r w:rsidR="009470E2" w:rsidRPr="00A44D75">
        <w:rPr>
          <w:rFonts w:ascii="Times New Roman" w:hAnsi="Times New Roman"/>
        </w:rPr>
        <w:t>are also enhanced to result in child and family outcomes representing their fullest potential</w:t>
      </w:r>
      <w:r w:rsidR="00554C53" w:rsidRPr="00A44D75">
        <w:rPr>
          <w:rFonts w:ascii="Times New Roman" w:hAnsi="Times New Roman"/>
        </w:rPr>
        <w:t xml:space="preserve">.  </w:t>
      </w:r>
      <w:r w:rsidRPr="00A44D75">
        <w:rPr>
          <w:rFonts w:ascii="Times New Roman" w:hAnsi="Times New Roman"/>
        </w:rPr>
        <w:t xml:space="preserve"> </w:t>
      </w:r>
    </w:p>
    <w:p w14:paraId="691CD993" w14:textId="1C29ABB4" w:rsidR="1A211242" w:rsidRPr="006B5418" w:rsidRDefault="1A211242" w:rsidP="04BB1B5D">
      <w:pPr>
        <w:tabs>
          <w:tab w:val="left" w:pos="2200"/>
        </w:tabs>
        <w:rPr>
          <w:rFonts w:ascii="Times New Roman" w:hAnsi="Times New Roman"/>
        </w:rPr>
      </w:pPr>
      <w:r w:rsidRPr="00A44D75">
        <w:rPr>
          <w:rFonts w:ascii="Times New Roman" w:hAnsi="Times New Roman"/>
        </w:rPr>
        <w:t xml:space="preserve"> </w:t>
      </w:r>
    </w:p>
    <w:p w14:paraId="0A1977F7" w14:textId="3A0DE5E9" w:rsidR="1A211242" w:rsidRPr="006B5418" w:rsidRDefault="1A211242" w:rsidP="04BB1B5D">
      <w:pPr>
        <w:tabs>
          <w:tab w:val="left" w:pos="2200"/>
        </w:tabs>
        <w:rPr>
          <w:rFonts w:ascii="Times New Roman" w:hAnsi="Times New Roman"/>
        </w:rPr>
      </w:pPr>
      <w:r w:rsidRPr="00A44D75">
        <w:rPr>
          <w:rFonts w:ascii="Times New Roman" w:hAnsi="Times New Roman"/>
        </w:rPr>
        <w:t xml:space="preserve"> </w:t>
      </w:r>
    </w:p>
    <w:p w14:paraId="7BD94B9E" w14:textId="217184D8" w:rsidR="1A211242" w:rsidRPr="006B5418" w:rsidRDefault="1A211242" w:rsidP="04BB1B5D">
      <w:pPr>
        <w:tabs>
          <w:tab w:val="left" w:pos="2200"/>
        </w:tabs>
        <w:rPr>
          <w:rFonts w:ascii="Times New Roman" w:hAnsi="Times New Roman"/>
        </w:rPr>
      </w:pPr>
      <w:r w:rsidRPr="00A44D75">
        <w:rPr>
          <w:rFonts w:ascii="Times New Roman" w:hAnsi="Times New Roman"/>
          <w:b/>
          <w:bCs/>
        </w:rPr>
        <w:t>Recommendation Two: Address affordability for Families</w:t>
      </w:r>
    </w:p>
    <w:p w14:paraId="5F7FA646" w14:textId="77777777" w:rsidR="00583ABF" w:rsidRPr="00A44D75" w:rsidRDefault="00583ABF" w:rsidP="04BB1B5D">
      <w:pPr>
        <w:tabs>
          <w:tab w:val="left" w:pos="2200"/>
        </w:tabs>
        <w:rPr>
          <w:rFonts w:ascii="Times New Roman" w:hAnsi="Times New Roman"/>
        </w:rPr>
      </w:pPr>
    </w:p>
    <w:p w14:paraId="045A36FB" w14:textId="3A506986" w:rsidR="00CC6384" w:rsidRPr="00A44D75" w:rsidRDefault="00583ABF" w:rsidP="04BB1B5D">
      <w:pPr>
        <w:tabs>
          <w:tab w:val="left" w:pos="2200"/>
        </w:tabs>
        <w:rPr>
          <w:rFonts w:ascii="Times New Roman" w:hAnsi="Times New Roman"/>
        </w:rPr>
      </w:pPr>
      <w:r w:rsidRPr="006B5418">
        <w:rPr>
          <w:rFonts w:ascii="Times New Roman" w:hAnsi="Times New Roman"/>
          <w:i/>
          <w:iCs/>
        </w:rPr>
        <w:t>Subsidy Restructuring</w:t>
      </w:r>
      <w:r w:rsidRPr="00A44D75">
        <w:rPr>
          <w:rFonts w:ascii="Times New Roman" w:hAnsi="Times New Roman"/>
        </w:rPr>
        <w:t xml:space="preserve">: </w:t>
      </w:r>
      <w:r w:rsidR="1A211242" w:rsidRPr="00A44D75">
        <w:rPr>
          <w:rFonts w:ascii="Times New Roman" w:hAnsi="Times New Roman"/>
        </w:rPr>
        <w:t xml:space="preserve">As outlined in the </w:t>
      </w:r>
      <w:r w:rsidR="00CC6384" w:rsidRPr="00A44D75">
        <w:rPr>
          <w:rFonts w:ascii="Times New Roman" w:hAnsi="Times New Roman"/>
        </w:rPr>
        <w:t xml:space="preserve">Department’s </w:t>
      </w:r>
      <w:r w:rsidR="1A211242" w:rsidRPr="00A44D75">
        <w:rPr>
          <w:rFonts w:ascii="Times New Roman" w:hAnsi="Times New Roman"/>
        </w:rPr>
        <w:t xml:space="preserve">Strategic Action Plan, the complexities of the current child care subsidy system limit the impact EEC funding </w:t>
      </w:r>
      <w:r w:rsidR="00CC6384" w:rsidRPr="00A44D75">
        <w:rPr>
          <w:rFonts w:ascii="Times New Roman" w:hAnsi="Times New Roman"/>
        </w:rPr>
        <w:t xml:space="preserve">can make within the Commonwealth’s </w:t>
      </w:r>
      <w:r w:rsidR="1A211242" w:rsidRPr="00A44D75">
        <w:rPr>
          <w:rFonts w:ascii="Times New Roman" w:hAnsi="Times New Roman"/>
        </w:rPr>
        <w:t xml:space="preserve">most vulnerable communities. </w:t>
      </w:r>
    </w:p>
    <w:p w14:paraId="4327D942" w14:textId="77777777" w:rsidR="00CC6384" w:rsidRPr="00A44D75" w:rsidRDefault="00CC6384" w:rsidP="04BB1B5D">
      <w:pPr>
        <w:tabs>
          <w:tab w:val="left" w:pos="2200"/>
        </w:tabs>
        <w:rPr>
          <w:rFonts w:ascii="Times New Roman" w:hAnsi="Times New Roman"/>
        </w:rPr>
      </w:pPr>
    </w:p>
    <w:p w14:paraId="2B2999E0" w14:textId="610BFBE5" w:rsidR="00F04E33" w:rsidRPr="00A44D75" w:rsidRDefault="1A211242" w:rsidP="04BB1B5D">
      <w:pPr>
        <w:tabs>
          <w:tab w:val="left" w:pos="2200"/>
        </w:tabs>
        <w:rPr>
          <w:rFonts w:ascii="Times New Roman" w:hAnsi="Times New Roman"/>
        </w:rPr>
      </w:pPr>
      <w:r w:rsidRPr="00A44D75">
        <w:rPr>
          <w:rFonts w:ascii="Times New Roman" w:hAnsi="Times New Roman"/>
        </w:rPr>
        <w:t>Recent analysis has shown that the subsidy system serves a fraction of the eligible low-income families who are likely eligible</w:t>
      </w:r>
      <w:r w:rsidR="006A7D6B" w:rsidRPr="00A44D75">
        <w:rPr>
          <w:rFonts w:ascii="Times New Roman" w:hAnsi="Times New Roman"/>
        </w:rPr>
        <w:t xml:space="preserve">. A </w:t>
      </w:r>
      <w:r w:rsidRPr="00A44D75">
        <w:rPr>
          <w:rFonts w:ascii="Times New Roman" w:hAnsi="Times New Roman"/>
        </w:rPr>
        <w:t xml:space="preserve">waitlist of thousands of children </w:t>
      </w:r>
      <w:r w:rsidR="006A7D6B" w:rsidRPr="00A44D75">
        <w:rPr>
          <w:rFonts w:ascii="Times New Roman" w:hAnsi="Times New Roman"/>
        </w:rPr>
        <w:t>managed locally by</w:t>
      </w:r>
      <w:r w:rsidRPr="00A44D75">
        <w:rPr>
          <w:rFonts w:ascii="Times New Roman" w:hAnsi="Times New Roman"/>
        </w:rPr>
        <w:t xml:space="preserve"> subsidy administrators </w:t>
      </w:r>
      <w:r w:rsidR="006A7D6B" w:rsidRPr="00A44D75">
        <w:rPr>
          <w:rFonts w:ascii="Times New Roman" w:hAnsi="Times New Roman"/>
        </w:rPr>
        <w:t xml:space="preserve">is demonstrative of </w:t>
      </w:r>
      <w:r w:rsidRPr="00A44D75">
        <w:rPr>
          <w:rFonts w:ascii="Times New Roman" w:hAnsi="Times New Roman"/>
        </w:rPr>
        <w:t xml:space="preserve">the need for financial support to allow families to maintain employment </w:t>
      </w:r>
      <w:r w:rsidR="006A7D6B" w:rsidRPr="00A44D75">
        <w:rPr>
          <w:rFonts w:ascii="Times New Roman" w:hAnsi="Times New Roman"/>
        </w:rPr>
        <w:t xml:space="preserve">while their </w:t>
      </w:r>
      <w:r w:rsidRPr="00A44D75">
        <w:rPr>
          <w:rFonts w:ascii="Times New Roman" w:hAnsi="Times New Roman"/>
        </w:rPr>
        <w:t xml:space="preserve">children access safe, educational environments.  </w:t>
      </w:r>
      <w:r w:rsidR="00D63184" w:rsidRPr="00A44D75">
        <w:rPr>
          <w:rFonts w:ascii="Times New Roman" w:hAnsi="Times New Roman"/>
        </w:rPr>
        <w:t>P</w:t>
      </w:r>
      <w:r w:rsidR="00B31234" w:rsidRPr="00A44D75">
        <w:rPr>
          <w:rFonts w:ascii="Times New Roman" w:hAnsi="Times New Roman"/>
        </w:rPr>
        <w:t xml:space="preserve">ersistent underspending and under-enrollment in subsidy accounts </w:t>
      </w:r>
      <w:r w:rsidR="00D63184" w:rsidRPr="00A44D75">
        <w:rPr>
          <w:rFonts w:ascii="Times New Roman" w:hAnsi="Times New Roman"/>
        </w:rPr>
        <w:t>indicate</w:t>
      </w:r>
      <w:r w:rsidR="00B31234" w:rsidRPr="00A44D75">
        <w:rPr>
          <w:rFonts w:ascii="Times New Roman" w:hAnsi="Times New Roman"/>
        </w:rPr>
        <w:t xml:space="preserve"> access gaps </w:t>
      </w:r>
      <w:r w:rsidR="00D63184" w:rsidRPr="00A44D75">
        <w:rPr>
          <w:rFonts w:ascii="Times New Roman" w:hAnsi="Times New Roman"/>
        </w:rPr>
        <w:t>preventing</w:t>
      </w:r>
      <w:r w:rsidR="00B31234" w:rsidRPr="00A44D75">
        <w:rPr>
          <w:rFonts w:ascii="Times New Roman" w:hAnsi="Times New Roman"/>
        </w:rPr>
        <w:t xml:space="preserve"> EEC </w:t>
      </w:r>
      <w:r w:rsidR="00D63184" w:rsidRPr="00A44D75">
        <w:rPr>
          <w:rFonts w:ascii="Times New Roman" w:hAnsi="Times New Roman"/>
        </w:rPr>
        <w:t xml:space="preserve">from maximizing </w:t>
      </w:r>
      <w:r w:rsidR="00B31234" w:rsidRPr="00A44D75">
        <w:rPr>
          <w:rFonts w:ascii="Times New Roman" w:hAnsi="Times New Roman"/>
        </w:rPr>
        <w:t xml:space="preserve">the annual appropriation to child care subsidies for families.  </w:t>
      </w:r>
      <w:r w:rsidR="008220CC" w:rsidRPr="00A44D75">
        <w:rPr>
          <w:rFonts w:ascii="Times New Roman" w:hAnsi="Times New Roman"/>
        </w:rPr>
        <w:t>L</w:t>
      </w:r>
      <w:r w:rsidRPr="00A44D75">
        <w:rPr>
          <w:rFonts w:ascii="Times New Roman" w:hAnsi="Times New Roman"/>
        </w:rPr>
        <w:t>ow reimbursement rates offered by the state</w:t>
      </w:r>
      <w:r w:rsidR="005676FA">
        <w:rPr>
          <w:rFonts w:ascii="Times New Roman" w:hAnsi="Times New Roman"/>
        </w:rPr>
        <w:t xml:space="preserve"> (which have not kept pace with inflation)</w:t>
      </w:r>
      <w:r w:rsidRPr="00A44D75">
        <w:rPr>
          <w:rFonts w:ascii="Times New Roman" w:hAnsi="Times New Roman"/>
        </w:rPr>
        <w:t xml:space="preserve"> make it hard to recruit new providers to accept state subsidies in place of </w:t>
      </w:r>
      <w:r w:rsidR="00622AD2">
        <w:rPr>
          <w:rFonts w:ascii="Times New Roman" w:hAnsi="Times New Roman"/>
        </w:rPr>
        <w:t xml:space="preserve">more lucrative </w:t>
      </w:r>
      <w:r w:rsidRPr="00A44D75">
        <w:rPr>
          <w:rFonts w:ascii="Times New Roman" w:hAnsi="Times New Roman"/>
        </w:rPr>
        <w:t xml:space="preserve">parent tuition, and those that are able to rely on this system have been limited by incremental </w:t>
      </w:r>
      <w:r w:rsidR="00E17F43" w:rsidRPr="00A44D75">
        <w:rPr>
          <w:rFonts w:ascii="Times New Roman" w:hAnsi="Times New Roman"/>
        </w:rPr>
        <w:t xml:space="preserve">rate </w:t>
      </w:r>
      <w:r w:rsidRPr="00A44D75">
        <w:rPr>
          <w:rFonts w:ascii="Times New Roman" w:hAnsi="Times New Roman"/>
        </w:rPr>
        <w:t>increases, outdated contracts limit</w:t>
      </w:r>
      <w:r w:rsidR="00E17F43" w:rsidRPr="00A44D75">
        <w:rPr>
          <w:rFonts w:ascii="Times New Roman" w:hAnsi="Times New Roman"/>
        </w:rPr>
        <w:t>ing enrollment</w:t>
      </w:r>
      <w:r w:rsidRPr="00A44D75">
        <w:rPr>
          <w:rFonts w:ascii="Times New Roman" w:hAnsi="Times New Roman"/>
        </w:rPr>
        <w:t xml:space="preserve"> flexibility, and consistent </w:t>
      </w:r>
      <w:r w:rsidR="005B4B00" w:rsidRPr="00A44D75">
        <w:rPr>
          <w:rFonts w:ascii="Times New Roman" w:hAnsi="Times New Roman"/>
        </w:rPr>
        <w:t xml:space="preserve">challenges supporting parents to verify and maintain </w:t>
      </w:r>
      <w:r w:rsidR="00622AD2">
        <w:rPr>
          <w:rFonts w:ascii="Times New Roman" w:hAnsi="Times New Roman"/>
        </w:rPr>
        <w:t xml:space="preserve">tuition </w:t>
      </w:r>
      <w:r w:rsidR="005B4B00" w:rsidRPr="00A44D75">
        <w:rPr>
          <w:rFonts w:ascii="Times New Roman" w:hAnsi="Times New Roman"/>
        </w:rPr>
        <w:t>subsidy</w:t>
      </w:r>
      <w:r w:rsidRPr="00A44D75">
        <w:rPr>
          <w:rFonts w:ascii="Times New Roman" w:hAnsi="Times New Roman"/>
        </w:rPr>
        <w:t>.</w:t>
      </w:r>
      <w:r w:rsidR="00F04E33" w:rsidRPr="00A44D75">
        <w:rPr>
          <w:rFonts w:ascii="Times New Roman" w:hAnsi="Times New Roman"/>
        </w:rPr>
        <w:t xml:space="preserve"> </w:t>
      </w:r>
      <w:r w:rsidR="008803B8" w:rsidRPr="00A44D75">
        <w:rPr>
          <w:rFonts w:ascii="Times New Roman" w:hAnsi="Times New Roman"/>
        </w:rPr>
        <w:t>Tackling these issues</w:t>
      </w:r>
      <w:r w:rsidRPr="00A44D75">
        <w:rPr>
          <w:rFonts w:ascii="Times New Roman" w:hAnsi="Times New Roman"/>
        </w:rPr>
        <w:t xml:space="preserve"> require</w:t>
      </w:r>
      <w:r w:rsidR="008803B8" w:rsidRPr="00A44D75">
        <w:rPr>
          <w:rFonts w:ascii="Times New Roman" w:hAnsi="Times New Roman"/>
        </w:rPr>
        <w:t>s</w:t>
      </w:r>
      <w:r w:rsidRPr="00A44D75">
        <w:rPr>
          <w:rFonts w:ascii="Times New Roman" w:hAnsi="Times New Roman"/>
        </w:rPr>
        <w:t xml:space="preserve"> an inventive approach to </w:t>
      </w:r>
      <w:r w:rsidR="002575CE" w:rsidRPr="00A44D75">
        <w:rPr>
          <w:rFonts w:ascii="Times New Roman" w:hAnsi="Times New Roman"/>
        </w:rPr>
        <w:t xml:space="preserve">subsidy </w:t>
      </w:r>
      <w:r w:rsidRPr="00A44D75">
        <w:rPr>
          <w:rFonts w:ascii="Times New Roman" w:hAnsi="Times New Roman"/>
        </w:rPr>
        <w:t>reconfiguration</w:t>
      </w:r>
      <w:r w:rsidR="002575CE" w:rsidRPr="00A44D75">
        <w:rPr>
          <w:rFonts w:ascii="Times New Roman" w:hAnsi="Times New Roman"/>
        </w:rPr>
        <w:t xml:space="preserve"> t</w:t>
      </w:r>
      <w:r w:rsidRPr="00A44D75">
        <w:rPr>
          <w:rFonts w:ascii="Times New Roman" w:hAnsi="Times New Roman"/>
        </w:rPr>
        <w:t>hrough redesign of pathways for parents to enter and maintain access to financial assistance in a manner that aligns with the Commonwealth’s goals for family economic mobility.</w:t>
      </w:r>
      <w:r w:rsidR="00F04E33" w:rsidRPr="00A44D75">
        <w:rPr>
          <w:rFonts w:ascii="Times New Roman" w:hAnsi="Times New Roman"/>
        </w:rPr>
        <w:t xml:space="preserve"> </w:t>
      </w:r>
    </w:p>
    <w:p w14:paraId="1F948E1A" w14:textId="77777777" w:rsidR="00F04E33" w:rsidRPr="00A44D75" w:rsidRDefault="00F04E33" w:rsidP="04BB1B5D">
      <w:pPr>
        <w:tabs>
          <w:tab w:val="left" w:pos="2200"/>
        </w:tabs>
        <w:rPr>
          <w:rFonts w:ascii="Times New Roman" w:hAnsi="Times New Roman"/>
        </w:rPr>
      </w:pPr>
    </w:p>
    <w:p w14:paraId="5942AAEA" w14:textId="03DCD790" w:rsidR="1A211242" w:rsidRPr="00A44D75" w:rsidRDefault="1A211242" w:rsidP="04BB1B5D">
      <w:pPr>
        <w:tabs>
          <w:tab w:val="left" w:pos="2200"/>
        </w:tabs>
        <w:rPr>
          <w:rFonts w:ascii="Times New Roman" w:hAnsi="Times New Roman"/>
        </w:rPr>
      </w:pPr>
      <w:r w:rsidRPr="00A44D75">
        <w:rPr>
          <w:rFonts w:ascii="Times New Roman" w:hAnsi="Times New Roman"/>
        </w:rPr>
        <w:t xml:space="preserve">In FY22 EEC will implement </w:t>
      </w:r>
      <w:r w:rsidR="00F9078B" w:rsidRPr="00A44D75">
        <w:rPr>
          <w:rFonts w:ascii="Times New Roman" w:hAnsi="Times New Roman"/>
        </w:rPr>
        <w:t xml:space="preserve">a </w:t>
      </w:r>
      <w:r w:rsidR="00EF33E8" w:rsidRPr="00A44D75">
        <w:rPr>
          <w:rFonts w:ascii="Times New Roman" w:hAnsi="Times New Roman"/>
        </w:rPr>
        <w:t xml:space="preserve">pioneering </w:t>
      </w:r>
      <w:r w:rsidR="00F9078B" w:rsidRPr="00A44D75">
        <w:rPr>
          <w:rFonts w:ascii="Times New Roman" w:hAnsi="Times New Roman"/>
        </w:rPr>
        <w:t>shift to</w:t>
      </w:r>
      <w:r w:rsidR="00BD75E3" w:rsidRPr="00A44D75">
        <w:rPr>
          <w:rFonts w:ascii="Times New Roman" w:hAnsi="Times New Roman"/>
        </w:rPr>
        <w:t xml:space="preserve"> </w:t>
      </w:r>
      <w:r w:rsidR="00F9078B" w:rsidRPr="00A44D75">
        <w:rPr>
          <w:rFonts w:ascii="Times New Roman" w:hAnsi="Times New Roman"/>
        </w:rPr>
        <w:t xml:space="preserve">federally required </w:t>
      </w:r>
      <w:r w:rsidR="00BD75E3" w:rsidRPr="00A44D75">
        <w:rPr>
          <w:rFonts w:ascii="Times New Roman" w:hAnsi="Times New Roman"/>
        </w:rPr>
        <w:t xml:space="preserve">parent </w:t>
      </w:r>
      <w:r w:rsidR="00F9078B" w:rsidRPr="00A44D75">
        <w:rPr>
          <w:rFonts w:ascii="Times New Roman" w:hAnsi="Times New Roman"/>
        </w:rPr>
        <w:t xml:space="preserve">subsidy </w:t>
      </w:r>
      <w:r w:rsidR="00BD75E3" w:rsidRPr="00A44D75">
        <w:rPr>
          <w:rFonts w:ascii="Times New Roman" w:hAnsi="Times New Roman"/>
        </w:rPr>
        <w:t>co-pays</w:t>
      </w:r>
      <w:r w:rsidR="00F9078B" w:rsidRPr="00A44D75">
        <w:rPr>
          <w:rFonts w:ascii="Times New Roman" w:hAnsi="Times New Roman"/>
        </w:rPr>
        <w:t xml:space="preserve"> that is </w:t>
      </w:r>
      <w:r w:rsidR="00EF33E8" w:rsidRPr="00A44D75">
        <w:rPr>
          <w:rFonts w:ascii="Times New Roman" w:hAnsi="Times New Roman"/>
        </w:rPr>
        <w:t>structure</w:t>
      </w:r>
      <w:r w:rsidR="00622AD2">
        <w:rPr>
          <w:rFonts w:ascii="Times New Roman" w:hAnsi="Times New Roman"/>
        </w:rPr>
        <w:t>d</w:t>
      </w:r>
      <w:r w:rsidRPr="00A44D75">
        <w:rPr>
          <w:rFonts w:ascii="Times New Roman" w:hAnsi="Times New Roman"/>
        </w:rPr>
        <w:t xml:space="preserve"> to ensure families living in poverty </w:t>
      </w:r>
      <w:r w:rsidR="00EF33E8" w:rsidRPr="00A44D75">
        <w:rPr>
          <w:rFonts w:ascii="Times New Roman" w:hAnsi="Times New Roman"/>
        </w:rPr>
        <w:t>may</w:t>
      </w:r>
      <w:r w:rsidR="00F9078B" w:rsidRPr="00A44D75">
        <w:rPr>
          <w:rFonts w:ascii="Times New Roman" w:hAnsi="Times New Roman"/>
        </w:rPr>
        <w:t xml:space="preserve"> increase their</w:t>
      </w:r>
      <w:r w:rsidRPr="00A44D75">
        <w:rPr>
          <w:rFonts w:ascii="Times New Roman" w:hAnsi="Times New Roman"/>
        </w:rPr>
        <w:t xml:space="preserve"> wages </w:t>
      </w:r>
      <w:r w:rsidR="00BD75E3" w:rsidRPr="00A44D75">
        <w:rPr>
          <w:rFonts w:ascii="Times New Roman" w:hAnsi="Times New Roman"/>
        </w:rPr>
        <w:t xml:space="preserve">without being penalized by </w:t>
      </w:r>
      <w:r w:rsidR="00361244">
        <w:rPr>
          <w:rFonts w:ascii="Times New Roman" w:hAnsi="Times New Roman"/>
        </w:rPr>
        <w:t>simultaneous steep</w:t>
      </w:r>
      <w:r w:rsidR="00F56647">
        <w:rPr>
          <w:rFonts w:ascii="Times New Roman" w:hAnsi="Times New Roman"/>
        </w:rPr>
        <w:t xml:space="preserve"> </w:t>
      </w:r>
      <w:r w:rsidR="00F9078B" w:rsidRPr="00A44D75">
        <w:rPr>
          <w:rFonts w:ascii="Times New Roman" w:hAnsi="Times New Roman"/>
        </w:rPr>
        <w:t xml:space="preserve">fee hikes to their </w:t>
      </w:r>
      <w:r w:rsidR="009104C2" w:rsidRPr="00A44D75">
        <w:rPr>
          <w:rFonts w:ascii="Times New Roman" w:hAnsi="Times New Roman"/>
        </w:rPr>
        <w:t xml:space="preserve">child care </w:t>
      </w:r>
      <w:r w:rsidR="00EF33E8" w:rsidRPr="00A44D75">
        <w:rPr>
          <w:rFonts w:ascii="Times New Roman" w:hAnsi="Times New Roman"/>
        </w:rPr>
        <w:t>tuition</w:t>
      </w:r>
      <w:r w:rsidR="00BD75E3" w:rsidRPr="00A44D75">
        <w:rPr>
          <w:rFonts w:ascii="Times New Roman" w:hAnsi="Times New Roman"/>
        </w:rPr>
        <w:t xml:space="preserve">.  In addition, EEC will maintain a number of important </w:t>
      </w:r>
      <w:r w:rsidR="00F6571D" w:rsidRPr="00A44D75">
        <w:rPr>
          <w:rFonts w:ascii="Times New Roman" w:hAnsi="Times New Roman"/>
        </w:rPr>
        <w:t>modifications in</w:t>
      </w:r>
      <w:r w:rsidR="00BD75E3" w:rsidRPr="00A44D75">
        <w:rPr>
          <w:rFonts w:ascii="Times New Roman" w:hAnsi="Times New Roman"/>
        </w:rPr>
        <w:t xml:space="preserve"> subsidy </w:t>
      </w:r>
      <w:r w:rsidR="00F6571D" w:rsidRPr="00A44D75">
        <w:rPr>
          <w:rFonts w:ascii="Times New Roman" w:hAnsi="Times New Roman"/>
        </w:rPr>
        <w:t xml:space="preserve">policy made </w:t>
      </w:r>
      <w:r w:rsidR="00BD75E3" w:rsidRPr="00A44D75">
        <w:rPr>
          <w:rFonts w:ascii="Times New Roman" w:hAnsi="Times New Roman"/>
        </w:rPr>
        <w:t>during the COVID-19 crisis</w:t>
      </w:r>
      <w:r w:rsidR="005676FA">
        <w:rPr>
          <w:rFonts w:ascii="Times New Roman" w:hAnsi="Times New Roman"/>
        </w:rPr>
        <w:t xml:space="preserve"> through at least the first half of FY22</w:t>
      </w:r>
      <w:r w:rsidR="00BD75E3" w:rsidRPr="00A44D75">
        <w:rPr>
          <w:rFonts w:ascii="Times New Roman" w:hAnsi="Times New Roman"/>
        </w:rPr>
        <w:t xml:space="preserve">, all </w:t>
      </w:r>
      <w:r w:rsidR="00F6571D" w:rsidRPr="00A44D75">
        <w:rPr>
          <w:rFonts w:ascii="Times New Roman" w:hAnsi="Times New Roman"/>
        </w:rPr>
        <w:t>to provide</w:t>
      </w:r>
      <w:r w:rsidR="00BD75E3" w:rsidRPr="00A44D75">
        <w:rPr>
          <w:rFonts w:ascii="Times New Roman" w:hAnsi="Times New Roman"/>
        </w:rPr>
        <w:t xml:space="preserve"> additional stability and security to families and the programs that </w:t>
      </w:r>
      <w:r w:rsidR="004C5BCF" w:rsidRPr="00A44D75">
        <w:rPr>
          <w:rFonts w:ascii="Times New Roman" w:hAnsi="Times New Roman"/>
        </w:rPr>
        <w:t>serve</w:t>
      </w:r>
      <w:r w:rsidR="00BD75E3" w:rsidRPr="00A44D75">
        <w:rPr>
          <w:rFonts w:ascii="Times New Roman" w:hAnsi="Times New Roman"/>
        </w:rPr>
        <w:t xml:space="preserve"> them. While these are important and necessary steps </w:t>
      </w:r>
      <w:r w:rsidR="00323649" w:rsidRPr="00A44D75">
        <w:rPr>
          <w:rFonts w:ascii="Times New Roman" w:hAnsi="Times New Roman"/>
        </w:rPr>
        <w:t>towards</w:t>
      </w:r>
      <w:r w:rsidR="00BD75E3" w:rsidRPr="00A44D75">
        <w:rPr>
          <w:rFonts w:ascii="Times New Roman" w:hAnsi="Times New Roman"/>
        </w:rPr>
        <w:t xml:space="preserve"> affordability for vulnerable families, it</w:t>
      </w:r>
      <w:r w:rsidR="00361244">
        <w:rPr>
          <w:rFonts w:ascii="Times New Roman" w:hAnsi="Times New Roman"/>
        </w:rPr>
        <w:t xml:space="preserve"> i</w:t>
      </w:r>
      <w:r w:rsidR="00BD75E3" w:rsidRPr="00A44D75">
        <w:rPr>
          <w:rFonts w:ascii="Times New Roman" w:hAnsi="Times New Roman"/>
        </w:rPr>
        <w:t xml:space="preserve">s clear these </w:t>
      </w:r>
      <w:r w:rsidR="004E09FE" w:rsidRPr="00A44D75">
        <w:rPr>
          <w:rFonts w:ascii="Times New Roman" w:hAnsi="Times New Roman"/>
        </w:rPr>
        <w:t xml:space="preserve">changes </w:t>
      </w:r>
      <w:r w:rsidR="00BD75E3" w:rsidRPr="00A44D75">
        <w:rPr>
          <w:rFonts w:ascii="Times New Roman" w:hAnsi="Times New Roman"/>
        </w:rPr>
        <w:t xml:space="preserve">are incremental </w:t>
      </w:r>
      <w:r w:rsidR="00720D39" w:rsidRPr="00A44D75">
        <w:rPr>
          <w:rFonts w:ascii="Times New Roman" w:hAnsi="Times New Roman"/>
        </w:rPr>
        <w:t>for</w:t>
      </w:r>
      <w:r w:rsidR="00BD75E3" w:rsidRPr="00A44D75">
        <w:rPr>
          <w:rFonts w:ascii="Times New Roman" w:hAnsi="Times New Roman"/>
        </w:rPr>
        <w:t xml:space="preserve"> a system that has outgrown </w:t>
      </w:r>
      <w:r w:rsidR="00720D39" w:rsidRPr="00A44D75">
        <w:rPr>
          <w:rFonts w:ascii="Times New Roman" w:hAnsi="Times New Roman"/>
        </w:rPr>
        <w:t xml:space="preserve">its </w:t>
      </w:r>
      <w:r w:rsidR="00E74825" w:rsidRPr="00A44D75">
        <w:rPr>
          <w:rFonts w:ascii="Times New Roman" w:hAnsi="Times New Roman"/>
        </w:rPr>
        <w:t>capabilities,</w:t>
      </w:r>
      <w:r w:rsidR="00BD75E3" w:rsidRPr="00A44D75">
        <w:rPr>
          <w:rFonts w:ascii="Times New Roman" w:hAnsi="Times New Roman"/>
        </w:rPr>
        <w:t xml:space="preserve"> and needs a deeper restructuring.</w:t>
      </w:r>
    </w:p>
    <w:p w14:paraId="3819E72A" w14:textId="77777777" w:rsidR="00BD75E3" w:rsidRPr="006B5418" w:rsidRDefault="00BD75E3" w:rsidP="04BB1B5D">
      <w:pPr>
        <w:tabs>
          <w:tab w:val="left" w:pos="2200"/>
        </w:tabs>
        <w:rPr>
          <w:rFonts w:ascii="Times New Roman" w:hAnsi="Times New Roman"/>
        </w:rPr>
      </w:pPr>
    </w:p>
    <w:p w14:paraId="10D436FA" w14:textId="2BE810A5" w:rsidR="000A0F4B" w:rsidRPr="00A44D75" w:rsidRDefault="006712CF" w:rsidP="00237026">
      <w:pPr>
        <w:tabs>
          <w:tab w:val="left" w:pos="2200"/>
        </w:tabs>
        <w:rPr>
          <w:rFonts w:ascii="Times New Roman" w:hAnsi="Times New Roman"/>
        </w:rPr>
      </w:pPr>
      <w:r w:rsidRPr="006B5418">
        <w:rPr>
          <w:rFonts w:ascii="Times New Roman" w:hAnsi="Times New Roman"/>
          <w:i/>
          <w:iCs/>
        </w:rPr>
        <w:t>Affordability for Working Families</w:t>
      </w:r>
      <w:r w:rsidRPr="00A44D75">
        <w:rPr>
          <w:rFonts w:ascii="Times New Roman" w:hAnsi="Times New Roman"/>
        </w:rPr>
        <w:t xml:space="preserve">: </w:t>
      </w:r>
      <w:r w:rsidR="004E2BC3" w:rsidRPr="00A44D75">
        <w:rPr>
          <w:rFonts w:ascii="Times New Roman" w:hAnsi="Times New Roman"/>
        </w:rPr>
        <w:t xml:space="preserve">Unprecedented </w:t>
      </w:r>
      <w:r w:rsidR="00CD65C2" w:rsidRPr="00A44D75">
        <w:rPr>
          <w:rFonts w:ascii="Times New Roman" w:hAnsi="Times New Roman"/>
        </w:rPr>
        <w:t>numbers of women leaving the workforce</w:t>
      </w:r>
      <w:r w:rsidR="004E2BC3" w:rsidRPr="00A44D75">
        <w:rPr>
          <w:rFonts w:ascii="Times New Roman" w:hAnsi="Times New Roman"/>
        </w:rPr>
        <w:t xml:space="preserve"> have been national news since the pandemic’s onset – but are especially striking for a state that is typically among the top ten in the country for labor force participation of women</w:t>
      </w:r>
      <w:r w:rsidR="00237026" w:rsidRPr="00A44D75">
        <w:rPr>
          <w:rFonts w:ascii="Times New Roman" w:hAnsi="Times New Roman"/>
        </w:rPr>
        <w:t xml:space="preserve">. </w:t>
      </w:r>
      <w:r w:rsidR="006072A5" w:rsidRPr="00A44D75">
        <w:rPr>
          <w:rFonts w:ascii="Times New Roman" w:hAnsi="Times New Roman"/>
        </w:rPr>
        <w:t xml:space="preserve">Among the barriers to full economic return of the Commonwealth’s labor force is what is, </w:t>
      </w:r>
      <w:r w:rsidR="00237026" w:rsidRPr="00A44D75">
        <w:rPr>
          <w:rFonts w:ascii="Times New Roman" w:hAnsi="Times New Roman"/>
        </w:rPr>
        <w:t>nationally</w:t>
      </w:r>
      <w:r w:rsidR="006072A5" w:rsidRPr="00A44D75">
        <w:rPr>
          <w:rFonts w:ascii="Times New Roman" w:hAnsi="Times New Roman"/>
        </w:rPr>
        <w:t xml:space="preserve">, a highly </w:t>
      </w:r>
      <w:r w:rsidR="009E5760" w:rsidRPr="00A44D75">
        <w:rPr>
          <w:rFonts w:ascii="Times New Roman" w:hAnsi="Times New Roman"/>
        </w:rPr>
        <w:t xml:space="preserve">fragile social safety net </w:t>
      </w:r>
      <w:r w:rsidR="006072A5" w:rsidRPr="00A44D75">
        <w:rPr>
          <w:rFonts w:ascii="Times New Roman" w:hAnsi="Times New Roman"/>
        </w:rPr>
        <w:t>that limits</w:t>
      </w:r>
      <w:r w:rsidR="00256D56" w:rsidRPr="00A44D75">
        <w:rPr>
          <w:rFonts w:ascii="Times New Roman" w:hAnsi="Times New Roman"/>
        </w:rPr>
        <w:t xml:space="preserve"> </w:t>
      </w:r>
      <w:r w:rsidR="006072A5" w:rsidRPr="00A44D75">
        <w:rPr>
          <w:rFonts w:ascii="Times New Roman" w:hAnsi="Times New Roman"/>
        </w:rPr>
        <w:t>full participation in</w:t>
      </w:r>
      <w:r w:rsidR="00256D56" w:rsidRPr="00A44D75">
        <w:rPr>
          <w:rFonts w:ascii="Times New Roman" w:hAnsi="Times New Roman"/>
        </w:rPr>
        <w:t xml:space="preserve"> economic recovery.  </w:t>
      </w:r>
    </w:p>
    <w:p w14:paraId="1DA1DF69" w14:textId="77777777" w:rsidR="000A0F4B" w:rsidRPr="00A44D75" w:rsidRDefault="000A0F4B" w:rsidP="00237026">
      <w:pPr>
        <w:tabs>
          <w:tab w:val="left" w:pos="2200"/>
        </w:tabs>
        <w:rPr>
          <w:rFonts w:ascii="Times New Roman" w:hAnsi="Times New Roman"/>
        </w:rPr>
      </w:pPr>
    </w:p>
    <w:p w14:paraId="3D0CE986" w14:textId="4A465766" w:rsidR="00812C6A" w:rsidRPr="00A44D75" w:rsidRDefault="003E2FF5" w:rsidP="04BB1B5D">
      <w:pPr>
        <w:tabs>
          <w:tab w:val="left" w:pos="2200"/>
        </w:tabs>
        <w:rPr>
          <w:rFonts w:ascii="Times New Roman" w:hAnsi="Times New Roman"/>
        </w:rPr>
      </w:pPr>
      <w:r w:rsidRPr="00A44D75">
        <w:rPr>
          <w:rFonts w:ascii="Times New Roman" w:hAnsi="Times New Roman"/>
        </w:rPr>
        <w:lastRenderedPageBreak/>
        <w:t>Consistent themes have emerged through</w:t>
      </w:r>
      <w:r w:rsidR="00361244">
        <w:rPr>
          <w:rFonts w:ascii="Times New Roman" w:hAnsi="Times New Roman"/>
        </w:rPr>
        <w:t xml:space="preserve"> EEC’s</w:t>
      </w:r>
      <w:r w:rsidRPr="00A44D75">
        <w:rPr>
          <w:rFonts w:ascii="Times New Roman" w:hAnsi="Times New Roman"/>
        </w:rPr>
        <w:t xml:space="preserve"> engagement </w:t>
      </w:r>
      <w:r w:rsidR="00361244">
        <w:rPr>
          <w:rFonts w:ascii="Times New Roman" w:hAnsi="Times New Roman"/>
        </w:rPr>
        <w:t xml:space="preserve">with business leaders </w:t>
      </w:r>
      <w:r w:rsidRPr="00A44D75">
        <w:rPr>
          <w:rFonts w:ascii="Times New Roman" w:hAnsi="Times New Roman"/>
        </w:rPr>
        <w:t>over the last year – with a striking focus on</w:t>
      </w:r>
      <w:r w:rsidR="000B5E9B" w:rsidRPr="00A44D75">
        <w:rPr>
          <w:rFonts w:ascii="Times New Roman" w:hAnsi="Times New Roman"/>
        </w:rPr>
        <w:t xml:space="preserve"> affordability of child care </w:t>
      </w:r>
      <w:r w:rsidRPr="00A44D75">
        <w:rPr>
          <w:rFonts w:ascii="Times New Roman" w:hAnsi="Times New Roman"/>
        </w:rPr>
        <w:t>regardless of a family’s income</w:t>
      </w:r>
      <w:r w:rsidR="009A1171">
        <w:rPr>
          <w:rFonts w:ascii="Times New Roman" w:hAnsi="Times New Roman"/>
        </w:rPr>
        <w:t>, particularly as families needed additional care during times where remote learning was the only option for schooling in many communities</w:t>
      </w:r>
      <w:r w:rsidRPr="00A44D75">
        <w:rPr>
          <w:rFonts w:ascii="Times New Roman" w:hAnsi="Times New Roman"/>
        </w:rPr>
        <w:t>. This year’s data shows that Massach</w:t>
      </w:r>
      <w:r w:rsidR="00F1760F" w:rsidRPr="00A44D75">
        <w:rPr>
          <w:rFonts w:ascii="Times New Roman" w:hAnsi="Times New Roman"/>
        </w:rPr>
        <w:t>u</w:t>
      </w:r>
      <w:r w:rsidRPr="00A44D75">
        <w:rPr>
          <w:rFonts w:ascii="Times New Roman" w:hAnsi="Times New Roman"/>
        </w:rPr>
        <w:t xml:space="preserve">setts continues to be </w:t>
      </w:r>
      <w:r w:rsidR="00622AD2">
        <w:rPr>
          <w:rFonts w:ascii="Times New Roman" w:hAnsi="Times New Roman"/>
        </w:rPr>
        <w:t>one of the costliest states</w:t>
      </w:r>
      <w:r w:rsidRPr="00A44D75">
        <w:rPr>
          <w:rFonts w:ascii="Times New Roman" w:hAnsi="Times New Roman"/>
        </w:rPr>
        <w:t xml:space="preserve"> in the country</w:t>
      </w:r>
      <w:r w:rsidR="00622AD2">
        <w:rPr>
          <w:rFonts w:ascii="Times New Roman" w:hAnsi="Times New Roman"/>
        </w:rPr>
        <w:t xml:space="preserve"> for child care</w:t>
      </w:r>
      <w:r w:rsidRPr="00A44D75">
        <w:rPr>
          <w:rFonts w:ascii="Times New Roman" w:hAnsi="Times New Roman"/>
        </w:rPr>
        <w:t xml:space="preserve">, behind </w:t>
      </w:r>
      <w:r w:rsidR="00361244">
        <w:rPr>
          <w:rFonts w:ascii="Times New Roman" w:hAnsi="Times New Roman"/>
        </w:rPr>
        <w:t xml:space="preserve">Washington, </w:t>
      </w:r>
      <w:r w:rsidRPr="00A44D75">
        <w:rPr>
          <w:rFonts w:ascii="Times New Roman" w:hAnsi="Times New Roman"/>
        </w:rPr>
        <w:t>D</w:t>
      </w:r>
      <w:r w:rsidR="00420096">
        <w:rPr>
          <w:rFonts w:ascii="Times New Roman" w:hAnsi="Times New Roman"/>
        </w:rPr>
        <w:t>.</w:t>
      </w:r>
      <w:r w:rsidRPr="00A44D75">
        <w:rPr>
          <w:rFonts w:ascii="Times New Roman" w:hAnsi="Times New Roman"/>
        </w:rPr>
        <w:t xml:space="preserve">C. </w:t>
      </w:r>
      <w:r w:rsidR="005C066C" w:rsidRPr="00A44D75">
        <w:rPr>
          <w:rFonts w:ascii="Times New Roman" w:hAnsi="Times New Roman"/>
        </w:rPr>
        <w:t>Yet engagement from families and from businesses also note the importance of child care quality – articulating that in order to be productively engaged at work, families must also know their children are safe</w:t>
      </w:r>
      <w:r w:rsidR="00420096">
        <w:rPr>
          <w:rFonts w:ascii="Times New Roman" w:hAnsi="Times New Roman"/>
        </w:rPr>
        <w:t xml:space="preserve"> and</w:t>
      </w:r>
      <w:r w:rsidR="00F56647">
        <w:rPr>
          <w:rFonts w:ascii="Times New Roman" w:hAnsi="Times New Roman"/>
        </w:rPr>
        <w:t xml:space="preserve"> </w:t>
      </w:r>
      <w:r w:rsidR="005C066C" w:rsidRPr="00A44D75">
        <w:rPr>
          <w:rFonts w:ascii="Times New Roman" w:hAnsi="Times New Roman"/>
        </w:rPr>
        <w:t xml:space="preserve">well cared for by an adult skilled and knowledgeable in </w:t>
      </w:r>
      <w:r w:rsidR="00624370" w:rsidRPr="00A44D75">
        <w:rPr>
          <w:rFonts w:ascii="Times New Roman" w:hAnsi="Times New Roman"/>
        </w:rPr>
        <w:t xml:space="preserve">supporting </w:t>
      </w:r>
      <w:r w:rsidR="005C066C" w:rsidRPr="00A44D75">
        <w:rPr>
          <w:rFonts w:ascii="Times New Roman" w:hAnsi="Times New Roman"/>
        </w:rPr>
        <w:t>their development and growth.</w:t>
      </w:r>
      <w:r w:rsidR="0069473F" w:rsidRPr="00A44D75">
        <w:rPr>
          <w:rFonts w:ascii="Times New Roman" w:hAnsi="Times New Roman"/>
        </w:rPr>
        <w:t xml:space="preserve"> </w:t>
      </w:r>
      <w:r w:rsidR="00A054DE" w:rsidRPr="00A44D75">
        <w:rPr>
          <w:rFonts w:ascii="Times New Roman" w:hAnsi="Times New Roman"/>
        </w:rPr>
        <w:t xml:space="preserve">As </w:t>
      </w:r>
      <w:r w:rsidR="00622AD2">
        <w:rPr>
          <w:rFonts w:ascii="Times New Roman" w:hAnsi="Times New Roman"/>
        </w:rPr>
        <w:t xml:space="preserve">individual </w:t>
      </w:r>
      <w:r w:rsidR="00A054DE" w:rsidRPr="00A44D75">
        <w:rPr>
          <w:rFonts w:ascii="Times New Roman" w:hAnsi="Times New Roman"/>
        </w:rPr>
        <w:t xml:space="preserve">families struggle to balance the search for affordability with the need for safety and quality – and as </w:t>
      </w:r>
      <w:r w:rsidR="00622AD2">
        <w:rPr>
          <w:rFonts w:ascii="Times New Roman" w:hAnsi="Times New Roman"/>
        </w:rPr>
        <w:t xml:space="preserve">individual </w:t>
      </w:r>
      <w:r w:rsidR="00A054DE" w:rsidRPr="00A44D75">
        <w:rPr>
          <w:rFonts w:ascii="Times New Roman" w:hAnsi="Times New Roman"/>
        </w:rPr>
        <w:t xml:space="preserve">employers struggle to find </w:t>
      </w:r>
      <w:r w:rsidR="00622AD2">
        <w:rPr>
          <w:rFonts w:ascii="Times New Roman" w:hAnsi="Times New Roman"/>
        </w:rPr>
        <w:t>equitable</w:t>
      </w:r>
      <w:r w:rsidR="00A054DE" w:rsidRPr="00A44D75">
        <w:rPr>
          <w:rFonts w:ascii="Times New Roman" w:hAnsi="Times New Roman"/>
        </w:rPr>
        <w:t xml:space="preserve"> business solution</w:t>
      </w:r>
      <w:r w:rsidR="00622AD2">
        <w:rPr>
          <w:rFonts w:ascii="Times New Roman" w:hAnsi="Times New Roman"/>
        </w:rPr>
        <w:t>s</w:t>
      </w:r>
      <w:r w:rsidR="00A054DE" w:rsidRPr="00A44D75">
        <w:rPr>
          <w:rFonts w:ascii="Times New Roman" w:hAnsi="Times New Roman"/>
        </w:rPr>
        <w:t xml:space="preserve">– it is clear that a federally driven subsidy program is not adequate to </w:t>
      </w:r>
      <w:r w:rsidR="00622AD2">
        <w:rPr>
          <w:rFonts w:ascii="Times New Roman" w:hAnsi="Times New Roman"/>
        </w:rPr>
        <w:t xml:space="preserve">fully </w:t>
      </w:r>
      <w:r w:rsidR="00A054DE" w:rsidRPr="00A44D75">
        <w:rPr>
          <w:rFonts w:ascii="Times New Roman" w:hAnsi="Times New Roman"/>
        </w:rPr>
        <w:t xml:space="preserve">address affordability </w:t>
      </w:r>
      <w:r w:rsidR="00622AD2">
        <w:rPr>
          <w:rFonts w:ascii="Times New Roman" w:hAnsi="Times New Roman"/>
        </w:rPr>
        <w:t xml:space="preserve">required in this </w:t>
      </w:r>
      <w:r w:rsidR="00A054DE" w:rsidRPr="00A44D75">
        <w:rPr>
          <w:rFonts w:ascii="Times New Roman" w:hAnsi="Times New Roman"/>
        </w:rPr>
        <w:t xml:space="preserve"> economic recovery.</w:t>
      </w:r>
      <w:r w:rsidR="00812C6A" w:rsidRPr="00A44D75">
        <w:rPr>
          <w:rFonts w:ascii="Times New Roman" w:hAnsi="Times New Roman"/>
        </w:rPr>
        <w:t xml:space="preserve"> </w:t>
      </w:r>
      <w:r w:rsidR="00F66E57" w:rsidRPr="00A44D75">
        <w:rPr>
          <w:rFonts w:ascii="Times New Roman" w:hAnsi="Times New Roman"/>
        </w:rPr>
        <w:t>And w</w:t>
      </w:r>
      <w:r w:rsidR="00F77168" w:rsidRPr="00A44D75">
        <w:rPr>
          <w:rFonts w:ascii="Times New Roman" w:hAnsi="Times New Roman"/>
        </w:rPr>
        <w:t>hile businesses can and should work to better support employees with policies and resources that support working families</w:t>
      </w:r>
      <w:r w:rsidR="00622AD2">
        <w:rPr>
          <w:rFonts w:ascii="Times New Roman" w:hAnsi="Times New Roman"/>
        </w:rPr>
        <w:t xml:space="preserve"> and </w:t>
      </w:r>
      <w:r w:rsidR="00812C6A" w:rsidRPr="00A44D75">
        <w:rPr>
          <w:rFonts w:ascii="Times New Roman" w:hAnsi="Times New Roman"/>
        </w:rPr>
        <w:t>the</w:t>
      </w:r>
      <w:r w:rsidR="009206A7">
        <w:rPr>
          <w:rFonts w:ascii="Times New Roman" w:hAnsi="Times New Roman"/>
        </w:rPr>
        <w:t>ir</w:t>
      </w:r>
      <w:r w:rsidR="00812C6A" w:rsidRPr="00A44D75">
        <w:rPr>
          <w:rFonts w:ascii="Times New Roman" w:hAnsi="Times New Roman"/>
        </w:rPr>
        <w:t xml:space="preserve"> need for care</w:t>
      </w:r>
      <w:r w:rsidR="00F77168" w:rsidRPr="00A44D75">
        <w:rPr>
          <w:rFonts w:ascii="Times New Roman" w:hAnsi="Times New Roman"/>
        </w:rPr>
        <w:t xml:space="preserve">, </w:t>
      </w:r>
      <w:r w:rsidR="00331F20" w:rsidRPr="00A44D75">
        <w:rPr>
          <w:rFonts w:ascii="Times New Roman" w:hAnsi="Times New Roman"/>
        </w:rPr>
        <w:t>as noted in a recent report by the US Treasury, government</w:t>
      </w:r>
      <w:r w:rsidR="003560AA" w:rsidRPr="00A44D75">
        <w:rPr>
          <w:rFonts w:ascii="Times New Roman" w:hAnsi="Times New Roman"/>
        </w:rPr>
        <w:t xml:space="preserve"> investment will be necessary to solve issues at scale</w:t>
      </w:r>
      <w:r w:rsidR="00331F20" w:rsidRPr="00A44D75">
        <w:rPr>
          <w:rFonts w:ascii="Times New Roman" w:hAnsi="Times New Roman"/>
        </w:rPr>
        <w:t xml:space="preserve">. </w:t>
      </w:r>
    </w:p>
    <w:p w14:paraId="25E11A85" w14:textId="77777777" w:rsidR="00812C6A" w:rsidRPr="00A44D75" w:rsidRDefault="00812C6A" w:rsidP="04BB1B5D">
      <w:pPr>
        <w:tabs>
          <w:tab w:val="left" w:pos="2200"/>
        </w:tabs>
        <w:rPr>
          <w:rFonts w:ascii="Times New Roman" w:hAnsi="Times New Roman"/>
        </w:rPr>
      </w:pPr>
    </w:p>
    <w:p w14:paraId="02D8D80A" w14:textId="3DB21E1D" w:rsidR="1A211242" w:rsidRPr="00A44D75" w:rsidRDefault="00331F20" w:rsidP="04BB1B5D">
      <w:pPr>
        <w:tabs>
          <w:tab w:val="left" w:pos="2200"/>
        </w:tabs>
        <w:rPr>
          <w:rFonts w:ascii="Times New Roman" w:hAnsi="Times New Roman"/>
        </w:rPr>
      </w:pPr>
      <w:r w:rsidRPr="00A44D75">
        <w:rPr>
          <w:rFonts w:ascii="Times New Roman" w:hAnsi="Times New Roman"/>
        </w:rPr>
        <w:t>Massachusetts has an opportunity</w:t>
      </w:r>
      <w:r w:rsidR="006C1CF2">
        <w:rPr>
          <w:rFonts w:ascii="Times New Roman" w:hAnsi="Times New Roman"/>
        </w:rPr>
        <w:t xml:space="preserve"> as</w:t>
      </w:r>
      <w:r w:rsidRPr="00A44D75">
        <w:rPr>
          <w:rFonts w:ascii="Times New Roman" w:hAnsi="Times New Roman"/>
        </w:rPr>
        <w:t xml:space="preserve"> </w:t>
      </w:r>
      <w:r w:rsidR="003560AA" w:rsidRPr="00A44D75">
        <w:rPr>
          <w:rFonts w:ascii="Times New Roman" w:hAnsi="Times New Roman"/>
        </w:rPr>
        <w:t xml:space="preserve">a national leader in demonstrating what is possible when </w:t>
      </w:r>
      <w:r w:rsidR="004A7DF4" w:rsidRPr="00A44D75">
        <w:rPr>
          <w:rFonts w:ascii="Times New Roman" w:hAnsi="Times New Roman"/>
        </w:rPr>
        <w:t>system</w:t>
      </w:r>
      <w:r w:rsidR="006C1CF2">
        <w:rPr>
          <w:rFonts w:ascii="Times New Roman" w:hAnsi="Times New Roman"/>
        </w:rPr>
        <w:t>s</w:t>
      </w:r>
      <w:r w:rsidR="004A7DF4" w:rsidRPr="00A44D75">
        <w:rPr>
          <w:rFonts w:ascii="Times New Roman" w:hAnsi="Times New Roman"/>
        </w:rPr>
        <w:t xml:space="preserve"> are intentionally designed to support working families across the state.  </w:t>
      </w:r>
      <w:r w:rsidR="00650D9E" w:rsidRPr="00A44D75">
        <w:rPr>
          <w:rFonts w:ascii="Times New Roman" w:hAnsi="Times New Roman"/>
        </w:rPr>
        <w:t>The</w:t>
      </w:r>
      <w:r w:rsidR="00665B90" w:rsidRPr="00A44D75">
        <w:rPr>
          <w:rFonts w:ascii="Times New Roman" w:hAnsi="Times New Roman"/>
        </w:rPr>
        <w:t xml:space="preserve"> </w:t>
      </w:r>
      <w:r w:rsidR="005233FC" w:rsidRPr="00A44D75">
        <w:rPr>
          <w:rFonts w:ascii="Times New Roman" w:hAnsi="Times New Roman"/>
        </w:rPr>
        <w:t>Board strongly encourages</w:t>
      </w:r>
      <w:r w:rsidR="004244DB" w:rsidRPr="00A44D75">
        <w:rPr>
          <w:rFonts w:ascii="Times New Roman" w:hAnsi="Times New Roman"/>
        </w:rPr>
        <w:t xml:space="preserve"> </w:t>
      </w:r>
      <w:r w:rsidR="00650D9E" w:rsidRPr="00A44D75">
        <w:rPr>
          <w:rFonts w:ascii="Times New Roman" w:hAnsi="Times New Roman"/>
        </w:rPr>
        <w:t xml:space="preserve">the </w:t>
      </w:r>
      <w:r w:rsidR="004244DB" w:rsidRPr="00A44D75">
        <w:rPr>
          <w:rFonts w:ascii="Times New Roman" w:hAnsi="Times New Roman"/>
        </w:rPr>
        <w:t xml:space="preserve">considerations </w:t>
      </w:r>
      <w:r w:rsidR="00650D9E" w:rsidRPr="00A44D75">
        <w:rPr>
          <w:rFonts w:ascii="Times New Roman" w:hAnsi="Times New Roman"/>
        </w:rPr>
        <w:t>for</w:t>
      </w:r>
      <w:r w:rsidR="00F12D32" w:rsidRPr="00A44D75">
        <w:rPr>
          <w:rFonts w:ascii="Times New Roman" w:hAnsi="Times New Roman"/>
        </w:rPr>
        <w:t xml:space="preserve"> </w:t>
      </w:r>
      <w:r w:rsidR="00650D9E" w:rsidRPr="00A44D75">
        <w:rPr>
          <w:rFonts w:ascii="Times New Roman" w:hAnsi="Times New Roman"/>
        </w:rPr>
        <w:t>subsidies and family affordability</w:t>
      </w:r>
      <w:r w:rsidR="009C7502">
        <w:rPr>
          <w:rFonts w:ascii="Times New Roman" w:hAnsi="Times New Roman"/>
        </w:rPr>
        <w:t xml:space="preserve"> in the</w:t>
      </w:r>
      <w:r w:rsidR="00F12D32" w:rsidRPr="00A44D75">
        <w:rPr>
          <w:rFonts w:ascii="Times New Roman" w:hAnsi="Times New Roman"/>
        </w:rPr>
        <w:t xml:space="preserve"> </w:t>
      </w:r>
      <w:r w:rsidR="004244DB" w:rsidRPr="00A44D75">
        <w:rPr>
          <w:rFonts w:ascii="Times New Roman" w:hAnsi="Times New Roman"/>
        </w:rPr>
        <w:t>FY23 budget</w:t>
      </w:r>
      <w:r w:rsidR="1A211242" w:rsidRPr="00A44D75">
        <w:rPr>
          <w:rFonts w:ascii="Times New Roman" w:hAnsi="Times New Roman"/>
        </w:rPr>
        <w:t>:</w:t>
      </w:r>
    </w:p>
    <w:p w14:paraId="51C51237" w14:textId="343239DD" w:rsidR="1A211242" w:rsidRPr="006B5418" w:rsidRDefault="1A211242" w:rsidP="04BB1B5D">
      <w:pPr>
        <w:tabs>
          <w:tab w:val="left" w:pos="2200"/>
        </w:tabs>
        <w:rPr>
          <w:rFonts w:ascii="Times New Roman" w:hAnsi="Times New Roman"/>
        </w:rPr>
      </w:pPr>
      <w:r w:rsidRPr="00A44D75">
        <w:rPr>
          <w:rFonts w:ascii="Times New Roman" w:hAnsi="Times New Roman"/>
        </w:rPr>
        <w:t xml:space="preserve"> </w:t>
      </w:r>
    </w:p>
    <w:p w14:paraId="59C3229C" w14:textId="4AD23301" w:rsidR="0060771B" w:rsidRPr="009206A7" w:rsidRDefault="003E17C5" w:rsidP="04BB1B5D">
      <w:pPr>
        <w:pStyle w:val="ListParagraph"/>
        <w:numPr>
          <w:ilvl w:val="0"/>
          <w:numId w:val="14"/>
        </w:numPr>
        <w:rPr>
          <w:rFonts w:asciiTheme="minorHAnsi" w:eastAsiaTheme="minorEastAsia" w:hAnsiTheme="minorHAnsi" w:cstheme="minorBidi"/>
        </w:rPr>
      </w:pPr>
      <w:r w:rsidRPr="00A44D75">
        <w:rPr>
          <w:rFonts w:ascii="Times New Roman" w:hAnsi="Times New Roman"/>
          <w:b/>
          <w:bCs/>
        </w:rPr>
        <w:t xml:space="preserve">Focus on redesigning the subsidy system </w:t>
      </w:r>
      <w:r w:rsidR="00A41A95" w:rsidRPr="00A44D75">
        <w:rPr>
          <w:rFonts w:ascii="Times New Roman" w:hAnsi="Times New Roman"/>
          <w:b/>
          <w:bCs/>
        </w:rPr>
        <w:t xml:space="preserve">in a manner that </w:t>
      </w:r>
      <w:r w:rsidR="00CA4973" w:rsidRPr="00A44D75">
        <w:rPr>
          <w:rFonts w:ascii="Times New Roman" w:hAnsi="Times New Roman"/>
          <w:b/>
          <w:bCs/>
        </w:rPr>
        <w:t xml:space="preserve">simplifies </w:t>
      </w:r>
      <w:r w:rsidR="00D81D8B" w:rsidRPr="00A44D75">
        <w:rPr>
          <w:rFonts w:ascii="Times New Roman" w:hAnsi="Times New Roman"/>
          <w:b/>
          <w:bCs/>
        </w:rPr>
        <w:t>access for familie</w:t>
      </w:r>
      <w:r w:rsidR="009E2426" w:rsidRPr="00A44D75">
        <w:rPr>
          <w:rFonts w:ascii="Times New Roman" w:hAnsi="Times New Roman"/>
          <w:b/>
          <w:bCs/>
        </w:rPr>
        <w:t>s</w:t>
      </w:r>
      <w:r w:rsidR="00F12D32" w:rsidRPr="00A44D75">
        <w:rPr>
          <w:rFonts w:ascii="Times New Roman" w:hAnsi="Times New Roman"/>
        </w:rPr>
        <w:t>, based on demographics and needs across the Commonwealth</w:t>
      </w:r>
      <w:r w:rsidR="009E2426" w:rsidRPr="00A44D75">
        <w:rPr>
          <w:rFonts w:ascii="Times New Roman" w:hAnsi="Times New Roman"/>
        </w:rPr>
        <w:t>.</w:t>
      </w:r>
      <w:r w:rsidR="004B319E" w:rsidRPr="00A44D75">
        <w:rPr>
          <w:rFonts w:ascii="Times New Roman" w:hAnsi="Times New Roman"/>
        </w:rPr>
        <w:t xml:space="preserve"> </w:t>
      </w:r>
      <w:r w:rsidR="009E2426" w:rsidRPr="00A44D75">
        <w:rPr>
          <w:rFonts w:ascii="Times New Roman" w:hAnsi="Times New Roman"/>
        </w:rPr>
        <w:t xml:space="preserve">  </w:t>
      </w:r>
      <w:r w:rsidR="0060771B" w:rsidRPr="00A44D75">
        <w:rPr>
          <w:rFonts w:ascii="Times New Roman" w:hAnsi="Times New Roman"/>
        </w:rPr>
        <w:t xml:space="preserve">The complex </w:t>
      </w:r>
      <w:r w:rsidR="00D967B7" w:rsidRPr="00A44D75">
        <w:rPr>
          <w:rFonts w:ascii="Times New Roman" w:hAnsi="Times New Roman"/>
        </w:rPr>
        <w:t>n</w:t>
      </w:r>
      <w:r w:rsidR="0060771B" w:rsidRPr="00A44D75">
        <w:rPr>
          <w:rFonts w:ascii="Times New Roman" w:hAnsi="Times New Roman"/>
        </w:rPr>
        <w:t>ature of</w:t>
      </w:r>
      <w:r w:rsidR="00D967B7" w:rsidRPr="00A44D75">
        <w:rPr>
          <w:rFonts w:ascii="Times New Roman" w:hAnsi="Times New Roman"/>
        </w:rPr>
        <w:t xml:space="preserve"> </w:t>
      </w:r>
      <w:r w:rsidR="00D869D8" w:rsidRPr="00A44D75">
        <w:rPr>
          <w:rFonts w:ascii="Times New Roman" w:hAnsi="Times New Roman"/>
        </w:rPr>
        <w:t xml:space="preserve">federal regulations </w:t>
      </w:r>
      <w:r w:rsidR="00331F20" w:rsidRPr="00A44D75">
        <w:rPr>
          <w:rFonts w:ascii="Times New Roman" w:hAnsi="Times New Roman"/>
        </w:rPr>
        <w:t xml:space="preserve">and the state’s subsidy eligibility system </w:t>
      </w:r>
      <w:r w:rsidR="00896735" w:rsidRPr="00A44D75">
        <w:rPr>
          <w:rFonts w:ascii="Times New Roman" w:hAnsi="Times New Roman"/>
        </w:rPr>
        <w:t xml:space="preserve">will require EEC to thoughtfully </w:t>
      </w:r>
      <w:r w:rsidR="009E27BB" w:rsidRPr="00A44D75">
        <w:rPr>
          <w:rFonts w:ascii="Times New Roman" w:hAnsi="Times New Roman"/>
        </w:rPr>
        <w:t>plan for structure</w:t>
      </w:r>
      <w:r w:rsidR="00226C02" w:rsidRPr="00A44D75">
        <w:rPr>
          <w:rFonts w:ascii="Times New Roman" w:hAnsi="Times New Roman"/>
        </w:rPr>
        <w:t>s</w:t>
      </w:r>
      <w:r w:rsidR="009E27BB" w:rsidRPr="00A44D75">
        <w:rPr>
          <w:rFonts w:ascii="Times New Roman" w:hAnsi="Times New Roman"/>
        </w:rPr>
        <w:t xml:space="preserve"> that can achieve the multiple goals the system serves across demographics and stakeholders</w:t>
      </w:r>
      <w:r w:rsidR="009206A7">
        <w:rPr>
          <w:rFonts w:ascii="Times New Roman" w:hAnsi="Times New Roman"/>
        </w:rPr>
        <w:t xml:space="preserve">, </w:t>
      </w:r>
      <w:r w:rsidR="004B319E" w:rsidRPr="00A44D75">
        <w:rPr>
          <w:rFonts w:ascii="Times New Roman" w:hAnsi="Times New Roman"/>
        </w:rPr>
        <w:t>balanc</w:t>
      </w:r>
      <w:r w:rsidR="009206A7">
        <w:rPr>
          <w:rFonts w:ascii="Times New Roman" w:hAnsi="Times New Roman"/>
        </w:rPr>
        <w:t>ing</w:t>
      </w:r>
      <w:r w:rsidR="004B319E" w:rsidRPr="00A44D75">
        <w:rPr>
          <w:rFonts w:ascii="Times New Roman" w:hAnsi="Times New Roman"/>
        </w:rPr>
        <w:t xml:space="preserve"> goals for</w:t>
      </w:r>
      <w:r w:rsidR="00F12D32" w:rsidRPr="00A44D75">
        <w:rPr>
          <w:rFonts w:ascii="Times New Roman" w:hAnsi="Times New Roman"/>
        </w:rPr>
        <w:t xml:space="preserve"> parents seeking child care and </w:t>
      </w:r>
      <w:r w:rsidR="004B319E" w:rsidRPr="00A44D75">
        <w:rPr>
          <w:rFonts w:ascii="Times New Roman" w:hAnsi="Times New Roman"/>
        </w:rPr>
        <w:t xml:space="preserve">for the </w:t>
      </w:r>
      <w:r w:rsidR="00F12D32" w:rsidRPr="00A44D75">
        <w:rPr>
          <w:rFonts w:ascii="Times New Roman" w:hAnsi="Times New Roman"/>
        </w:rPr>
        <w:t>programs that support them</w:t>
      </w:r>
      <w:r w:rsidR="009C7502">
        <w:rPr>
          <w:rFonts w:ascii="Times New Roman" w:hAnsi="Times New Roman"/>
        </w:rPr>
        <w:t>.</w:t>
      </w:r>
      <w:r w:rsidR="004B319E" w:rsidRPr="00A44D75">
        <w:rPr>
          <w:rFonts w:ascii="Times New Roman" w:hAnsi="Times New Roman"/>
        </w:rPr>
        <w:t xml:space="preserve"> </w:t>
      </w:r>
      <w:r w:rsidR="00226C02" w:rsidRPr="00A44D75">
        <w:rPr>
          <w:rFonts w:ascii="Times New Roman" w:hAnsi="Times New Roman"/>
        </w:rPr>
        <w:t>This includes providing stable funding for programs that serve the most vulnerable families</w:t>
      </w:r>
      <w:r w:rsidR="009C7502">
        <w:rPr>
          <w:rFonts w:ascii="Times New Roman" w:hAnsi="Times New Roman"/>
        </w:rPr>
        <w:t xml:space="preserve"> </w:t>
      </w:r>
      <w:r w:rsidR="00113EA3" w:rsidRPr="00A44D75">
        <w:rPr>
          <w:rFonts w:ascii="Times New Roman" w:hAnsi="Times New Roman"/>
        </w:rPr>
        <w:t>-</w:t>
      </w:r>
      <w:r w:rsidR="009C7502">
        <w:rPr>
          <w:rFonts w:ascii="Times New Roman" w:hAnsi="Times New Roman"/>
        </w:rPr>
        <w:t>-</w:t>
      </w:r>
      <w:r w:rsidR="00865472" w:rsidRPr="00A44D75">
        <w:rPr>
          <w:rFonts w:ascii="Times New Roman" w:hAnsi="Times New Roman"/>
        </w:rPr>
        <w:t xml:space="preserve"> by leveraging </w:t>
      </w:r>
      <w:r w:rsidR="00F12D32" w:rsidRPr="00A44D75">
        <w:rPr>
          <w:rFonts w:ascii="Times New Roman" w:hAnsi="Times New Roman"/>
        </w:rPr>
        <w:t xml:space="preserve">new processes for agencies with subsidy contracts </w:t>
      </w:r>
      <w:r w:rsidR="009206A7">
        <w:rPr>
          <w:rFonts w:ascii="Times New Roman" w:hAnsi="Times New Roman"/>
        </w:rPr>
        <w:t xml:space="preserve"> </w:t>
      </w:r>
      <w:r w:rsidR="00113EA3" w:rsidRPr="00A44D75">
        <w:rPr>
          <w:rFonts w:ascii="Times New Roman" w:hAnsi="Times New Roman"/>
        </w:rPr>
        <w:t>that underwrite participation for</w:t>
      </w:r>
      <w:r w:rsidR="007302B3" w:rsidRPr="00A44D75">
        <w:rPr>
          <w:rFonts w:ascii="Times New Roman" w:hAnsi="Times New Roman"/>
        </w:rPr>
        <w:t xml:space="preserve"> </w:t>
      </w:r>
      <w:r w:rsidR="000E4DF9" w:rsidRPr="00A44D75">
        <w:rPr>
          <w:rFonts w:ascii="Times New Roman" w:hAnsi="Times New Roman"/>
        </w:rPr>
        <w:t>the most vulnerable children</w:t>
      </w:r>
      <w:r w:rsidR="007302B3" w:rsidRPr="00A44D75">
        <w:rPr>
          <w:rFonts w:ascii="Times New Roman" w:hAnsi="Times New Roman"/>
        </w:rPr>
        <w:t xml:space="preserve"> </w:t>
      </w:r>
      <w:r w:rsidR="0063175B" w:rsidRPr="00A44D75">
        <w:rPr>
          <w:rFonts w:ascii="Times New Roman" w:hAnsi="Times New Roman"/>
        </w:rPr>
        <w:t xml:space="preserve">and, </w:t>
      </w:r>
      <w:r w:rsidR="003175EB" w:rsidRPr="00A44D75">
        <w:rPr>
          <w:rFonts w:ascii="Times New Roman" w:hAnsi="Times New Roman"/>
        </w:rPr>
        <w:t xml:space="preserve">revamping </w:t>
      </w:r>
      <w:r w:rsidR="00F12D32" w:rsidRPr="00A44D75">
        <w:rPr>
          <w:rFonts w:ascii="Times New Roman" w:hAnsi="Times New Roman"/>
        </w:rPr>
        <w:t xml:space="preserve">the process for individual families to access child care tuition relief through the child care voucher process, ensuring easier access, reducing wait-times, and investing in sufficient supports for families in accessing this important resource as they return to work.  </w:t>
      </w:r>
    </w:p>
    <w:p w14:paraId="0206EDF5" w14:textId="3D643854" w:rsidR="00B005AD" w:rsidRPr="006B5418" w:rsidRDefault="00F12D32" w:rsidP="00B005AD">
      <w:pPr>
        <w:pStyle w:val="ListParagraph"/>
        <w:numPr>
          <w:ilvl w:val="0"/>
          <w:numId w:val="14"/>
        </w:numPr>
        <w:rPr>
          <w:rFonts w:ascii="Times New Roman" w:eastAsiaTheme="minorEastAsia" w:hAnsi="Times New Roman"/>
        </w:rPr>
      </w:pPr>
      <w:r w:rsidRPr="00A44D75">
        <w:rPr>
          <w:rFonts w:ascii="Times New Roman" w:hAnsi="Times New Roman"/>
          <w:b/>
          <w:bCs/>
        </w:rPr>
        <w:t>P</w:t>
      </w:r>
      <w:r w:rsidR="1A211242" w:rsidRPr="00A44D75">
        <w:rPr>
          <w:rFonts w:ascii="Times New Roman" w:hAnsi="Times New Roman"/>
          <w:b/>
          <w:bCs/>
        </w:rPr>
        <w:t xml:space="preserve">ursue innovations </w:t>
      </w:r>
      <w:r w:rsidRPr="00A44D75">
        <w:rPr>
          <w:rFonts w:ascii="Times New Roman" w:hAnsi="Times New Roman"/>
          <w:b/>
          <w:bCs/>
        </w:rPr>
        <w:t>that</w:t>
      </w:r>
      <w:r w:rsidR="1A211242" w:rsidRPr="00A44D75">
        <w:rPr>
          <w:rFonts w:ascii="Times New Roman" w:hAnsi="Times New Roman"/>
          <w:b/>
          <w:bCs/>
        </w:rPr>
        <w:t xml:space="preserve"> support access and affordability</w:t>
      </w:r>
      <w:r w:rsidR="1A211242" w:rsidRPr="00A44D75">
        <w:rPr>
          <w:rFonts w:ascii="Times New Roman" w:hAnsi="Times New Roman"/>
        </w:rPr>
        <w:t xml:space="preserve"> for all families</w:t>
      </w:r>
      <w:r w:rsidRPr="00A44D75">
        <w:rPr>
          <w:rFonts w:ascii="Times New Roman" w:hAnsi="Times New Roman"/>
        </w:rPr>
        <w:t xml:space="preserve"> seeking child care</w:t>
      </w:r>
      <w:r w:rsidR="00224859" w:rsidRPr="00A44D75">
        <w:rPr>
          <w:rFonts w:ascii="Times New Roman" w:hAnsi="Times New Roman"/>
        </w:rPr>
        <w:t xml:space="preserve"> – which t</w:t>
      </w:r>
      <w:r w:rsidR="00B005AD" w:rsidRPr="00A44D75">
        <w:rPr>
          <w:rFonts w:ascii="Times New Roman" w:hAnsi="Times New Roman"/>
        </w:rPr>
        <w:t xml:space="preserve">he Future of Work report demonstrated would be </w:t>
      </w:r>
      <w:r w:rsidR="00224859" w:rsidRPr="00A44D75">
        <w:rPr>
          <w:rFonts w:ascii="Times New Roman" w:hAnsi="Times New Roman"/>
        </w:rPr>
        <w:t xml:space="preserve">constant </w:t>
      </w:r>
      <w:r w:rsidR="00B005AD" w:rsidRPr="00A44D75">
        <w:rPr>
          <w:rFonts w:ascii="Times New Roman" w:hAnsi="Times New Roman"/>
        </w:rPr>
        <w:t xml:space="preserve">regardless of remote </w:t>
      </w:r>
      <w:r w:rsidR="00224859" w:rsidRPr="00A44D75">
        <w:rPr>
          <w:rFonts w:ascii="Times New Roman" w:hAnsi="Times New Roman"/>
        </w:rPr>
        <w:t xml:space="preserve">or hybrid </w:t>
      </w:r>
      <w:r w:rsidR="00B005AD" w:rsidRPr="00A44D75">
        <w:rPr>
          <w:rFonts w:ascii="Times New Roman" w:hAnsi="Times New Roman"/>
        </w:rPr>
        <w:t xml:space="preserve">work </w:t>
      </w:r>
      <w:r w:rsidR="00224859" w:rsidRPr="00A44D75">
        <w:rPr>
          <w:rFonts w:ascii="Times New Roman" w:hAnsi="Times New Roman"/>
        </w:rPr>
        <w:t xml:space="preserve">agreements. </w:t>
      </w:r>
      <w:r w:rsidR="00B005AD" w:rsidRPr="00A44D75">
        <w:rPr>
          <w:rFonts w:ascii="Times New Roman" w:hAnsi="Times New Roman"/>
        </w:rPr>
        <w:t xml:space="preserve">The traditional approach to subsidized child care, largely </w:t>
      </w:r>
      <w:r w:rsidR="00F71170" w:rsidRPr="00A44D75">
        <w:rPr>
          <w:rFonts w:ascii="Times New Roman" w:hAnsi="Times New Roman"/>
        </w:rPr>
        <w:t>driven through</w:t>
      </w:r>
      <w:r w:rsidR="00B005AD" w:rsidRPr="00A44D75">
        <w:rPr>
          <w:rFonts w:ascii="Times New Roman" w:hAnsi="Times New Roman"/>
        </w:rPr>
        <w:t xml:space="preserve"> federal reforms have </w:t>
      </w:r>
      <w:r w:rsidR="007E2643" w:rsidRPr="00A44D75">
        <w:rPr>
          <w:rFonts w:ascii="Times New Roman" w:hAnsi="Times New Roman"/>
        </w:rPr>
        <w:t xml:space="preserve">created </w:t>
      </w:r>
      <w:r w:rsidR="00B005AD" w:rsidRPr="00A44D75">
        <w:rPr>
          <w:rFonts w:ascii="Times New Roman" w:hAnsi="Times New Roman"/>
        </w:rPr>
        <w:t xml:space="preserve">gaps continuously </w:t>
      </w:r>
      <w:r w:rsidR="007E2643" w:rsidRPr="00A44D75">
        <w:rPr>
          <w:rFonts w:ascii="Times New Roman" w:hAnsi="Times New Roman"/>
        </w:rPr>
        <w:t xml:space="preserve">raised </w:t>
      </w:r>
      <w:r w:rsidR="00B005AD" w:rsidRPr="00A44D75">
        <w:rPr>
          <w:rFonts w:ascii="Times New Roman" w:hAnsi="Times New Roman"/>
        </w:rPr>
        <w:t>in family and business feedback</w:t>
      </w:r>
      <w:r w:rsidR="007E2643" w:rsidRPr="00A44D75">
        <w:rPr>
          <w:rFonts w:ascii="Times New Roman" w:hAnsi="Times New Roman"/>
        </w:rPr>
        <w:t xml:space="preserve">. For Massachusetts to support families, particularly women, to re-enter the workforce - </w:t>
      </w:r>
      <w:r w:rsidR="00B005AD" w:rsidRPr="00A44D75">
        <w:rPr>
          <w:rFonts w:ascii="Times New Roman" w:hAnsi="Times New Roman"/>
        </w:rPr>
        <w:t xml:space="preserve">creative solutions </w:t>
      </w:r>
      <w:r w:rsidR="009206A7">
        <w:rPr>
          <w:rFonts w:ascii="Times New Roman" w:hAnsi="Times New Roman"/>
        </w:rPr>
        <w:t>targeting</w:t>
      </w:r>
      <w:r w:rsidR="007E2643" w:rsidRPr="00A44D75">
        <w:rPr>
          <w:rFonts w:ascii="Times New Roman" w:hAnsi="Times New Roman"/>
        </w:rPr>
        <w:t xml:space="preserve"> the affordability </w:t>
      </w:r>
      <w:r w:rsidR="009206A7">
        <w:rPr>
          <w:rFonts w:ascii="Times New Roman" w:hAnsi="Times New Roman"/>
        </w:rPr>
        <w:t>of care</w:t>
      </w:r>
      <w:r w:rsidR="007E2643" w:rsidRPr="00A44D75">
        <w:rPr>
          <w:rFonts w:ascii="Times New Roman" w:hAnsi="Times New Roman"/>
        </w:rPr>
        <w:t xml:space="preserve"> must </w:t>
      </w:r>
      <w:r w:rsidR="00B005AD" w:rsidRPr="00A44D75">
        <w:rPr>
          <w:rFonts w:ascii="Times New Roman" w:hAnsi="Times New Roman"/>
        </w:rPr>
        <w:t xml:space="preserve">be identified, researched, and piloted </w:t>
      </w:r>
      <w:r w:rsidR="007E2643" w:rsidRPr="00A44D75">
        <w:rPr>
          <w:rFonts w:ascii="Times New Roman" w:hAnsi="Times New Roman"/>
        </w:rPr>
        <w:t>for scale</w:t>
      </w:r>
      <w:r w:rsidR="1A211242" w:rsidRPr="00A44D75">
        <w:rPr>
          <w:rFonts w:ascii="Times New Roman" w:hAnsi="Times New Roman"/>
        </w:rPr>
        <w:t>.</w:t>
      </w:r>
    </w:p>
    <w:p w14:paraId="59C0A929" w14:textId="77777777" w:rsidR="00B005AD" w:rsidRPr="006B5418" w:rsidRDefault="00B005AD" w:rsidP="00B005AD">
      <w:pPr>
        <w:rPr>
          <w:rFonts w:ascii="Times New Roman" w:eastAsiaTheme="minorEastAsia" w:hAnsi="Times New Roman"/>
        </w:rPr>
      </w:pPr>
    </w:p>
    <w:p w14:paraId="5594B48D" w14:textId="5D03686B" w:rsidR="1A211242" w:rsidRPr="006B5418" w:rsidRDefault="1A211242" w:rsidP="04BB1B5D">
      <w:pPr>
        <w:tabs>
          <w:tab w:val="left" w:pos="2200"/>
        </w:tabs>
        <w:rPr>
          <w:rFonts w:ascii="Times New Roman" w:hAnsi="Times New Roman"/>
        </w:rPr>
      </w:pPr>
      <w:r w:rsidRPr="00A44D75">
        <w:rPr>
          <w:rFonts w:ascii="Times New Roman" w:hAnsi="Times New Roman"/>
          <w:b/>
          <w:bCs/>
        </w:rPr>
        <w:t>Recommendation Three: Invest in Community-Level Service Integration</w:t>
      </w:r>
    </w:p>
    <w:p w14:paraId="69F3982B" w14:textId="77777777" w:rsidR="00DA67BF" w:rsidRDefault="00DA67BF" w:rsidP="04BB1B5D">
      <w:pPr>
        <w:tabs>
          <w:tab w:val="left" w:pos="2200"/>
        </w:tabs>
        <w:rPr>
          <w:rFonts w:ascii="Times New Roman" w:hAnsi="Times New Roman"/>
        </w:rPr>
      </w:pPr>
    </w:p>
    <w:p w14:paraId="4A41457F" w14:textId="47DFA617" w:rsidR="005D7AA3" w:rsidRPr="00A44D75" w:rsidRDefault="005D7AA3" w:rsidP="04BB1B5D">
      <w:pPr>
        <w:tabs>
          <w:tab w:val="left" w:pos="2200"/>
        </w:tabs>
        <w:rPr>
          <w:rFonts w:ascii="Times New Roman" w:hAnsi="Times New Roman"/>
        </w:rPr>
      </w:pPr>
      <w:r w:rsidRPr="00A44D75">
        <w:rPr>
          <w:rFonts w:ascii="Times New Roman" w:hAnsi="Times New Roman"/>
        </w:rPr>
        <w:t xml:space="preserve">Knowing that community-level resources have been stretched beyond capacity in trying to account for the needs of families during an unprecedented time, incentivizing local systems to break-down silos, coordinate data and align resources can truly support a more seamless integration of community assets that will impact families in meaningful ways.  </w:t>
      </w:r>
    </w:p>
    <w:p w14:paraId="2C768ECD" w14:textId="77777777" w:rsidR="005D7AA3" w:rsidRPr="00A44D75" w:rsidRDefault="005D7AA3" w:rsidP="04BB1B5D">
      <w:pPr>
        <w:tabs>
          <w:tab w:val="left" w:pos="2200"/>
        </w:tabs>
        <w:rPr>
          <w:rFonts w:ascii="Times New Roman" w:hAnsi="Times New Roman"/>
        </w:rPr>
      </w:pPr>
    </w:p>
    <w:p w14:paraId="43218322" w14:textId="542A17B0" w:rsidR="00D474FB" w:rsidRPr="00A44D75" w:rsidRDefault="00B005AD" w:rsidP="04BB1B5D">
      <w:pPr>
        <w:tabs>
          <w:tab w:val="left" w:pos="2200"/>
        </w:tabs>
        <w:rPr>
          <w:rFonts w:ascii="Times New Roman" w:hAnsi="Times New Roman"/>
        </w:rPr>
      </w:pPr>
      <w:r w:rsidRPr="00A44D75">
        <w:rPr>
          <w:rFonts w:ascii="Times New Roman" w:hAnsi="Times New Roman"/>
        </w:rPr>
        <w:t xml:space="preserve">EEC currently has a number of funding lines </w:t>
      </w:r>
      <w:r w:rsidR="00061A8E" w:rsidRPr="00A44D75">
        <w:rPr>
          <w:rFonts w:ascii="Times New Roman" w:hAnsi="Times New Roman"/>
        </w:rPr>
        <w:t>that seed</w:t>
      </w:r>
      <w:r w:rsidR="002A63FF" w:rsidRPr="00A44D75">
        <w:rPr>
          <w:rFonts w:ascii="Times New Roman" w:hAnsi="Times New Roman"/>
        </w:rPr>
        <w:t xml:space="preserve"> alignment and collaboration across state-funded resources at the local level </w:t>
      </w:r>
      <w:r w:rsidR="001E011F" w:rsidRPr="00A44D75">
        <w:rPr>
          <w:rFonts w:ascii="Times New Roman" w:hAnsi="Times New Roman"/>
        </w:rPr>
        <w:t xml:space="preserve">- </w:t>
      </w:r>
      <w:r w:rsidR="002A63FF" w:rsidRPr="00A44D75">
        <w:rPr>
          <w:rFonts w:ascii="Times New Roman" w:hAnsi="Times New Roman"/>
        </w:rPr>
        <w:t xml:space="preserve">and </w:t>
      </w:r>
      <w:r w:rsidR="009206A7">
        <w:rPr>
          <w:rFonts w:ascii="Times New Roman" w:hAnsi="Times New Roman"/>
        </w:rPr>
        <w:t xml:space="preserve">expand </w:t>
      </w:r>
      <w:r w:rsidR="00BB1F9E" w:rsidRPr="00A44D75">
        <w:rPr>
          <w:rFonts w:ascii="Times New Roman" w:hAnsi="Times New Roman"/>
        </w:rPr>
        <w:t>services</w:t>
      </w:r>
      <w:r w:rsidR="002A63FF" w:rsidRPr="00A44D75">
        <w:rPr>
          <w:rFonts w:ascii="Times New Roman" w:hAnsi="Times New Roman"/>
        </w:rPr>
        <w:t xml:space="preserve"> with </w:t>
      </w:r>
      <w:r w:rsidR="00BB1F9E" w:rsidRPr="00A44D75">
        <w:rPr>
          <w:rFonts w:ascii="Times New Roman" w:hAnsi="Times New Roman"/>
        </w:rPr>
        <w:t xml:space="preserve">added </w:t>
      </w:r>
      <w:r w:rsidR="002A63FF" w:rsidRPr="00A44D75">
        <w:rPr>
          <w:rFonts w:ascii="Times New Roman" w:hAnsi="Times New Roman"/>
        </w:rPr>
        <w:t xml:space="preserve">resources tailored to the </w:t>
      </w:r>
      <w:r w:rsidR="002A63FF" w:rsidRPr="00A44D75">
        <w:rPr>
          <w:rFonts w:ascii="Times New Roman" w:hAnsi="Times New Roman"/>
        </w:rPr>
        <w:lastRenderedPageBreak/>
        <w:t>needs of families.  These include the Coordinated Family and Community Engagement Grants (CFCE), the Commonwealth Preschool Partnership Program (CPPI), and the Child Care Resource and Referral agencies (CCRR), Mass211, among others.</w:t>
      </w:r>
      <w:r w:rsidR="00F360E3" w:rsidRPr="00A44D75">
        <w:rPr>
          <w:rFonts w:ascii="Times New Roman" w:hAnsi="Times New Roman"/>
        </w:rPr>
        <w:t xml:space="preserve"> </w:t>
      </w:r>
      <w:r w:rsidR="002A63FF" w:rsidRPr="00A44D75">
        <w:rPr>
          <w:rFonts w:ascii="Times New Roman" w:hAnsi="Times New Roman"/>
        </w:rPr>
        <w:t xml:space="preserve">In addition, EEC partnered with </w:t>
      </w:r>
      <w:r w:rsidR="009C7502">
        <w:rPr>
          <w:rFonts w:ascii="Times New Roman" w:hAnsi="Times New Roman"/>
        </w:rPr>
        <w:t>the Executive Office of Education (</w:t>
      </w:r>
      <w:r w:rsidR="002A63FF" w:rsidRPr="00A44D75">
        <w:rPr>
          <w:rFonts w:ascii="Times New Roman" w:hAnsi="Times New Roman"/>
        </w:rPr>
        <w:t>EOE</w:t>
      </w:r>
      <w:r w:rsidR="009C7502">
        <w:rPr>
          <w:rFonts w:ascii="Times New Roman" w:hAnsi="Times New Roman"/>
        </w:rPr>
        <w:t>)</w:t>
      </w:r>
      <w:r w:rsidR="002A63FF" w:rsidRPr="00A44D75">
        <w:rPr>
          <w:rFonts w:ascii="Times New Roman" w:hAnsi="Times New Roman"/>
        </w:rPr>
        <w:t xml:space="preserve"> and D</w:t>
      </w:r>
      <w:r w:rsidR="009C7502">
        <w:rPr>
          <w:rFonts w:ascii="Times New Roman" w:hAnsi="Times New Roman"/>
        </w:rPr>
        <w:t>epartment of Elementary and Secondary Education (D</w:t>
      </w:r>
      <w:r w:rsidR="002A63FF" w:rsidRPr="00A44D75">
        <w:rPr>
          <w:rFonts w:ascii="Times New Roman" w:hAnsi="Times New Roman"/>
        </w:rPr>
        <w:t>ESE</w:t>
      </w:r>
      <w:r w:rsidR="009C7502">
        <w:rPr>
          <w:rFonts w:ascii="Times New Roman" w:hAnsi="Times New Roman"/>
        </w:rPr>
        <w:t>)</w:t>
      </w:r>
      <w:r w:rsidR="002A63FF" w:rsidRPr="00A44D75">
        <w:rPr>
          <w:rFonts w:ascii="Times New Roman" w:hAnsi="Times New Roman"/>
        </w:rPr>
        <w:t xml:space="preserve"> to identify new strategies for supporting communities </w:t>
      </w:r>
      <w:r w:rsidR="00B70B24" w:rsidRPr="00A44D75">
        <w:rPr>
          <w:rFonts w:ascii="Times New Roman" w:hAnsi="Times New Roman"/>
        </w:rPr>
        <w:t>engaged in</w:t>
      </w:r>
      <w:r w:rsidR="002A63FF" w:rsidRPr="00A44D75">
        <w:rPr>
          <w:rFonts w:ascii="Times New Roman" w:hAnsi="Times New Roman"/>
        </w:rPr>
        <w:t xml:space="preserve"> remote learning</w:t>
      </w:r>
      <w:r w:rsidR="009206A7">
        <w:rPr>
          <w:rFonts w:ascii="Times New Roman" w:hAnsi="Times New Roman"/>
        </w:rPr>
        <w:t xml:space="preserve"> over the last year</w:t>
      </w:r>
      <w:r w:rsidR="00B70B24" w:rsidRPr="00A44D75">
        <w:rPr>
          <w:rFonts w:ascii="Times New Roman" w:hAnsi="Times New Roman"/>
        </w:rPr>
        <w:t xml:space="preserve">, </w:t>
      </w:r>
      <w:r w:rsidR="002A63FF" w:rsidRPr="00A44D75">
        <w:rPr>
          <w:rFonts w:ascii="Times New Roman" w:hAnsi="Times New Roman"/>
        </w:rPr>
        <w:t xml:space="preserve">such as the P-3 Remote Learning Grants and the Summer Step-Up Program.  </w:t>
      </w:r>
    </w:p>
    <w:p w14:paraId="4B58054A" w14:textId="77777777" w:rsidR="00D474FB" w:rsidRPr="00A44D75" w:rsidRDefault="00D474FB" w:rsidP="04BB1B5D">
      <w:pPr>
        <w:tabs>
          <w:tab w:val="left" w:pos="2200"/>
        </w:tabs>
        <w:rPr>
          <w:rFonts w:ascii="Times New Roman" w:hAnsi="Times New Roman"/>
        </w:rPr>
      </w:pPr>
    </w:p>
    <w:p w14:paraId="69CAD9A6" w14:textId="37F233E8" w:rsidR="002A63FF" w:rsidRPr="00A44D75" w:rsidRDefault="002A63FF" w:rsidP="04BB1B5D">
      <w:pPr>
        <w:tabs>
          <w:tab w:val="left" w:pos="2200"/>
        </w:tabs>
        <w:rPr>
          <w:rFonts w:ascii="Times New Roman" w:hAnsi="Times New Roman"/>
        </w:rPr>
      </w:pPr>
      <w:r w:rsidRPr="00A44D75">
        <w:rPr>
          <w:rFonts w:ascii="Times New Roman" w:hAnsi="Times New Roman"/>
        </w:rPr>
        <w:t>Dozens of communities benefited from this innovation and have asked for sustained support to continue the kinds of collaborative partnerships they have built at the local level, which resulted in improved services for thousands of young children and families.</w:t>
      </w:r>
      <w:r w:rsidR="005D7AA3" w:rsidRPr="00A44D75">
        <w:rPr>
          <w:rFonts w:ascii="Times New Roman" w:hAnsi="Times New Roman"/>
        </w:rPr>
        <w:t xml:space="preserve"> </w:t>
      </w:r>
      <w:r w:rsidRPr="00A44D75">
        <w:rPr>
          <w:rFonts w:ascii="Times New Roman" w:hAnsi="Times New Roman"/>
        </w:rPr>
        <w:t xml:space="preserve">Lessons from these programs include strategies to support aligned goals for families based available </w:t>
      </w:r>
      <w:r w:rsidR="00C249C4" w:rsidRPr="00A44D75">
        <w:rPr>
          <w:rFonts w:ascii="Times New Roman" w:hAnsi="Times New Roman"/>
        </w:rPr>
        <w:t xml:space="preserve">data </w:t>
      </w:r>
      <w:r w:rsidRPr="00A44D75">
        <w:rPr>
          <w:rFonts w:ascii="Times New Roman" w:hAnsi="Times New Roman"/>
        </w:rPr>
        <w:t xml:space="preserve">across systems, </w:t>
      </w:r>
      <w:r w:rsidR="00C249C4" w:rsidRPr="00A44D75">
        <w:rPr>
          <w:rFonts w:ascii="Times New Roman" w:hAnsi="Times New Roman"/>
        </w:rPr>
        <w:t>use of matching grants that incentivize investments from multiple partners to achieve actionable goals across systems, and ensuring the appropriate capacity to support the work and infrastructure to create productive collaboration.</w:t>
      </w:r>
      <w:r w:rsidR="009A1171">
        <w:rPr>
          <w:rFonts w:ascii="Times New Roman" w:hAnsi="Times New Roman"/>
        </w:rPr>
        <w:t xml:space="preserve">  </w:t>
      </w:r>
    </w:p>
    <w:p w14:paraId="4E5A47E4" w14:textId="77777777" w:rsidR="002A63FF" w:rsidRPr="00A44D75" w:rsidRDefault="002A63FF" w:rsidP="04BB1B5D">
      <w:pPr>
        <w:tabs>
          <w:tab w:val="left" w:pos="2200"/>
        </w:tabs>
        <w:rPr>
          <w:rFonts w:ascii="Times New Roman" w:hAnsi="Times New Roman"/>
        </w:rPr>
      </w:pPr>
    </w:p>
    <w:p w14:paraId="7B8EE0DA" w14:textId="0793C4B7" w:rsidR="1A211242" w:rsidRPr="00420096" w:rsidRDefault="00880586">
      <w:pPr>
        <w:tabs>
          <w:tab w:val="left" w:pos="2200"/>
        </w:tabs>
        <w:rPr>
          <w:rFonts w:ascii="Times New Roman" w:hAnsi="Times New Roman"/>
        </w:rPr>
      </w:pPr>
      <w:r w:rsidRPr="00420096">
        <w:rPr>
          <w:rFonts w:ascii="Times New Roman" w:hAnsi="Times New Roman"/>
        </w:rPr>
        <w:t>No</w:t>
      </w:r>
      <w:r w:rsidR="00C249C4" w:rsidRPr="00420096">
        <w:rPr>
          <w:rFonts w:ascii="Times New Roman" w:hAnsi="Times New Roman"/>
        </w:rPr>
        <w:t xml:space="preserve"> </w:t>
      </w:r>
      <w:r w:rsidRPr="00420096">
        <w:rPr>
          <w:rFonts w:ascii="Times New Roman" w:hAnsi="Times New Roman"/>
        </w:rPr>
        <w:t xml:space="preserve">single </w:t>
      </w:r>
      <w:r w:rsidR="00C249C4" w:rsidRPr="00420096">
        <w:rPr>
          <w:rFonts w:ascii="Times New Roman" w:hAnsi="Times New Roman"/>
        </w:rPr>
        <w:t xml:space="preserve">sector can work alone to support </w:t>
      </w:r>
      <w:r w:rsidR="007B357A" w:rsidRPr="00420096">
        <w:rPr>
          <w:rFonts w:ascii="Times New Roman" w:hAnsi="Times New Roman"/>
        </w:rPr>
        <w:t xml:space="preserve">the complex lives and needs of </w:t>
      </w:r>
      <w:r w:rsidR="00C249C4" w:rsidRPr="00420096">
        <w:rPr>
          <w:rFonts w:ascii="Times New Roman" w:hAnsi="Times New Roman"/>
        </w:rPr>
        <w:t xml:space="preserve">families.  Integrating models of services across state agencies by enhancing local capacity for coordination and community building </w:t>
      </w:r>
      <w:r w:rsidR="007B357A" w:rsidRPr="00420096">
        <w:rPr>
          <w:rFonts w:ascii="Times New Roman" w:hAnsi="Times New Roman"/>
        </w:rPr>
        <w:t>is a</w:t>
      </w:r>
      <w:r w:rsidR="00C249C4" w:rsidRPr="00420096">
        <w:rPr>
          <w:rFonts w:ascii="Times New Roman" w:hAnsi="Times New Roman"/>
        </w:rPr>
        <w:t xml:space="preserve"> necessary ingredient for sustain</w:t>
      </w:r>
      <w:r w:rsidR="007B357A" w:rsidRPr="00420096">
        <w:rPr>
          <w:rFonts w:ascii="Times New Roman" w:hAnsi="Times New Roman"/>
        </w:rPr>
        <w:t>ed</w:t>
      </w:r>
      <w:r w:rsidR="00C249C4" w:rsidRPr="00420096">
        <w:rPr>
          <w:rFonts w:ascii="Times New Roman" w:hAnsi="Times New Roman"/>
        </w:rPr>
        <w:t xml:space="preserve"> recovery</w:t>
      </w:r>
      <w:r w:rsidR="007B357A" w:rsidRPr="00420096">
        <w:rPr>
          <w:rFonts w:ascii="Times New Roman" w:hAnsi="Times New Roman"/>
        </w:rPr>
        <w:t>.</w:t>
      </w:r>
      <w:r w:rsidR="000D1C1B" w:rsidRPr="00420096">
        <w:rPr>
          <w:rFonts w:ascii="Times New Roman" w:hAnsi="Times New Roman"/>
        </w:rPr>
        <w:t xml:space="preserve"> EEC’s role has evolved as it has invested in efforts to integrate currently siloed supports</w:t>
      </w:r>
      <w:r w:rsidR="009A1171" w:rsidRPr="00420096">
        <w:rPr>
          <w:rFonts w:ascii="Times New Roman" w:hAnsi="Times New Roman"/>
        </w:rPr>
        <w:t xml:space="preserve"> funded across multiple state agencies</w:t>
      </w:r>
      <w:r w:rsidR="000D1C1B" w:rsidRPr="00420096">
        <w:rPr>
          <w:rFonts w:ascii="Times New Roman" w:hAnsi="Times New Roman"/>
        </w:rPr>
        <w:t>; this role should be elevated and expanded to reflect the role of early education and care as an entry point to an array of education and social service supports, which need to be realigned and oriented towards families</w:t>
      </w:r>
      <w:r w:rsidR="009A1171" w:rsidRPr="00420096">
        <w:rPr>
          <w:rFonts w:ascii="Times New Roman" w:hAnsi="Times New Roman"/>
        </w:rPr>
        <w:t>.  In addition, the last two years have demonstrated the critical partner that EEC</w:t>
      </w:r>
      <w:r w:rsidR="00F56647">
        <w:rPr>
          <w:rFonts w:ascii="Times New Roman" w:hAnsi="Times New Roman"/>
        </w:rPr>
        <w:t xml:space="preserve">-licensed providers </w:t>
      </w:r>
      <w:r w:rsidR="009A1171" w:rsidRPr="00420096">
        <w:rPr>
          <w:rFonts w:ascii="Times New Roman" w:hAnsi="Times New Roman"/>
        </w:rPr>
        <w:t xml:space="preserve">can be to school districts who are constrained by different variables in meeting the needs of children they serve.  </w:t>
      </w:r>
    </w:p>
    <w:p w14:paraId="48A171AF" w14:textId="77777777" w:rsidR="009A1171" w:rsidRPr="00F56647" w:rsidRDefault="009A1171">
      <w:pPr>
        <w:tabs>
          <w:tab w:val="left" w:pos="2200"/>
        </w:tabs>
        <w:rPr>
          <w:rFonts w:ascii="Times New Roman" w:hAnsi="Times New Roman"/>
          <w:highlight w:val="yellow"/>
        </w:rPr>
      </w:pPr>
    </w:p>
    <w:p w14:paraId="7235E5A7" w14:textId="2464F367" w:rsidR="000D0C1A" w:rsidRPr="00420096" w:rsidRDefault="000D0C1A" w:rsidP="04BB1B5D">
      <w:pPr>
        <w:tabs>
          <w:tab w:val="left" w:pos="2200"/>
        </w:tabs>
        <w:rPr>
          <w:rFonts w:ascii="Times New Roman" w:hAnsi="Times New Roman"/>
        </w:rPr>
      </w:pPr>
      <w:r w:rsidRPr="00420096">
        <w:rPr>
          <w:rFonts w:ascii="Times New Roman" w:hAnsi="Times New Roman"/>
        </w:rPr>
        <w:t xml:space="preserve">Much of EEC’s existing funds in this area </w:t>
      </w:r>
      <w:r w:rsidR="000300BE" w:rsidRPr="00420096">
        <w:rPr>
          <w:rFonts w:ascii="Times New Roman" w:hAnsi="Times New Roman"/>
        </w:rPr>
        <w:t>could be</w:t>
      </w:r>
      <w:r w:rsidRPr="00420096">
        <w:rPr>
          <w:rFonts w:ascii="Times New Roman" w:hAnsi="Times New Roman"/>
        </w:rPr>
        <w:t xml:space="preserve"> re-aligned</w:t>
      </w:r>
      <w:r w:rsidR="000300BE" w:rsidRPr="00420096">
        <w:rPr>
          <w:rFonts w:ascii="Times New Roman" w:hAnsi="Times New Roman"/>
        </w:rPr>
        <w:t xml:space="preserve"> and rethought</w:t>
      </w:r>
      <w:r w:rsidRPr="00420096">
        <w:rPr>
          <w:rFonts w:ascii="Times New Roman" w:hAnsi="Times New Roman"/>
        </w:rPr>
        <w:t xml:space="preserve"> based on learning from the last year</w:t>
      </w:r>
      <w:r w:rsidR="009A1171" w:rsidRPr="00420096">
        <w:rPr>
          <w:rFonts w:ascii="Times New Roman" w:hAnsi="Times New Roman"/>
        </w:rPr>
        <w:t>, and this should be done in partnership with DESE to truly maximize the potential impact on the local level</w:t>
      </w:r>
      <w:r w:rsidRPr="00420096">
        <w:rPr>
          <w:rFonts w:ascii="Times New Roman" w:hAnsi="Times New Roman"/>
        </w:rPr>
        <w:t>. With additional resources, especially as the Commonwealth prepares for potential new federal investments in early learning, preschool, and child care</w:t>
      </w:r>
      <w:r w:rsidR="001C6E7F" w:rsidRPr="00420096">
        <w:rPr>
          <w:rFonts w:ascii="Times New Roman" w:hAnsi="Times New Roman"/>
        </w:rPr>
        <w:t>, we recommend the following considerations:</w:t>
      </w:r>
    </w:p>
    <w:p w14:paraId="78A96893" w14:textId="77777777" w:rsidR="00A516C4" w:rsidRPr="00420096" w:rsidRDefault="00A516C4" w:rsidP="04BB1B5D">
      <w:pPr>
        <w:tabs>
          <w:tab w:val="left" w:pos="2200"/>
        </w:tabs>
        <w:rPr>
          <w:rFonts w:ascii="Times New Roman" w:hAnsi="Times New Roman"/>
        </w:rPr>
      </w:pPr>
    </w:p>
    <w:p w14:paraId="01CBE707" w14:textId="4B37C16A" w:rsidR="1A211242" w:rsidRPr="00420096" w:rsidRDefault="00D36166" w:rsidP="007C0B69">
      <w:pPr>
        <w:pStyle w:val="ListParagraph"/>
        <w:numPr>
          <w:ilvl w:val="0"/>
          <w:numId w:val="14"/>
        </w:numPr>
        <w:rPr>
          <w:rFonts w:ascii="Times New Roman" w:eastAsiaTheme="minorEastAsia" w:hAnsi="Times New Roman"/>
        </w:rPr>
      </w:pPr>
      <w:r w:rsidRPr="00420096">
        <w:rPr>
          <w:rFonts w:ascii="Times New Roman" w:hAnsi="Times New Roman"/>
          <w:b/>
          <w:bCs/>
        </w:rPr>
        <w:t xml:space="preserve">Incentivize investments </w:t>
      </w:r>
      <w:r w:rsidR="000300BE" w:rsidRPr="00420096">
        <w:rPr>
          <w:rFonts w:ascii="Times New Roman" w:hAnsi="Times New Roman"/>
          <w:b/>
          <w:bCs/>
        </w:rPr>
        <w:t>from</w:t>
      </w:r>
      <w:r w:rsidRPr="00420096">
        <w:rPr>
          <w:rFonts w:ascii="Times New Roman" w:hAnsi="Times New Roman"/>
          <w:b/>
          <w:bCs/>
        </w:rPr>
        <w:t xml:space="preserve"> multiple systems around common goals</w:t>
      </w:r>
      <w:r w:rsidRPr="00420096">
        <w:rPr>
          <w:rFonts w:ascii="Times New Roman" w:hAnsi="Times New Roman"/>
        </w:rPr>
        <w:t xml:space="preserve">. </w:t>
      </w:r>
      <w:r w:rsidR="00D51CDC" w:rsidRPr="00420096">
        <w:rPr>
          <w:rFonts w:ascii="Times New Roman" w:hAnsi="Times New Roman"/>
        </w:rPr>
        <w:t xml:space="preserve">Many systems </w:t>
      </w:r>
      <w:r w:rsidR="006C34B9" w:rsidRPr="00420096">
        <w:rPr>
          <w:rFonts w:ascii="Times New Roman" w:hAnsi="Times New Roman"/>
        </w:rPr>
        <w:t>and municipalities</w:t>
      </w:r>
      <w:r w:rsidR="00D51CDC" w:rsidRPr="00420096">
        <w:rPr>
          <w:rFonts w:ascii="Times New Roman" w:hAnsi="Times New Roman"/>
        </w:rPr>
        <w:t xml:space="preserve"> have received an increased investment from federal funding that is targeted to be used to support children and families at the community level.  As the COVID era investments made by EEC have demonstrated, small incentives for aligning </w:t>
      </w:r>
      <w:r w:rsidR="009A1171" w:rsidRPr="00420096">
        <w:rPr>
          <w:rFonts w:ascii="Times New Roman" w:hAnsi="Times New Roman"/>
        </w:rPr>
        <w:t>locally-controlled</w:t>
      </w:r>
      <w:r w:rsidR="00D51CDC" w:rsidRPr="00420096">
        <w:rPr>
          <w:rFonts w:ascii="Times New Roman" w:hAnsi="Times New Roman"/>
        </w:rPr>
        <w:t xml:space="preserve"> funding around common goals can have a profound impact on </w:t>
      </w:r>
      <w:r w:rsidR="00FA021E" w:rsidRPr="00420096">
        <w:rPr>
          <w:rFonts w:ascii="Times New Roman" w:hAnsi="Times New Roman"/>
        </w:rPr>
        <w:t>local collaboration</w:t>
      </w:r>
      <w:r w:rsidR="00D51CDC" w:rsidRPr="00420096">
        <w:rPr>
          <w:rFonts w:ascii="Times New Roman" w:hAnsi="Times New Roman"/>
        </w:rPr>
        <w:t xml:space="preserve">.  EEC can play a vital role </w:t>
      </w:r>
      <w:r w:rsidR="000300BE" w:rsidRPr="00420096">
        <w:rPr>
          <w:rFonts w:ascii="Times New Roman" w:hAnsi="Times New Roman"/>
        </w:rPr>
        <w:t xml:space="preserve">to </w:t>
      </w:r>
      <w:r w:rsidR="00E67F86" w:rsidRPr="00420096">
        <w:rPr>
          <w:rFonts w:ascii="Times New Roman" w:hAnsi="Times New Roman"/>
        </w:rPr>
        <w:t>support alignment of</w:t>
      </w:r>
      <w:r w:rsidR="00D51CDC" w:rsidRPr="00420096">
        <w:rPr>
          <w:rFonts w:ascii="Times New Roman" w:hAnsi="Times New Roman"/>
        </w:rPr>
        <w:t xml:space="preserve"> community-level investment made across state agencies through more substantial support and technical assistance for collaboration.</w:t>
      </w:r>
      <w:r w:rsidR="00E67F86" w:rsidRPr="00420096">
        <w:rPr>
          <w:rFonts w:ascii="Times New Roman" w:hAnsi="Times New Roman"/>
        </w:rPr>
        <w:t xml:space="preserve"> </w:t>
      </w:r>
    </w:p>
    <w:p w14:paraId="4219506A" w14:textId="1E532EB0" w:rsidR="1A211242" w:rsidRPr="00A44D75" w:rsidRDefault="00D36166" w:rsidP="006B5418">
      <w:pPr>
        <w:pStyle w:val="ListParagraph"/>
        <w:numPr>
          <w:ilvl w:val="0"/>
          <w:numId w:val="14"/>
        </w:numPr>
      </w:pPr>
      <w:r w:rsidRPr="006B5418">
        <w:rPr>
          <w:rFonts w:ascii="Times New Roman" w:hAnsi="Times New Roman"/>
          <w:b/>
          <w:bCs/>
        </w:rPr>
        <w:t xml:space="preserve">Create capacity </w:t>
      </w:r>
      <w:r w:rsidR="005D7AA3" w:rsidRPr="00A44D75">
        <w:rPr>
          <w:rFonts w:ascii="Times New Roman" w:hAnsi="Times New Roman"/>
          <w:b/>
          <w:bCs/>
        </w:rPr>
        <w:t>for</w:t>
      </w:r>
      <w:r w:rsidRPr="006B5418">
        <w:rPr>
          <w:rFonts w:ascii="Times New Roman" w:hAnsi="Times New Roman"/>
          <w:b/>
          <w:bCs/>
        </w:rPr>
        <w:t xml:space="preserve"> coordination and alignment while rebuilding infrastructure</w:t>
      </w:r>
      <w:r w:rsidRPr="00A44D75">
        <w:rPr>
          <w:rFonts w:ascii="Times New Roman" w:hAnsi="Times New Roman"/>
        </w:rPr>
        <w:t xml:space="preserve">.  </w:t>
      </w:r>
      <w:r w:rsidR="004C5E09" w:rsidRPr="00A44D75">
        <w:rPr>
          <w:rFonts w:ascii="Times New Roman" w:hAnsi="Times New Roman"/>
        </w:rPr>
        <w:t xml:space="preserve">Investments in resource coordination through FY21 and FY22 has proven invaluable </w:t>
      </w:r>
      <w:r w:rsidR="004C5E09" w:rsidRPr="006B5418">
        <w:rPr>
          <w:rFonts w:ascii="Times New Roman" w:eastAsiaTheme="minorEastAsia" w:hAnsi="Times New Roman"/>
        </w:rPr>
        <w:t xml:space="preserve">– but the people within the collaboration are </w:t>
      </w:r>
      <w:r w:rsidR="00DA67BF">
        <w:rPr>
          <w:rFonts w:ascii="Times New Roman" w:eastAsiaTheme="minorEastAsia" w:hAnsi="Times New Roman"/>
        </w:rPr>
        <w:t xml:space="preserve">already </w:t>
      </w:r>
      <w:r w:rsidR="004C5E09" w:rsidRPr="006B5418">
        <w:rPr>
          <w:rFonts w:ascii="Times New Roman" w:eastAsiaTheme="minorEastAsia" w:hAnsi="Times New Roman"/>
        </w:rPr>
        <w:t xml:space="preserve">maxed out in meeting the needs of families – and dedicated capacity </w:t>
      </w:r>
      <w:r w:rsidR="002768D4" w:rsidRPr="006B5418">
        <w:rPr>
          <w:rFonts w:ascii="Times New Roman" w:eastAsiaTheme="minorEastAsia" w:hAnsi="Times New Roman"/>
          <w:i/>
          <w:iCs/>
        </w:rPr>
        <w:t xml:space="preserve">for </w:t>
      </w:r>
      <w:r w:rsidR="00DA67BF" w:rsidRPr="006B5418">
        <w:rPr>
          <w:rFonts w:ascii="Times New Roman" w:eastAsiaTheme="minorEastAsia" w:hAnsi="Times New Roman"/>
          <w:i/>
          <w:iCs/>
        </w:rPr>
        <w:t xml:space="preserve">the </w:t>
      </w:r>
      <w:r w:rsidR="002768D4" w:rsidRPr="006B5418">
        <w:rPr>
          <w:rFonts w:ascii="Times New Roman" w:eastAsiaTheme="minorEastAsia" w:hAnsi="Times New Roman"/>
          <w:i/>
          <w:iCs/>
        </w:rPr>
        <w:t xml:space="preserve">coordination </w:t>
      </w:r>
      <w:r w:rsidR="00DA67BF" w:rsidRPr="006B5418">
        <w:rPr>
          <w:rFonts w:ascii="Times New Roman" w:eastAsiaTheme="minorEastAsia" w:hAnsi="Times New Roman"/>
          <w:i/>
          <w:iCs/>
        </w:rPr>
        <w:t>itself</w:t>
      </w:r>
      <w:r w:rsidR="00DA67BF">
        <w:rPr>
          <w:rFonts w:ascii="Times New Roman" w:eastAsiaTheme="minorEastAsia" w:hAnsi="Times New Roman"/>
        </w:rPr>
        <w:t xml:space="preserve"> </w:t>
      </w:r>
      <w:r w:rsidR="002768D4" w:rsidRPr="006B5418">
        <w:rPr>
          <w:rFonts w:ascii="Times New Roman" w:eastAsiaTheme="minorEastAsia" w:hAnsi="Times New Roman"/>
        </w:rPr>
        <w:t xml:space="preserve">is </w:t>
      </w:r>
      <w:r w:rsidR="00DA67BF">
        <w:rPr>
          <w:rFonts w:ascii="Times New Roman" w:eastAsiaTheme="minorEastAsia" w:hAnsi="Times New Roman"/>
        </w:rPr>
        <w:t xml:space="preserve">also </w:t>
      </w:r>
      <w:r w:rsidR="002768D4" w:rsidRPr="006B5418">
        <w:rPr>
          <w:rFonts w:ascii="Times New Roman" w:eastAsiaTheme="minorEastAsia" w:hAnsi="Times New Roman"/>
        </w:rPr>
        <w:t>vital.</w:t>
      </w:r>
      <w:r w:rsidRPr="00A44D75">
        <w:rPr>
          <w:rFonts w:ascii="Times New Roman" w:hAnsi="Times New Roman"/>
        </w:rPr>
        <w:t xml:space="preserve"> </w:t>
      </w:r>
      <w:r w:rsidR="008612AC">
        <w:rPr>
          <w:rFonts w:ascii="Times New Roman" w:hAnsi="Times New Roman"/>
        </w:rPr>
        <w:t>Dedicating funds not just to service delivery but also to service alignment will make</w:t>
      </w:r>
      <w:r w:rsidR="008612AC" w:rsidRPr="00A44D75">
        <w:rPr>
          <w:rFonts w:ascii="Times New Roman" w:hAnsi="Times New Roman"/>
        </w:rPr>
        <w:t xml:space="preserve"> </w:t>
      </w:r>
      <w:r w:rsidRPr="00A44D75">
        <w:rPr>
          <w:rFonts w:ascii="Times New Roman" w:hAnsi="Times New Roman"/>
        </w:rPr>
        <w:t xml:space="preserve">it easier, more transparent, and seamless for parents seeking to identify services, child care, educational, social, and other resources to best meet the needs of their families.  </w:t>
      </w:r>
    </w:p>
    <w:p w14:paraId="5BF9A2CA" w14:textId="1BB22438" w:rsidR="00F872F5" w:rsidRPr="006B5418" w:rsidRDefault="1A211242" w:rsidP="00290E13">
      <w:pPr>
        <w:tabs>
          <w:tab w:val="left" w:pos="2200"/>
        </w:tabs>
        <w:rPr>
          <w:rFonts w:ascii="Times New Roman" w:hAnsi="Times New Roman"/>
        </w:rPr>
      </w:pPr>
      <w:r w:rsidRPr="00A44D75">
        <w:rPr>
          <w:rFonts w:ascii="Times New Roman" w:hAnsi="Times New Roman"/>
        </w:rPr>
        <w:t xml:space="preserve"> </w:t>
      </w:r>
    </w:p>
    <w:p w14:paraId="20C6AAF3" w14:textId="77777777" w:rsidR="009A1171" w:rsidRDefault="009A1171" w:rsidP="00290E13">
      <w:pPr>
        <w:tabs>
          <w:tab w:val="left" w:pos="2200"/>
        </w:tabs>
        <w:rPr>
          <w:rFonts w:ascii="Times New Roman" w:hAnsi="Times New Roman"/>
          <w:b/>
          <w:bCs/>
        </w:rPr>
      </w:pPr>
    </w:p>
    <w:p w14:paraId="53588741" w14:textId="5FCB9958" w:rsidR="00FB4DE2" w:rsidRPr="00A44D75" w:rsidRDefault="00B7720B" w:rsidP="00290E13">
      <w:pPr>
        <w:tabs>
          <w:tab w:val="left" w:pos="2200"/>
        </w:tabs>
        <w:rPr>
          <w:rFonts w:ascii="Times New Roman" w:hAnsi="Times New Roman"/>
          <w:b/>
          <w:bCs/>
        </w:rPr>
      </w:pPr>
      <w:r w:rsidRPr="00A44D75">
        <w:rPr>
          <w:rFonts w:ascii="Times New Roman" w:hAnsi="Times New Roman"/>
          <w:b/>
          <w:bCs/>
        </w:rPr>
        <w:lastRenderedPageBreak/>
        <w:t>Additional Considerations</w:t>
      </w:r>
      <w:r w:rsidR="00A17548" w:rsidRPr="00A44D75">
        <w:rPr>
          <w:rFonts w:ascii="Times New Roman" w:hAnsi="Times New Roman"/>
          <w:b/>
          <w:bCs/>
        </w:rPr>
        <w:t>:</w:t>
      </w:r>
    </w:p>
    <w:p w14:paraId="34B4799C" w14:textId="0AAA1E22" w:rsidR="00D36166" w:rsidRPr="00A44D75" w:rsidRDefault="00D36166" w:rsidP="00290E13">
      <w:pPr>
        <w:tabs>
          <w:tab w:val="left" w:pos="2200"/>
        </w:tabs>
        <w:rPr>
          <w:rFonts w:ascii="Times New Roman" w:hAnsi="Times New Roman"/>
          <w:b/>
          <w:bCs/>
        </w:rPr>
      </w:pPr>
    </w:p>
    <w:p w14:paraId="4BE9DE77" w14:textId="54E6FF12" w:rsidR="00DA7485" w:rsidRDefault="00D36166" w:rsidP="00DE560B">
      <w:pPr>
        <w:tabs>
          <w:tab w:val="left" w:pos="2200"/>
        </w:tabs>
        <w:rPr>
          <w:rFonts w:ascii="Times New Roman" w:hAnsi="Times New Roman"/>
        </w:rPr>
      </w:pPr>
      <w:r w:rsidRPr="00A44D75">
        <w:rPr>
          <w:rFonts w:ascii="Times New Roman" w:hAnsi="Times New Roman"/>
        </w:rPr>
        <w:t xml:space="preserve">While the three priorities outlined above reflect the Board’s focus, </w:t>
      </w:r>
      <w:r w:rsidR="00EE2804">
        <w:rPr>
          <w:rFonts w:ascii="Times New Roman" w:hAnsi="Times New Roman"/>
        </w:rPr>
        <w:t xml:space="preserve">we recognize that </w:t>
      </w:r>
      <w:r w:rsidRPr="00A44D75">
        <w:rPr>
          <w:rFonts w:ascii="Times New Roman" w:hAnsi="Times New Roman"/>
        </w:rPr>
        <w:t xml:space="preserve">this also will require </w:t>
      </w:r>
      <w:r w:rsidR="00BC10E9">
        <w:rPr>
          <w:rFonts w:ascii="Times New Roman" w:hAnsi="Times New Roman"/>
        </w:rPr>
        <w:t xml:space="preserve">increased capacity </w:t>
      </w:r>
      <w:r w:rsidR="002035D6">
        <w:rPr>
          <w:rFonts w:ascii="Times New Roman" w:hAnsi="Times New Roman"/>
        </w:rPr>
        <w:t>within the</w:t>
      </w:r>
      <w:r w:rsidRPr="00A44D75">
        <w:rPr>
          <w:rFonts w:ascii="Times New Roman" w:hAnsi="Times New Roman"/>
        </w:rPr>
        <w:t xml:space="preserve"> Department and </w:t>
      </w:r>
      <w:r w:rsidR="00BC10E9">
        <w:rPr>
          <w:rFonts w:ascii="Times New Roman" w:hAnsi="Times New Roman"/>
        </w:rPr>
        <w:t xml:space="preserve">its </w:t>
      </w:r>
      <w:r w:rsidRPr="00A44D75">
        <w:rPr>
          <w:rFonts w:ascii="Times New Roman" w:hAnsi="Times New Roman"/>
        </w:rPr>
        <w:t>technology</w:t>
      </w:r>
      <w:r w:rsidR="00DE560B" w:rsidRPr="00A44D75">
        <w:rPr>
          <w:rFonts w:ascii="Times New Roman" w:hAnsi="Times New Roman"/>
        </w:rPr>
        <w:t xml:space="preserve">.  We understand that the EEC team is </w:t>
      </w:r>
      <w:r w:rsidR="00DA7485">
        <w:rPr>
          <w:rFonts w:ascii="Times New Roman" w:hAnsi="Times New Roman"/>
        </w:rPr>
        <w:t>currently outlining its</w:t>
      </w:r>
      <w:r w:rsidR="00DE560B" w:rsidRPr="00A44D75">
        <w:rPr>
          <w:rFonts w:ascii="Times New Roman" w:hAnsi="Times New Roman"/>
        </w:rPr>
        <w:t xml:space="preserve"> needs </w:t>
      </w:r>
      <w:r w:rsidR="00B1677B">
        <w:rPr>
          <w:rFonts w:ascii="Times New Roman" w:hAnsi="Times New Roman"/>
        </w:rPr>
        <w:t>if it is to fulfill</w:t>
      </w:r>
      <w:r w:rsidR="00E840D6" w:rsidRPr="00A44D75">
        <w:rPr>
          <w:rFonts w:ascii="Times New Roman" w:hAnsi="Times New Roman"/>
        </w:rPr>
        <w:t xml:space="preserve"> th</w:t>
      </w:r>
      <w:r w:rsidR="00DE560B" w:rsidRPr="00A44D75">
        <w:rPr>
          <w:rFonts w:ascii="Times New Roman" w:hAnsi="Times New Roman"/>
        </w:rPr>
        <w:t>e outcomes</w:t>
      </w:r>
      <w:r w:rsidR="00E840D6" w:rsidRPr="00A44D75">
        <w:rPr>
          <w:rFonts w:ascii="Times New Roman" w:hAnsi="Times New Roman"/>
        </w:rPr>
        <w:t xml:space="preserve"> </w:t>
      </w:r>
      <w:r w:rsidR="00DE560B" w:rsidRPr="00A44D75">
        <w:rPr>
          <w:rFonts w:ascii="Times New Roman" w:hAnsi="Times New Roman"/>
        </w:rPr>
        <w:t xml:space="preserve">envisioned </w:t>
      </w:r>
      <w:r w:rsidR="00E840D6" w:rsidRPr="00A44D75">
        <w:rPr>
          <w:rFonts w:ascii="Times New Roman" w:hAnsi="Times New Roman"/>
        </w:rPr>
        <w:t>in this memo</w:t>
      </w:r>
      <w:r w:rsidR="00F977A9" w:rsidRPr="00A44D75">
        <w:rPr>
          <w:rFonts w:ascii="Times New Roman" w:hAnsi="Times New Roman"/>
        </w:rPr>
        <w:t>.</w:t>
      </w:r>
      <w:r w:rsidR="1A211242" w:rsidRPr="00A44D75">
        <w:rPr>
          <w:rFonts w:ascii="Times New Roman" w:hAnsi="Times New Roman"/>
        </w:rPr>
        <w:t xml:space="preserve">  </w:t>
      </w:r>
    </w:p>
    <w:p w14:paraId="67ABF11B" w14:textId="77777777" w:rsidR="00DA7485" w:rsidRDefault="00DA7485" w:rsidP="00DE560B">
      <w:pPr>
        <w:tabs>
          <w:tab w:val="left" w:pos="2200"/>
        </w:tabs>
        <w:rPr>
          <w:rFonts w:ascii="Times New Roman" w:hAnsi="Times New Roman"/>
        </w:rPr>
      </w:pPr>
    </w:p>
    <w:p w14:paraId="4CD1E535" w14:textId="45860033" w:rsidR="00C904DC" w:rsidRDefault="00DE560B" w:rsidP="00DE560B">
      <w:pPr>
        <w:tabs>
          <w:tab w:val="left" w:pos="2200"/>
        </w:tabs>
        <w:rPr>
          <w:rFonts w:ascii="Times New Roman" w:hAnsi="Times New Roman"/>
        </w:rPr>
      </w:pPr>
      <w:r w:rsidRPr="00A44D75">
        <w:rPr>
          <w:rFonts w:ascii="Times New Roman" w:hAnsi="Times New Roman"/>
        </w:rPr>
        <w:t>Over the course of the pandemic, the EEC team has stepped up to support a system that has supported families</w:t>
      </w:r>
      <w:r w:rsidR="000300BE">
        <w:rPr>
          <w:rFonts w:ascii="Times New Roman" w:hAnsi="Times New Roman"/>
        </w:rPr>
        <w:t xml:space="preserve"> every day</w:t>
      </w:r>
      <w:r w:rsidRPr="00A44D75">
        <w:rPr>
          <w:rFonts w:ascii="Times New Roman" w:hAnsi="Times New Roman"/>
        </w:rPr>
        <w:t xml:space="preserve">. The new programs, approaches, funding, and technology needed to respond to the rapidly evolving needs of the field have been remarkable, and programs and stakeholders alike have commended EEC’s continuous focus on listening and acting on the needs </w:t>
      </w:r>
      <w:r w:rsidR="00DA7485">
        <w:rPr>
          <w:rFonts w:ascii="Times New Roman" w:hAnsi="Times New Roman"/>
        </w:rPr>
        <w:t xml:space="preserve">of constituents. </w:t>
      </w:r>
      <w:r w:rsidRPr="00A44D75">
        <w:rPr>
          <w:rFonts w:ascii="Times New Roman" w:hAnsi="Times New Roman"/>
        </w:rPr>
        <w:t xml:space="preserve">  </w:t>
      </w:r>
    </w:p>
    <w:p w14:paraId="2CABD337" w14:textId="77777777" w:rsidR="00C904DC" w:rsidRDefault="00C904DC" w:rsidP="00DE560B">
      <w:pPr>
        <w:tabs>
          <w:tab w:val="left" w:pos="2200"/>
        </w:tabs>
        <w:rPr>
          <w:rFonts w:ascii="Times New Roman" w:hAnsi="Times New Roman"/>
        </w:rPr>
      </w:pPr>
    </w:p>
    <w:p w14:paraId="15DA1ACA" w14:textId="59BAA5C3" w:rsidR="1A211242" w:rsidRPr="006B5418" w:rsidRDefault="00DE560B" w:rsidP="04BB1B5D">
      <w:pPr>
        <w:tabs>
          <w:tab w:val="left" w:pos="2200"/>
        </w:tabs>
        <w:rPr>
          <w:rFonts w:ascii="Times New Roman" w:hAnsi="Times New Roman"/>
        </w:rPr>
      </w:pPr>
      <w:r w:rsidRPr="00A44D75">
        <w:rPr>
          <w:rFonts w:ascii="Times New Roman" w:hAnsi="Times New Roman"/>
        </w:rPr>
        <w:t>The FY23 budget must ensure staffing and infrastructure investments can continue to support the Department’s thoughtful and innovative approach</w:t>
      </w:r>
      <w:r w:rsidR="00B95D7F">
        <w:rPr>
          <w:rFonts w:ascii="Times New Roman" w:hAnsi="Times New Roman"/>
        </w:rPr>
        <w:t xml:space="preserve">, thereby continuing to position </w:t>
      </w:r>
      <w:r w:rsidRPr="00A44D75">
        <w:rPr>
          <w:rFonts w:ascii="Times New Roman" w:hAnsi="Times New Roman"/>
        </w:rPr>
        <w:t xml:space="preserve">Massachusetts </w:t>
      </w:r>
      <w:r w:rsidR="00B95D7F">
        <w:rPr>
          <w:rFonts w:ascii="Times New Roman" w:hAnsi="Times New Roman"/>
        </w:rPr>
        <w:t>as</w:t>
      </w:r>
      <w:r w:rsidRPr="00A44D75">
        <w:rPr>
          <w:rFonts w:ascii="Times New Roman" w:hAnsi="Times New Roman"/>
        </w:rPr>
        <w:t xml:space="preserve"> a national leader in the </w:t>
      </w:r>
      <w:r w:rsidR="00B95D7F">
        <w:rPr>
          <w:rFonts w:ascii="Times New Roman" w:hAnsi="Times New Roman"/>
        </w:rPr>
        <w:t>effort to address</w:t>
      </w:r>
      <w:r w:rsidRPr="00A44D75">
        <w:rPr>
          <w:rFonts w:ascii="Times New Roman" w:hAnsi="Times New Roman"/>
        </w:rPr>
        <w:t xml:space="preserve"> long-standing issues, and </w:t>
      </w:r>
      <w:r w:rsidR="00B95D7F">
        <w:rPr>
          <w:rFonts w:ascii="Times New Roman" w:hAnsi="Times New Roman"/>
        </w:rPr>
        <w:t>fulfilling the vision of the</w:t>
      </w:r>
      <w:r w:rsidRPr="00A44D75">
        <w:rPr>
          <w:rFonts w:ascii="Times New Roman" w:hAnsi="Times New Roman"/>
        </w:rPr>
        <w:t xml:space="preserve"> Strategic Action </w:t>
      </w:r>
      <w:r w:rsidR="00B95D7F">
        <w:rPr>
          <w:rFonts w:ascii="Times New Roman" w:hAnsi="Times New Roman"/>
        </w:rPr>
        <w:t>P</w:t>
      </w:r>
      <w:r w:rsidRPr="00A44D75">
        <w:rPr>
          <w:rFonts w:ascii="Times New Roman" w:hAnsi="Times New Roman"/>
        </w:rPr>
        <w:t xml:space="preserve">lan </w:t>
      </w:r>
      <w:r w:rsidR="00B95D7F">
        <w:rPr>
          <w:rFonts w:ascii="Times New Roman" w:hAnsi="Times New Roman"/>
        </w:rPr>
        <w:t>to support children and families to reach their full potential both now – and in the challenging landscape ahead</w:t>
      </w:r>
      <w:r w:rsidRPr="00A44D75">
        <w:rPr>
          <w:rFonts w:ascii="Times New Roman" w:hAnsi="Times New Roman"/>
        </w:rPr>
        <w:t xml:space="preserve">. </w:t>
      </w:r>
      <w:r w:rsidR="1A211242" w:rsidRPr="00A44D75">
        <w:rPr>
          <w:rFonts w:ascii="Times New Roman" w:hAnsi="Times New Roman"/>
        </w:rPr>
        <w:t xml:space="preserve"> </w:t>
      </w:r>
    </w:p>
    <w:p w14:paraId="6502BAD0" w14:textId="77777777" w:rsidR="00763856" w:rsidRPr="006B5418" w:rsidRDefault="00763856" w:rsidP="006B5418">
      <w:pPr>
        <w:spacing w:after="160" w:line="259" w:lineRule="auto"/>
        <w:rPr>
          <w:rFonts w:ascii="Times New Roman" w:hAnsi="Times New Roman"/>
        </w:rPr>
      </w:pPr>
    </w:p>
    <w:sectPr w:rsidR="00763856" w:rsidRPr="006B5418" w:rsidSect="00967A53">
      <w:footerReference w:type="default" r:id="rId12"/>
      <w:headerReference w:type="first" r:id="rId13"/>
      <w:footerReference w:type="first" r:id="rId14"/>
      <w:type w:val="continuous"/>
      <w:pgSz w:w="12240" w:h="15840" w:code="1"/>
      <w:pgMar w:top="900" w:right="1440" w:bottom="1440" w:left="135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A3FB5" w14:textId="77777777" w:rsidR="00247CF0" w:rsidRDefault="00247CF0">
      <w:r>
        <w:separator/>
      </w:r>
    </w:p>
  </w:endnote>
  <w:endnote w:type="continuationSeparator" w:id="0">
    <w:p w14:paraId="44DAD088" w14:textId="77777777" w:rsidR="00247CF0" w:rsidRDefault="00247CF0">
      <w:r>
        <w:continuationSeparator/>
      </w:r>
    </w:p>
  </w:endnote>
  <w:endnote w:type="continuationNotice" w:id="1">
    <w:p w14:paraId="2E4E1852" w14:textId="77777777" w:rsidR="00247CF0" w:rsidRDefault="00247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CAC5" w14:textId="77777777" w:rsidR="000A08C4" w:rsidRPr="00FA6FB0" w:rsidRDefault="000A08C4" w:rsidP="000A08C4">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E7939" w14:textId="77777777" w:rsidR="000A08C4" w:rsidRDefault="004810EA" w:rsidP="000A08C4">
    <w:pPr>
      <w:autoSpaceDE w:val="0"/>
      <w:autoSpaceDN w:val="0"/>
      <w:adjustRightInd w:val="0"/>
      <w:ind w:right="-1440" w:hanging="1440"/>
      <w:jc w:val="center"/>
    </w:pPr>
    <w:r>
      <w:rPr>
        <w:noProof/>
      </w:rPr>
      <mc:AlternateContent>
        <mc:Choice Requires="wps">
          <w:drawing>
            <wp:anchor distT="0" distB="0" distL="114300" distR="114300" simplePos="0" relativeHeight="251658240" behindDoc="0" locked="0" layoutInCell="1" allowOverlap="1" wp14:anchorId="76A58DFF" wp14:editId="48455936">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43E9" w14:textId="77777777" w:rsidR="000A08C4" w:rsidRPr="002122FB" w:rsidRDefault="004810EA" w:rsidP="000A08C4">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65460C92" w14:textId="77777777" w:rsidR="000A08C4" w:rsidRPr="00152179" w:rsidRDefault="004810EA" w:rsidP="000A08C4">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6A58DFF"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277C43E9" w14:textId="77777777" w:rsidR="000A08C4" w:rsidRPr="002122FB" w:rsidRDefault="004810EA" w:rsidP="000A08C4">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65460C92" w14:textId="77777777" w:rsidR="000A08C4" w:rsidRPr="00152179" w:rsidRDefault="004810EA" w:rsidP="000A08C4">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A2EB2" w14:textId="77777777" w:rsidR="00247CF0" w:rsidRDefault="00247CF0">
      <w:r>
        <w:separator/>
      </w:r>
    </w:p>
  </w:footnote>
  <w:footnote w:type="continuationSeparator" w:id="0">
    <w:p w14:paraId="3BFAE0F3" w14:textId="77777777" w:rsidR="00247CF0" w:rsidRDefault="00247CF0">
      <w:r>
        <w:continuationSeparator/>
      </w:r>
    </w:p>
  </w:footnote>
  <w:footnote w:type="continuationNotice" w:id="1">
    <w:p w14:paraId="37D6CDB2" w14:textId="77777777" w:rsidR="00247CF0" w:rsidRDefault="00247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0A08C4" w14:paraId="491567C9" w14:textId="77777777" w:rsidTr="000A08C4">
      <w:tc>
        <w:tcPr>
          <w:tcW w:w="11250" w:type="dxa"/>
          <w:tcBorders>
            <w:top w:val="nil"/>
            <w:left w:val="nil"/>
            <w:bottom w:val="nil"/>
            <w:right w:val="nil"/>
          </w:tcBorders>
        </w:tcPr>
        <w:p w14:paraId="7A0C6897" w14:textId="77777777" w:rsidR="000A08C4" w:rsidRDefault="004810EA" w:rsidP="000A08C4">
          <w:pPr>
            <w:tabs>
              <w:tab w:val="left" w:pos="5742"/>
            </w:tabs>
          </w:pPr>
          <w:r>
            <w:rPr>
              <w:noProof/>
            </w:rPr>
            <w:drawing>
              <wp:inline distT="0" distB="0" distL="0" distR="0" wp14:anchorId="44519624" wp14:editId="08F9C084">
                <wp:extent cx="2321560" cy="623570"/>
                <wp:effectExtent l="19050" t="0" r="2540" b="0"/>
                <wp:docPr id="32" name="Picture 32"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1560" cy="62357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705B4ED5" wp14:editId="79EC3B22">
                <wp:extent cx="480695" cy="605790"/>
                <wp:effectExtent l="1905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0695" cy="605790"/>
                        </a:xfrm>
                        <a:prstGeom prst="rect">
                          <a:avLst/>
                        </a:prstGeom>
                        <a:noFill/>
                        <a:ln w="9525">
                          <a:noFill/>
                          <a:miter lim="800000"/>
                          <a:headEnd/>
                          <a:tailEnd/>
                        </a:ln>
                      </pic:spPr>
                    </pic:pic>
                  </a:graphicData>
                </a:graphic>
              </wp:inline>
            </w:drawing>
          </w:r>
        </w:p>
      </w:tc>
    </w:tr>
    <w:tr w:rsidR="000A08C4" w14:paraId="60BDD440" w14:textId="77777777" w:rsidTr="000A08C4">
      <w:tc>
        <w:tcPr>
          <w:tcW w:w="11250" w:type="dxa"/>
          <w:tcBorders>
            <w:top w:val="nil"/>
            <w:left w:val="nil"/>
            <w:bottom w:val="single" w:sz="18" w:space="0" w:color="auto"/>
            <w:right w:val="nil"/>
          </w:tcBorders>
        </w:tcPr>
        <w:p w14:paraId="553B5878" w14:textId="77777777" w:rsidR="000A08C4" w:rsidRPr="00BC09E4" w:rsidRDefault="004810EA" w:rsidP="000A08C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00EC1917">
            <w:rPr>
              <w:rFonts w:ascii="Arial Narrow" w:hAnsi="Arial Narrow" w:cs="Arial"/>
              <w:b/>
              <w:sz w:val="20"/>
              <w:szCs w:val="20"/>
            </w:rPr>
            <w:t>Samantha L. Aigner-Treworgy</w:t>
          </w:r>
          <w:r w:rsidR="00EC1917" w:rsidRPr="00BC09E4">
            <w:rPr>
              <w:rFonts w:ascii="Arial Narrow" w:hAnsi="Arial Narrow" w:cs="Arial"/>
              <w:b/>
              <w:sz w:val="20"/>
              <w:szCs w:val="20"/>
            </w:rPr>
            <w:t xml:space="preserve">, </w:t>
          </w:r>
          <w:r w:rsidR="00EC1917">
            <w:rPr>
              <w:rFonts w:ascii="Arial Narrow" w:hAnsi="Arial Narrow" w:cs="Arial"/>
              <w:b/>
              <w:sz w:val="20"/>
              <w:szCs w:val="20"/>
            </w:rPr>
            <w:t xml:space="preserve"> </w:t>
          </w:r>
          <w:r w:rsidR="00EC1917" w:rsidRPr="00BC09E4">
            <w:rPr>
              <w:rFonts w:ascii="Arial Narrow" w:hAnsi="Arial Narrow" w:cs="Arial"/>
              <w:b/>
              <w:sz w:val="20"/>
              <w:szCs w:val="20"/>
            </w:rPr>
            <w:t>Commissioner</w:t>
          </w:r>
        </w:p>
      </w:tc>
    </w:tr>
  </w:tbl>
  <w:p w14:paraId="6D84813A" w14:textId="77777777" w:rsidR="000A08C4" w:rsidRDefault="000A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81B21"/>
    <w:multiLevelType w:val="hybridMultilevel"/>
    <w:tmpl w:val="D386442A"/>
    <w:lvl w:ilvl="0" w:tplc="A44C73A8">
      <w:start w:val="1"/>
      <w:numFmt w:val="bullet"/>
      <w:lvlText w:val=""/>
      <w:lvlJc w:val="left"/>
      <w:pPr>
        <w:ind w:left="720" w:hanging="360"/>
      </w:pPr>
      <w:rPr>
        <w:rFonts w:ascii="Symbol" w:hAnsi="Symbol" w:hint="default"/>
      </w:rPr>
    </w:lvl>
    <w:lvl w:ilvl="1" w:tplc="A44C73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0BFF"/>
    <w:multiLevelType w:val="hybridMultilevel"/>
    <w:tmpl w:val="F0467214"/>
    <w:lvl w:ilvl="0" w:tplc="CBD0A53A">
      <w:start w:val="1"/>
      <w:numFmt w:val="bullet"/>
      <w:lvlText w:val="-"/>
      <w:lvlJc w:val="left"/>
      <w:pPr>
        <w:ind w:left="720" w:hanging="360"/>
      </w:pPr>
      <w:rPr>
        <w:rFonts w:ascii="Symbol" w:hAnsi="Symbol" w:hint="default"/>
      </w:rPr>
    </w:lvl>
    <w:lvl w:ilvl="1" w:tplc="208CF144">
      <w:start w:val="1"/>
      <w:numFmt w:val="bullet"/>
      <w:lvlText w:val="o"/>
      <w:lvlJc w:val="left"/>
      <w:pPr>
        <w:ind w:left="1440" w:hanging="360"/>
      </w:pPr>
      <w:rPr>
        <w:rFonts w:ascii="Courier New" w:hAnsi="Courier New" w:hint="default"/>
      </w:rPr>
    </w:lvl>
    <w:lvl w:ilvl="2" w:tplc="6810A790">
      <w:start w:val="1"/>
      <w:numFmt w:val="bullet"/>
      <w:lvlText w:val=""/>
      <w:lvlJc w:val="left"/>
      <w:pPr>
        <w:ind w:left="2160" w:hanging="360"/>
      </w:pPr>
      <w:rPr>
        <w:rFonts w:ascii="Wingdings" w:hAnsi="Wingdings" w:hint="default"/>
      </w:rPr>
    </w:lvl>
    <w:lvl w:ilvl="3" w:tplc="ECB43AF6">
      <w:start w:val="1"/>
      <w:numFmt w:val="bullet"/>
      <w:lvlText w:val=""/>
      <w:lvlJc w:val="left"/>
      <w:pPr>
        <w:ind w:left="2880" w:hanging="360"/>
      </w:pPr>
      <w:rPr>
        <w:rFonts w:ascii="Symbol" w:hAnsi="Symbol" w:hint="default"/>
      </w:rPr>
    </w:lvl>
    <w:lvl w:ilvl="4" w:tplc="5D4A520E">
      <w:start w:val="1"/>
      <w:numFmt w:val="bullet"/>
      <w:lvlText w:val="o"/>
      <w:lvlJc w:val="left"/>
      <w:pPr>
        <w:ind w:left="3600" w:hanging="360"/>
      </w:pPr>
      <w:rPr>
        <w:rFonts w:ascii="Courier New" w:hAnsi="Courier New" w:hint="default"/>
      </w:rPr>
    </w:lvl>
    <w:lvl w:ilvl="5" w:tplc="54A471EC">
      <w:start w:val="1"/>
      <w:numFmt w:val="bullet"/>
      <w:lvlText w:val=""/>
      <w:lvlJc w:val="left"/>
      <w:pPr>
        <w:ind w:left="4320" w:hanging="360"/>
      </w:pPr>
      <w:rPr>
        <w:rFonts w:ascii="Wingdings" w:hAnsi="Wingdings" w:hint="default"/>
      </w:rPr>
    </w:lvl>
    <w:lvl w:ilvl="6" w:tplc="C5222E64">
      <w:start w:val="1"/>
      <w:numFmt w:val="bullet"/>
      <w:lvlText w:val=""/>
      <w:lvlJc w:val="left"/>
      <w:pPr>
        <w:ind w:left="5040" w:hanging="360"/>
      </w:pPr>
      <w:rPr>
        <w:rFonts w:ascii="Symbol" w:hAnsi="Symbol" w:hint="default"/>
      </w:rPr>
    </w:lvl>
    <w:lvl w:ilvl="7" w:tplc="3DCC466C">
      <w:start w:val="1"/>
      <w:numFmt w:val="bullet"/>
      <w:lvlText w:val="o"/>
      <w:lvlJc w:val="left"/>
      <w:pPr>
        <w:ind w:left="5760" w:hanging="360"/>
      </w:pPr>
      <w:rPr>
        <w:rFonts w:ascii="Courier New" w:hAnsi="Courier New" w:hint="default"/>
      </w:rPr>
    </w:lvl>
    <w:lvl w:ilvl="8" w:tplc="0C80E890">
      <w:start w:val="1"/>
      <w:numFmt w:val="bullet"/>
      <w:lvlText w:val=""/>
      <w:lvlJc w:val="left"/>
      <w:pPr>
        <w:ind w:left="6480" w:hanging="360"/>
      </w:pPr>
      <w:rPr>
        <w:rFonts w:ascii="Wingdings" w:hAnsi="Wingdings" w:hint="default"/>
      </w:rPr>
    </w:lvl>
  </w:abstractNum>
  <w:abstractNum w:abstractNumId="2" w15:restartNumberingAfterBreak="0">
    <w:nsid w:val="0FF7243F"/>
    <w:multiLevelType w:val="hybridMultilevel"/>
    <w:tmpl w:val="88E42DD8"/>
    <w:lvl w:ilvl="0" w:tplc="0F5CC2C8">
      <w:start w:val="1"/>
      <w:numFmt w:val="bullet"/>
      <w:lvlText w:val="-"/>
      <w:lvlJc w:val="left"/>
      <w:pPr>
        <w:ind w:left="720" w:hanging="360"/>
      </w:pPr>
      <w:rPr>
        <w:rFonts w:ascii="Symbol" w:hAnsi="Symbol" w:hint="default"/>
      </w:rPr>
    </w:lvl>
    <w:lvl w:ilvl="1" w:tplc="EC146A14">
      <w:start w:val="1"/>
      <w:numFmt w:val="bullet"/>
      <w:lvlText w:val="o"/>
      <w:lvlJc w:val="left"/>
      <w:pPr>
        <w:ind w:left="1440" w:hanging="360"/>
      </w:pPr>
      <w:rPr>
        <w:rFonts w:ascii="Courier New" w:hAnsi="Courier New" w:hint="default"/>
      </w:rPr>
    </w:lvl>
    <w:lvl w:ilvl="2" w:tplc="F092AE80">
      <w:start w:val="1"/>
      <w:numFmt w:val="bullet"/>
      <w:lvlText w:val=""/>
      <w:lvlJc w:val="left"/>
      <w:pPr>
        <w:ind w:left="2160" w:hanging="360"/>
      </w:pPr>
      <w:rPr>
        <w:rFonts w:ascii="Wingdings" w:hAnsi="Wingdings" w:hint="default"/>
      </w:rPr>
    </w:lvl>
    <w:lvl w:ilvl="3" w:tplc="EB269444">
      <w:start w:val="1"/>
      <w:numFmt w:val="bullet"/>
      <w:lvlText w:val=""/>
      <w:lvlJc w:val="left"/>
      <w:pPr>
        <w:ind w:left="2880" w:hanging="360"/>
      </w:pPr>
      <w:rPr>
        <w:rFonts w:ascii="Symbol" w:hAnsi="Symbol" w:hint="default"/>
      </w:rPr>
    </w:lvl>
    <w:lvl w:ilvl="4" w:tplc="6CD8193C">
      <w:start w:val="1"/>
      <w:numFmt w:val="bullet"/>
      <w:lvlText w:val="o"/>
      <w:lvlJc w:val="left"/>
      <w:pPr>
        <w:ind w:left="3600" w:hanging="360"/>
      </w:pPr>
      <w:rPr>
        <w:rFonts w:ascii="Courier New" w:hAnsi="Courier New" w:hint="default"/>
      </w:rPr>
    </w:lvl>
    <w:lvl w:ilvl="5" w:tplc="79FAFA3E">
      <w:start w:val="1"/>
      <w:numFmt w:val="bullet"/>
      <w:lvlText w:val=""/>
      <w:lvlJc w:val="left"/>
      <w:pPr>
        <w:ind w:left="4320" w:hanging="360"/>
      </w:pPr>
      <w:rPr>
        <w:rFonts w:ascii="Wingdings" w:hAnsi="Wingdings" w:hint="default"/>
      </w:rPr>
    </w:lvl>
    <w:lvl w:ilvl="6" w:tplc="ACA498FA">
      <w:start w:val="1"/>
      <w:numFmt w:val="bullet"/>
      <w:lvlText w:val=""/>
      <w:lvlJc w:val="left"/>
      <w:pPr>
        <w:ind w:left="5040" w:hanging="360"/>
      </w:pPr>
      <w:rPr>
        <w:rFonts w:ascii="Symbol" w:hAnsi="Symbol" w:hint="default"/>
      </w:rPr>
    </w:lvl>
    <w:lvl w:ilvl="7" w:tplc="23ECA1CA">
      <w:start w:val="1"/>
      <w:numFmt w:val="bullet"/>
      <w:lvlText w:val="o"/>
      <w:lvlJc w:val="left"/>
      <w:pPr>
        <w:ind w:left="5760" w:hanging="360"/>
      </w:pPr>
      <w:rPr>
        <w:rFonts w:ascii="Courier New" w:hAnsi="Courier New" w:hint="default"/>
      </w:rPr>
    </w:lvl>
    <w:lvl w:ilvl="8" w:tplc="60786D6C">
      <w:start w:val="1"/>
      <w:numFmt w:val="bullet"/>
      <w:lvlText w:val=""/>
      <w:lvlJc w:val="left"/>
      <w:pPr>
        <w:ind w:left="6480" w:hanging="360"/>
      </w:pPr>
      <w:rPr>
        <w:rFonts w:ascii="Wingdings" w:hAnsi="Wingdings" w:hint="default"/>
      </w:rPr>
    </w:lvl>
  </w:abstractNum>
  <w:abstractNum w:abstractNumId="3" w15:restartNumberingAfterBreak="0">
    <w:nsid w:val="11B87E27"/>
    <w:multiLevelType w:val="hybridMultilevel"/>
    <w:tmpl w:val="CE02B26E"/>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126B40A2"/>
    <w:multiLevelType w:val="hybridMultilevel"/>
    <w:tmpl w:val="89EEF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50F47"/>
    <w:multiLevelType w:val="hybridMultilevel"/>
    <w:tmpl w:val="7FCEA3A2"/>
    <w:lvl w:ilvl="0" w:tplc="A44C73A8">
      <w:start w:val="1"/>
      <w:numFmt w:val="bullet"/>
      <w:lvlText w:val=""/>
      <w:lvlJc w:val="left"/>
      <w:pPr>
        <w:ind w:left="720" w:hanging="360"/>
      </w:pPr>
      <w:rPr>
        <w:rFonts w:ascii="Symbol" w:hAnsi="Symbol" w:hint="default"/>
      </w:rPr>
    </w:lvl>
    <w:lvl w:ilvl="1" w:tplc="A44C73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4366F"/>
    <w:multiLevelType w:val="hybridMultilevel"/>
    <w:tmpl w:val="E7122108"/>
    <w:lvl w:ilvl="0" w:tplc="B01A4410">
      <w:start w:val="1"/>
      <w:numFmt w:val="bullet"/>
      <w:lvlText w:val="-"/>
      <w:lvlJc w:val="left"/>
      <w:pPr>
        <w:ind w:left="720" w:hanging="360"/>
      </w:pPr>
      <w:rPr>
        <w:rFonts w:ascii="&quot;Times New Roman&quot;,serif" w:hAnsi="&quot;Times New Roman&quot;,serif" w:hint="default"/>
      </w:rPr>
    </w:lvl>
    <w:lvl w:ilvl="1" w:tplc="9CC6C090">
      <w:start w:val="1"/>
      <w:numFmt w:val="bullet"/>
      <w:lvlText w:val="o"/>
      <w:lvlJc w:val="left"/>
      <w:pPr>
        <w:ind w:left="1440" w:hanging="360"/>
      </w:pPr>
      <w:rPr>
        <w:rFonts w:ascii="Courier New" w:hAnsi="Courier New" w:hint="default"/>
      </w:rPr>
    </w:lvl>
    <w:lvl w:ilvl="2" w:tplc="CE3C8E30">
      <w:start w:val="1"/>
      <w:numFmt w:val="bullet"/>
      <w:lvlText w:val=""/>
      <w:lvlJc w:val="left"/>
      <w:pPr>
        <w:ind w:left="2160" w:hanging="360"/>
      </w:pPr>
      <w:rPr>
        <w:rFonts w:ascii="Wingdings" w:hAnsi="Wingdings" w:hint="default"/>
      </w:rPr>
    </w:lvl>
    <w:lvl w:ilvl="3" w:tplc="38BAC42E">
      <w:start w:val="1"/>
      <w:numFmt w:val="bullet"/>
      <w:lvlText w:val=""/>
      <w:lvlJc w:val="left"/>
      <w:pPr>
        <w:ind w:left="2880" w:hanging="360"/>
      </w:pPr>
      <w:rPr>
        <w:rFonts w:ascii="Symbol" w:hAnsi="Symbol" w:hint="default"/>
      </w:rPr>
    </w:lvl>
    <w:lvl w:ilvl="4" w:tplc="8A5C7DBE">
      <w:start w:val="1"/>
      <w:numFmt w:val="bullet"/>
      <w:lvlText w:val="o"/>
      <w:lvlJc w:val="left"/>
      <w:pPr>
        <w:ind w:left="3600" w:hanging="360"/>
      </w:pPr>
      <w:rPr>
        <w:rFonts w:ascii="Courier New" w:hAnsi="Courier New" w:hint="default"/>
      </w:rPr>
    </w:lvl>
    <w:lvl w:ilvl="5" w:tplc="64FEDC56">
      <w:start w:val="1"/>
      <w:numFmt w:val="bullet"/>
      <w:lvlText w:val=""/>
      <w:lvlJc w:val="left"/>
      <w:pPr>
        <w:ind w:left="4320" w:hanging="360"/>
      </w:pPr>
      <w:rPr>
        <w:rFonts w:ascii="Wingdings" w:hAnsi="Wingdings" w:hint="default"/>
      </w:rPr>
    </w:lvl>
    <w:lvl w:ilvl="6" w:tplc="9046660A">
      <w:start w:val="1"/>
      <w:numFmt w:val="bullet"/>
      <w:lvlText w:val=""/>
      <w:lvlJc w:val="left"/>
      <w:pPr>
        <w:ind w:left="5040" w:hanging="360"/>
      </w:pPr>
      <w:rPr>
        <w:rFonts w:ascii="Symbol" w:hAnsi="Symbol" w:hint="default"/>
      </w:rPr>
    </w:lvl>
    <w:lvl w:ilvl="7" w:tplc="EBCEF178">
      <w:start w:val="1"/>
      <w:numFmt w:val="bullet"/>
      <w:lvlText w:val="o"/>
      <w:lvlJc w:val="left"/>
      <w:pPr>
        <w:ind w:left="5760" w:hanging="360"/>
      </w:pPr>
      <w:rPr>
        <w:rFonts w:ascii="Courier New" w:hAnsi="Courier New" w:hint="default"/>
      </w:rPr>
    </w:lvl>
    <w:lvl w:ilvl="8" w:tplc="478C480C">
      <w:start w:val="1"/>
      <w:numFmt w:val="bullet"/>
      <w:lvlText w:val=""/>
      <w:lvlJc w:val="left"/>
      <w:pPr>
        <w:ind w:left="6480" w:hanging="360"/>
      </w:pPr>
      <w:rPr>
        <w:rFonts w:ascii="Wingdings" w:hAnsi="Wingdings" w:hint="default"/>
      </w:rPr>
    </w:lvl>
  </w:abstractNum>
  <w:abstractNum w:abstractNumId="7" w15:restartNumberingAfterBreak="0">
    <w:nsid w:val="376D1FA9"/>
    <w:multiLevelType w:val="hybridMultilevel"/>
    <w:tmpl w:val="61E4BC7A"/>
    <w:lvl w:ilvl="0" w:tplc="4268F674">
      <w:start w:val="1"/>
      <w:numFmt w:val="bullet"/>
      <w:lvlText w:val="-"/>
      <w:lvlJc w:val="left"/>
      <w:pPr>
        <w:ind w:left="720" w:hanging="360"/>
      </w:pPr>
      <w:rPr>
        <w:rFonts w:ascii="Symbol" w:hAnsi="Symbol" w:hint="default"/>
      </w:rPr>
    </w:lvl>
    <w:lvl w:ilvl="1" w:tplc="B01A4410">
      <w:start w:val="1"/>
      <w:numFmt w:val="bullet"/>
      <w:lvlText w:val="-"/>
      <w:lvlJc w:val="left"/>
      <w:pPr>
        <w:ind w:left="1440" w:hanging="360"/>
      </w:pPr>
      <w:rPr>
        <w:rFonts w:ascii="&quot;Times New Roman&quot;,serif" w:hAnsi="&quot;Times New Roman&quot;,serif" w:hint="default"/>
      </w:rPr>
    </w:lvl>
    <w:lvl w:ilvl="2" w:tplc="8C1A45C4">
      <w:start w:val="1"/>
      <w:numFmt w:val="bullet"/>
      <w:lvlText w:val=""/>
      <w:lvlJc w:val="left"/>
      <w:pPr>
        <w:ind w:left="2160" w:hanging="360"/>
      </w:pPr>
      <w:rPr>
        <w:rFonts w:ascii="Wingdings" w:hAnsi="Wingdings" w:hint="default"/>
      </w:rPr>
    </w:lvl>
    <w:lvl w:ilvl="3" w:tplc="FB685D54">
      <w:start w:val="1"/>
      <w:numFmt w:val="bullet"/>
      <w:lvlText w:val=""/>
      <w:lvlJc w:val="left"/>
      <w:pPr>
        <w:ind w:left="2880" w:hanging="360"/>
      </w:pPr>
      <w:rPr>
        <w:rFonts w:ascii="Symbol" w:hAnsi="Symbol" w:hint="default"/>
      </w:rPr>
    </w:lvl>
    <w:lvl w:ilvl="4" w:tplc="E2CEAA6C">
      <w:start w:val="1"/>
      <w:numFmt w:val="bullet"/>
      <w:lvlText w:val="o"/>
      <w:lvlJc w:val="left"/>
      <w:pPr>
        <w:ind w:left="3600" w:hanging="360"/>
      </w:pPr>
      <w:rPr>
        <w:rFonts w:ascii="Courier New" w:hAnsi="Courier New" w:hint="default"/>
      </w:rPr>
    </w:lvl>
    <w:lvl w:ilvl="5" w:tplc="9A80A85C">
      <w:start w:val="1"/>
      <w:numFmt w:val="bullet"/>
      <w:lvlText w:val=""/>
      <w:lvlJc w:val="left"/>
      <w:pPr>
        <w:ind w:left="4320" w:hanging="360"/>
      </w:pPr>
      <w:rPr>
        <w:rFonts w:ascii="Wingdings" w:hAnsi="Wingdings" w:hint="default"/>
      </w:rPr>
    </w:lvl>
    <w:lvl w:ilvl="6" w:tplc="4AC61EDC">
      <w:start w:val="1"/>
      <w:numFmt w:val="bullet"/>
      <w:lvlText w:val=""/>
      <w:lvlJc w:val="left"/>
      <w:pPr>
        <w:ind w:left="5040" w:hanging="360"/>
      </w:pPr>
      <w:rPr>
        <w:rFonts w:ascii="Symbol" w:hAnsi="Symbol" w:hint="default"/>
      </w:rPr>
    </w:lvl>
    <w:lvl w:ilvl="7" w:tplc="5D0C1250">
      <w:start w:val="1"/>
      <w:numFmt w:val="bullet"/>
      <w:lvlText w:val="o"/>
      <w:lvlJc w:val="left"/>
      <w:pPr>
        <w:ind w:left="5760" w:hanging="360"/>
      </w:pPr>
      <w:rPr>
        <w:rFonts w:ascii="Courier New" w:hAnsi="Courier New" w:hint="default"/>
      </w:rPr>
    </w:lvl>
    <w:lvl w:ilvl="8" w:tplc="EE50226C">
      <w:start w:val="1"/>
      <w:numFmt w:val="bullet"/>
      <w:lvlText w:val=""/>
      <w:lvlJc w:val="left"/>
      <w:pPr>
        <w:ind w:left="6480" w:hanging="360"/>
      </w:pPr>
      <w:rPr>
        <w:rFonts w:ascii="Wingdings" w:hAnsi="Wingdings" w:hint="default"/>
      </w:rPr>
    </w:lvl>
  </w:abstractNum>
  <w:abstractNum w:abstractNumId="8" w15:restartNumberingAfterBreak="0">
    <w:nsid w:val="39314795"/>
    <w:multiLevelType w:val="hybridMultilevel"/>
    <w:tmpl w:val="C9347FD4"/>
    <w:lvl w:ilvl="0" w:tplc="C6A05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97C13"/>
    <w:multiLevelType w:val="hybridMultilevel"/>
    <w:tmpl w:val="83E6ADE6"/>
    <w:lvl w:ilvl="0" w:tplc="E12E3360">
      <w:start w:val="1"/>
      <w:numFmt w:val="bullet"/>
      <w:lvlText w:val="-"/>
      <w:lvlJc w:val="left"/>
      <w:pPr>
        <w:ind w:left="720" w:hanging="360"/>
      </w:pPr>
      <w:rPr>
        <w:rFonts w:ascii="Symbol" w:hAnsi="Symbol" w:hint="default"/>
      </w:rPr>
    </w:lvl>
    <w:lvl w:ilvl="1" w:tplc="4BBAB1C8">
      <w:start w:val="1"/>
      <w:numFmt w:val="bullet"/>
      <w:lvlText w:val="o"/>
      <w:lvlJc w:val="left"/>
      <w:pPr>
        <w:ind w:left="1440" w:hanging="360"/>
      </w:pPr>
      <w:rPr>
        <w:rFonts w:ascii="Courier New" w:hAnsi="Courier New" w:hint="default"/>
      </w:rPr>
    </w:lvl>
    <w:lvl w:ilvl="2" w:tplc="FDBE16D4">
      <w:start w:val="1"/>
      <w:numFmt w:val="bullet"/>
      <w:lvlText w:val=""/>
      <w:lvlJc w:val="left"/>
      <w:pPr>
        <w:ind w:left="2160" w:hanging="360"/>
      </w:pPr>
      <w:rPr>
        <w:rFonts w:ascii="Wingdings" w:hAnsi="Wingdings" w:hint="default"/>
      </w:rPr>
    </w:lvl>
    <w:lvl w:ilvl="3" w:tplc="04D2381C">
      <w:start w:val="1"/>
      <w:numFmt w:val="bullet"/>
      <w:lvlText w:val=""/>
      <w:lvlJc w:val="left"/>
      <w:pPr>
        <w:ind w:left="2880" w:hanging="360"/>
      </w:pPr>
      <w:rPr>
        <w:rFonts w:ascii="Symbol" w:hAnsi="Symbol" w:hint="default"/>
      </w:rPr>
    </w:lvl>
    <w:lvl w:ilvl="4" w:tplc="ED043288">
      <w:start w:val="1"/>
      <w:numFmt w:val="bullet"/>
      <w:lvlText w:val="o"/>
      <w:lvlJc w:val="left"/>
      <w:pPr>
        <w:ind w:left="3600" w:hanging="360"/>
      </w:pPr>
      <w:rPr>
        <w:rFonts w:ascii="Courier New" w:hAnsi="Courier New" w:hint="default"/>
      </w:rPr>
    </w:lvl>
    <w:lvl w:ilvl="5" w:tplc="0F406028">
      <w:start w:val="1"/>
      <w:numFmt w:val="bullet"/>
      <w:lvlText w:val=""/>
      <w:lvlJc w:val="left"/>
      <w:pPr>
        <w:ind w:left="4320" w:hanging="360"/>
      </w:pPr>
      <w:rPr>
        <w:rFonts w:ascii="Wingdings" w:hAnsi="Wingdings" w:hint="default"/>
      </w:rPr>
    </w:lvl>
    <w:lvl w:ilvl="6" w:tplc="62BAD282">
      <w:start w:val="1"/>
      <w:numFmt w:val="bullet"/>
      <w:lvlText w:val=""/>
      <w:lvlJc w:val="left"/>
      <w:pPr>
        <w:ind w:left="5040" w:hanging="360"/>
      </w:pPr>
      <w:rPr>
        <w:rFonts w:ascii="Symbol" w:hAnsi="Symbol" w:hint="default"/>
      </w:rPr>
    </w:lvl>
    <w:lvl w:ilvl="7" w:tplc="4A586E36">
      <w:start w:val="1"/>
      <w:numFmt w:val="bullet"/>
      <w:lvlText w:val="o"/>
      <w:lvlJc w:val="left"/>
      <w:pPr>
        <w:ind w:left="5760" w:hanging="360"/>
      </w:pPr>
      <w:rPr>
        <w:rFonts w:ascii="Courier New" w:hAnsi="Courier New" w:hint="default"/>
      </w:rPr>
    </w:lvl>
    <w:lvl w:ilvl="8" w:tplc="935CBDC0">
      <w:start w:val="1"/>
      <w:numFmt w:val="bullet"/>
      <w:lvlText w:val=""/>
      <w:lvlJc w:val="left"/>
      <w:pPr>
        <w:ind w:left="6480" w:hanging="360"/>
      </w:pPr>
      <w:rPr>
        <w:rFonts w:ascii="Wingdings" w:hAnsi="Wingdings" w:hint="default"/>
      </w:rPr>
    </w:lvl>
  </w:abstractNum>
  <w:abstractNum w:abstractNumId="10" w15:restartNumberingAfterBreak="0">
    <w:nsid w:val="4BE26CDF"/>
    <w:multiLevelType w:val="hybridMultilevel"/>
    <w:tmpl w:val="36B42A86"/>
    <w:lvl w:ilvl="0" w:tplc="A44C73A8">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1" w15:restartNumberingAfterBreak="0">
    <w:nsid w:val="51D34E02"/>
    <w:multiLevelType w:val="multilevel"/>
    <w:tmpl w:val="D696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09163C"/>
    <w:multiLevelType w:val="hybridMultilevel"/>
    <w:tmpl w:val="78B2E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F690E"/>
    <w:multiLevelType w:val="hybridMultilevel"/>
    <w:tmpl w:val="35F20F4E"/>
    <w:lvl w:ilvl="0" w:tplc="A44C7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6360C"/>
    <w:multiLevelType w:val="hybridMultilevel"/>
    <w:tmpl w:val="69C89C46"/>
    <w:lvl w:ilvl="0" w:tplc="D0E6A3C0">
      <w:start w:val="1"/>
      <w:numFmt w:val="bullet"/>
      <w:lvlText w:val=""/>
      <w:lvlJc w:val="left"/>
      <w:pPr>
        <w:ind w:left="720" w:hanging="360"/>
      </w:pPr>
      <w:rPr>
        <w:rFonts w:ascii="Symbol" w:hAnsi="Symbol" w:hint="default"/>
      </w:rPr>
    </w:lvl>
    <w:lvl w:ilvl="1" w:tplc="A44C73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5"/>
  </w:num>
  <w:num w:numId="6">
    <w:abstractNumId w:val="0"/>
  </w:num>
  <w:num w:numId="7">
    <w:abstractNumId w:val="3"/>
  </w:num>
  <w:num w:numId="8">
    <w:abstractNumId w:val="13"/>
  </w:num>
  <w:num w:numId="9">
    <w:abstractNumId w:val="11"/>
  </w:num>
  <w:num w:numId="10">
    <w:abstractNumId w:val="8"/>
  </w:num>
  <w:num w:numId="11">
    <w:abstractNumId w:val="1"/>
  </w:num>
  <w:num w:numId="12">
    <w:abstractNumId w:val="9"/>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13"/>
    <w:rsid w:val="00000915"/>
    <w:rsid w:val="000037FE"/>
    <w:rsid w:val="0000688F"/>
    <w:rsid w:val="00006974"/>
    <w:rsid w:val="00010AD4"/>
    <w:rsid w:val="000140AF"/>
    <w:rsid w:val="00015707"/>
    <w:rsid w:val="00016071"/>
    <w:rsid w:val="00016924"/>
    <w:rsid w:val="00027999"/>
    <w:rsid w:val="000300BE"/>
    <w:rsid w:val="00032DAE"/>
    <w:rsid w:val="00040345"/>
    <w:rsid w:val="0004056C"/>
    <w:rsid w:val="00040C75"/>
    <w:rsid w:val="00041CEE"/>
    <w:rsid w:val="00041DF3"/>
    <w:rsid w:val="00045CF5"/>
    <w:rsid w:val="0005314C"/>
    <w:rsid w:val="00061A8E"/>
    <w:rsid w:val="000630A2"/>
    <w:rsid w:val="00063DD0"/>
    <w:rsid w:val="00065114"/>
    <w:rsid w:val="0008100D"/>
    <w:rsid w:val="00084A2F"/>
    <w:rsid w:val="00086084"/>
    <w:rsid w:val="00087E14"/>
    <w:rsid w:val="000938F1"/>
    <w:rsid w:val="000A08C4"/>
    <w:rsid w:val="000A0F4B"/>
    <w:rsid w:val="000A2113"/>
    <w:rsid w:val="000A75EF"/>
    <w:rsid w:val="000A7933"/>
    <w:rsid w:val="000B5E9B"/>
    <w:rsid w:val="000C3375"/>
    <w:rsid w:val="000C74B8"/>
    <w:rsid w:val="000C78A7"/>
    <w:rsid w:val="000D0471"/>
    <w:rsid w:val="000D0C1A"/>
    <w:rsid w:val="000D1C1B"/>
    <w:rsid w:val="000E446B"/>
    <w:rsid w:val="000E4DF9"/>
    <w:rsid w:val="000E5641"/>
    <w:rsid w:val="000F7302"/>
    <w:rsid w:val="00100DC8"/>
    <w:rsid w:val="00106E1B"/>
    <w:rsid w:val="00113796"/>
    <w:rsid w:val="00113EA3"/>
    <w:rsid w:val="0011481C"/>
    <w:rsid w:val="00116938"/>
    <w:rsid w:val="00121081"/>
    <w:rsid w:val="00124C69"/>
    <w:rsid w:val="00132883"/>
    <w:rsid w:val="00133CCF"/>
    <w:rsid w:val="00134BD4"/>
    <w:rsid w:val="001351AB"/>
    <w:rsid w:val="001370C7"/>
    <w:rsid w:val="0014105A"/>
    <w:rsid w:val="0014190C"/>
    <w:rsid w:val="0014231C"/>
    <w:rsid w:val="00147D96"/>
    <w:rsid w:val="00152D3B"/>
    <w:rsid w:val="00152F0E"/>
    <w:rsid w:val="00160CF9"/>
    <w:rsid w:val="00161640"/>
    <w:rsid w:val="00162A2D"/>
    <w:rsid w:val="001702A8"/>
    <w:rsid w:val="0017042F"/>
    <w:rsid w:val="00172625"/>
    <w:rsid w:val="00176768"/>
    <w:rsid w:val="001773ED"/>
    <w:rsid w:val="00180025"/>
    <w:rsid w:val="00183055"/>
    <w:rsid w:val="00183D5F"/>
    <w:rsid w:val="00185454"/>
    <w:rsid w:val="001868BE"/>
    <w:rsid w:val="001922DC"/>
    <w:rsid w:val="001934D5"/>
    <w:rsid w:val="00196BE3"/>
    <w:rsid w:val="001A06F1"/>
    <w:rsid w:val="001A083F"/>
    <w:rsid w:val="001A0E6D"/>
    <w:rsid w:val="001B17E2"/>
    <w:rsid w:val="001B1BB9"/>
    <w:rsid w:val="001C4449"/>
    <w:rsid w:val="001C6E7F"/>
    <w:rsid w:val="001D02B9"/>
    <w:rsid w:val="001E011F"/>
    <w:rsid w:val="001E3B99"/>
    <w:rsid w:val="001E400B"/>
    <w:rsid w:val="001E7AB8"/>
    <w:rsid w:val="001F3D95"/>
    <w:rsid w:val="001F5021"/>
    <w:rsid w:val="001F6E82"/>
    <w:rsid w:val="002018C9"/>
    <w:rsid w:val="002035D6"/>
    <w:rsid w:val="00204BEC"/>
    <w:rsid w:val="00211EEF"/>
    <w:rsid w:val="002145A9"/>
    <w:rsid w:val="00224859"/>
    <w:rsid w:val="00224C18"/>
    <w:rsid w:val="002266A4"/>
    <w:rsid w:val="00226C02"/>
    <w:rsid w:val="00230B1F"/>
    <w:rsid w:val="00237026"/>
    <w:rsid w:val="00242837"/>
    <w:rsid w:val="00246C4A"/>
    <w:rsid w:val="00247CF0"/>
    <w:rsid w:val="0025173E"/>
    <w:rsid w:val="0025175E"/>
    <w:rsid w:val="002525B7"/>
    <w:rsid w:val="00252C35"/>
    <w:rsid w:val="00253E4E"/>
    <w:rsid w:val="00255BF5"/>
    <w:rsid w:val="00256D56"/>
    <w:rsid w:val="002573B1"/>
    <w:rsid w:val="002575CE"/>
    <w:rsid w:val="002618B4"/>
    <w:rsid w:val="00261AF0"/>
    <w:rsid w:val="00261DD8"/>
    <w:rsid w:val="00262C29"/>
    <w:rsid w:val="0026562D"/>
    <w:rsid w:val="00272BA9"/>
    <w:rsid w:val="00273854"/>
    <w:rsid w:val="002768D4"/>
    <w:rsid w:val="00280E0E"/>
    <w:rsid w:val="00285485"/>
    <w:rsid w:val="00285DE1"/>
    <w:rsid w:val="00285F91"/>
    <w:rsid w:val="002866F1"/>
    <w:rsid w:val="002878F3"/>
    <w:rsid w:val="00287DBA"/>
    <w:rsid w:val="00290E13"/>
    <w:rsid w:val="00292F28"/>
    <w:rsid w:val="00294707"/>
    <w:rsid w:val="002A029A"/>
    <w:rsid w:val="002A63FF"/>
    <w:rsid w:val="002A694F"/>
    <w:rsid w:val="002B6F0C"/>
    <w:rsid w:val="002C2E62"/>
    <w:rsid w:val="002C4900"/>
    <w:rsid w:val="002D0FA6"/>
    <w:rsid w:val="002D1CAD"/>
    <w:rsid w:val="002D3FDD"/>
    <w:rsid w:val="002D5974"/>
    <w:rsid w:val="002E1711"/>
    <w:rsid w:val="002E35AC"/>
    <w:rsid w:val="002F1876"/>
    <w:rsid w:val="002F3735"/>
    <w:rsid w:val="002F42FD"/>
    <w:rsid w:val="002F5013"/>
    <w:rsid w:val="002F556F"/>
    <w:rsid w:val="002F772C"/>
    <w:rsid w:val="00301725"/>
    <w:rsid w:val="0030409A"/>
    <w:rsid w:val="00310E9B"/>
    <w:rsid w:val="003140B7"/>
    <w:rsid w:val="00317352"/>
    <w:rsid w:val="003175EB"/>
    <w:rsid w:val="003207E2"/>
    <w:rsid w:val="00322FA9"/>
    <w:rsid w:val="00323649"/>
    <w:rsid w:val="00324259"/>
    <w:rsid w:val="00324C43"/>
    <w:rsid w:val="003261CE"/>
    <w:rsid w:val="00331F20"/>
    <w:rsid w:val="003337A1"/>
    <w:rsid w:val="00334CB0"/>
    <w:rsid w:val="003362F9"/>
    <w:rsid w:val="00343469"/>
    <w:rsid w:val="00343A30"/>
    <w:rsid w:val="00343CFE"/>
    <w:rsid w:val="0034575A"/>
    <w:rsid w:val="00347888"/>
    <w:rsid w:val="00351B3D"/>
    <w:rsid w:val="003532CE"/>
    <w:rsid w:val="00353FC2"/>
    <w:rsid w:val="00354AC5"/>
    <w:rsid w:val="003560AA"/>
    <w:rsid w:val="00356351"/>
    <w:rsid w:val="00357189"/>
    <w:rsid w:val="00361244"/>
    <w:rsid w:val="003670C9"/>
    <w:rsid w:val="00375953"/>
    <w:rsid w:val="003867C8"/>
    <w:rsid w:val="003914C6"/>
    <w:rsid w:val="0039680C"/>
    <w:rsid w:val="003A002F"/>
    <w:rsid w:val="003A07FA"/>
    <w:rsid w:val="003A3988"/>
    <w:rsid w:val="003A469B"/>
    <w:rsid w:val="003A4FF3"/>
    <w:rsid w:val="003A534A"/>
    <w:rsid w:val="003A7469"/>
    <w:rsid w:val="003B5C6B"/>
    <w:rsid w:val="003B5FC9"/>
    <w:rsid w:val="003B6D54"/>
    <w:rsid w:val="003B73CC"/>
    <w:rsid w:val="003C1822"/>
    <w:rsid w:val="003C5365"/>
    <w:rsid w:val="003C6DF0"/>
    <w:rsid w:val="003C7BAC"/>
    <w:rsid w:val="003D249D"/>
    <w:rsid w:val="003D6474"/>
    <w:rsid w:val="003D6C18"/>
    <w:rsid w:val="003D7CFA"/>
    <w:rsid w:val="003E17C5"/>
    <w:rsid w:val="003E27DF"/>
    <w:rsid w:val="003E2FF5"/>
    <w:rsid w:val="003E410A"/>
    <w:rsid w:val="003E7A1E"/>
    <w:rsid w:val="003F278D"/>
    <w:rsid w:val="003F3195"/>
    <w:rsid w:val="003F3339"/>
    <w:rsid w:val="003F3565"/>
    <w:rsid w:val="003F3C27"/>
    <w:rsid w:val="004018C3"/>
    <w:rsid w:val="00411B7D"/>
    <w:rsid w:val="00414854"/>
    <w:rsid w:val="00416B4C"/>
    <w:rsid w:val="00420096"/>
    <w:rsid w:val="0042050B"/>
    <w:rsid w:val="004244DB"/>
    <w:rsid w:val="00426204"/>
    <w:rsid w:val="00427F31"/>
    <w:rsid w:val="004300DA"/>
    <w:rsid w:val="00436401"/>
    <w:rsid w:val="0044114E"/>
    <w:rsid w:val="00443263"/>
    <w:rsid w:val="00443D37"/>
    <w:rsid w:val="00444314"/>
    <w:rsid w:val="004518DE"/>
    <w:rsid w:val="00464CAB"/>
    <w:rsid w:val="004661D0"/>
    <w:rsid w:val="00475DE0"/>
    <w:rsid w:val="004810EA"/>
    <w:rsid w:val="00482698"/>
    <w:rsid w:val="0048317A"/>
    <w:rsid w:val="00483F42"/>
    <w:rsid w:val="0048424E"/>
    <w:rsid w:val="00484A2F"/>
    <w:rsid w:val="004A073F"/>
    <w:rsid w:val="004A1B6C"/>
    <w:rsid w:val="004A7DF4"/>
    <w:rsid w:val="004B25B6"/>
    <w:rsid w:val="004B319E"/>
    <w:rsid w:val="004C2517"/>
    <w:rsid w:val="004C5BCF"/>
    <w:rsid w:val="004C5E09"/>
    <w:rsid w:val="004C739B"/>
    <w:rsid w:val="004D06DB"/>
    <w:rsid w:val="004D1E9D"/>
    <w:rsid w:val="004D5781"/>
    <w:rsid w:val="004D621C"/>
    <w:rsid w:val="004D7655"/>
    <w:rsid w:val="004E09FE"/>
    <w:rsid w:val="004E2BC3"/>
    <w:rsid w:val="004E7389"/>
    <w:rsid w:val="004E7CB8"/>
    <w:rsid w:val="004F209C"/>
    <w:rsid w:val="004F5A22"/>
    <w:rsid w:val="0050549B"/>
    <w:rsid w:val="005060F5"/>
    <w:rsid w:val="0050717F"/>
    <w:rsid w:val="005141F3"/>
    <w:rsid w:val="00516F17"/>
    <w:rsid w:val="005233FC"/>
    <w:rsid w:val="00523EC4"/>
    <w:rsid w:val="00531C98"/>
    <w:rsid w:val="00535F20"/>
    <w:rsid w:val="00541033"/>
    <w:rsid w:val="00541934"/>
    <w:rsid w:val="00542103"/>
    <w:rsid w:val="005435BD"/>
    <w:rsid w:val="00545C8C"/>
    <w:rsid w:val="0055470E"/>
    <w:rsid w:val="00554C53"/>
    <w:rsid w:val="00556E4F"/>
    <w:rsid w:val="00557BBC"/>
    <w:rsid w:val="00560330"/>
    <w:rsid w:val="0056500B"/>
    <w:rsid w:val="005676FA"/>
    <w:rsid w:val="005814C7"/>
    <w:rsid w:val="00583ABF"/>
    <w:rsid w:val="0058535F"/>
    <w:rsid w:val="00587643"/>
    <w:rsid w:val="00590453"/>
    <w:rsid w:val="00590547"/>
    <w:rsid w:val="005913CB"/>
    <w:rsid w:val="00592102"/>
    <w:rsid w:val="00592E3B"/>
    <w:rsid w:val="005932BB"/>
    <w:rsid w:val="00593ACF"/>
    <w:rsid w:val="00596B00"/>
    <w:rsid w:val="00597385"/>
    <w:rsid w:val="005A1EE2"/>
    <w:rsid w:val="005A2123"/>
    <w:rsid w:val="005B2B6B"/>
    <w:rsid w:val="005B3FA3"/>
    <w:rsid w:val="005B4B00"/>
    <w:rsid w:val="005B7228"/>
    <w:rsid w:val="005C066C"/>
    <w:rsid w:val="005C3870"/>
    <w:rsid w:val="005D1E73"/>
    <w:rsid w:val="005D2282"/>
    <w:rsid w:val="005D34C6"/>
    <w:rsid w:val="005D37B1"/>
    <w:rsid w:val="005D5E91"/>
    <w:rsid w:val="005D7AA3"/>
    <w:rsid w:val="005E0A7B"/>
    <w:rsid w:val="005E0C58"/>
    <w:rsid w:val="005E1D89"/>
    <w:rsid w:val="005F65E8"/>
    <w:rsid w:val="0060540D"/>
    <w:rsid w:val="006072A5"/>
    <w:rsid w:val="0060771B"/>
    <w:rsid w:val="00610A08"/>
    <w:rsid w:val="00612F02"/>
    <w:rsid w:val="006132D6"/>
    <w:rsid w:val="00616988"/>
    <w:rsid w:val="00622AD2"/>
    <w:rsid w:val="00623E86"/>
    <w:rsid w:val="00624370"/>
    <w:rsid w:val="00627CDE"/>
    <w:rsid w:val="00630EBD"/>
    <w:rsid w:val="0063175B"/>
    <w:rsid w:val="00634056"/>
    <w:rsid w:val="00643ADE"/>
    <w:rsid w:val="0064407D"/>
    <w:rsid w:val="00646264"/>
    <w:rsid w:val="00650D9E"/>
    <w:rsid w:val="0065190A"/>
    <w:rsid w:val="00665B90"/>
    <w:rsid w:val="006704F3"/>
    <w:rsid w:val="006712CF"/>
    <w:rsid w:val="0068203A"/>
    <w:rsid w:val="00682434"/>
    <w:rsid w:val="0068584C"/>
    <w:rsid w:val="0069014A"/>
    <w:rsid w:val="006928ED"/>
    <w:rsid w:val="00693B33"/>
    <w:rsid w:val="006945EA"/>
    <w:rsid w:val="0069473F"/>
    <w:rsid w:val="00695B9B"/>
    <w:rsid w:val="006A02DE"/>
    <w:rsid w:val="006A1A9F"/>
    <w:rsid w:val="006A7D6B"/>
    <w:rsid w:val="006B45C2"/>
    <w:rsid w:val="006B5418"/>
    <w:rsid w:val="006B7329"/>
    <w:rsid w:val="006C1CF2"/>
    <w:rsid w:val="006C1D9B"/>
    <w:rsid w:val="006C34B9"/>
    <w:rsid w:val="006E00B7"/>
    <w:rsid w:val="006E38C3"/>
    <w:rsid w:val="006E5343"/>
    <w:rsid w:val="006E623E"/>
    <w:rsid w:val="006E67B2"/>
    <w:rsid w:val="006E760E"/>
    <w:rsid w:val="006F3AE5"/>
    <w:rsid w:val="006F6FC9"/>
    <w:rsid w:val="006F79E2"/>
    <w:rsid w:val="007017A6"/>
    <w:rsid w:val="00704ACD"/>
    <w:rsid w:val="007064DF"/>
    <w:rsid w:val="007120C4"/>
    <w:rsid w:val="0071427A"/>
    <w:rsid w:val="00720D39"/>
    <w:rsid w:val="007252C3"/>
    <w:rsid w:val="007302B3"/>
    <w:rsid w:val="007370CE"/>
    <w:rsid w:val="00740F7A"/>
    <w:rsid w:val="00741C86"/>
    <w:rsid w:val="0074218E"/>
    <w:rsid w:val="00742363"/>
    <w:rsid w:val="00750675"/>
    <w:rsid w:val="0075156F"/>
    <w:rsid w:val="00760438"/>
    <w:rsid w:val="00760763"/>
    <w:rsid w:val="007617EC"/>
    <w:rsid w:val="0076259A"/>
    <w:rsid w:val="00763856"/>
    <w:rsid w:val="007644C0"/>
    <w:rsid w:val="00766C56"/>
    <w:rsid w:val="00772AEF"/>
    <w:rsid w:val="007732EA"/>
    <w:rsid w:val="00773615"/>
    <w:rsid w:val="007746AD"/>
    <w:rsid w:val="0077770B"/>
    <w:rsid w:val="00781421"/>
    <w:rsid w:val="00781CF5"/>
    <w:rsid w:val="007831B0"/>
    <w:rsid w:val="00796BA3"/>
    <w:rsid w:val="007A1292"/>
    <w:rsid w:val="007A669E"/>
    <w:rsid w:val="007A776D"/>
    <w:rsid w:val="007B357A"/>
    <w:rsid w:val="007B6562"/>
    <w:rsid w:val="007C637D"/>
    <w:rsid w:val="007C7769"/>
    <w:rsid w:val="007D013F"/>
    <w:rsid w:val="007D4609"/>
    <w:rsid w:val="007D4CB9"/>
    <w:rsid w:val="007D5FE3"/>
    <w:rsid w:val="007E2643"/>
    <w:rsid w:val="007E7FF2"/>
    <w:rsid w:val="007F0C93"/>
    <w:rsid w:val="007F260E"/>
    <w:rsid w:val="00800A17"/>
    <w:rsid w:val="00803A71"/>
    <w:rsid w:val="0080602E"/>
    <w:rsid w:val="00810F29"/>
    <w:rsid w:val="00812C6A"/>
    <w:rsid w:val="00814818"/>
    <w:rsid w:val="00814D79"/>
    <w:rsid w:val="00816C14"/>
    <w:rsid w:val="008220CC"/>
    <w:rsid w:val="008227BF"/>
    <w:rsid w:val="00823EDA"/>
    <w:rsid w:val="008260E8"/>
    <w:rsid w:val="00831B04"/>
    <w:rsid w:val="00837245"/>
    <w:rsid w:val="00846320"/>
    <w:rsid w:val="00847A4A"/>
    <w:rsid w:val="00855B89"/>
    <w:rsid w:val="008600EC"/>
    <w:rsid w:val="008612AC"/>
    <w:rsid w:val="008633F2"/>
    <w:rsid w:val="00865472"/>
    <w:rsid w:val="0086729A"/>
    <w:rsid w:val="00874F9B"/>
    <w:rsid w:val="008803B8"/>
    <w:rsid w:val="00880586"/>
    <w:rsid w:val="00880F67"/>
    <w:rsid w:val="0088164A"/>
    <w:rsid w:val="00882A3F"/>
    <w:rsid w:val="00886A7B"/>
    <w:rsid w:val="0088772E"/>
    <w:rsid w:val="0089011A"/>
    <w:rsid w:val="00892F08"/>
    <w:rsid w:val="0089460D"/>
    <w:rsid w:val="00896735"/>
    <w:rsid w:val="00896936"/>
    <w:rsid w:val="008A1D82"/>
    <w:rsid w:val="008A38D5"/>
    <w:rsid w:val="008A3A2E"/>
    <w:rsid w:val="008A52FE"/>
    <w:rsid w:val="008A5944"/>
    <w:rsid w:val="008A5D0A"/>
    <w:rsid w:val="008A63B9"/>
    <w:rsid w:val="008B02A1"/>
    <w:rsid w:val="008B1737"/>
    <w:rsid w:val="008B3731"/>
    <w:rsid w:val="008C3E9C"/>
    <w:rsid w:val="008C692E"/>
    <w:rsid w:val="008D3A99"/>
    <w:rsid w:val="008D3D53"/>
    <w:rsid w:val="008D486C"/>
    <w:rsid w:val="008D730E"/>
    <w:rsid w:val="008D7A61"/>
    <w:rsid w:val="008E2DA3"/>
    <w:rsid w:val="008E36F6"/>
    <w:rsid w:val="008E4255"/>
    <w:rsid w:val="008E4764"/>
    <w:rsid w:val="008F62AA"/>
    <w:rsid w:val="008F665A"/>
    <w:rsid w:val="009040C2"/>
    <w:rsid w:val="009104C2"/>
    <w:rsid w:val="009128AB"/>
    <w:rsid w:val="009142A4"/>
    <w:rsid w:val="009157C3"/>
    <w:rsid w:val="00916B75"/>
    <w:rsid w:val="00916B79"/>
    <w:rsid w:val="009177CB"/>
    <w:rsid w:val="009206A7"/>
    <w:rsid w:val="00920C60"/>
    <w:rsid w:val="00920CF2"/>
    <w:rsid w:val="00924A79"/>
    <w:rsid w:val="009351F0"/>
    <w:rsid w:val="00937E5D"/>
    <w:rsid w:val="009407F4"/>
    <w:rsid w:val="00944683"/>
    <w:rsid w:val="009470E2"/>
    <w:rsid w:val="00950318"/>
    <w:rsid w:val="00951B0A"/>
    <w:rsid w:val="009527E8"/>
    <w:rsid w:val="0095349B"/>
    <w:rsid w:val="00961EF2"/>
    <w:rsid w:val="00963AE3"/>
    <w:rsid w:val="00964984"/>
    <w:rsid w:val="009678A3"/>
    <w:rsid w:val="00967A53"/>
    <w:rsid w:val="00970DD3"/>
    <w:rsid w:val="00972147"/>
    <w:rsid w:val="009825F1"/>
    <w:rsid w:val="00983948"/>
    <w:rsid w:val="00986EFE"/>
    <w:rsid w:val="009901B9"/>
    <w:rsid w:val="0099243A"/>
    <w:rsid w:val="00993B2E"/>
    <w:rsid w:val="00995CD4"/>
    <w:rsid w:val="00997105"/>
    <w:rsid w:val="009A02BB"/>
    <w:rsid w:val="009A0385"/>
    <w:rsid w:val="009A0CB5"/>
    <w:rsid w:val="009A1171"/>
    <w:rsid w:val="009A1E94"/>
    <w:rsid w:val="009A2EF3"/>
    <w:rsid w:val="009A30A9"/>
    <w:rsid w:val="009A3109"/>
    <w:rsid w:val="009A463C"/>
    <w:rsid w:val="009A4FA5"/>
    <w:rsid w:val="009A5056"/>
    <w:rsid w:val="009B1481"/>
    <w:rsid w:val="009B4531"/>
    <w:rsid w:val="009B493D"/>
    <w:rsid w:val="009B5DB2"/>
    <w:rsid w:val="009B600F"/>
    <w:rsid w:val="009C42C9"/>
    <w:rsid w:val="009C6F52"/>
    <w:rsid w:val="009C7502"/>
    <w:rsid w:val="009D083B"/>
    <w:rsid w:val="009D1934"/>
    <w:rsid w:val="009D4EFA"/>
    <w:rsid w:val="009D57FE"/>
    <w:rsid w:val="009D6D41"/>
    <w:rsid w:val="009E2426"/>
    <w:rsid w:val="009E27BB"/>
    <w:rsid w:val="009E5760"/>
    <w:rsid w:val="009E6A02"/>
    <w:rsid w:val="009E6A3B"/>
    <w:rsid w:val="009E6E2E"/>
    <w:rsid w:val="009E7700"/>
    <w:rsid w:val="009F3A76"/>
    <w:rsid w:val="009F5277"/>
    <w:rsid w:val="00A02CEF"/>
    <w:rsid w:val="00A054DE"/>
    <w:rsid w:val="00A06912"/>
    <w:rsid w:val="00A073B6"/>
    <w:rsid w:val="00A133AF"/>
    <w:rsid w:val="00A141ED"/>
    <w:rsid w:val="00A155D4"/>
    <w:rsid w:val="00A15C67"/>
    <w:rsid w:val="00A16B3E"/>
    <w:rsid w:val="00A17047"/>
    <w:rsid w:val="00A17548"/>
    <w:rsid w:val="00A17C3E"/>
    <w:rsid w:val="00A24891"/>
    <w:rsid w:val="00A31326"/>
    <w:rsid w:val="00A33227"/>
    <w:rsid w:val="00A35667"/>
    <w:rsid w:val="00A363BE"/>
    <w:rsid w:val="00A4101C"/>
    <w:rsid w:val="00A41A95"/>
    <w:rsid w:val="00A44A05"/>
    <w:rsid w:val="00A44D75"/>
    <w:rsid w:val="00A47D61"/>
    <w:rsid w:val="00A5156B"/>
    <w:rsid w:val="00A516C4"/>
    <w:rsid w:val="00A53719"/>
    <w:rsid w:val="00A540B2"/>
    <w:rsid w:val="00A56380"/>
    <w:rsid w:val="00A60591"/>
    <w:rsid w:val="00A675D4"/>
    <w:rsid w:val="00A7017B"/>
    <w:rsid w:val="00A70511"/>
    <w:rsid w:val="00A71CE4"/>
    <w:rsid w:val="00A730C6"/>
    <w:rsid w:val="00A763FE"/>
    <w:rsid w:val="00A7761A"/>
    <w:rsid w:val="00A77991"/>
    <w:rsid w:val="00A860B0"/>
    <w:rsid w:val="00A87E3F"/>
    <w:rsid w:val="00A9138F"/>
    <w:rsid w:val="00A95F35"/>
    <w:rsid w:val="00AA6BE0"/>
    <w:rsid w:val="00AA6EBE"/>
    <w:rsid w:val="00AA74C6"/>
    <w:rsid w:val="00AA7ADA"/>
    <w:rsid w:val="00AB4922"/>
    <w:rsid w:val="00AB56A6"/>
    <w:rsid w:val="00AC5B17"/>
    <w:rsid w:val="00AC5FE7"/>
    <w:rsid w:val="00AD0821"/>
    <w:rsid w:val="00AD1BD5"/>
    <w:rsid w:val="00AE7903"/>
    <w:rsid w:val="00AF0373"/>
    <w:rsid w:val="00AF150E"/>
    <w:rsid w:val="00AF24E1"/>
    <w:rsid w:val="00AF36E0"/>
    <w:rsid w:val="00AF3E26"/>
    <w:rsid w:val="00AF64BF"/>
    <w:rsid w:val="00B005AD"/>
    <w:rsid w:val="00B0100F"/>
    <w:rsid w:val="00B01C41"/>
    <w:rsid w:val="00B03243"/>
    <w:rsid w:val="00B03FC2"/>
    <w:rsid w:val="00B045F6"/>
    <w:rsid w:val="00B048C3"/>
    <w:rsid w:val="00B07C6E"/>
    <w:rsid w:val="00B11397"/>
    <w:rsid w:val="00B1403F"/>
    <w:rsid w:val="00B1677B"/>
    <w:rsid w:val="00B21F00"/>
    <w:rsid w:val="00B22186"/>
    <w:rsid w:val="00B27732"/>
    <w:rsid w:val="00B30083"/>
    <w:rsid w:val="00B31234"/>
    <w:rsid w:val="00B321EB"/>
    <w:rsid w:val="00B34ED4"/>
    <w:rsid w:val="00B354C5"/>
    <w:rsid w:val="00B434D9"/>
    <w:rsid w:val="00B43DD4"/>
    <w:rsid w:val="00B44426"/>
    <w:rsid w:val="00B51090"/>
    <w:rsid w:val="00B54346"/>
    <w:rsid w:val="00B70B24"/>
    <w:rsid w:val="00B715B2"/>
    <w:rsid w:val="00B7281F"/>
    <w:rsid w:val="00B7720B"/>
    <w:rsid w:val="00B841B7"/>
    <w:rsid w:val="00B842E7"/>
    <w:rsid w:val="00B86C3D"/>
    <w:rsid w:val="00B90E16"/>
    <w:rsid w:val="00B94182"/>
    <w:rsid w:val="00B95D7F"/>
    <w:rsid w:val="00BA2103"/>
    <w:rsid w:val="00BA4310"/>
    <w:rsid w:val="00BA5FD9"/>
    <w:rsid w:val="00BA7E6D"/>
    <w:rsid w:val="00BB10FA"/>
    <w:rsid w:val="00BB1E14"/>
    <w:rsid w:val="00BB1F9E"/>
    <w:rsid w:val="00BB6446"/>
    <w:rsid w:val="00BB73BF"/>
    <w:rsid w:val="00BC05A4"/>
    <w:rsid w:val="00BC10E9"/>
    <w:rsid w:val="00BC5A03"/>
    <w:rsid w:val="00BC5D48"/>
    <w:rsid w:val="00BD15CA"/>
    <w:rsid w:val="00BD27D5"/>
    <w:rsid w:val="00BD6F6C"/>
    <w:rsid w:val="00BD75E3"/>
    <w:rsid w:val="00BE11E1"/>
    <w:rsid w:val="00BE1AF9"/>
    <w:rsid w:val="00BE2CC6"/>
    <w:rsid w:val="00BF2048"/>
    <w:rsid w:val="00BF26E4"/>
    <w:rsid w:val="00BF3C15"/>
    <w:rsid w:val="00C011AE"/>
    <w:rsid w:val="00C057E9"/>
    <w:rsid w:val="00C10987"/>
    <w:rsid w:val="00C10DA9"/>
    <w:rsid w:val="00C14676"/>
    <w:rsid w:val="00C212E3"/>
    <w:rsid w:val="00C2439D"/>
    <w:rsid w:val="00C249C4"/>
    <w:rsid w:val="00C26EFD"/>
    <w:rsid w:val="00C30B57"/>
    <w:rsid w:val="00C3574F"/>
    <w:rsid w:val="00C35A21"/>
    <w:rsid w:val="00C35D6D"/>
    <w:rsid w:val="00C36912"/>
    <w:rsid w:val="00C40A68"/>
    <w:rsid w:val="00C40FC3"/>
    <w:rsid w:val="00C44064"/>
    <w:rsid w:val="00C44B24"/>
    <w:rsid w:val="00C44EC0"/>
    <w:rsid w:val="00C50160"/>
    <w:rsid w:val="00C561E7"/>
    <w:rsid w:val="00C5720D"/>
    <w:rsid w:val="00C61A08"/>
    <w:rsid w:val="00C61D9D"/>
    <w:rsid w:val="00C65DE6"/>
    <w:rsid w:val="00C70E46"/>
    <w:rsid w:val="00C7269B"/>
    <w:rsid w:val="00C852A2"/>
    <w:rsid w:val="00C858FB"/>
    <w:rsid w:val="00C8599B"/>
    <w:rsid w:val="00C85DB0"/>
    <w:rsid w:val="00C867C2"/>
    <w:rsid w:val="00C904DC"/>
    <w:rsid w:val="00C91A52"/>
    <w:rsid w:val="00C956D0"/>
    <w:rsid w:val="00C95E9F"/>
    <w:rsid w:val="00CA2484"/>
    <w:rsid w:val="00CA4973"/>
    <w:rsid w:val="00CA4FBC"/>
    <w:rsid w:val="00CA62FC"/>
    <w:rsid w:val="00CA685D"/>
    <w:rsid w:val="00CA6F68"/>
    <w:rsid w:val="00CB1A23"/>
    <w:rsid w:val="00CB2530"/>
    <w:rsid w:val="00CB5E9D"/>
    <w:rsid w:val="00CB7C25"/>
    <w:rsid w:val="00CC088D"/>
    <w:rsid w:val="00CC6384"/>
    <w:rsid w:val="00CC69C7"/>
    <w:rsid w:val="00CD3DF4"/>
    <w:rsid w:val="00CD47BD"/>
    <w:rsid w:val="00CD5958"/>
    <w:rsid w:val="00CD64B1"/>
    <w:rsid w:val="00CD65C2"/>
    <w:rsid w:val="00CD763A"/>
    <w:rsid w:val="00CE433B"/>
    <w:rsid w:val="00CE7A9E"/>
    <w:rsid w:val="00CF1603"/>
    <w:rsid w:val="00CF71F5"/>
    <w:rsid w:val="00D0597D"/>
    <w:rsid w:val="00D0786A"/>
    <w:rsid w:val="00D121FB"/>
    <w:rsid w:val="00D174C4"/>
    <w:rsid w:val="00D27B48"/>
    <w:rsid w:val="00D31171"/>
    <w:rsid w:val="00D32D89"/>
    <w:rsid w:val="00D354C6"/>
    <w:rsid w:val="00D36166"/>
    <w:rsid w:val="00D42D31"/>
    <w:rsid w:val="00D474FB"/>
    <w:rsid w:val="00D51CDC"/>
    <w:rsid w:val="00D5381E"/>
    <w:rsid w:val="00D53B6D"/>
    <w:rsid w:val="00D554A6"/>
    <w:rsid w:val="00D577DC"/>
    <w:rsid w:val="00D63184"/>
    <w:rsid w:val="00D63D86"/>
    <w:rsid w:val="00D64720"/>
    <w:rsid w:val="00D70AB1"/>
    <w:rsid w:val="00D730F2"/>
    <w:rsid w:val="00D73D12"/>
    <w:rsid w:val="00D751F5"/>
    <w:rsid w:val="00D762E0"/>
    <w:rsid w:val="00D76ED4"/>
    <w:rsid w:val="00D80C7A"/>
    <w:rsid w:val="00D81760"/>
    <w:rsid w:val="00D81D8B"/>
    <w:rsid w:val="00D83D14"/>
    <w:rsid w:val="00D847AE"/>
    <w:rsid w:val="00D84F54"/>
    <w:rsid w:val="00D869D8"/>
    <w:rsid w:val="00D87A75"/>
    <w:rsid w:val="00D967B7"/>
    <w:rsid w:val="00DA0808"/>
    <w:rsid w:val="00DA1270"/>
    <w:rsid w:val="00DA17D6"/>
    <w:rsid w:val="00DA1C7B"/>
    <w:rsid w:val="00DA2A9D"/>
    <w:rsid w:val="00DA5868"/>
    <w:rsid w:val="00DA67BF"/>
    <w:rsid w:val="00DA7485"/>
    <w:rsid w:val="00DB6B39"/>
    <w:rsid w:val="00DC37DE"/>
    <w:rsid w:val="00DD08C5"/>
    <w:rsid w:val="00DD0BC9"/>
    <w:rsid w:val="00DD3A29"/>
    <w:rsid w:val="00DD5A05"/>
    <w:rsid w:val="00DD6B18"/>
    <w:rsid w:val="00DE2202"/>
    <w:rsid w:val="00DE2C44"/>
    <w:rsid w:val="00DE4CED"/>
    <w:rsid w:val="00DE560B"/>
    <w:rsid w:val="00DF163C"/>
    <w:rsid w:val="00DF2232"/>
    <w:rsid w:val="00DF2663"/>
    <w:rsid w:val="00DF47F6"/>
    <w:rsid w:val="00E01253"/>
    <w:rsid w:val="00E01C86"/>
    <w:rsid w:val="00E04C73"/>
    <w:rsid w:val="00E06A73"/>
    <w:rsid w:val="00E14266"/>
    <w:rsid w:val="00E15A64"/>
    <w:rsid w:val="00E17F43"/>
    <w:rsid w:val="00E205DA"/>
    <w:rsid w:val="00E20E86"/>
    <w:rsid w:val="00E21D73"/>
    <w:rsid w:val="00E24CA6"/>
    <w:rsid w:val="00E27D1D"/>
    <w:rsid w:val="00E31840"/>
    <w:rsid w:val="00E40581"/>
    <w:rsid w:val="00E40892"/>
    <w:rsid w:val="00E441AE"/>
    <w:rsid w:val="00E44422"/>
    <w:rsid w:val="00E44E93"/>
    <w:rsid w:val="00E45E2A"/>
    <w:rsid w:val="00E4624A"/>
    <w:rsid w:val="00E51CE4"/>
    <w:rsid w:val="00E53A19"/>
    <w:rsid w:val="00E55404"/>
    <w:rsid w:val="00E57A22"/>
    <w:rsid w:val="00E57F6D"/>
    <w:rsid w:val="00E60A1C"/>
    <w:rsid w:val="00E67F86"/>
    <w:rsid w:val="00E7009F"/>
    <w:rsid w:val="00E74825"/>
    <w:rsid w:val="00E76386"/>
    <w:rsid w:val="00E77B50"/>
    <w:rsid w:val="00E80DDE"/>
    <w:rsid w:val="00E8137F"/>
    <w:rsid w:val="00E82C3D"/>
    <w:rsid w:val="00E840D6"/>
    <w:rsid w:val="00E8688A"/>
    <w:rsid w:val="00E87768"/>
    <w:rsid w:val="00E90D09"/>
    <w:rsid w:val="00E95375"/>
    <w:rsid w:val="00E96740"/>
    <w:rsid w:val="00EA29D3"/>
    <w:rsid w:val="00EA4802"/>
    <w:rsid w:val="00EA738A"/>
    <w:rsid w:val="00EB00CD"/>
    <w:rsid w:val="00EB5A64"/>
    <w:rsid w:val="00EB62DA"/>
    <w:rsid w:val="00EC1917"/>
    <w:rsid w:val="00EC2B4C"/>
    <w:rsid w:val="00ED1294"/>
    <w:rsid w:val="00ED2566"/>
    <w:rsid w:val="00ED40EE"/>
    <w:rsid w:val="00ED6B73"/>
    <w:rsid w:val="00EE2804"/>
    <w:rsid w:val="00EE4605"/>
    <w:rsid w:val="00EE472D"/>
    <w:rsid w:val="00EE65CA"/>
    <w:rsid w:val="00EE74B6"/>
    <w:rsid w:val="00EE7839"/>
    <w:rsid w:val="00EF185E"/>
    <w:rsid w:val="00EF33E8"/>
    <w:rsid w:val="00EF6BC9"/>
    <w:rsid w:val="00EF7F2D"/>
    <w:rsid w:val="00F03D00"/>
    <w:rsid w:val="00F04A62"/>
    <w:rsid w:val="00F04E33"/>
    <w:rsid w:val="00F07568"/>
    <w:rsid w:val="00F100D6"/>
    <w:rsid w:val="00F110CB"/>
    <w:rsid w:val="00F12D32"/>
    <w:rsid w:val="00F13066"/>
    <w:rsid w:val="00F15432"/>
    <w:rsid w:val="00F16808"/>
    <w:rsid w:val="00F1760F"/>
    <w:rsid w:val="00F24CE1"/>
    <w:rsid w:val="00F26739"/>
    <w:rsid w:val="00F2703C"/>
    <w:rsid w:val="00F3027C"/>
    <w:rsid w:val="00F3165F"/>
    <w:rsid w:val="00F360E3"/>
    <w:rsid w:val="00F4135A"/>
    <w:rsid w:val="00F43D21"/>
    <w:rsid w:val="00F56647"/>
    <w:rsid w:val="00F56841"/>
    <w:rsid w:val="00F635F9"/>
    <w:rsid w:val="00F63BAE"/>
    <w:rsid w:val="00F64963"/>
    <w:rsid w:val="00F64977"/>
    <w:rsid w:val="00F6571D"/>
    <w:rsid w:val="00F65E0E"/>
    <w:rsid w:val="00F66E57"/>
    <w:rsid w:val="00F705A0"/>
    <w:rsid w:val="00F706F0"/>
    <w:rsid w:val="00F71170"/>
    <w:rsid w:val="00F73E4A"/>
    <w:rsid w:val="00F758A5"/>
    <w:rsid w:val="00F76539"/>
    <w:rsid w:val="00F77168"/>
    <w:rsid w:val="00F828C5"/>
    <w:rsid w:val="00F83800"/>
    <w:rsid w:val="00F83D40"/>
    <w:rsid w:val="00F84AA7"/>
    <w:rsid w:val="00F85E5F"/>
    <w:rsid w:val="00F872F5"/>
    <w:rsid w:val="00F9078B"/>
    <w:rsid w:val="00F91BC3"/>
    <w:rsid w:val="00F92B65"/>
    <w:rsid w:val="00F9370D"/>
    <w:rsid w:val="00F977A9"/>
    <w:rsid w:val="00FA021E"/>
    <w:rsid w:val="00FA090A"/>
    <w:rsid w:val="00FA1D62"/>
    <w:rsid w:val="00FA56B7"/>
    <w:rsid w:val="00FA5BE4"/>
    <w:rsid w:val="00FA7056"/>
    <w:rsid w:val="00FB0E3D"/>
    <w:rsid w:val="00FB3CD1"/>
    <w:rsid w:val="00FB4DE2"/>
    <w:rsid w:val="00FB6463"/>
    <w:rsid w:val="00FB73EB"/>
    <w:rsid w:val="00FC1C66"/>
    <w:rsid w:val="00FD0D2E"/>
    <w:rsid w:val="00FD31CB"/>
    <w:rsid w:val="00FD59F0"/>
    <w:rsid w:val="00FD7CC0"/>
    <w:rsid w:val="00FE10EA"/>
    <w:rsid w:val="00FE32DB"/>
    <w:rsid w:val="00FF1B7D"/>
    <w:rsid w:val="00FF68A3"/>
    <w:rsid w:val="04BB1B5D"/>
    <w:rsid w:val="1A211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3881"/>
  <w15:docId w15:val="{1C8EA4A2-C2D2-40B4-9478-41A0CCE5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13"/>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0E13"/>
    <w:pPr>
      <w:tabs>
        <w:tab w:val="center" w:pos="4320"/>
        <w:tab w:val="right" w:pos="8640"/>
      </w:tabs>
    </w:pPr>
  </w:style>
  <w:style w:type="character" w:customStyle="1" w:styleId="HeaderChar">
    <w:name w:val="Header Char"/>
    <w:basedOn w:val="DefaultParagraphFont"/>
    <w:link w:val="Header"/>
    <w:rsid w:val="00290E13"/>
    <w:rPr>
      <w:rFonts w:ascii="Courier" w:eastAsia="Times New Roman" w:hAnsi="Courier" w:cs="Times New Roman"/>
      <w:sz w:val="24"/>
      <w:szCs w:val="24"/>
    </w:rPr>
  </w:style>
  <w:style w:type="paragraph" w:customStyle="1" w:styleId="Default">
    <w:name w:val="Default"/>
    <w:rsid w:val="00290E13"/>
    <w:pPr>
      <w:autoSpaceDE w:val="0"/>
      <w:autoSpaceDN w:val="0"/>
      <w:adjustRightInd w:val="0"/>
      <w:spacing w:after="0" w:line="240" w:lineRule="auto"/>
    </w:pPr>
    <w:rPr>
      <w:rFonts w:ascii="Garamond" w:eastAsia="Calibri" w:hAnsi="Garamond" w:cs="Garamond"/>
      <w:color w:val="000000"/>
      <w:sz w:val="24"/>
      <w:szCs w:val="24"/>
    </w:rPr>
  </w:style>
  <w:style w:type="character" w:styleId="CommentReference">
    <w:name w:val="annotation reference"/>
    <w:basedOn w:val="DefaultParagraphFont"/>
    <w:uiPriority w:val="99"/>
    <w:semiHidden/>
    <w:unhideWhenUsed/>
    <w:rsid w:val="00290E13"/>
    <w:rPr>
      <w:sz w:val="16"/>
      <w:szCs w:val="16"/>
    </w:rPr>
  </w:style>
  <w:style w:type="paragraph" w:styleId="CommentText">
    <w:name w:val="annotation text"/>
    <w:basedOn w:val="Normal"/>
    <w:link w:val="CommentTextChar"/>
    <w:uiPriority w:val="99"/>
    <w:semiHidden/>
    <w:unhideWhenUsed/>
    <w:rsid w:val="00290E13"/>
    <w:rPr>
      <w:sz w:val="20"/>
      <w:szCs w:val="20"/>
    </w:rPr>
  </w:style>
  <w:style w:type="character" w:customStyle="1" w:styleId="CommentTextChar">
    <w:name w:val="Comment Text Char"/>
    <w:basedOn w:val="DefaultParagraphFont"/>
    <w:link w:val="CommentText"/>
    <w:uiPriority w:val="99"/>
    <w:semiHidden/>
    <w:rsid w:val="00290E1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90E13"/>
    <w:rPr>
      <w:b/>
      <w:bCs/>
    </w:rPr>
  </w:style>
  <w:style w:type="character" w:customStyle="1" w:styleId="CommentSubjectChar">
    <w:name w:val="Comment Subject Char"/>
    <w:basedOn w:val="CommentTextChar"/>
    <w:link w:val="CommentSubject"/>
    <w:uiPriority w:val="99"/>
    <w:semiHidden/>
    <w:rsid w:val="00290E13"/>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29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E13"/>
    <w:rPr>
      <w:rFonts w:ascii="Segoe UI" w:eastAsia="Times New Roman" w:hAnsi="Segoe UI" w:cs="Segoe UI"/>
      <w:sz w:val="18"/>
      <w:szCs w:val="18"/>
    </w:rPr>
  </w:style>
  <w:style w:type="paragraph" w:styleId="Footer">
    <w:name w:val="footer"/>
    <w:basedOn w:val="Normal"/>
    <w:link w:val="FooterChar"/>
    <w:uiPriority w:val="99"/>
    <w:unhideWhenUsed/>
    <w:rsid w:val="00EC1917"/>
    <w:pPr>
      <w:tabs>
        <w:tab w:val="center" w:pos="4680"/>
        <w:tab w:val="right" w:pos="9360"/>
      </w:tabs>
    </w:pPr>
  </w:style>
  <w:style w:type="character" w:customStyle="1" w:styleId="FooterChar">
    <w:name w:val="Footer Char"/>
    <w:basedOn w:val="DefaultParagraphFont"/>
    <w:link w:val="Footer"/>
    <w:uiPriority w:val="99"/>
    <w:rsid w:val="00EC1917"/>
    <w:rPr>
      <w:rFonts w:ascii="Courier" w:eastAsia="Times New Roman" w:hAnsi="Courier" w:cs="Times New Roman"/>
      <w:sz w:val="24"/>
      <w:szCs w:val="24"/>
    </w:rPr>
  </w:style>
  <w:style w:type="paragraph" w:styleId="ListParagraph">
    <w:name w:val="List Paragraph"/>
    <w:basedOn w:val="Normal"/>
    <w:uiPriority w:val="34"/>
    <w:qFormat/>
    <w:rsid w:val="00F16808"/>
    <w:pPr>
      <w:ind w:left="720"/>
      <w:contextualSpacing/>
    </w:pPr>
  </w:style>
  <w:style w:type="character" w:styleId="Hyperlink">
    <w:name w:val="Hyperlink"/>
    <w:basedOn w:val="DefaultParagraphFont"/>
    <w:uiPriority w:val="99"/>
    <w:unhideWhenUsed/>
    <w:rsid w:val="00DF47F6"/>
    <w:rPr>
      <w:color w:val="0563C1" w:themeColor="hyperlink"/>
      <w:u w:val="single"/>
    </w:rPr>
  </w:style>
  <w:style w:type="character" w:customStyle="1" w:styleId="UnresolvedMention1">
    <w:name w:val="Unresolved Mention1"/>
    <w:basedOn w:val="DefaultParagraphFont"/>
    <w:uiPriority w:val="99"/>
    <w:semiHidden/>
    <w:unhideWhenUsed/>
    <w:rsid w:val="00DF47F6"/>
    <w:rPr>
      <w:color w:val="605E5C"/>
      <w:shd w:val="clear" w:color="auto" w:fill="E1DFDD"/>
    </w:rPr>
  </w:style>
  <w:style w:type="paragraph" w:styleId="Revision">
    <w:name w:val="Revision"/>
    <w:hidden/>
    <w:uiPriority w:val="99"/>
    <w:semiHidden/>
    <w:rsid w:val="00BD75E3"/>
    <w:pPr>
      <w:spacing w:after="0" w:line="240" w:lineRule="auto"/>
    </w:pPr>
    <w:rPr>
      <w:rFonts w:ascii="Courier" w:eastAsia="Times New Roman" w:hAnsi="Courier" w:cs="Times New Roman"/>
      <w:sz w:val="24"/>
      <w:szCs w:val="24"/>
    </w:rPr>
  </w:style>
  <w:style w:type="character" w:styleId="FollowedHyperlink">
    <w:name w:val="FollowedHyperlink"/>
    <w:basedOn w:val="DefaultParagraphFont"/>
    <w:uiPriority w:val="99"/>
    <w:semiHidden/>
    <w:unhideWhenUsed/>
    <w:rsid w:val="005676FA"/>
    <w:rPr>
      <w:color w:val="954F72" w:themeColor="followedHyperlink"/>
      <w:u w:val="single"/>
    </w:rPr>
  </w:style>
  <w:style w:type="character" w:styleId="UnresolvedMention">
    <w:name w:val="Unresolved Mention"/>
    <w:basedOn w:val="DefaultParagraphFont"/>
    <w:uiPriority w:val="99"/>
    <w:semiHidden/>
    <w:unhideWhenUsed/>
    <w:rsid w:val="0056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98641">
      <w:bodyDiv w:val="1"/>
      <w:marLeft w:val="0"/>
      <w:marRight w:val="0"/>
      <w:marTop w:val="0"/>
      <w:marBottom w:val="0"/>
      <w:divBdr>
        <w:top w:val="none" w:sz="0" w:space="0" w:color="auto"/>
        <w:left w:val="none" w:sz="0" w:space="0" w:color="auto"/>
        <w:bottom w:val="none" w:sz="0" w:space="0" w:color="auto"/>
        <w:right w:val="none" w:sz="0" w:space="0" w:color="auto"/>
      </w:divBdr>
      <w:divsChild>
        <w:div w:id="1375470589">
          <w:marLeft w:val="360"/>
          <w:marRight w:val="0"/>
          <w:marTop w:val="384"/>
          <w:marBottom w:val="0"/>
          <w:divBdr>
            <w:top w:val="none" w:sz="0" w:space="0" w:color="auto"/>
            <w:left w:val="none" w:sz="0" w:space="0" w:color="auto"/>
            <w:bottom w:val="none" w:sz="0" w:space="0" w:color="auto"/>
            <w:right w:val="none" w:sz="0" w:space="0" w:color="auto"/>
          </w:divBdr>
        </w:div>
      </w:divsChild>
    </w:div>
    <w:div w:id="883255854">
      <w:bodyDiv w:val="1"/>
      <w:marLeft w:val="0"/>
      <w:marRight w:val="0"/>
      <w:marTop w:val="0"/>
      <w:marBottom w:val="0"/>
      <w:divBdr>
        <w:top w:val="none" w:sz="0" w:space="0" w:color="auto"/>
        <w:left w:val="none" w:sz="0" w:space="0" w:color="auto"/>
        <w:bottom w:val="none" w:sz="0" w:space="0" w:color="auto"/>
        <w:right w:val="none" w:sz="0" w:space="0" w:color="auto"/>
      </w:divBdr>
    </w:div>
    <w:div w:id="1394766684">
      <w:bodyDiv w:val="1"/>
      <w:marLeft w:val="0"/>
      <w:marRight w:val="0"/>
      <w:marTop w:val="0"/>
      <w:marBottom w:val="0"/>
      <w:divBdr>
        <w:top w:val="none" w:sz="0" w:space="0" w:color="auto"/>
        <w:left w:val="none" w:sz="0" w:space="0" w:color="auto"/>
        <w:bottom w:val="none" w:sz="0" w:space="0" w:color="auto"/>
        <w:right w:val="none" w:sz="0" w:space="0" w:color="auto"/>
      </w:divBdr>
    </w:div>
    <w:div w:id="1633171001">
      <w:bodyDiv w:val="1"/>
      <w:marLeft w:val="0"/>
      <w:marRight w:val="0"/>
      <w:marTop w:val="0"/>
      <w:marBottom w:val="0"/>
      <w:divBdr>
        <w:top w:val="none" w:sz="0" w:space="0" w:color="auto"/>
        <w:left w:val="none" w:sz="0" w:space="0" w:color="auto"/>
        <w:bottom w:val="none" w:sz="0" w:space="0" w:color="auto"/>
        <w:right w:val="none" w:sz="0" w:space="0" w:color="auto"/>
      </w:divBdr>
    </w:div>
    <w:div w:id="196241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future-of-work-in-massachusetts-report/downloa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ashingtonpost.com/business/2021/09/19/childcare-workers-qu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Aigner-Treworgy, Samantha L. (EEC)</DisplayName>
        <AccountId>30</AccountId>
        <AccountType/>
      </UserInfo>
      <UserInfo>
        <DisplayName>Premont, Catherine (EEC)</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6" ma:contentTypeDescription="Create a new document." ma:contentTypeScope="" ma:versionID="42fd1f846d99949571d237fe807e08ef">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30555d545c612de4a03c2dea5c1915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578FF-F124-4760-A717-970B5CBDB526}">
  <ds:schemaRefs>
    <ds:schemaRef ds:uri="http://purl.org/dc/dcmitype/"/>
    <ds:schemaRef ds:uri="baeaa786-ebd5-4f52-8cee-8fa081d737a1"/>
    <ds:schemaRef ds:uri="http://schemas.openxmlformats.org/package/2006/metadata/core-properties"/>
    <ds:schemaRef ds:uri="http://purl.org/dc/terms/"/>
    <ds:schemaRef ds:uri="http://purl.org/dc/elements/1.1/"/>
    <ds:schemaRef ds:uri="http://schemas.microsoft.com/office/2006/documentManagement/types"/>
    <ds:schemaRef ds:uri="f0dadd96-bb02-43ff-b721-c5b7f234f31a"/>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798A395-A4B9-4579-BE28-155F0D90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DA8B4-42BD-4439-BBBE-2F031A823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Hayes Lopez, Caroline (EEC)</dc:creator>
  <cp:lastModifiedBy>Premont, Catherine (EEC)</cp:lastModifiedBy>
  <cp:revision>4</cp:revision>
  <dcterms:created xsi:type="dcterms:W3CDTF">2021-11-05T20:48:00Z</dcterms:created>
  <dcterms:modified xsi:type="dcterms:W3CDTF">2021-11-05T20:48:00Z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ies>
</file>