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06AFF" w:rsidRPr="00A06AFF" w14:paraId="56DB1136" w14:textId="77777777" w:rsidTr="008F5256">
        <w:tc>
          <w:tcPr>
            <w:tcW w:w="9900" w:type="dxa"/>
          </w:tcPr>
          <w:p w14:paraId="719AB33D" w14:textId="77777777" w:rsidR="00A06AFF" w:rsidRPr="00A06AFF" w:rsidRDefault="00A06AFF" w:rsidP="00A06AFF">
            <w:pPr>
              <w:jc w:val="center"/>
              <w:rPr>
                <w:rFonts w:ascii="Monotype Corsiva" w:hAnsi="Monotype Corsiva"/>
                <w:sz w:val="44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05CE7AB" wp14:editId="5730547A">
                  <wp:simplePos x="0" y="0"/>
                  <wp:positionH relativeFrom="column">
                    <wp:posOffset>-335280</wp:posOffset>
                  </wp:positionH>
                  <wp:positionV relativeFrom="paragraph">
                    <wp:posOffset>-44450</wp:posOffset>
                  </wp:positionV>
                  <wp:extent cx="1200150" cy="1200150"/>
                  <wp:effectExtent l="0" t="0" r="0" b="0"/>
                  <wp:wrapNone/>
                  <wp:docPr id="5" name="Picture 2" descr="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6AFF">
              <w:rPr>
                <w:rFonts w:ascii="Monotype Corsiva" w:hAnsi="Monotype Corsiva"/>
                <w:sz w:val="44"/>
                <w:szCs w:val="20"/>
              </w:rPr>
              <w:t>The Commonwealth of Massachusetts</w:t>
            </w:r>
          </w:p>
        </w:tc>
      </w:tr>
      <w:tr w:rsidR="00A06AFF" w:rsidRPr="00A06AFF" w14:paraId="2C57A5CB" w14:textId="77777777" w:rsidTr="00DB1B66">
        <w:trPr>
          <w:trHeight w:val="405"/>
        </w:trPr>
        <w:tc>
          <w:tcPr>
            <w:tcW w:w="9900" w:type="dxa"/>
          </w:tcPr>
          <w:p w14:paraId="2D302DBE" w14:textId="77777777" w:rsidR="00A06AFF" w:rsidRPr="00A06AFF" w:rsidRDefault="00A06AFF" w:rsidP="00A06AFF">
            <w:pPr>
              <w:jc w:val="center"/>
              <w:rPr>
                <w:rFonts w:ascii="Monotype Corsiva" w:hAnsi="Monotype Corsiva"/>
                <w:sz w:val="44"/>
                <w:szCs w:val="20"/>
              </w:rPr>
            </w:pPr>
            <w:r w:rsidRPr="00A06AFF">
              <w:rPr>
                <w:rFonts w:ascii="Monotype Corsiva" w:hAnsi="Monotype Corsiva"/>
                <w:sz w:val="44"/>
                <w:szCs w:val="20"/>
              </w:rPr>
              <w:t>Department of Revenue</w:t>
            </w:r>
          </w:p>
        </w:tc>
      </w:tr>
      <w:tr w:rsidR="00A06AFF" w:rsidRPr="00A06AFF" w14:paraId="2A29DE7E" w14:textId="77777777" w:rsidTr="008F5256">
        <w:tc>
          <w:tcPr>
            <w:tcW w:w="9900" w:type="dxa"/>
          </w:tcPr>
          <w:p w14:paraId="3980396F" w14:textId="77777777" w:rsidR="00A06AFF" w:rsidRPr="00A06AFF" w:rsidRDefault="00A06AFF" w:rsidP="00A06AFF">
            <w:pPr>
              <w:keepNext/>
              <w:jc w:val="center"/>
              <w:outlineLvl w:val="0"/>
              <w:rPr>
                <w:rFonts w:ascii="Monotype Corsiva" w:hAnsi="Monotype Corsiva"/>
                <w:sz w:val="36"/>
                <w:szCs w:val="20"/>
              </w:rPr>
            </w:pPr>
            <w:r w:rsidRPr="00A06AFF">
              <w:rPr>
                <w:rFonts w:ascii="Monotype Corsiva" w:hAnsi="Monotype Corsiva"/>
                <w:sz w:val="36"/>
                <w:szCs w:val="20"/>
              </w:rPr>
              <w:t>Office of the Commissioner</w:t>
            </w:r>
          </w:p>
          <w:p w14:paraId="07282541" w14:textId="0CF19CCC" w:rsidR="00A06AFF" w:rsidRPr="00A06AFF" w:rsidRDefault="00A06AFF" w:rsidP="00A06AFF">
            <w:pPr>
              <w:keepNext/>
              <w:jc w:val="center"/>
              <w:outlineLvl w:val="0"/>
              <w:rPr>
                <w:rFonts w:ascii="Monotype Corsiva" w:hAnsi="Monotype Corsiva"/>
                <w:sz w:val="36"/>
                <w:szCs w:val="20"/>
              </w:rPr>
            </w:pPr>
            <w:r w:rsidRPr="00A06AFF">
              <w:rPr>
                <w:rFonts w:ascii="Monotype Corsiva" w:hAnsi="Monotype Corsiva"/>
                <w:sz w:val="36"/>
                <w:szCs w:val="20"/>
              </w:rPr>
              <w:t xml:space="preserve">PO Box </w:t>
            </w:r>
            <w:r w:rsidR="00C81277">
              <w:rPr>
                <w:rFonts w:ascii="Monotype Corsiva" w:hAnsi="Monotype Corsiva"/>
                <w:sz w:val="36"/>
                <w:szCs w:val="20"/>
              </w:rPr>
              <w:t>7091</w:t>
            </w:r>
          </w:p>
        </w:tc>
      </w:tr>
      <w:tr w:rsidR="00A06AFF" w:rsidRPr="00A06AFF" w14:paraId="5197312E" w14:textId="77777777" w:rsidTr="008F5256">
        <w:tc>
          <w:tcPr>
            <w:tcW w:w="9900" w:type="dxa"/>
          </w:tcPr>
          <w:p w14:paraId="2349643D" w14:textId="2B7BA66D" w:rsidR="00A06AFF" w:rsidRPr="00A06AFF" w:rsidRDefault="00A06AFF" w:rsidP="00A06AFF">
            <w:pPr>
              <w:keepNext/>
              <w:jc w:val="center"/>
              <w:outlineLvl w:val="0"/>
              <w:rPr>
                <w:rFonts w:ascii="Monotype Corsiva" w:hAnsi="Monotype Corsiva"/>
                <w:sz w:val="16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59F7D" wp14:editId="62647013">
                      <wp:simplePos x="0" y="0"/>
                      <wp:positionH relativeFrom="column">
                        <wp:posOffset>-657225</wp:posOffset>
                      </wp:positionH>
                      <wp:positionV relativeFrom="paragraph">
                        <wp:posOffset>157480</wp:posOffset>
                      </wp:positionV>
                      <wp:extent cx="1571625" cy="400050"/>
                      <wp:effectExtent l="0" t="0" r="9525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62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28"/>
                                  </w:tblGrid>
                                  <w:tr w:rsidR="00A06AFF" w14:paraId="3A1E90AE" w14:textId="77777777" w:rsidTr="00937331">
                                    <w:tc>
                                      <w:tcPr>
                                        <w:tcW w:w="2628" w:type="dxa"/>
                                      </w:tcPr>
                                      <w:p w14:paraId="04011F68" w14:textId="330353B5" w:rsidR="00A06AFF" w:rsidRPr="007944E9" w:rsidRDefault="00214BA3" w:rsidP="00E800D6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GEOFFREY E. SNYDER</w:t>
                                        </w:r>
                                      </w:p>
                                    </w:tc>
                                  </w:tr>
                                  <w:tr w:rsidR="00A06AFF" w14:paraId="5ED5CE3E" w14:textId="77777777" w:rsidTr="00937331">
                                    <w:tc>
                                      <w:tcPr>
                                        <w:tcW w:w="2628" w:type="dxa"/>
                                      </w:tcPr>
                                      <w:p w14:paraId="41A12A05" w14:textId="77777777" w:rsidR="00A06AFF" w:rsidRPr="007944E9" w:rsidRDefault="00A06AFF" w:rsidP="00E800D6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944E9">
                                          <w:rPr>
                                            <w:sz w:val="16"/>
                                            <w:szCs w:val="16"/>
                                          </w:rPr>
                                          <w:t>COMMISSIONER</w:t>
                                        </w:r>
                                      </w:p>
                                    </w:tc>
                                  </w:tr>
                                </w:tbl>
                                <w:p w14:paraId="4B5604DA" w14:textId="77777777" w:rsidR="00A06AFF" w:rsidRDefault="00A06AFF" w:rsidP="00A06AF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59F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1.75pt;margin-top:12.4pt;width:123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" stroked="f">
                      <v:textbox>
                        <w:txbxContent>
                          <w:tbl>
                            <w:tblPr>
                              <w:tblW w:w="262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28"/>
                            </w:tblGrid>
                            <w:tr w:rsidR="00A06AFF" w14:paraId="3A1E90AE" w14:textId="77777777" w:rsidTr="00937331">
                              <w:tc>
                                <w:tcPr>
                                  <w:tcW w:w="2628" w:type="dxa"/>
                                </w:tcPr>
                                <w:p w14:paraId="04011F68" w14:textId="330353B5" w:rsidR="00A06AFF" w:rsidRPr="007944E9" w:rsidRDefault="00214BA3" w:rsidP="00E800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GEOFFREY E. SNYDER</w:t>
                                  </w:r>
                                </w:p>
                              </w:tc>
                            </w:tr>
                            <w:tr w:rsidR="00A06AFF" w14:paraId="5ED5CE3E" w14:textId="77777777" w:rsidTr="00937331">
                              <w:tc>
                                <w:tcPr>
                                  <w:tcW w:w="2628" w:type="dxa"/>
                                </w:tcPr>
                                <w:p w14:paraId="41A12A05" w14:textId="77777777" w:rsidR="00A06AFF" w:rsidRPr="007944E9" w:rsidRDefault="00A06AFF" w:rsidP="00E800D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944E9">
                                    <w:rPr>
                                      <w:sz w:val="16"/>
                                      <w:szCs w:val="16"/>
                                    </w:rPr>
                                    <w:t>COMMISSIONER</w:t>
                                  </w:r>
                                </w:p>
                              </w:tc>
                            </w:tr>
                          </w:tbl>
                          <w:p w14:paraId="4B5604DA" w14:textId="77777777" w:rsidR="00A06AFF" w:rsidRDefault="00A06AFF" w:rsidP="00A06AFF"/>
                        </w:txbxContent>
                      </v:textbox>
                    </v:shape>
                  </w:pict>
                </mc:Fallback>
              </mc:AlternateContent>
            </w:r>
            <w:r w:rsidRPr="00A06AFF">
              <w:rPr>
                <w:rFonts w:ascii="Monotype Corsiva" w:hAnsi="Monotype Corsiva"/>
                <w:sz w:val="36"/>
                <w:szCs w:val="20"/>
              </w:rPr>
              <w:t>Boston, MA  02</w:t>
            </w:r>
            <w:r w:rsidR="00C81277">
              <w:rPr>
                <w:rFonts w:ascii="Monotype Corsiva" w:hAnsi="Monotype Corsiva"/>
                <w:sz w:val="36"/>
                <w:szCs w:val="20"/>
              </w:rPr>
              <w:t>204</w:t>
            </w:r>
            <w:r w:rsidRPr="00A06AFF">
              <w:rPr>
                <w:rFonts w:ascii="Monotype Corsiva" w:hAnsi="Monotype Corsiva"/>
                <w:sz w:val="36"/>
                <w:szCs w:val="20"/>
              </w:rPr>
              <w:t>-</w:t>
            </w:r>
            <w:r w:rsidR="00C81277">
              <w:rPr>
                <w:rFonts w:ascii="Monotype Corsiva" w:hAnsi="Monotype Corsiva"/>
                <w:sz w:val="36"/>
                <w:szCs w:val="20"/>
              </w:rPr>
              <w:t>7091</w:t>
            </w:r>
          </w:p>
        </w:tc>
      </w:tr>
    </w:tbl>
    <w:p w14:paraId="30469451" w14:textId="77777777" w:rsidR="00A06AFF" w:rsidRPr="00A06AFF" w:rsidRDefault="00A06AFF" w:rsidP="00A06AFF">
      <w:pPr>
        <w:rPr>
          <w:vanish/>
          <w:sz w:val="20"/>
          <w:szCs w:val="20"/>
        </w:rPr>
      </w:pPr>
    </w:p>
    <w:p w14:paraId="1EB4C2C4" w14:textId="77777777" w:rsidR="00A06AFF" w:rsidRPr="00A06AFF" w:rsidRDefault="00A06AFF" w:rsidP="00A06AFF">
      <w:pPr>
        <w:rPr>
          <w:vanish/>
          <w:sz w:val="20"/>
          <w:szCs w:val="20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9810"/>
      </w:tblGrid>
      <w:tr w:rsidR="00A06AFF" w:rsidRPr="00A06AFF" w14:paraId="07ABC515" w14:textId="77777777" w:rsidTr="008F5256">
        <w:trPr>
          <w:trHeight w:val="153"/>
        </w:trPr>
        <w:tc>
          <w:tcPr>
            <w:tcW w:w="9810" w:type="dxa"/>
          </w:tcPr>
          <w:p w14:paraId="17A09CCB" w14:textId="77777777" w:rsidR="00A06AFF" w:rsidRPr="00A06AFF" w:rsidRDefault="00A06AFF" w:rsidP="00A06AFF">
            <w:pPr>
              <w:keepNext/>
              <w:ind w:left="9594" w:right="-3078" w:hanging="9594"/>
              <w:outlineLvl w:val="0"/>
              <w:rPr>
                <w:rFonts w:ascii="Monotype Corsiva" w:hAnsi="Monotype Corsiva"/>
                <w:sz w:val="40"/>
                <w:szCs w:val="20"/>
              </w:rPr>
            </w:pPr>
            <w:r w:rsidRPr="00A06AFF">
              <w:rPr>
                <w:rFonts w:ascii="Monotype Corsiva" w:hAnsi="Monotype Corsiva"/>
                <w:sz w:val="36"/>
                <w:szCs w:val="20"/>
              </w:rPr>
              <w:t xml:space="preserve">                    </w:t>
            </w:r>
          </w:p>
        </w:tc>
      </w:tr>
    </w:tbl>
    <w:p w14:paraId="1AB94699" w14:textId="41ADC577" w:rsidR="003703A7" w:rsidRDefault="003703A7" w:rsidP="00EE7360">
      <w:pPr>
        <w:autoSpaceDE w:val="0"/>
        <w:autoSpaceDN w:val="0"/>
        <w:adjustRightInd w:val="0"/>
        <w:ind w:left="3600" w:firstLine="720"/>
      </w:pPr>
    </w:p>
    <w:p w14:paraId="427D2FF6" w14:textId="57A5C004" w:rsidR="00AC4173" w:rsidRDefault="00AC4173" w:rsidP="00EE7360">
      <w:pPr>
        <w:autoSpaceDE w:val="0"/>
        <w:autoSpaceDN w:val="0"/>
        <w:adjustRightInd w:val="0"/>
        <w:ind w:left="3600" w:firstLine="720"/>
      </w:pPr>
    </w:p>
    <w:p w14:paraId="0CC43684" w14:textId="77777777" w:rsidR="00AC4173" w:rsidRPr="00235665" w:rsidRDefault="00AC4173" w:rsidP="00EE7360">
      <w:pPr>
        <w:autoSpaceDE w:val="0"/>
        <w:autoSpaceDN w:val="0"/>
        <w:adjustRightInd w:val="0"/>
        <w:ind w:left="3600" w:firstLine="720"/>
      </w:pPr>
    </w:p>
    <w:p w14:paraId="175C5C98" w14:textId="77777777" w:rsidR="004B1CA8" w:rsidRDefault="004B1CA8" w:rsidP="004B1CA8">
      <w:pPr>
        <w:autoSpaceDE w:val="0"/>
        <w:autoSpaceDN w:val="0"/>
        <w:adjustRightInd w:val="0"/>
      </w:pPr>
    </w:p>
    <w:p w14:paraId="5C688716" w14:textId="01CC3915" w:rsidR="00F223DD" w:rsidRPr="00E94652" w:rsidRDefault="005316DE" w:rsidP="00F223DD">
      <w:pPr>
        <w:pStyle w:val="Header"/>
        <w:tabs>
          <w:tab w:val="left" w:pos="360"/>
          <w:tab w:val="left" w:pos="720"/>
          <w:tab w:val="left" w:pos="1080"/>
          <w:tab w:val="left" w:pos="1440"/>
          <w:tab w:val="left" w:pos="5040"/>
          <w:tab w:val="left" w:pos="52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February </w:t>
      </w:r>
      <w:r w:rsidR="00211AB3">
        <w:rPr>
          <w:color w:val="000000"/>
          <w:sz w:val="22"/>
          <w:szCs w:val="22"/>
        </w:rPr>
        <w:t>19</w:t>
      </w:r>
      <w:r w:rsidR="00733170">
        <w:rPr>
          <w:color w:val="000000"/>
          <w:sz w:val="22"/>
          <w:szCs w:val="22"/>
        </w:rPr>
        <w:t>,</w:t>
      </w:r>
      <w:r w:rsidR="00733170" w:rsidRPr="00E94652">
        <w:rPr>
          <w:color w:val="000000"/>
          <w:sz w:val="22"/>
          <w:szCs w:val="22"/>
        </w:rPr>
        <w:t xml:space="preserve"> </w:t>
      </w:r>
      <w:r w:rsidR="00F223DD" w:rsidRPr="00E94652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6</w:t>
      </w:r>
      <w:r w:rsidR="00F223DD" w:rsidRPr="00E94652">
        <w:rPr>
          <w:color w:val="000000"/>
          <w:sz w:val="22"/>
          <w:szCs w:val="22"/>
        </w:rPr>
        <w:t xml:space="preserve"> </w:t>
      </w:r>
      <w:r w:rsidR="00F223DD">
        <w:rPr>
          <w:color w:val="000000"/>
          <w:sz w:val="22"/>
          <w:szCs w:val="22"/>
        </w:rPr>
        <w:t xml:space="preserve">  </w:t>
      </w:r>
    </w:p>
    <w:p w14:paraId="3113479C" w14:textId="77777777" w:rsidR="00F223DD" w:rsidRPr="00E94652" w:rsidRDefault="00F223DD" w:rsidP="00F223D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BAF05BC" w14:textId="77777777" w:rsidR="00F223DD" w:rsidRDefault="00F223DD" w:rsidP="00F223DD">
      <w:pPr>
        <w:textAlignment w:val="baseline"/>
        <w:rPr>
          <w:color w:val="000000"/>
          <w:sz w:val="22"/>
          <w:szCs w:val="22"/>
        </w:rPr>
      </w:pPr>
      <w:hyperlink r:id="rId9" w:tgtFrame="_self" w:history="1">
        <w:r w:rsidRPr="00E94652">
          <w:rPr>
            <w:color w:val="000000"/>
            <w:sz w:val="22"/>
            <w:szCs w:val="22"/>
          </w:rPr>
          <w:t xml:space="preserve">William </w:t>
        </w:r>
        <w:r>
          <w:rPr>
            <w:color w:val="000000"/>
            <w:sz w:val="22"/>
            <w:szCs w:val="22"/>
          </w:rPr>
          <w:t xml:space="preserve">J. </w:t>
        </w:r>
        <w:r w:rsidRPr="00E94652">
          <w:rPr>
            <w:color w:val="000000"/>
            <w:sz w:val="22"/>
            <w:szCs w:val="22"/>
          </w:rPr>
          <w:t>McNamara</w:t>
        </w:r>
      </w:hyperlink>
      <w:r>
        <w:rPr>
          <w:color w:val="000000"/>
          <w:sz w:val="22"/>
          <w:szCs w:val="22"/>
        </w:rPr>
        <w:t>, Comptroller</w:t>
      </w:r>
    </w:p>
    <w:p w14:paraId="147BE3E0" w14:textId="77777777" w:rsidR="00F223DD" w:rsidRPr="00E94652" w:rsidRDefault="00F223DD" w:rsidP="00F223DD">
      <w:pPr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Office of the </w:t>
      </w:r>
      <w:r w:rsidRPr="00E94652">
        <w:rPr>
          <w:color w:val="000000"/>
          <w:sz w:val="22"/>
          <w:szCs w:val="22"/>
        </w:rPr>
        <w:t xml:space="preserve">Comptroller </w:t>
      </w:r>
    </w:p>
    <w:p w14:paraId="6FE1D566" w14:textId="77777777" w:rsidR="00F223DD" w:rsidRPr="00E94652" w:rsidRDefault="00F223DD" w:rsidP="00F223DD">
      <w:pPr>
        <w:rPr>
          <w:color w:val="000000"/>
          <w:sz w:val="22"/>
          <w:szCs w:val="22"/>
        </w:rPr>
      </w:pPr>
      <w:r w:rsidRPr="00E94652">
        <w:rPr>
          <w:color w:val="000000"/>
          <w:sz w:val="22"/>
          <w:szCs w:val="22"/>
        </w:rPr>
        <w:t>Commonwealth of Massachusetts</w:t>
      </w:r>
    </w:p>
    <w:p w14:paraId="45C49FC4" w14:textId="77777777" w:rsidR="00F223DD" w:rsidRPr="00E94652" w:rsidRDefault="00F223DD" w:rsidP="00F223D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One</w:t>
      </w:r>
      <w:r w:rsidRPr="00E94652">
        <w:rPr>
          <w:color w:val="000000"/>
          <w:sz w:val="22"/>
          <w:szCs w:val="22"/>
        </w:rPr>
        <w:t xml:space="preserve"> Ashburton Place, </w:t>
      </w:r>
      <w:r>
        <w:rPr>
          <w:color w:val="000000"/>
          <w:sz w:val="22"/>
          <w:szCs w:val="22"/>
        </w:rPr>
        <w:t>Room 901</w:t>
      </w:r>
    </w:p>
    <w:p w14:paraId="233209D5" w14:textId="77777777" w:rsidR="00F223DD" w:rsidRPr="00E94652" w:rsidRDefault="00F223DD" w:rsidP="00F223DD">
      <w:pPr>
        <w:rPr>
          <w:color w:val="000000"/>
          <w:sz w:val="22"/>
          <w:szCs w:val="22"/>
        </w:rPr>
      </w:pPr>
      <w:r w:rsidRPr="00E94652">
        <w:rPr>
          <w:color w:val="000000"/>
          <w:sz w:val="22"/>
          <w:szCs w:val="22"/>
        </w:rPr>
        <w:t>Boston, MA 02108</w:t>
      </w:r>
    </w:p>
    <w:p w14:paraId="51AFEBDF" w14:textId="77777777" w:rsidR="00F223DD" w:rsidRPr="00E94652" w:rsidRDefault="00F223DD" w:rsidP="00F223DD">
      <w:pPr>
        <w:rPr>
          <w:color w:val="000000"/>
          <w:sz w:val="22"/>
          <w:szCs w:val="22"/>
        </w:rPr>
      </w:pPr>
      <w:r w:rsidRPr="00E94652">
        <w:rPr>
          <w:color w:val="000000"/>
          <w:sz w:val="22"/>
          <w:szCs w:val="22"/>
        </w:rPr>
        <w:tab/>
      </w:r>
      <w:r w:rsidRPr="00E94652">
        <w:rPr>
          <w:color w:val="000000"/>
          <w:sz w:val="22"/>
          <w:szCs w:val="22"/>
        </w:rPr>
        <w:tab/>
      </w:r>
      <w:r w:rsidRPr="00E94652">
        <w:rPr>
          <w:color w:val="000000"/>
          <w:sz w:val="22"/>
          <w:szCs w:val="22"/>
        </w:rPr>
        <w:tab/>
      </w:r>
    </w:p>
    <w:p w14:paraId="64F8AC64" w14:textId="77777777" w:rsidR="00F223DD" w:rsidRPr="00E94652" w:rsidRDefault="00F223DD" w:rsidP="00F223DD">
      <w:pPr>
        <w:rPr>
          <w:color w:val="000000"/>
          <w:sz w:val="22"/>
          <w:szCs w:val="22"/>
        </w:rPr>
      </w:pPr>
      <w:r w:rsidRPr="00E94652">
        <w:rPr>
          <w:color w:val="000000"/>
          <w:sz w:val="22"/>
          <w:szCs w:val="22"/>
        </w:rPr>
        <w:t xml:space="preserve">Dear </w:t>
      </w:r>
      <w:r>
        <w:rPr>
          <w:color w:val="000000"/>
          <w:sz w:val="22"/>
          <w:szCs w:val="22"/>
        </w:rPr>
        <w:t>Comptroller</w:t>
      </w:r>
      <w:r w:rsidRPr="00E94652">
        <w:rPr>
          <w:color w:val="000000"/>
          <w:sz w:val="22"/>
          <w:szCs w:val="22"/>
        </w:rPr>
        <w:t xml:space="preserve"> </w:t>
      </w:r>
      <w:r w:rsidRPr="00E94652">
        <w:rPr>
          <w:sz w:val="22"/>
          <w:szCs w:val="22"/>
        </w:rPr>
        <w:t>McNamara</w:t>
      </w:r>
      <w:r w:rsidRPr="00E94652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</w:p>
    <w:p w14:paraId="32FA6520" w14:textId="75349F0D" w:rsidR="00F223DD" w:rsidRPr="002C39CA" w:rsidRDefault="00F223DD" w:rsidP="00F223DD">
      <w:pPr>
        <w:spacing w:before="120" w:after="120" w:line="252" w:lineRule="auto"/>
        <w:rPr>
          <w:color w:val="000000"/>
          <w:sz w:val="22"/>
          <w:szCs w:val="22"/>
        </w:rPr>
      </w:pPr>
      <w:r w:rsidRPr="002C39CA">
        <w:rPr>
          <w:color w:val="000000"/>
          <w:sz w:val="22"/>
          <w:szCs w:val="22"/>
        </w:rPr>
        <w:t xml:space="preserve">Pursuant to Section </w:t>
      </w:r>
      <w:r w:rsidR="002C39CA" w:rsidRPr="002C39CA">
        <w:rPr>
          <w:color w:val="000000"/>
          <w:sz w:val="22"/>
          <w:szCs w:val="22"/>
        </w:rPr>
        <w:t>20</w:t>
      </w:r>
      <w:r w:rsidRPr="002C39CA">
        <w:rPr>
          <w:color w:val="000000"/>
          <w:sz w:val="22"/>
          <w:szCs w:val="22"/>
        </w:rPr>
        <w:t xml:space="preserve"> of Chapter 2</w:t>
      </w:r>
      <w:r w:rsidR="002C39CA" w:rsidRPr="002C39CA">
        <w:rPr>
          <w:color w:val="000000"/>
          <w:sz w:val="22"/>
          <w:szCs w:val="22"/>
        </w:rPr>
        <w:t>8</w:t>
      </w:r>
      <w:r w:rsidRPr="002C39CA">
        <w:rPr>
          <w:color w:val="000000"/>
          <w:sz w:val="22"/>
          <w:szCs w:val="22"/>
        </w:rPr>
        <w:t xml:space="preserve"> of the </w:t>
      </w:r>
      <w:r w:rsidR="002C39CA" w:rsidRPr="002C39CA">
        <w:rPr>
          <w:color w:val="000000"/>
          <w:sz w:val="22"/>
          <w:szCs w:val="22"/>
        </w:rPr>
        <w:t>2023 Acts</w:t>
      </w:r>
      <w:r w:rsidR="002C39CA" w:rsidRPr="002C39CA">
        <w:rPr>
          <w:rStyle w:val="FootnoteReference"/>
          <w:color w:val="000000"/>
          <w:sz w:val="22"/>
          <w:szCs w:val="22"/>
        </w:rPr>
        <w:footnoteReference w:id="1"/>
      </w:r>
      <w:r w:rsidRPr="002C39CA">
        <w:rPr>
          <w:color w:val="000000"/>
          <w:sz w:val="22"/>
          <w:szCs w:val="22"/>
        </w:rPr>
        <w:t xml:space="preserve">, </w:t>
      </w:r>
      <w:r w:rsidR="002C39CA" w:rsidRPr="002C39CA">
        <w:rPr>
          <w:color w:val="000000"/>
          <w:sz w:val="22"/>
          <w:szCs w:val="22"/>
        </w:rPr>
        <w:t>the Department of Revenue (DOR) is required to certify to the State Comptroller, after each quarter</w:t>
      </w:r>
      <w:r w:rsidR="00AB3FCD">
        <w:rPr>
          <w:color w:val="000000"/>
          <w:sz w:val="22"/>
          <w:szCs w:val="22"/>
        </w:rPr>
        <w:t>ly period</w:t>
      </w:r>
      <w:r w:rsidR="002C39CA" w:rsidRPr="002C39CA">
        <w:rPr>
          <w:color w:val="000000"/>
          <w:sz w:val="22"/>
          <w:szCs w:val="22"/>
        </w:rPr>
        <w:t xml:space="preserve"> during the fiscal year, </w:t>
      </w:r>
      <w:r w:rsidR="00AB3FCD" w:rsidRPr="00AB3FCD">
        <w:rPr>
          <w:color w:val="000000"/>
          <w:sz w:val="22"/>
          <w:szCs w:val="22"/>
        </w:rPr>
        <w:t xml:space="preserve">the amount of tax revenues estimated to have been collected during the </w:t>
      </w:r>
      <w:r w:rsidR="00AB3FCD">
        <w:rPr>
          <w:color w:val="000000"/>
          <w:sz w:val="22"/>
          <w:szCs w:val="22"/>
        </w:rPr>
        <w:t xml:space="preserve">quarterly </w:t>
      </w:r>
      <w:r w:rsidR="00AB3FCD" w:rsidRPr="00AB3FCD">
        <w:rPr>
          <w:color w:val="000000"/>
          <w:sz w:val="22"/>
          <w:szCs w:val="22"/>
        </w:rPr>
        <w:t>period due to the additional 4</w:t>
      </w:r>
      <w:r w:rsidR="00AB3FCD">
        <w:rPr>
          <w:color w:val="000000"/>
          <w:sz w:val="22"/>
          <w:szCs w:val="22"/>
        </w:rPr>
        <w:t xml:space="preserve">% </w:t>
      </w:r>
      <w:r w:rsidR="00AB3FCD" w:rsidRPr="00AB3FCD">
        <w:rPr>
          <w:color w:val="000000"/>
          <w:sz w:val="22"/>
          <w:szCs w:val="22"/>
        </w:rPr>
        <w:t xml:space="preserve">income tax levied </w:t>
      </w:r>
      <w:r w:rsidR="00AC6703" w:rsidRPr="00AC6703">
        <w:rPr>
          <w:color w:val="000000"/>
          <w:sz w:val="22"/>
          <w:szCs w:val="22"/>
        </w:rPr>
        <w:t>pursuant to Article XLIV of the Amendments of the Constitution of the Commonwealth</w:t>
      </w:r>
      <w:r w:rsidR="003A4BE6">
        <w:rPr>
          <w:rStyle w:val="FootnoteReference"/>
          <w:color w:val="000000"/>
          <w:sz w:val="22"/>
          <w:szCs w:val="22"/>
        </w:rPr>
        <w:footnoteReference w:id="2"/>
      </w:r>
      <w:r w:rsidR="00AB3FCD">
        <w:rPr>
          <w:color w:val="000000"/>
          <w:sz w:val="22"/>
          <w:szCs w:val="22"/>
        </w:rPr>
        <w:t xml:space="preserve">. </w:t>
      </w:r>
    </w:p>
    <w:p w14:paraId="288D1DB2" w14:textId="7064170A" w:rsidR="002C39CA" w:rsidRPr="002C39CA" w:rsidRDefault="00AC6703" w:rsidP="002C39CA">
      <w:pPr>
        <w:spacing w:before="120" w:after="12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annual q</w:t>
      </w:r>
      <w:r w:rsidR="002C39CA" w:rsidRPr="002C39CA">
        <w:rPr>
          <w:color w:val="000000"/>
          <w:sz w:val="22"/>
          <w:szCs w:val="22"/>
        </w:rPr>
        <w:t>uarterly periods are as follows:</w:t>
      </w:r>
    </w:p>
    <w:p w14:paraId="4BB475F9" w14:textId="77777777" w:rsidR="00F223DD" w:rsidRPr="00756A33" w:rsidRDefault="00F223DD" w:rsidP="00F223DD">
      <w:pPr>
        <w:spacing w:before="120" w:after="120" w:line="252" w:lineRule="auto"/>
        <w:ind w:left="720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>Period 1 (July 1 through September 30)</w:t>
      </w:r>
    </w:p>
    <w:p w14:paraId="651EB1BD" w14:textId="77777777" w:rsidR="00F223DD" w:rsidRPr="00756A33" w:rsidRDefault="00F223DD" w:rsidP="00F223DD">
      <w:pPr>
        <w:spacing w:before="120" w:after="120" w:line="252" w:lineRule="auto"/>
        <w:ind w:left="720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>Period 2 (October 1 through January 31)</w:t>
      </w:r>
    </w:p>
    <w:p w14:paraId="65958928" w14:textId="005B739C" w:rsidR="00F223DD" w:rsidRPr="00756A33" w:rsidRDefault="00F223DD" w:rsidP="00F223DD">
      <w:pPr>
        <w:spacing w:before="120" w:after="120" w:line="252" w:lineRule="auto"/>
        <w:ind w:left="720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 xml:space="preserve">Period 3 (February 1 through </w:t>
      </w:r>
      <w:r w:rsidR="002C39CA" w:rsidRPr="002C39CA">
        <w:rPr>
          <w:color w:val="000000"/>
          <w:sz w:val="22"/>
          <w:szCs w:val="22"/>
        </w:rPr>
        <w:t>April 30</w:t>
      </w:r>
      <w:r w:rsidRPr="00756A33">
        <w:rPr>
          <w:color w:val="000000"/>
          <w:sz w:val="22"/>
          <w:szCs w:val="22"/>
        </w:rPr>
        <w:t>)</w:t>
      </w:r>
    </w:p>
    <w:p w14:paraId="34BBBA25" w14:textId="03B6BD1A" w:rsidR="00F223DD" w:rsidRPr="00756A33" w:rsidRDefault="00F223DD" w:rsidP="00F223DD">
      <w:pPr>
        <w:spacing w:before="120" w:after="120" w:line="252" w:lineRule="auto"/>
        <w:ind w:left="720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>Period 4 (</w:t>
      </w:r>
      <w:r w:rsidR="002C39CA">
        <w:rPr>
          <w:color w:val="000000"/>
          <w:sz w:val="22"/>
          <w:szCs w:val="22"/>
        </w:rPr>
        <w:t>May</w:t>
      </w:r>
      <w:r w:rsidRPr="00756A33">
        <w:rPr>
          <w:color w:val="000000"/>
          <w:sz w:val="22"/>
          <w:szCs w:val="22"/>
        </w:rPr>
        <w:t xml:space="preserve"> 1 through June 30)</w:t>
      </w:r>
    </w:p>
    <w:p w14:paraId="09936112" w14:textId="23F58E14" w:rsidR="00266744" w:rsidRDefault="00266744" w:rsidP="00694178">
      <w:pPr>
        <w:spacing w:before="120" w:after="120" w:line="252" w:lineRule="auto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 xml:space="preserve">The table below shows </w:t>
      </w:r>
      <w:r w:rsidRPr="00AB3FCD">
        <w:rPr>
          <w:color w:val="000000"/>
          <w:sz w:val="22"/>
          <w:szCs w:val="22"/>
        </w:rPr>
        <w:t>the additional 4</w:t>
      </w:r>
      <w:r>
        <w:rPr>
          <w:color w:val="000000"/>
          <w:sz w:val="22"/>
          <w:szCs w:val="22"/>
        </w:rPr>
        <w:t xml:space="preserve">% income tax </w:t>
      </w:r>
      <w:r w:rsidRPr="00756A33">
        <w:rPr>
          <w:color w:val="000000"/>
          <w:sz w:val="22"/>
          <w:szCs w:val="22"/>
        </w:rPr>
        <w:t>revenue estimates for each of the first two certification periods, and on a year-to-date basis during fiscal year 202</w:t>
      </w:r>
      <w:r>
        <w:rPr>
          <w:color w:val="000000"/>
          <w:sz w:val="22"/>
          <w:szCs w:val="22"/>
        </w:rPr>
        <w:t>6</w:t>
      </w:r>
      <w:r w:rsidRPr="00756A33">
        <w:rPr>
          <w:color w:val="000000"/>
          <w:sz w:val="22"/>
          <w:szCs w:val="22"/>
        </w:rPr>
        <w:t>.</w:t>
      </w:r>
    </w:p>
    <w:p w14:paraId="7F0F3EFD" w14:textId="77777777" w:rsidR="00266744" w:rsidRDefault="00266744" w:rsidP="00266744">
      <w:pPr>
        <w:spacing w:before="240" w:after="120" w:line="252" w:lineRule="auto"/>
        <w:rPr>
          <w:color w:val="000000"/>
          <w:sz w:val="22"/>
          <w:szCs w:val="22"/>
        </w:rPr>
      </w:pPr>
    </w:p>
    <w:p w14:paraId="5134F86B" w14:textId="77777777" w:rsidR="00266744" w:rsidRPr="00756A33" w:rsidRDefault="00266744" w:rsidP="00266744">
      <w:pPr>
        <w:spacing w:before="240" w:after="120" w:line="252" w:lineRule="auto"/>
        <w:rPr>
          <w:color w:val="000000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2070"/>
        <w:gridCol w:w="1890"/>
        <w:gridCol w:w="540"/>
      </w:tblGrid>
      <w:tr w:rsidR="00266744" w:rsidRPr="00230DD0" w14:paraId="69D03120" w14:textId="77777777" w:rsidTr="009E7B7F">
        <w:trPr>
          <w:gridAfter w:val="1"/>
          <w:wAfter w:w="540" w:type="dxa"/>
          <w:jc w:val="center"/>
        </w:trPr>
        <w:tc>
          <w:tcPr>
            <w:tcW w:w="8370" w:type="dxa"/>
            <w:gridSpan w:val="3"/>
            <w:vAlign w:val="center"/>
          </w:tcPr>
          <w:p w14:paraId="75FF9A52" w14:textId="77777777" w:rsidR="00266744" w:rsidRPr="00230DD0" w:rsidRDefault="00266744" w:rsidP="009E7B7F">
            <w:pPr>
              <w:spacing w:before="120"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        A</w:t>
            </w:r>
            <w:r w:rsidRPr="001B349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dditional 4% Income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30DD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Tax Collections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($)</w:t>
            </w:r>
          </w:p>
        </w:tc>
      </w:tr>
      <w:tr w:rsidR="00266744" w:rsidRPr="00230DD0" w14:paraId="5FBCDEB5" w14:textId="77777777" w:rsidTr="009E7B7F">
        <w:trPr>
          <w:jc w:val="center"/>
        </w:trPr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72F983D8" w14:textId="77777777" w:rsidR="00266744" w:rsidRPr="00230DD0" w:rsidRDefault="00266744" w:rsidP="009E7B7F">
            <w:pPr>
              <w:spacing w:before="12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943F2E6" w14:textId="77777777" w:rsidR="00266744" w:rsidRPr="00230DD0" w:rsidRDefault="00266744" w:rsidP="009E7B7F">
            <w:pPr>
              <w:spacing w:before="12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Period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total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ECA3E17" w14:textId="77777777" w:rsidR="00266744" w:rsidRPr="00230DD0" w:rsidRDefault="00266744" w:rsidP="009E7B7F">
            <w:pPr>
              <w:spacing w:before="12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Fiscal year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total</w:t>
            </w:r>
          </w:p>
        </w:tc>
      </w:tr>
      <w:tr w:rsidR="00266744" w:rsidRPr="00230DD0" w14:paraId="2AD8E64A" w14:textId="77777777" w:rsidTr="00694178">
        <w:trPr>
          <w:trHeight w:val="296"/>
          <w:jc w:val="center"/>
        </w:trPr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6BB8A463" w14:textId="696C4BE5" w:rsidR="00266744" w:rsidRPr="00230DD0" w:rsidRDefault="00266744" w:rsidP="009E7B7F">
            <w:pPr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Period 1 (July 1, </w:t>
            </w:r>
            <w:proofErr w:type="gramStart"/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proofErr w:type="gramEnd"/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September 30,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2587539E" w14:textId="5B5A1034" w:rsidR="00266744" w:rsidRPr="00230DD0" w:rsidRDefault="00266744" w:rsidP="009E7B7F">
            <w:pPr>
              <w:tabs>
                <w:tab w:val="decimal" w:pos="1152"/>
              </w:tabs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539F8C5E" w14:textId="1EC43F7D" w:rsidR="00266744" w:rsidRPr="00230DD0" w:rsidRDefault="00266744" w:rsidP="009E7B7F">
            <w:pPr>
              <w:tabs>
                <w:tab w:val="decimal" w:pos="1122"/>
              </w:tabs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512,292,865.04</w:t>
            </w:r>
          </w:p>
        </w:tc>
      </w:tr>
      <w:tr w:rsidR="00266744" w:rsidRPr="00230DD0" w14:paraId="220CEDC5" w14:textId="77777777" w:rsidTr="00694178">
        <w:trPr>
          <w:trHeight w:val="180"/>
          <w:jc w:val="center"/>
        </w:trPr>
        <w:tc>
          <w:tcPr>
            <w:tcW w:w="4410" w:type="dxa"/>
            <w:vAlign w:val="center"/>
          </w:tcPr>
          <w:p w14:paraId="5E076D30" w14:textId="1294DC2D" w:rsidR="00266744" w:rsidRPr="00230DD0" w:rsidRDefault="00266744" w:rsidP="009E7B7F">
            <w:pPr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Period 2 (October 1, </w:t>
            </w:r>
            <w:proofErr w:type="gramStart"/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proofErr w:type="gramEnd"/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January 31,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0" w:type="dxa"/>
            <w:vAlign w:val="center"/>
          </w:tcPr>
          <w:p w14:paraId="5DF4AF24" w14:textId="7F77EBD1" w:rsidR="00266744" w:rsidRPr="00230DD0" w:rsidRDefault="00266744" w:rsidP="009E7B7F">
            <w:pPr>
              <w:tabs>
                <w:tab w:val="decimal" w:pos="1152"/>
              </w:tabs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057.75</w:t>
            </w:r>
          </w:p>
        </w:tc>
        <w:tc>
          <w:tcPr>
            <w:tcW w:w="2430" w:type="dxa"/>
            <w:gridSpan w:val="2"/>
            <w:vAlign w:val="center"/>
          </w:tcPr>
          <w:p w14:paraId="0EEFD6B7" w14:textId="6249167D" w:rsidR="00266744" w:rsidRPr="00230DD0" w:rsidRDefault="00266744" w:rsidP="009E7B7F">
            <w:pPr>
              <w:tabs>
                <w:tab w:val="decimal" w:pos="1122"/>
              </w:tabs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</w:tr>
    </w:tbl>
    <w:p w14:paraId="650A5663" w14:textId="77777777" w:rsidR="00266744" w:rsidRDefault="00266744" w:rsidP="00266744">
      <w:pPr>
        <w:spacing w:before="120" w:after="120" w:line="252" w:lineRule="auto"/>
        <w:rPr>
          <w:color w:val="000000"/>
          <w:sz w:val="22"/>
          <w:szCs w:val="22"/>
        </w:rPr>
      </w:pPr>
    </w:p>
    <w:p w14:paraId="01E83EFA" w14:textId="3B4D2C92" w:rsidR="00F223DD" w:rsidRPr="00756A33" w:rsidRDefault="00266744" w:rsidP="00266744">
      <w:pPr>
        <w:spacing w:before="120" w:after="120" w:line="252" w:lineRule="auto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 xml:space="preserve">Based on currently available data, DOR hereby </w:t>
      </w:r>
      <w:r w:rsidRPr="00BA6529">
        <w:rPr>
          <w:color w:val="000000"/>
          <w:sz w:val="22"/>
          <w:szCs w:val="22"/>
        </w:rPr>
        <w:t xml:space="preserve">certifies that tax revenue estimated to have been collected from </w:t>
      </w:r>
      <w:r>
        <w:rPr>
          <w:color w:val="000000"/>
          <w:sz w:val="22"/>
          <w:szCs w:val="22"/>
        </w:rPr>
        <w:t>the additional 4% income tax</w:t>
      </w:r>
      <w:r w:rsidRPr="00BA6529">
        <w:rPr>
          <w:color w:val="000000"/>
          <w:sz w:val="22"/>
          <w:szCs w:val="22"/>
        </w:rPr>
        <w:t xml:space="preserve"> was $</w:t>
      </w:r>
      <w:r w:rsidR="00CE41EF">
        <w:rPr>
          <w:color w:val="000000"/>
          <w:sz w:val="22"/>
          <w:szCs w:val="22"/>
        </w:rPr>
        <w:t xml:space="preserve">790,412,057.75 </w:t>
      </w:r>
      <w:r w:rsidRPr="00BA6529">
        <w:rPr>
          <w:color w:val="000000"/>
          <w:sz w:val="22"/>
          <w:szCs w:val="22"/>
        </w:rPr>
        <w:t xml:space="preserve">during Period </w:t>
      </w:r>
      <w:r>
        <w:rPr>
          <w:color w:val="000000"/>
          <w:sz w:val="22"/>
          <w:szCs w:val="22"/>
        </w:rPr>
        <w:t>2</w:t>
      </w:r>
      <w:r w:rsidRPr="00BA652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 FY202</w:t>
      </w:r>
      <w:r w:rsidR="00CE41EF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</w:t>
      </w:r>
      <w:r w:rsidRPr="00BA6529">
        <w:rPr>
          <w:color w:val="000000"/>
          <w:sz w:val="22"/>
          <w:szCs w:val="22"/>
        </w:rPr>
        <w:t>(</w:t>
      </w:r>
      <w:r w:rsidRPr="00756A33">
        <w:rPr>
          <w:color w:val="000000"/>
          <w:sz w:val="22"/>
          <w:szCs w:val="22"/>
        </w:rPr>
        <w:t xml:space="preserve">October 1, </w:t>
      </w:r>
      <w:proofErr w:type="gramStart"/>
      <w:r w:rsidRPr="00756A33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2</w:t>
      </w:r>
      <w:r w:rsidR="00CE41EF">
        <w:rPr>
          <w:color w:val="000000"/>
          <w:sz w:val="22"/>
          <w:szCs w:val="22"/>
        </w:rPr>
        <w:t>5</w:t>
      </w:r>
      <w:proofErr w:type="gramEnd"/>
      <w:r w:rsidRPr="00756A33">
        <w:rPr>
          <w:color w:val="000000"/>
          <w:sz w:val="22"/>
          <w:szCs w:val="22"/>
        </w:rPr>
        <w:t xml:space="preserve"> through January 31, 202</w:t>
      </w:r>
      <w:r w:rsidR="00CE41EF">
        <w:rPr>
          <w:color w:val="000000"/>
          <w:sz w:val="22"/>
          <w:szCs w:val="22"/>
        </w:rPr>
        <w:t>6</w:t>
      </w:r>
      <w:r w:rsidRPr="00BA6529">
        <w:rPr>
          <w:color w:val="000000"/>
          <w:sz w:val="22"/>
          <w:szCs w:val="22"/>
        </w:rPr>
        <w:t>).</w:t>
      </w:r>
      <w:r>
        <w:rPr>
          <w:color w:val="000000"/>
          <w:sz w:val="22"/>
          <w:szCs w:val="22"/>
        </w:rPr>
        <w:t xml:space="preserve"> </w:t>
      </w:r>
      <w:r w:rsidRPr="00BA6529">
        <w:rPr>
          <w:color w:val="000000"/>
          <w:sz w:val="22"/>
          <w:szCs w:val="22"/>
        </w:rPr>
        <w:t xml:space="preserve"> </w:t>
      </w:r>
      <w:r w:rsidRPr="00756A33">
        <w:rPr>
          <w:color w:val="000000"/>
          <w:sz w:val="22"/>
          <w:szCs w:val="22"/>
        </w:rPr>
        <w:t xml:space="preserve">The year-to-date (July </w:t>
      </w:r>
      <w:r>
        <w:rPr>
          <w:color w:val="000000"/>
          <w:sz w:val="22"/>
          <w:szCs w:val="22"/>
        </w:rPr>
        <w:t xml:space="preserve">1, </w:t>
      </w:r>
      <w:proofErr w:type="gramStart"/>
      <w:r w:rsidRPr="00756A33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2</w:t>
      </w:r>
      <w:r w:rsidR="00CE41EF">
        <w:rPr>
          <w:color w:val="000000"/>
          <w:sz w:val="22"/>
          <w:szCs w:val="22"/>
        </w:rPr>
        <w:t>5</w:t>
      </w:r>
      <w:proofErr w:type="gramEnd"/>
      <w:r w:rsidRPr="00756A33">
        <w:rPr>
          <w:color w:val="000000"/>
          <w:sz w:val="22"/>
          <w:szCs w:val="22"/>
        </w:rPr>
        <w:t xml:space="preserve"> through January </w:t>
      </w:r>
      <w:r>
        <w:rPr>
          <w:color w:val="000000"/>
          <w:sz w:val="22"/>
          <w:szCs w:val="22"/>
        </w:rPr>
        <w:t xml:space="preserve">31, </w:t>
      </w:r>
      <w:r w:rsidRPr="00756A33">
        <w:rPr>
          <w:color w:val="000000"/>
          <w:sz w:val="22"/>
          <w:szCs w:val="22"/>
        </w:rPr>
        <w:t>202</w:t>
      </w:r>
      <w:r w:rsidR="00CE41EF">
        <w:rPr>
          <w:color w:val="000000"/>
          <w:sz w:val="22"/>
          <w:szCs w:val="22"/>
        </w:rPr>
        <w:t>6</w:t>
      </w:r>
      <w:r w:rsidRPr="00756A33">
        <w:rPr>
          <w:color w:val="000000"/>
          <w:sz w:val="22"/>
          <w:szCs w:val="22"/>
        </w:rPr>
        <w:t xml:space="preserve">) tax revenue estimated to have been collected from </w:t>
      </w:r>
      <w:r>
        <w:rPr>
          <w:color w:val="000000"/>
          <w:sz w:val="22"/>
          <w:szCs w:val="22"/>
        </w:rPr>
        <w:t xml:space="preserve">the additional 4% income tax </w:t>
      </w:r>
      <w:r w:rsidRPr="00756A33">
        <w:rPr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>as</w:t>
      </w:r>
      <w:r w:rsidRPr="00756A33">
        <w:rPr>
          <w:color w:val="000000"/>
          <w:sz w:val="22"/>
          <w:szCs w:val="22"/>
        </w:rPr>
        <w:t xml:space="preserve"> $</w:t>
      </w:r>
      <w:r w:rsidR="00CE41EF">
        <w:rPr>
          <w:color w:val="000000"/>
          <w:sz w:val="22"/>
          <w:szCs w:val="22"/>
        </w:rPr>
        <w:t>1,302,704,922.79</w:t>
      </w:r>
      <w:r w:rsidRPr="00756A3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BA6529">
        <w:rPr>
          <w:color w:val="000000"/>
          <w:sz w:val="22"/>
          <w:szCs w:val="22"/>
        </w:rPr>
        <w:t>Please note that th</w:t>
      </w:r>
      <w:r>
        <w:rPr>
          <w:color w:val="000000"/>
          <w:sz w:val="22"/>
          <w:szCs w:val="22"/>
        </w:rPr>
        <w:t>ese</w:t>
      </w:r>
      <w:r w:rsidRPr="00BA6529">
        <w:rPr>
          <w:color w:val="000000"/>
          <w:sz w:val="22"/>
          <w:szCs w:val="22"/>
        </w:rPr>
        <w:t xml:space="preserve"> amount</w:t>
      </w:r>
      <w:r>
        <w:rPr>
          <w:color w:val="000000"/>
          <w:sz w:val="22"/>
          <w:szCs w:val="22"/>
        </w:rPr>
        <w:t>s</w:t>
      </w:r>
      <w:r w:rsidRPr="00BA652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are</w:t>
      </w:r>
      <w:r w:rsidRPr="00BA6529">
        <w:rPr>
          <w:color w:val="000000"/>
          <w:sz w:val="22"/>
          <w:szCs w:val="22"/>
        </w:rPr>
        <w:t xml:space="preserve"> subject to revision in </w:t>
      </w:r>
      <w:proofErr w:type="gramStart"/>
      <w:r w:rsidRPr="00BA6529">
        <w:rPr>
          <w:color w:val="000000"/>
          <w:sz w:val="22"/>
          <w:szCs w:val="22"/>
        </w:rPr>
        <w:t>the Period</w:t>
      </w:r>
      <w:proofErr w:type="gramEnd"/>
      <w:r w:rsidRPr="00BA652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3</w:t>
      </w:r>
      <w:r w:rsidRPr="00BA6529">
        <w:rPr>
          <w:color w:val="000000"/>
          <w:sz w:val="22"/>
          <w:szCs w:val="22"/>
        </w:rPr>
        <w:t xml:space="preserve"> certification as DOR further analyzes tax data. </w:t>
      </w:r>
      <w:r w:rsidR="00F223DD" w:rsidRPr="00756A33">
        <w:rPr>
          <w:color w:val="000000"/>
          <w:sz w:val="22"/>
          <w:szCs w:val="22"/>
        </w:rPr>
        <w:t xml:space="preserve">If you have any questions concerning this letter, please contact </w:t>
      </w:r>
      <w:r w:rsidR="00F223DD" w:rsidRPr="00F256A8">
        <w:rPr>
          <w:color w:val="000000"/>
          <w:sz w:val="22"/>
          <w:szCs w:val="22"/>
        </w:rPr>
        <w:t>Kazim P. Ozyurt, Director of the Office of Tax Analysis (</w:t>
      </w:r>
      <w:hyperlink r:id="rId10" w:history="1">
        <w:r w:rsidR="00575B38" w:rsidRPr="00FA33CA">
          <w:rPr>
            <w:rStyle w:val="Hyperlink"/>
            <w:sz w:val="22"/>
            <w:szCs w:val="22"/>
          </w:rPr>
          <w:t>ozyurtk@dor.state.ma.us</w:t>
        </w:r>
      </w:hyperlink>
      <w:r w:rsidR="00F223DD" w:rsidRPr="00F256A8">
        <w:rPr>
          <w:color w:val="000000"/>
          <w:sz w:val="22"/>
          <w:szCs w:val="22"/>
        </w:rPr>
        <w:t>).</w:t>
      </w:r>
    </w:p>
    <w:p w14:paraId="45C49BC4" w14:textId="7EC69CD2" w:rsidR="00F223DD" w:rsidRDefault="00F223DD" w:rsidP="00F223DD">
      <w:pPr>
        <w:spacing w:before="120" w:after="120" w:line="252" w:lineRule="auto"/>
        <w:rPr>
          <w:color w:val="000000"/>
          <w:sz w:val="22"/>
          <w:szCs w:val="22"/>
        </w:rPr>
      </w:pPr>
    </w:p>
    <w:p w14:paraId="247B2218" w14:textId="22D7CBA9" w:rsidR="00AC4173" w:rsidRDefault="00AC4173" w:rsidP="00F223DD">
      <w:pPr>
        <w:spacing w:before="120" w:after="120" w:line="252" w:lineRule="auto"/>
        <w:rPr>
          <w:color w:val="000000"/>
          <w:sz w:val="22"/>
          <w:szCs w:val="22"/>
        </w:rPr>
      </w:pPr>
    </w:p>
    <w:p w14:paraId="229888B9" w14:textId="77777777" w:rsidR="00F223DD" w:rsidRDefault="00F223DD" w:rsidP="00F223DD">
      <w:pPr>
        <w:pStyle w:val="Header"/>
        <w:tabs>
          <w:tab w:val="left" w:pos="5040"/>
        </w:tabs>
        <w:spacing w:before="120" w:after="120" w:line="252" w:lineRule="auto"/>
        <w:ind w:left="5040"/>
        <w:rPr>
          <w:sz w:val="22"/>
          <w:szCs w:val="22"/>
        </w:rPr>
      </w:pPr>
      <w:r w:rsidRPr="00EB058B">
        <w:rPr>
          <w:color w:val="000000"/>
          <w:sz w:val="22"/>
          <w:szCs w:val="22"/>
        </w:rPr>
        <w:t>Sincerely,</w:t>
      </w:r>
    </w:p>
    <w:p w14:paraId="50C1D582" w14:textId="4923B575" w:rsidR="00F223DD" w:rsidRDefault="00F223DD" w:rsidP="00F223DD">
      <w:pPr>
        <w:pStyle w:val="Header"/>
        <w:tabs>
          <w:tab w:val="left" w:pos="720"/>
        </w:tabs>
        <w:spacing w:before="120" w:after="120" w:line="252" w:lineRule="auto"/>
        <w:ind w:left="3600"/>
        <w:rPr>
          <w:noProof/>
        </w:rPr>
      </w:pPr>
      <w:r>
        <w:rPr>
          <w:noProof/>
        </w:rPr>
        <w:t xml:space="preserve">              </w:t>
      </w:r>
      <w:r w:rsidR="00A0587A">
        <w:rPr>
          <w:noProof/>
        </w:rPr>
        <w:t xml:space="preserve"> </w:t>
      </w:r>
      <w:r w:rsidR="00B04ABF">
        <w:rPr>
          <w:noProof/>
        </w:rPr>
        <w:drawing>
          <wp:inline distT="0" distB="0" distL="0" distR="0" wp14:anchorId="79F52EA7" wp14:editId="4E0BC51D">
            <wp:extent cx="1840230" cy="771525"/>
            <wp:effectExtent l="0" t="0" r="7620" b="9525"/>
            <wp:docPr id="2" name="Picture 1" descr="Signature of Commissi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ignature of Commissioner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8ADD3" w14:textId="77777777" w:rsidR="00F223DD" w:rsidRDefault="00F223DD" w:rsidP="00F223DD">
      <w:pPr>
        <w:pStyle w:val="Header"/>
        <w:tabs>
          <w:tab w:val="left" w:pos="720"/>
        </w:tabs>
        <w:spacing w:before="120" w:after="120" w:line="252" w:lineRule="auto"/>
        <w:ind w:left="5040"/>
        <w:rPr>
          <w:color w:val="000000"/>
          <w:sz w:val="22"/>
          <w:szCs w:val="22"/>
        </w:rPr>
      </w:pPr>
      <w:r w:rsidRPr="00B44BF1">
        <w:rPr>
          <w:rFonts w:eastAsia="Calibri"/>
          <w:color w:val="000000" w:themeColor="text1"/>
          <w:sz w:val="22"/>
          <w:szCs w:val="22"/>
        </w:rPr>
        <w:t>Geoffrey E. Snyder</w:t>
      </w:r>
      <w:r>
        <w:rPr>
          <w:color w:val="000000"/>
          <w:sz w:val="22"/>
          <w:szCs w:val="22"/>
        </w:rPr>
        <w:br/>
      </w:r>
      <w:r w:rsidRPr="00EB058B">
        <w:rPr>
          <w:color w:val="000000"/>
          <w:sz w:val="22"/>
          <w:szCs w:val="22"/>
        </w:rPr>
        <w:t>Commissioner</w:t>
      </w:r>
    </w:p>
    <w:p w14:paraId="2EA14A13" w14:textId="77777777" w:rsidR="00F223DD" w:rsidRDefault="00F223DD" w:rsidP="00F223DD">
      <w:pPr>
        <w:pStyle w:val="Default"/>
        <w:spacing w:before="40" w:line="252" w:lineRule="auto"/>
        <w:rPr>
          <w:rFonts w:ascii="Times New Roman" w:hAnsi="Times New Roman" w:cs="Times New Roman"/>
          <w:sz w:val="22"/>
          <w:szCs w:val="22"/>
        </w:rPr>
      </w:pPr>
    </w:p>
    <w:p w14:paraId="7CA38D3F" w14:textId="792C7249" w:rsidR="00F223DD" w:rsidRPr="001C4728" w:rsidRDefault="00F223DD" w:rsidP="00F223DD">
      <w:pPr>
        <w:pStyle w:val="Default"/>
        <w:spacing w:before="40" w:line="252" w:lineRule="auto"/>
        <w:rPr>
          <w:rFonts w:ascii="Times New Roman" w:hAnsi="Times New Roman" w:cs="Times New Roman"/>
          <w:sz w:val="22"/>
          <w:szCs w:val="22"/>
        </w:rPr>
      </w:pPr>
      <w:r w:rsidRPr="001C4728">
        <w:rPr>
          <w:rFonts w:ascii="Times New Roman" w:hAnsi="Times New Roman" w:cs="Times New Roman"/>
          <w:sz w:val="22"/>
          <w:szCs w:val="22"/>
        </w:rPr>
        <w:t>cc</w:t>
      </w:r>
      <w:proofErr w:type="gramStart"/>
      <w:r w:rsidRPr="001C4728">
        <w:rPr>
          <w:rFonts w:ascii="Times New Roman" w:hAnsi="Times New Roman" w:cs="Times New Roman"/>
          <w:sz w:val="22"/>
          <w:szCs w:val="22"/>
        </w:rPr>
        <w:t xml:space="preserve">:  </w:t>
      </w:r>
      <w:r w:rsidRPr="001C4728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1C4728">
        <w:rPr>
          <w:rFonts w:ascii="Times New Roman" w:hAnsi="Times New Roman" w:cs="Times New Roman"/>
          <w:sz w:val="22"/>
          <w:szCs w:val="22"/>
        </w:rPr>
        <w:t xml:space="preserve">Secretary </w:t>
      </w:r>
      <w:r w:rsidR="002C39CA" w:rsidRPr="00EB5176">
        <w:rPr>
          <w:rFonts w:ascii="Times New Roman" w:hAnsi="Times New Roman" w:cs="Times New Roman"/>
          <w:sz w:val="22"/>
          <w:szCs w:val="22"/>
        </w:rPr>
        <w:t>Matthew J. Gorzkowicz</w:t>
      </w:r>
      <w:r w:rsidRPr="001C4728">
        <w:rPr>
          <w:rFonts w:ascii="Times New Roman" w:hAnsi="Times New Roman" w:cs="Times New Roman"/>
          <w:sz w:val="22"/>
          <w:szCs w:val="22"/>
        </w:rPr>
        <w:t>, Executive Office for Administration and Finance</w:t>
      </w:r>
    </w:p>
    <w:p w14:paraId="296E9BA1" w14:textId="77777777" w:rsidR="00F223DD" w:rsidRPr="001C4728" w:rsidRDefault="00F223DD" w:rsidP="00F223DD">
      <w:pPr>
        <w:pStyle w:val="Header"/>
        <w:tabs>
          <w:tab w:val="left" w:pos="720"/>
        </w:tabs>
        <w:spacing w:before="40" w:line="252" w:lineRule="auto"/>
        <w:ind w:left="180"/>
        <w:rPr>
          <w:color w:val="000000"/>
          <w:sz w:val="22"/>
          <w:szCs w:val="22"/>
        </w:rPr>
      </w:pPr>
      <w:r w:rsidRPr="001C4728">
        <w:rPr>
          <w:color w:val="000000"/>
          <w:sz w:val="22"/>
          <w:szCs w:val="22"/>
        </w:rPr>
        <w:tab/>
        <w:t xml:space="preserve">The Honorable </w:t>
      </w:r>
      <w:r w:rsidRPr="00F900F2">
        <w:rPr>
          <w:rFonts w:eastAsia="Calibri"/>
          <w:sz w:val="22"/>
          <w:szCs w:val="22"/>
        </w:rPr>
        <w:t>Michael J. Rodrigues</w:t>
      </w:r>
      <w:r w:rsidRPr="001C4728">
        <w:rPr>
          <w:color w:val="000000"/>
          <w:sz w:val="22"/>
          <w:szCs w:val="22"/>
        </w:rPr>
        <w:t>, Chair, Senate Committee on Ways and Means</w:t>
      </w:r>
    </w:p>
    <w:p w14:paraId="13553F24" w14:textId="77777777" w:rsidR="00F223DD" w:rsidRPr="00B000F9" w:rsidRDefault="00F223DD" w:rsidP="00F223DD">
      <w:pPr>
        <w:pStyle w:val="Header"/>
        <w:tabs>
          <w:tab w:val="left" w:pos="720"/>
        </w:tabs>
        <w:spacing w:before="40" w:line="252" w:lineRule="auto"/>
        <w:ind w:left="180"/>
        <w:rPr>
          <w:sz w:val="22"/>
          <w:szCs w:val="22"/>
        </w:rPr>
      </w:pPr>
      <w:r w:rsidRPr="001C4728">
        <w:rPr>
          <w:color w:val="000000"/>
          <w:sz w:val="22"/>
          <w:szCs w:val="22"/>
        </w:rPr>
        <w:tab/>
        <w:t xml:space="preserve">The Honorable </w:t>
      </w:r>
      <w:r w:rsidRPr="00F900F2">
        <w:rPr>
          <w:rFonts w:eastAsia="Calibri"/>
          <w:sz w:val="22"/>
          <w:szCs w:val="22"/>
        </w:rPr>
        <w:t>Aaron Michlewitz, Chair, House</w:t>
      </w:r>
      <w:r w:rsidRPr="001C4728">
        <w:rPr>
          <w:color w:val="000000"/>
          <w:sz w:val="22"/>
          <w:szCs w:val="22"/>
        </w:rPr>
        <w:t xml:space="preserve"> Committee on Ways and Means </w:t>
      </w:r>
    </w:p>
    <w:p w14:paraId="6B73D2AA" w14:textId="77777777" w:rsidR="009D5574" w:rsidRDefault="009D5574" w:rsidP="00D5533E">
      <w:pPr>
        <w:autoSpaceDE w:val="0"/>
        <w:autoSpaceDN w:val="0"/>
        <w:adjustRightInd w:val="0"/>
      </w:pPr>
    </w:p>
    <w:p w14:paraId="5565AEFB" w14:textId="77777777" w:rsidR="00C04DB3" w:rsidRDefault="00C04DB3" w:rsidP="00D5533E">
      <w:pPr>
        <w:autoSpaceDE w:val="0"/>
        <w:autoSpaceDN w:val="0"/>
        <w:adjustRightInd w:val="0"/>
      </w:pPr>
    </w:p>
    <w:p w14:paraId="38F6AA53" w14:textId="77777777" w:rsidR="00C04DB3" w:rsidRDefault="00C04DB3" w:rsidP="00D5533E">
      <w:pPr>
        <w:autoSpaceDE w:val="0"/>
        <w:autoSpaceDN w:val="0"/>
        <w:adjustRightInd w:val="0"/>
      </w:pPr>
    </w:p>
    <w:p w14:paraId="05B1C846" w14:textId="77777777" w:rsidR="00EE7360" w:rsidRPr="00235665" w:rsidRDefault="00EE7360" w:rsidP="00EE7360">
      <w:pPr>
        <w:autoSpaceDE w:val="0"/>
        <w:autoSpaceDN w:val="0"/>
        <w:adjustRightInd w:val="0"/>
      </w:pPr>
    </w:p>
    <w:sectPr w:rsidR="00EE7360" w:rsidRPr="00235665" w:rsidSect="002C3F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FBE4" w14:textId="77777777" w:rsidR="00735553" w:rsidRDefault="00735553" w:rsidP="00D548EB">
      <w:r>
        <w:separator/>
      </w:r>
    </w:p>
  </w:endnote>
  <w:endnote w:type="continuationSeparator" w:id="0">
    <w:p w14:paraId="3B27E324" w14:textId="77777777" w:rsidR="00735553" w:rsidRDefault="00735553" w:rsidP="00D5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D3F6" w14:textId="77777777" w:rsidR="00A40EAD" w:rsidRDefault="00A40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309E" w14:textId="77777777" w:rsidR="00A40EAD" w:rsidRDefault="00A40E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E2A6" w14:textId="77777777" w:rsidR="00A40EAD" w:rsidRDefault="00A40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70DC" w14:textId="77777777" w:rsidR="00735553" w:rsidRDefault="00735553" w:rsidP="00D548EB">
      <w:r>
        <w:separator/>
      </w:r>
    </w:p>
  </w:footnote>
  <w:footnote w:type="continuationSeparator" w:id="0">
    <w:p w14:paraId="6159A512" w14:textId="77777777" w:rsidR="00735553" w:rsidRDefault="00735553" w:rsidP="00D548EB">
      <w:r>
        <w:continuationSeparator/>
      </w:r>
    </w:p>
  </w:footnote>
  <w:footnote w:id="1">
    <w:p w14:paraId="74DAC85A" w14:textId="5120DC42" w:rsidR="002C39CA" w:rsidRPr="002C39CA" w:rsidRDefault="002C39CA">
      <w:pPr>
        <w:pStyle w:val="FootnoteText"/>
      </w:pPr>
      <w:r w:rsidRPr="002C39CA">
        <w:rPr>
          <w:rStyle w:val="FootnoteReference"/>
        </w:rPr>
        <w:footnoteRef/>
      </w:r>
      <w:r w:rsidRPr="002C39CA">
        <w:t xml:space="preserve"> </w:t>
      </w:r>
      <w:hyperlink r:id="rId1" w:history="1">
        <w:r w:rsidR="00960216">
          <w:rPr>
            <w:rStyle w:val="Hyperlink"/>
          </w:rPr>
          <w:t>FY2024 Final Budget (https://malegislature.gov/Budget/FinalBudget)</w:t>
        </w:r>
      </w:hyperlink>
    </w:p>
  </w:footnote>
  <w:footnote w:id="2">
    <w:p w14:paraId="465EA447" w14:textId="77777777" w:rsidR="00F11EF8" w:rsidRDefault="003A4BE6" w:rsidP="00F11EF8">
      <w:pPr>
        <w:pStyle w:val="FootnoteText"/>
      </w:pPr>
      <w:r>
        <w:rPr>
          <w:rStyle w:val="FootnoteReference"/>
        </w:rPr>
        <w:footnoteRef/>
      </w:r>
      <w:r>
        <w:t xml:space="preserve"> Pursuant to </w:t>
      </w:r>
      <w:hyperlink r:id="rId2" w:history="1">
        <w:r w:rsidR="00960216">
          <w:rPr>
            <w:rStyle w:val="Hyperlink"/>
          </w:rPr>
          <w:t>FY2024 Final Budget (https://malegislature.gov/Budget/FinalBudget)</w:t>
        </w:r>
      </w:hyperlink>
      <w:r w:rsidR="00AC4173">
        <w:rPr>
          <w:rStyle w:val="Hyperlink"/>
          <w:color w:val="000000" w:themeColor="text1"/>
          <w:u w:val="none"/>
        </w:rPr>
        <w:t>, s</w:t>
      </w:r>
      <w:r w:rsidRPr="0087764B">
        <w:rPr>
          <w:rStyle w:val="Hyperlink"/>
          <w:color w:val="000000" w:themeColor="text1"/>
          <w:u w:val="none"/>
        </w:rPr>
        <w:t xml:space="preserve">ection </w:t>
      </w:r>
      <w:r>
        <w:rPr>
          <w:rStyle w:val="Hyperlink"/>
          <w:color w:val="000000" w:themeColor="text1"/>
          <w:u w:val="none"/>
        </w:rPr>
        <w:t>28</w:t>
      </w:r>
      <w:r w:rsidRPr="0087764B">
        <w:rPr>
          <w:rStyle w:val="Hyperlink"/>
          <w:color w:val="000000" w:themeColor="text1"/>
          <w:u w:val="none"/>
        </w:rPr>
        <w:t xml:space="preserve">, </w:t>
      </w:r>
      <w:r w:rsidRPr="00E51C16">
        <w:t xml:space="preserve">the $1,000,000 taxable income threshold shall </w:t>
      </w:r>
      <w:r w:rsidR="00874AFD">
        <w:t xml:space="preserve">annually </w:t>
      </w:r>
      <w:r w:rsidRPr="00E51C16">
        <w:t>be subject to the cost-of-living adjustment</w:t>
      </w:r>
      <w:r>
        <w:t>.</w:t>
      </w:r>
      <w:r w:rsidR="00F11EF8">
        <w:t xml:space="preserve"> For tax year 2023, which was the first </w:t>
      </w:r>
    </w:p>
    <w:p w14:paraId="37D1050B" w14:textId="77777777" w:rsidR="00F11EF8" w:rsidRDefault="00F11EF8" w:rsidP="00F11EF8">
      <w:pPr>
        <w:pStyle w:val="FootnoteText"/>
      </w:pPr>
      <w:r>
        <w:t xml:space="preserve">year the additional 4% income tax was in effect, the taxable income threshold was $1,000,000.00. On December 14, 2023, </w:t>
      </w:r>
    </w:p>
    <w:p w14:paraId="68BB5B3F" w14:textId="77777777" w:rsidR="00F11EF8" w:rsidRDefault="00F11EF8" w:rsidP="00F11EF8">
      <w:pPr>
        <w:pStyle w:val="FootnoteText"/>
      </w:pPr>
      <w:r>
        <w:t xml:space="preserve">DOR certified that the taxable income threshold for tax year 2024 would be $1,053,750.00. On November 12, 2024, DOR </w:t>
      </w:r>
    </w:p>
    <w:p w14:paraId="3198BC28" w14:textId="100294DE" w:rsidR="00266744" w:rsidRDefault="00F11EF8" w:rsidP="00266744">
      <w:pPr>
        <w:pStyle w:val="FootnoteText"/>
      </w:pPr>
      <w:r>
        <w:t xml:space="preserve">certified that the taxable income threshold for tax year 2025 would be $1,083,150.00. </w:t>
      </w:r>
      <w:r w:rsidR="00266744">
        <w:t xml:space="preserve">On November 20, 2025, DOR </w:t>
      </w:r>
    </w:p>
    <w:p w14:paraId="283278B5" w14:textId="0BD674BB" w:rsidR="003A4BE6" w:rsidRDefault="00266744" w:rsidP="00266744">
      <w:pPr>
        <w:pStyle w:val="FootnoteText"/>
      </w:pPr>
      <w:r>
        <w:t>certified that the taxable income threshold for tax year 2026 would be $1,107,750.00.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3ACD" w14:textId="77777777" w:rsidR="00A40EAD" w:rsidRDefault="00A40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755B" w14:textId="396E38C5" w:rsidR="00A40EAD" w:rsidRDefault="00A40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7CEE" w14:textId="77777777" w:rsidR="00A40EAD" w:rsidRDefault="00A40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229"/>
    <w:multiLevelType w:val="hybridMultilevel"/>
    <w:tmpl w:val="0302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4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60"/>
    <w:rsid w:val="0000199C"/>
    <w:rsid w:val="00004FEF"/>
    <w:rsid w:val="000058BF"/>
    <w:rsid w:val="00005CED"/>
    <w:rsid w:val="00012C6F"/>
    <w:rsid w:val="00020336"/>
    <w:rsid w:val="00020B99"/>
    <w:rsid w:val="000255F3"/>
    <w:rsid w:val="00026806"/>
    <w:rsid w:val="0003326E"/>
    <w:rsid w:val="000344EE"/>
    <w:rsid w:val="00047666"/>
    <w:rsid w:val="00050854"/>
    <w:rsid w:val="00052744"/>
    <w:rsid w:val="0005448A"/>
    <w:rsid w:val="00057BD0"/>
    <w:rsid w:val="00062FB2"/>
    <w:rsid w:val="000672A9"/>
    <w:rsid w:val="00070868"/>
    <w:rsid w:val="00075F20"/>
    <w:rsid w:val="0008043F"/>
    <w:rsid w:val="00091214"/>
    <w:rsid w:val="0009244F"/>
    <w:rsid w:val="00094204"/>
    <w:rsid w:val="00097EB3"/>
    <w:rsid w:val="000A1217"/>
    <w:rsid w:val="000A43CF"/>
    <w:rsid w:val="000A6CAC"/>
    <w:rsid w:val="000B0A58"/>
    <w:rsid w:val="000B0A60"/>
    <w:rsid w:val="000B5399"/>
    <w:rsid w:val="000C07BE"/>
    <w:rsid w:val="000C1D8E"/>
    <w:rsid w:val="000C3E42"/>
    <w:rsid w:val="000D426D"/>
    <w:rsid w:val="000D537F"/>
    <w:rsid w:val="000D55D8"/>
    <w:rsid w:val="000E0B5B"/>
    <w:rsid w:val="000E0B82"/>
    <w:rsid w:val="000E3882"/>
    <w:rsid w:val="000F24C8"/>
    <w:rsid w:val="000F5924"/>
    <w:rsid w:val="000F59F9"/>
    <w:rsid w:val="000F64A6"/>
    <w:rsid w:val="000F745B"/>
    <w:rsid w:val="001009E3"/>
    <w:rsid w:val="00103F53"/>
    <w:rsid w:val="00105EF2"/>
    <w:rsid w:val="00110DBE"/>
    <w:rsid w:val="0011530A"/>
    <w:rsid w:val="00116381"/>
    <w:rsid w:val="00116B01"/>
    <w:rsid w:val="001260AA"/>
    <w:rsid w:val="00136156"/>
    <w:rsid w:val="001532E9"/>
    <w:rsid w:val="00153448"/>
    <w:rsid w:val="00153EA5"/>
    <w:rsid w:val="0015449F"/>
    <w:rsid w:val="00155CB6"/>
    <w:rsid w:val="0016665E"/>
    <w:rsid w:val="00167929"/>
    <w:rsid w:val="00167E78"/>
    <w:rsid w:val="001711F6"/>
    <w:rsid w:val="001732D9"/>
    <w:rsid w:val="001760AA"/>
    <w:rsid w:val="00176884"/>
    <w:rsid w:val="00176A02"/>
    <w:rsid w:val="0018121F"/>
    <w:rsid w:val="001817FB"/>
    <w:rsid w:val="00186C88"/>
    <w:rsid w:val="00190259"/>
    <w:rsid w:val="001A07F6"/>
    <w:rsid w:val="001A35F4"/>
    <w:rsid w:val="001A39B2"/>
    <w:rsid w:val="001B3208"/>
    <w:rsid w:val="001C5D23"/>
    <w:rsid w:val="001D03C2"/>
    <w:rsid w:val="001D2494"/>
    <w:rsid w:val="001D5A2D"/>
    <w:rsid w:val="001D6C0C"/>
    <w:rsid w:val="001E5D70"/>
    <w:rsid w:val="00205125"/>
    <w:rsid w:val="00211AB3"/>
    <w:rsid w:val="00212FFF"/>
    <w:rsid w:val="00214798"/>
    <w:rsid w:val="00214BA3"/>
    <w:rsid w:val="00215A73"/>
    <w:rsid w:val="002348EC"/>
    <w:rsid w:val="00235665"/>
    <w:rsid w:val="002438B4"/>
    <w:rsid w:val="00255046"/>
    <w:rsid w:val="002563A3"/>
    <w:rsid w:val="00260EAC"/>
    <w:rsid w:val="00266744"/>
    <w:rsid w:val="00267318"/>
    <w:rsid w:val="00274987"/>
    <w:rsid w:val="00276B2B"/>
    <w:rsid w:val="00276B33"/>
    <w:rsid w:val="00282487"/>
    <w:rsid w:val="00282584"/>
    <w:rsid w:val="00283FE8"/>
    <w:rsid w:val="00286EDC"/>
    <w:rsid w:val="00291D6A"/>
    <w:rsid w:val="00294D23"/>
    <w:rsid w:val="002A0315"/>
    <w:rsid w:val="002A5E26"/>
    <w:rsid w:val="002B26AE"/>
    <w:rsid w:val="002B5EAC"/>
    <w:rsid w:val="002C39CA"/>
    <w:rsid w:val="002C3F3E"/>
    <w:rsid w:val="002C44A6"/>
    <w:rsid w:val="002C683E"/>
    <w:rsid w:val="002D00CA"/>
    <w:rsid w:val="002D050E"/>
    <w:rsid w:val="002D080D"/>
    <w:rsid w:val="002D2ADE"/>
    <w:rsid w:val="002D39E7"/>
    <w:rsid w:val="002D3FB3"/>
    <w:rsid w:val="002E042B"/>
    <w:rsid w:val="002E5036"/>
    <w:rsid w:val="002F0E0E"/>
    <w:rsid w:val="002F2A2E"/>
    <w:rsid w:val="002F3203"/>
    <w:rsid w:val="003014C2"/>
    <w:rsid w:val="00301C71"/>
    <w:rsid w:val="0030273F"/>
    <w:rsid w:val="00320E0C"/>
    <w:rsid w:val="0032536E"/>
    <w:rsid w:val="0033137A"/>
    <w:rsid w:val="00347B11"/>
    <w:rsid w:val="00351B64"/>
    <w:rsid w:val="0036086D"/>
    <w:rsid w:val="00362C12"/>
    <w:rsid w:val="003640D5"/>
    <w:rsid w:val="003703A7"/>
    <w:rsid w:val="003731F5"/>
    <w:rsid w:val="003742F9"/>
    <w:rsid w:val="00376324"/>
    <w:rsid w:val="00377450"/>
    <w:rsid w:val="00385A0D"/>
    <w:rsid w:val="003879D9"/>
    <w:rsid w:val="00393D61"/>
    <w:rsid w:val="003A3343"/>
    <w:rsid w:val="003A4BE6"/>
    <w:rsid w:val="003B57E1"/>
    <w:rsid w:val="003B7D09"/>
    <w:rsid w:val="003C6FB7"/>
    <w:rsid w:val="003C712B"/>
    <w:rsid w:val="003D0303"/>
    <w:rsid w:val="003D1C94"/>
    <w:rsid w:val="003D4379"/>
    <w:rsid w:val="003E4999"/>
    <w:rsid w:val="003E6B92"/>
    <w:rsid w:val="003F1519"/>
    <w:rsid w:val="003F45A9"/>
    <w:rsid w:val="003F7AB8"/>
    <w:rsid w:val="00400811"/>
    <w:rsid w:val="0040494B"/>
    <w:rsid w:val="004077F6"/>
    <w:rsid w:val="004335E3"/>
    <w:rsid w:val="00447613"/>
    <w:rsid w:val="004504E7"/>
    <w:rsid w:val="00451917"/>
    <w:rsid w:val="0046340A"/>
    <w:rsid w:val="00463B63"/>
    <w:rsid w:val="00466AE6"/>
    <w:rsid w:val="00467635"/>
    <w:rsid w:val="00476DC7"/>
    <w:rsid w:val="004811E8"/>
    <w:rsid w:val="00482556"/>
    <w:rsid w:val="004825AC"/>
    <w:rsid w:val="00484FC1"/>
    <w:rsid w:val="0048727A"/>
    <w:rsid w:val="004A3E06"/>
    <w:rsid w:val="004A4442"/>
    <w:rsid w:val="004A5FCD"/>
    <w:rsid w:val="004A70DB"/>
    <w:rsid w:val="004B0740"/>
    <w:rsid w:val="004B1CA8"/>
    <w:rsid w:val="004B5DD6"/>
    <w:rsid w:val="004B61EB"/>
    <w:rsid w:val="004C1AE4"/>
    <w:rsid w:val="004C1C63"/>
    <w:rsid w:val="004C4598"/>
    <w:rsid w:val="004C5BD0"/>
    <w:rsid w:val="004D0B09"/>
    <w:rsid w:val="004D5866"/>
    <w:rsid w:val="004D69BF"/>
    <w:rsid w:val="004E4669"/>
    <w:rsid w:val="004E5666"/>
    <w:rsid w:val="004E6563"/>
    <w:rsid w:val="004E7478"/>
    <w:rsid w:val="004F00BB"/>
    <w:rsid w:val="004F0C82"/>
    <w:rsid w:val="004F5463"/>
    <w:rsid w:val="00500305"/>
    <w:rsid w:val="005025CD"/>
    <w:rsid w:val="005035AE"/>
    <w:rsid w:val="00522512"/>
    <w:rsid w:val="005316DE"/>
    <w:rsid w:val="0054113E"/>
    <w:rsid w:val="00541799"/>
    <w:rsid w:val="00544829"/>
    <w:rsid w:val="0055070B"/>
    <w:rsid w:val="005534A1"/>
    <w:rsid w:val="0055484D"/>
    <w:rsid w:val="0055495C"/>
    <w:rsid w:val="00554E66"/>
    <w:rsid w:val="005578E8"/>
    <w:rsid w:val="005624FD"/>
    <w:rsid w:val="0056326E"/>
    <w:rsid w:val="00566BD0"/>
    <w:rsid w:val="005734A0"/>
    <w:rsid w:val="00575B38"/>
    <w:rsid w:val="00575E9B"/>
    <w:rsid w:val="005804EA"/>
    <w:rsid w:val="00581DD6"/>
    <w:rsid w:val="005839A9"/>
    <w:rsid w:val="00590A1D"/>
    <w:rsid w:val="005A0C96"/>
    <w:rsid w:val="005A207C"/>
    <w:rsid w:val="005A5F67"/>
    <w:rsid w:val="005A6C00"/>
    <w:rsid w:val="005B74F2"/>
    <w:rsid w:val="005B752D"/>
    <w:rsid w:val="005C5282"/>
    <w:rsid w:val="005F0560"/>
    <w:rsid w:val="006060A6"/>
    <w:rsid w:val="00606335"/>
    <w:rsid w:val="00611F3F"/>
    <w:rsid w:val="00612AC7"/>
    <w:rsid w:val="00614183"/>
    <w:rsid w:val="00614DBE"/>
    <w:rsid w:val="006174C1"/>
    <w:rsid w:val="00624885"/>
    <w:rsid w:val="00626132"/>
    <w:rsid w:val="00634CDD"/>
    <w:rsid w:val="00640335"/>
    <w:rsid w:val="00641AF3"/>
    <w:rsid w:val="006459FF"/>
    <w:rsid w:val="00651F6C"/>
    <w:rsid w:val="00656E81"/>
    <w:rsid w:val="006609F1"/>
    <w:rsid w:val="00660CF0"/>
    <w:rsid w:val="00666A92"/>
    <w:rsid w:val="00667BFB"/>
    <w:rsid w:val="00677F9F"/>
    <w:rsid w:val="006810F1"/>
    <w:rsid w:val="00690F90"/>
    <w:rsid w:val="00692810"/>
    <w:rsid w:val="00694178"/>
    <w:rsid w:val="006A0260"/>
    <w:rsid w:val="006A1720"/>
    <w:rsid w:val="006B5968"/>
    <w:rsid w:val="006B5B62"/>
    <w:rsid w:val="006B634B"/>
    <w:rsid w:val="006C4E0D"/>
    <w:rsid w:val="006C4F51"/>
    <w:rsid w:val="006E0197"/>
    <w:rsid w:val="006F0C7E"/>
    <w:rsid w:val="006F25D0"/>
    <w:rsid w:val="006F3987"/>
    <w:rsid w:val="0071178F"/>
    <w:rsid w:val="00717451"/>
    <w:rsid w:val="00717D69"/>
    <w:rsid w:val="00732F0A"/>
    <w:rsid w:val="00733170"/>
    <w:rsid w:val="007344B1"/>
    <w:rsid w:val="00735553"/>
    <w:rsid w:val="00740F85"/>
    <w:rsid w:val="00745643"/>
    <w:rsid w:val="00750952"/>
    <w:rsid w:val="00751B88"/>
    <w:rsid w:val="007533C9"/>
    <w:rsid w:val="00757867"/>
    <w:rsid w:val="00767648"/>
    <w:rsid w:val="00776AA9"/>
    <w:rsid w:val="007770B8"/>
    <w:rsid w:val="00783ED1"/>
    <w:rsid w:val="007944E9"/>
    <w:rsid w:val="00794D72"/>
    <w:rsid w:val="007966FC"/>
    <w:rsid w:val="007A492D"/>
    <w:rsid w:val="007B3173"/>
    <w:rsid w:val="007B4AC7"/>
    <w:rsid w:val="007C1FE6"/>
    <w:rsid w:val="007C6042"/>
    <w:rsid w:val="007D54F2"/>
    <w:rsid w:val="007D797C"/>
    <w:rsid w:val="007E16A2"/>
    <w:rsid w:val="007E261D"/>
    <w:rsid w:val="007E6793"/>
    <w:rsid w:val="007F36B6"/>
    <w:rsid w:val="007F5C85"/>
    <w:rsid w:val="00802EE5"/>
    <w:rsid w:val="00803008"/>
    <w:rsid w:val="00817402"/>
    <w:rsid w:val="00832579"/>
    <w:rsid w:val="00845AED"/>
    <w:rsid w:val="00861E58"/>
    <w:rsid w:val="00864CAB"/>
    <w:rsid w:val="00874AFD"/>
    <w:rsid w:val="008804D9"/>
    <w:rsid w:val="00880BED"/>
    <w:rsid w:val="00881130"/>
    <w:rsid w:val="00882F72"/>
    <w:rsid w:val="00887542"/>
    <w:rsid w:val="008975EF"/>
    <w:rsid w:val="008A5675"/>
    <w:rsid w:val="008B026C"/>
    <w:rsid w:val="008C150B"/>
    <w:rsid w:val="008C349F"/>
    <w:rsid w:val="008D3E26"/>
    <w:rsid w:val="008D4517"/>
    <w:rsid w:val="008E041A"/>
    <w:rsid w:val="008E3DEF"/>
    <w:rsid w:val="008E5D09"/>
    <w:rsid w:val="008F7328"/>
    <w:rsid w:val="009016A5"/>
    <w:rsid w:val="00906189"/>
    <w:rsid w:val="00911602"/>
    <w:rsid w:val="00911BBA"/>
    <w:rsid w:val="00913761"/>
    <w:rsid w:val="009169D8"/>
    <w:rsid w:val="00917BAC"/>
    <w:rsid w:val="00917FF7"/>
    <w:rsid w:val="00925C3C"/>
    <w:rsid w:val="00926A68"/>
    <w:rsid w:val="00927D46"/>
    <w:rsid w:val="0093422A"/>
    <w:rsid w:val="009350C1"/>
    <w:rsid w:val="0093570A"/>
    <w:rsid w:val="00936145"/>
    <w:rsid w:val="00936395"/>
    <w:rsid w:val="00937B2B"/>
    <w:rsid w:val="009520D2"/>
    <w:rsid w:val="00952A87"/>
    <w:rsid w:val="00960216"/>
    <w:rsid w:val="00961191"/>
    <w:rsid w:val="00963570"/>
    <w:rsid w:val="009653A1"/>
    <w:rsid w:val="00970BA4"/>
    <w:rsid w:val="00971125"/>
    <w:rsid w:val="00976793"/>
    <w:rsid w:val="00982D67"/>
    <w:rsid w:val="0099216E"/>
    <w:rsid w:val="00992D14"/>
    <w:rsid w:val="00994490"/>
    <w:rsid w:val="009B1249"/>
    <w:rsid w:val="009B1AD9"/>
    <w:rsid w:val="009B2B00"/>
    <w:rsid w:val="009B6735"/>
    <w:rsid w:val="009C1919"/>
    <w:rsid w:val="009D5574"/>
    <w:rsid w:val="009D6402"/>
    <w:rsid w:val="009E2945"/>
    <w:rsid w:val="009F656E"/>
    <w:rsid w:val="00A0587A"/>
    <w:rsid w:val="00A06AFF"/>
    <w:rsid w:val="00A0773F"/>
    <w:rsid w:val="00A136A1"/>
    <w:rsid w:val="00A200DB"/>
    <w:rsid w:val="00A21D9A"/>
    <w:rsid w:val="00A3632C"/>
    <w:rsid w:val="00A36363"/>
    <w:rsid w:val="00A40EAD"/>
    <w:rsid w:val="00A42908"/>
    <w:rsid w:val="00A451F0"/>
    <w:rsid w:val="00A505B9"/>
    <w:rsid w:val="00A515FE"/>
    <w:rsid w:val="00A62B60"/>
    <w:rsid w:val="00A63984"/>
    <w:rsid w:val="00A72BFD"/>
    <w:rsid w:val="00A7380F"/>
    <w:rsid w:val="00A817F5"/>
    <w:rsid w:val="00A82596"/>
    <w:rsid w:val="00A84F1E"/>
    <w:rsid w:val="00A95791"/>
    <w:rsid w:val="00A96B31"/>
    <w:rsid w:val="00A96DA4"/>
    <w:rsid w:val="00AA3408"/>
    <w:rsid w:val="00AB114F"/>
    <w:rsid w:val="00AB3FCD"/>
    <w:rsid w:val="00AB7B2F"/>
    <w:rsid w:val="00AB7EBD"/>
    <w:rsid w:val="00AC0884"/>
    <w:rsid w:val="00AC3356"/>
    <w:rsid w:val="00AC4173"/>
    <w:rsid w:val="00AC6703"/>
    <w:rsid w:val="00AD4AB8"/>
    <w:rsid w:val="00AD5AC2"/>
    <w:rsid w:val="00AD5CA5"/>
    <w:rsid w:val="00AE1E8A"/>
    <w:rsid w:val="00AE2149"/>
    <w:rsid w:val="00AE5938"/>
    <w:rsid w:val="00AF2215"/>
    <w:rsid w:val="00B023FC"/>
    <w:rsid w:val="00B04ABF"/>
    <w:rsid w:val="00B10B6B"/>
    <w:rsid w:val="00B21F63"/>
    <w:rsid w:val="00B24486"/>
    <w:rsid w:val="00B25DF3"/>
    <w:rsid w:val="00B301CF"/>
    <w:rsid w:val="00B358F1"/>
    <w:rsid w:val="00B36543"/>
    <w:rsid w:val="00B4384B"/>
    <w:rsid w:val="00B44883"/>
    <w:rsid w:val="00B50909"/>
    <w:rsid w:val="00B54856"/>
    <w:rsid w:val="00B56879"/>
    <w:rsid w:val="00B73610"/>
    <w:rsid w:val="00B74A00"/>
    <w:rsid w:val="00B7787E"/>
    <w:rsid w:val="00B808D6"/>
    <w:rsid w:val="00B83258"/>
    <w:rsid w:val="00B842D5"/>
    <w:rsid w:val="00B87A64"/>
    <w:rsid w:val="00B94257"/>
    <w:rsid w:val="00BA5D90"/>
    <w:rsid w:val="00BB1FEC"/>
    <w:rsid w:val="00BB2188"/>
    <w:rsid w:val="00BB37F8"/>
    <w:rsid w:val="00BB762A"/>
    <w:rsid w:val="00BC1B18"/>
    <w:rsid w:val="00BC38EA"/>
    <w:rsid w:val="00BC76CC"/>
    <w:rsid w:val="00BD0ABC"/>
    <w:rsid w:val="00BD5CCB"/>
    <w:rsid w:val="00BD72B0"/>
    <w:rsid w:val="00BE1F00"/>
    <w:rsid w:val="00BE382F"/>
    <w:rsid w:val="00C04DB3"/>
    <w:rsid w:val="00C07DB0"/>
    <w:rsid w:val="00C12562"/>
    <w:rsid w:val="00C13246"/>
    <w:rsid w:val="00C13371"/>
    <w:rsid w:val="00C139BE"/>
    <w:rsid w:val="00C16CCF"/>
    <w:rsid w:val="00C221CD"/>
    <w:rsid w:val="00C271F7"/>
    <w:rsid w:val="00C346AA"/>
    <w:rsid w:val="00C37999"/>
    <w:rsid w:val="00C4036B"/>
    <w:rsid w:val="00C40424"/>
    <w:rsid w:val="00C412E6"/>
    <w:rsid w:val="00C445FA"/>
    <w:rsid w:val="00C50AEF"/>
    <w:rsid w:val="00C56635"/>
    <w:rsid w:val="00C56A0F"/>
    <w:rsid w:val="00C57412"/>
    <w:rsid w:val="00C64472"/>
    <w:rsid w:val="00C72E44"/>
    <w:rsid w:val="00C75006"/>
    <w:rsid w:val="00C7523B"/>
    <w:rsid w:val="00C81277"/>
    <w:rsid w:val="00C83DE0"/>
    <w:rsid w:val="00C9106D"/>
    <w:rsid w:val="00C943D4"/>
    <w:rsid w:val="00C94419"/>
    <w:rsid w:val="00C97AAD"/>
    <w:rsid w:val="00CA2FE1"/>
    <w:rsid w:val="00CA3CF7"/>
    <w:rsid w:val="00CA5322"/>
    <w:rsid w:val="00CB10BD"/>
    <w:rsid w:val="00CB7793"/>
    <w:rsid w:val="00CB7EED"/>
    <w:rsid w:val="00CC2693"/>
    <w:rsid w:val="00CC472C"/>
    <w:rsid w:val="00CD4437"/>
    <w:rsid w:val="00CD77DA"/>
    <w:rsid w:val="00CE03AC"/>
    <w:rsid w:val="00CE3582"/>
    <w:rsid w:val="00CE41EF"/>
    <w:rsid w:val="00CE569B"/>
    <w:rsid w:val="00CF2652"/>
    <w:rsid w:val="00CF4BCC"/>
    <w:rsid w:val="00CF5A80"/>
    <w:rsid w:val="00D00AAD"/>
    <w:rsid w:val="00D045B4"/>
    <w:rsid w:val="00D102D9"/>
    <w:rsid w:val="00D22EE3"/>
    <w:rsid w:val="00D272C8"/>
    <w:rsid w:val="00D327A1"/>
    <w:rsid w:val="00D327ED"/>
    <w:rsid w:val="00D354DE"/>
    <w:rsid w:val="00D411F3"/>
    <w:rsid w:val="00D4781F"/>
    <w:rsid w:val="00D538F9"/>
    <w:rsid w:val="00D548EB"/>
    <w:rsid w:val="00D5533E"/>
    <w:rsid w:val="00D55684"/>
    <w:rsid w:val="00D557B1"/>
    <w:rsid w:val="00D56881"/>
    <w:rsid w:val="00D57CB6"/>
    <w:rsid w:val="00D7466E"/>
    <w:rsid w:val="00D77D28"/>
    <w:rsid w:val="00D8144B"/>
    <w:rsid w:val="00D90CF6"/>
    <w:rsid w:val="00D925DC"/>
    <w:rsid w:val="00D94CF1"/>
    <w:rsid w:val="00D95024"/>
    <w:rsid w:val="00D952AA"/>
    <w:rsid w:val="00D95964"/>
    <w:rsid w:val="00D974CC"/>
    <w:rsid w:val="00D97541"/>
    <w:rsid w:val="00DA1622"/>
    <w:rsid w:val="00DA256B"/>
    <w:rsid w:val="00DA416C"/>
    <w:rsid w:val="00DA5E60"/>
    <w:rsid w:val="00DA6B96"/>
    <w:rsid w:val="00DA779F"/>
    <w:rsid w:val="00DB1B66"/>
    <w:rsid w:val="00DB5720"/>
    <w:rsid w:val="00DC0926"/>
    <w:rsid w:val="00DC3598"/>
    <w:rsid w:val="00DC56E6"/>
    <w:rsid w:val="00DC5A96"/>
    <w:rsid w:val="00DD12D0"/>
    <w:rsid w:val="00DE3187"/>
    <w:rsid w:val="00DE470C"/>
    <w:rsid w:val="00DE48A5"/>
    <w:rsid w:val="00DE5386"/>
    <w:rsid w:val="00DE5538"/>
    <w:rsid w:val="00DF48FF"/>
    <w:rsid w:val="00DF4A11"/>
    <w:rsid w:val="00E0377C"/>
    <w:rsid w:val="00E06A2B"/>
    <w:rsid w:val="00E07F66"/>
    <w:rsid w:val="00E17CDB"/>
    <w:rsid w:val="00E22821"/>
    <w:rsid w:val="00E23452"/>
    <w:rsid w:val="00E25D80"/>
    <w:rsid w:val="00E32B90"/>
    <w:rsid w:val="00E32FEA"/>
    <w:rsid w:val="00E339E6"/>
    <w:rsid w:val="00E34464"/>
    <w:rsid w:val="00E42AF1"/>
    <w:rsid w:val="00E4594C"/>
    <w:rsid w:val="00E50AE1"/>
    <w:rsid w:val="00E51C16"/>
    <w:rsid w:val="00E56C2B"/>
    <w:rsid w:val="00E67212"/>
    <w:rsid w:val="00E714AF"/>
    <w:rsid w:val="00E71671"/>
    <w:rsid w:val="00E76DD6"/>
    <w:rsid w:val="00E81D0D"/>
    <w:rsid w:val="00E877E4"/>
    <w:rsid w:val="00E901C3"/>
    <w:rsid w:val="00E90C13"/>
    <w:rsid w:val="00E93171"/>
    <w:rsid w:val="00EA0358"/>
    <w:rsid w:val="00EA3542"/>
    <w:rsid w:val="00EB3FD0"/>
    <w:rsid w:val="00EB41E5"/>
    <w:rsid w:val="00EB65A7"/>
    <w:rsid w:val="00EC0052"/>
    <w:rsid w:val="00EC4175"/>
    <w:rsid w:val="00ED64F2"/>
    <w:rsid w:val="00EE7360"/>
    <w:rsid w:val="00EF2F27"/>
    <w:rsid w:val="00EF4075"/>
    <w:rsid w:val="00EF5810"/>
    <w:rsid w:val="00F06DC9"/>
    <w:rsid w:val="00F11EF8"/>
    <w:rsid w:val="00F12639"/>
    <w:rsid w:val="00F1740A"/>
    <w:rsid w:val="00F223DD"/>
    <w:rsid w:val="00F23864"/>
    <w:rsid w:val="00F3018E"/>
    <w:rsid w:val="00F3697A"/>
    <w:rsid w:val="00F36C28"/>
    <w:rsid w:val="00F40AFB"/>
    <w:rsid w:val="00F41EBD"/>
    <w:rsid w:val="00F5039E"/>
    <w:rsid w:val="00F552EF"/>
    <w:rsid w:val="00F56AAA"/>
    <w:rsid w:val="00F648B7"/>
    <w:rsid w:val="00F71213"/>
    <w:rsid w:val="00F81A6F"/>
    <w:rsid w:val="00F86C2E"/>
    <w:rsid w:val="00F96F85"/>
    <w:rsid w:val="00FA338F"/>
    <w:rsid w:val="00FA5FA9"/>
    <w:rsid w:val="00FA74FC"/>
    <w:rsid w:val="00FB0DF8"/>
    <w:rsid w:val="00FB22F1"/>
    <w:rsid w:val="00FB3677"/>
    <w:rsid w:val="00FC0017"/>
    <w:rsid w:val="00FC1D4E"/>
    <w:rsid w:val="00FC4E00"/>
    <w:rsid w:val="00FD162D"/>
    <w:rsid w:val="00FD6B9F"/>
    <w:rsid w:val="00FE1584"/>
    <w:rsid w:val="00FE19EC"/>
    <w:rsid w:val="00FE3EEF"/>
    <w:rsid w:val="00FE5727"/>
    <w:rsid w:val="00FF259C"/>
    <w:rsid w:val="00FF4E36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6E749"/>
  <w15:docId w15:val="{CA48066D-92A2-40CF-A49C-9D27FBCB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7360"/>
    <w:rPr>
      <w:color w:val="0000FF"/>
      <w:u w:val="single"/>
    </w:rPr>
  </w:style>
  <w:style w:type="character" w:styleId="FollowedHyperlink">
    <w:name w:val="FollowedHyperlink"/>
    <w:rsid w:val="00EE7360"/>
    <w:rPr>
      <w:color w:val="FF0080"/>
      <w:u w:val="single"/>
    </w:rPr>
  </w:style>
  <w:style w:type="paragraph" w:styleId="BalloonText">
    <w:name w:val="Balloon Text"/>
    <w:basedOn w:val="Normal"/>
    <w:semiHidden/>
    <w:rsid w:val="00EE7360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2348E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32FE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D54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48EB"/>
    <w:rPr>
      <w:sz w:val="24"/>
      <w:szCs w:val="24"/>
    </w:rPr>
  </w:style>
  <w:style w:type="paragraph" w:styleId="Footer">
    <w:name w:val="footer"/>
    <w:basedOn w:val="Normal"/>
    <w:link w:val="FooterChar"/>
    <w:rsid w:val="00D54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48EB"/>
    <w:rPr>
      <w:sz w:val="24"/>
      <w:szCs w:val="24"/>
    </w:rPr>
  </w:style>
  <w:style w:type="paragraph" w:customStyle="1" w:styleId="Default">
    <w:name w:val="Default"/>
    <w:rsid w:val="00F223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223D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5D0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D54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4F2"/>
  </w:style>
  <w:style w:type="character" w:styleId="FootnoteReference">
    <w:name w:val="footnote reference"/>
    <w:basedOn w:val="DefaultParagraphFont"/>
    <w:semiHidden/>
    <w:unhideWhenUsed/>
    <w:rsid w:val="007D54F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D54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D00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0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00C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zyurtk@dor.state.ma.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comptroller.org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alegislature.gov/Budget/FinalBudget" TargetMode="External"/><Relationship Id="rId1" Type="http://schemas.openxmlformats.org/officeDocument/2006/relationships/hyperlink" Target="https://malegislature.gov/Budget/FinalBud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320D-12A1-4A67-B463-1A4F9E22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8, 2008</vt:lpstr>
    </vt:vector>
  </TitlesOfParts>
  <Company>Commonwealth of MA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FY26Period 2SurtaxCertification</dc:title>
  <dc:creator>MA Dept of Revenue</dc:creator>
  <cp:lastModifiedBy>MADOR</cp:lastModifiedBy>
  <cp:revision>14</cp:revision>
  <cp:lastPrinted>2026-02-19T17:49:00Z</cp:lastPrinted>
  <dcterms:created xsi:type="dcterms:W3CDTF">2024-10-21T17:08:00Z</dcterms:created>
  <dcterms:modified xsi:type="dcterms:W3CDTF">2026-02-19T17:50:00Z</dcterms:modified>
</cp:coreProperties>
</file>