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069A" w14:textId="77777777" w:rsidR="00352B06" w:rsidRDefault="00000000">
      <w:pPr>
        <w:tabs>
          <w:tab w:val="left" w:pos="1675"/>
        </w:tabs>
        <w:spacing w:before="90"/>
        <w:ind w:left="146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pacing w:val="-2"/>
          <w:sz w:val="15"/>
          <w:u w:val="single" w:color="0000FF"/>
        </w:rPr>
        <w:t>Gabriel</w:t>
      </w:r>
      <w:r>
        <w:rPr>
          <w:rFonts w:ascii="Tahoma"/>
          <w:color w:val="0000FF"/>
          <w:sz w:val="15"/>
          <w:u w:val="single" w:color="0000FF"/>
        </w:rPr>
        <w:t xml:space="preserve"> </w:t>
      </w:r>
      <w:r>
        <w:rPr>
          <w:rFonts w:ascii="Tahoma"/>
          <w:color w:val="0000FF"/>
          <w:spacing w:val="-2"/>
          <w:sz w:val="15"/>
          <w:u w:val="single" w:color="0000FF"/>
        </w:rPr>
        <w:t>Alvarez</w:t>
      </w:r>
    </w:p>
    <w:p w14:paraId="3AD8069B" w14:textId="77777777" w:rsidR="00352B06" w:rsidRDefault="00000000">
      <w:pPr>
        <w:tabs>
          <w:tab w:val="left" w:pos="1675"/>
        </w:tabs>
        <w:spacing w:before="27"/>
        <w:ind w:left="146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pacing w:val="-2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5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Reg</w:t>
        </w:r>
        <w:r>
          <w:rPr>
            <w:rFonts w:ascii="Tahoma"/>
            <w:color w:val="0000FF"/>
            <w:spacing w:val="4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pacing w:val="-4"/>
            <w:sz w:val="15"/>
            <w:u w:val="single" w:color="0000FF"/>
          </w:rPr>
          <w:t>(DPH)</w:t>
        </w:r>
      </w:hyperlink>
    </w:p>
    <w:p w14:paraId="3AD8069C" w14:textId="77777777" w:rsidR="00352B06" w:rsidRDefault="00000000">
      <w:pPr>
        <w:tabs>
          <w:tab w:val="left" w:pos="1675"/>
        </w:tabs>
        <w:spacing w:before="31"/>
        <w:ind w:left="146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pacing w:val="-4"/>
          <w:sz w:val="15"/>
        </w:rPr>
        <w:t>Tech</w:t>
      </w:r>
    </w:p>
    <w:p w14:paraId="3AD8069D" w14:textId="77777777" w:rsidR="00352B06" w:rsidRDefault="00000000">
      <w:pPr>
        <w:tabs>
          <w:tab w:val="left" w:pos="1675"/>
        </w:tabs>
        <w:spacing w:before="27"/>
        <w:ind w:left="146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Monday,</w:t>
      </w:r>
      <w:r>
        <w:rPr>
          <w:rFonts w:ascii="Tahoma"/>
          <w:spacing w:val="-12"/>
          <w:sz w:val="15"/>
        </w:rPr>
        <w:t xml:space="preserve"> </w:t>
      </w:r>
      <w:r>
        <w:rPr>
          <w:rFonts w:ascii="Tahoma"/>
          <w:sz w:val="15"/>
        </w:rPr>
        <w:t>March</w:t>
      </w:r>
      <w:r>
        <w:rPr>
          <w:rFonts w:ascii="Tahoma"/>
          <w:spacing w:val="-9"/>
          <w:sz w:val="15"/>
        </w:rPr>
        <w:t xml:space="preserve"> </w:t>
      </w:r>
      <w:r>
        <w:rPr>
          <w:rFonts w:ascii="Tahoma"/>
          <w:sz w:val="15"/>
        </w:rPr>
        <w:t>24,</w:t>
      </w:r>
      <w:r>
        <w:rPr>
          <w:rFonts w:ascii="Tahoma"/>
          <w:spacing w:val="-11"/>
          <w:sz w:val="15"/>
        </w:rPr>
        <w:t xml:space="preserve"> </w:t>
      </w:r>
      <w:r>
        <w:rPr>
          <w:rFonts w:ascii="Tahoma"/>
          <w:sz w:val="15"/>
        </w:rPr>
        <w:t>2025</w:t>
      </w:r>
      <w:r>
        <w:rPr>
          <w:rFonts w:ascii="Tahoma"/>
          <w:spacing w:val="-9"/>
          <w:sz w:val="15"/>
        </w:rPr>
        <w:t xml:space="preserve"> </w:t>
      </w:r>
      <w:r>
        <w:rPr>
          <w:rFonts w:ascii="Tahoma"/>
          <w:sz w:val="15"/>
        </w:rPr>
        <w:t>1:35:18</w:t>
      </w:r>
      <w:r>
        <w:rPr>
          <w:rFonts w:ascii="Tahoma"/>
          <w:spacing w:val="-8"/>
          <w:sz w:val="15"/>
        </w:rPr>
        <w:t xml:space="preserve"> </w:t>
      </w:r>
      <w:r>
        <w:rPr>
          <w:rFonts w:ascii="Tahoma"/>
          <w:spacing w:val="-5"/>
          <w:sz w:val="15"/>
        </w:rPr>
        <w:t>PM</w:t>
      </w:r>
    </w:p>
    <w:p w14:paraId="3AD8069E" w14:textId="77777777" w:rsidR="00352B06" w:rsidRDefault="00000000">
      <w:pPr>
        <w:pStyle w:val="BodyText"/>
        <w:spacing w:before="4"/>
        <w:ind w:left="0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D806B1" wp14:editId="3AD806B2">
                <wp:simplePos x="0" y="0"/>
                <wp:positionH relativeFrom="page">
                  <wp:posOffset>990600</wp:posOffset>
                </wp:positionH>
                <wp:positionV relativeFrom="paragraph">
                  <wp:posOffset>94474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4B05B" id="Graphic 1" o:spid="_x0000_s1026" style="position:absolute;margin-left:78pt;margin-top:7.4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L0Ez9XcAAAACgEAAA8AAAAAAAAAAAAAAAAAdAQAAGRycy9kb3ducmV2LnhtbFBLBQYA&#10;AAAABAAEAPMAAAB9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D806B3" wp14:editId="3AD806B4">
                <wp:simplePos x="0" y="0"/>
                <wp:positionH relativeFrom="page">
                  <wp:posOffset>990600</wp:posOffset>
                </wp:positionH>
                <wp:positionV relativeFrom="paragraph">
                  <wp:posOffset>208776</wp:posOffset>
                </wp:positionV>
                <wp:extent cx="5791200" cy="6000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EF4F"/>
                        </a:solidFill>
                      </wps:spPr>
                      <wps:txbx>
                        <w:txbxContent>
                          <w:p w14:paraId="3AD806B5" w14:textId="77777777" w:rsidR="00352B06" w:rsidRDefault="00000000">
                            <w:pPr>
                              <w:spacing w:before="49" w:line="247" w:lineRule="auto"/>
                              <w:ind w:left="45" w:right="447"/>
                              <w:rPr>
                                <w:rFonts w:asci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z w:val="24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806B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8pt;margin-top:16.45pt;width:456pt;height:47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" fillcolor="#f7ef4f" stroked="f">
                <v:textbox inset="0,0,0,0">
                  <w:txbxContent>
                    <w:p w14:paraId="3AD806B5" w14:textId="77777777" w:rsidR="00352B06" w:rsidRDefault="00000000">
                      <w:pPr>
                        <w:spacing w:before="49" w:line="247" w:lineRule="auto"/>
                        <w:ind w:left="45" w:right="447"/>
                        <w:rPr>
                          <w:rFonts w:asci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color w:val="000000"/>
                          <w:sz w:val="24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z w:val="24"/>
                        </w:rPr>
                        <w:t>you recognize the sender and know the content is safe.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8069F" w14:textId="77777777" w:rsidR="00352B06" w:rsidRDefault="00352B06">
      <w:pPr>
        <w:pStyle w:val="BodyText"/>
        <w:spacing w:before="5"/>
        <w:ind w:left="0"/>
        <w:rPr>
          <w:rFonts w:ascii="Tahoma"/>
          <w:sz w:val="10"/>
        </w:rPr>
      </w:pPr>
    </w:p>
    <w:p w14:paraId="3AD806A0" w14:textId="77777777" w:rsidR="00352B06" w:rsidRDefault="00000000">
      <w:pPr>
        <w:pStyle w:val="BodyText"/>
        <w:spacing w:before="31"/>
      </w:pPr>
      <w:r>
        <w:t>Dear</w:t>
      </w:r>
      <w:r>
        <w:rPr>
          <w:spacing w:val="-9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MSRT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rPr>
          <w:spacing w:val="-2"/>
        </w:rPr>
        <w:t>Authorities,</w:t>
      </w:r>
    </w:p>
    <w:p w14:paraId="3AD806A1" w14:textId="77777777" w:rsidR="00352B06" w:rsidRDefault="00352B06">
      <w:pPr>
        <w:pStyle w:val="BodyText"/>
        <w:spacing w:before="245"/>
        <w:ind w:left="0"/>
      </w:pPr>
    </w:p>
    <w:p w14:paraId="3AD806A2" w14:textId="77777777" w:rsidR="00352B06" w:rsidRDefault="00000000">
      <w:pPr>
        <w:pStyle w:val="BodyText"/>
        <w:spacing w:before="1" w:line="249" w:lineRule="auto"/>
        <w:ind w:left="119" w:right="100"/>
      </w:pPr>
      <w:r>
        <w:t>I</w:t>
      </w:r>
      <w:r>
        <w:rPr>
          <w:spacing w:val="-1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express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opposition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scope radiography license in Massachusetts. As a registered radiologic technologist (RT), I have witnessed firsthand the complexity and precision required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perform</w:t>
      </w:r>
      <w:r>
        <w:rPr>
          <w:spacing w:val="-18"/>
        </w:rPr>
        <w:t xml:space="preserve"> </w:t>
      </w:r>
      <w:r>
        <w:t>diagnostic</w:t>
      </w:r>
      <w:r>
        <w:rPr>
          <w:spacing w:val="-13"/>
        </w:rPr>
        <w:t xml:space="preserve"> </w:t>
      </w:r>
      <w:r>
        <w:t>imaging</w:t>
      </w:r>
      <w:r>
        <w:rPr>
          <w:spacing w:val="-16"/>
        </w:rPr>
        <w:t xml:space="preserve"> </w:t>
      </w:r>
      <w:r>
        <w:t>safely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effectively.</w:t>
      </w:r>
      <w:r>
        <w:rPr>
          <w:spacing w:val="-15"/>
        </w:rPr>
        <w:t xml:space="preserve"> </w:t>
      </w:r>
      <w:r>
        <w:t>Reducing</w:t>
      </w:r>
      <w:r>
        <w:rPr>
          <w:spacing w:val="-13"/>
        </w:rPr>
        <w:t xml:space="preserve"> </w:t>
      </w:r>
      <w:r>
        <w:t>the level of education and training required for individuals operating X-ray equipment poses significant risks to patient care and the overall quality of diagnostic imaging.</w:t>
      </w:r>
    </w:p>
    <w:p w14:paraId="3AD806A3" w14:textId="77777777" w:rsidR="00352B06" w:rsidRDefault="00352B06">
      <w:pPr>
        <w:pStyle w:val="BodyText"/>
        <w:spacing w:before="234"/>
        <w:ind w:left="0"/>
      </w:pPr>
    </w:p>
    <w:p w14:paraId="3AD806A4" w14:textId="77777777" w:rsidR="00352B06" w:rsidRDefault="00000000">
      <w:pPr>
        <w:pStyle w:val="BodyText"/>
        <w:spacing w:before="1" w:line="249" w:lineRule="auto"/>
        <w:ind w:right="100"/>
      </w:pPr>
      <w:r>
        <w:t>Even fully trained radiologic technologists, who undergo extensive education and clinical experience, can make errors. Introducing a limited scope license will only increase the potential for mispositioning, repeat exposures,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radiation</w:t>
      </w:r>
      <w:r>
        <w:rPr>
          <w:spacing w:val="-19"/>
        </w:rPr>
        <w:t xml:space="preserve"> </w:t>
      </w:r>
      <w:r>
        <w:t>overuse—ultimately</w:t>
      </w:r>
      <w:r>
        <w:rPr>
          <w:spacing w:val="-18"/>
        </w:rPr>
        <w:t xml:space="preserve"> </w:t>
      </w:r>
      <w:r>
        <w:t>compromising</w:t>
      </w:r>
      <w:r>
        <w:rPr>
          <w:spacing w:val="-19"/>
        </w:rPr>
        <w:t xml:space="preserve"> </w:t>
      </w:r>
      <w:r>
        <w:t>patient</w:t>
      </w:r>
      <w:r>
        <w:rPr>
          <w:spacing w:val="-19"/>
        </w:rPr>
        <w:t xml:space="preserve"> </w:t>
      </w:r>
      <w:r>
        <w:t>safety. Additionally, improper imaging can lead to misdiagnoses, delays in treatment, and increased healthcare costs.</w:t>
      </w:r>
    </w:p>
    <w:p w14:paraId="3AD806A5" w14:textId="77777777" w:rsidR="00352B06" w:rsidRDefault="00352B06">
      <w:pPr>
        <w:pStyle w:val="BodyText"/>
        <w:spacing w:before="235"/>
        <w:ind w:left="0"/>
      </w:pPr>
    </w:p>
    <w:p w14:paraId="3AD806A6" w14:textId="77777777" w:rsidR="00352B06" w:rsidRDefault="00000000">
      <w:pPr>
        <w:pStyle w:val="BodyText"/>
        <w:spacing w:before="1" w:line="249" w:lineRule="auto"/>
        <w:ind w:right="100"/>
      </w:pPr>
      <w:r>
        <w:t>Rather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lowering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standards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radiography,</w:t>
      </w:r>
      <w:r>
        <w:rPr>
          <w:spacing w:val="-15"/>
        </w:rPr>
        <w:t xml:space="preserve"> </w:t>
      </w:r>
      <w:r>
        <w:t>Massachusetts</w:t>
      </w:r>
      <w:r>
        <w:rPr>
          <w:spacing w:val="-16"/>
        </w:rPr>
        <w:t xml:space="preserve"> </w:t>
      </w:r>
      <w:r>
        <w:t>should focus on sustainable solutions to address staffing shortages, such as:</w:t>
      </w:r>
    </w:p>
    <w:p w14:paraId="3AD806A7" w14:textId="77777777" w:rsidR="00352B06" w:rsidRDefault="00000000">
      <w:pPr>
        <w:pStyle w:val="ListParagraph"/>
        <w:numPr>
          <w:ilvl w:val="0"/>
          <w:numId w:val="1"/>
        </w:numPr>
        <w:tabs>
          <w:tab w:val="left" w:pos="386"/>
        </w:tabs>
        <w:spacing w:before="182" w:line="249" w:lineRule="auto"/>
        <w:ind w:right="442" w:firstLine="0"/>
        <w:rPr>
          <w:sz w:val="30"/>
        </w:rPr>
      </w:pPr>
      <w:r>
        <w:rPr>
          <w:sz w:val="30"/>
        </w:rPr>
        <w:t>Improving Compensation for Radiologic Technologists – Competitive wages</w:t>
      </w:r>
      <w:r>
        <w:rPr>
          <w:spacing w:val="-10"/>
          <w:sz w:val="30"/>
        </w:rPr>
        <w:t xml:space="preserve"> </w:t>
      </w:r>
      <w:r>
        <w:rPr>
          <w:sz w:val="30"/>
        </w:rPr>
        <w:t>and</w:t>
      </w:r>
      <w:r>
        <w:rPr>
          <w:spacing w:val="-10"/>
          <w:sz w:val="30"/>
        </w:rPr>
        <w:t xml:space="preserve"> </w:t>
      </w:r>
      <w:r>
        <w:rPr>
          <w:sz w:val="30"/>
        </w:rPr>
        <w:t>benefits</w:t>
      </w:r>
      <w:r>
        <w:rPr>
          <w:spacing w:val="-12"/>
          <w:sz w:val="30"/>
        </w:rPr>
        <w:t xml:space="preserve"> </w:t>
      </w:r>
      <w:r>
        <w:rPr>
          <w:sz w:val="30"/>
        </w:rPr>
        <w:t>will</w:t>
      </w:r>
      <w:r>
        <w:rPr>
          <w:spacing w:val="-11"/>
          <w:sz w:val="30"/>
        </w:rPr>
        <w:t xml:space="preserve"> </w:t>
      </w:r>
      <w:r>
        <w:rPr>
          <w:sz w:val="30"/>
        </w:rPr>
        <w:t>attract</w:t>
      </w:r>
      <w:r>
        <w:rPr>
          <w:spacing w:val="-11"/>
          <w:sz w:val="30"/>
        </w:rPr>
        <w:t xml:space="preserve"> </w:t>
      </w:r>
      <w:r>
        <w:rPr>
          <w:sz w:val="30"/>
        </w:rPr>
        <w:t>more</w:t>
      </w:r>
      <w:r>
        <w:rPr>
          <w:spacing w:val="-10"/>
          <w:sz w:val="30"/>
        </w:rPr>
        <w:t xml:space="preserve"> </w:t>
      </w:r>
      <w:r>
        <w:rPr>
          <w:sz w:val="30"/>
        </w:rPr>
        <w:t>individuals</w:t>
      </w:r>
      <w:r>
        <w:rPr>
          <w:spacing w:val="-12"/>
          <w:sz w:val="30"/>
        </w:rPr>
        <w:t xml:space="preserve"> </w:t>
      </w:r>
      <w:r>
        <w:rPr>
          <w:sz w:val="30"/>
        </w:rPr>
        <w:t>to</w:t>
      </w:r>
      <w:r>
        <w:rPr>
          <w:spacing w:val="-11"/>
          <w:sz w:val="30"/>
        </w:rPr>
        <w:t xml:space="preserve"> </w:t>
      </w:r>
      <w:r>
        <w:rPr>
          <w:sz w:val="30"/>
        </w:rPr>
        <w:t>enter</w:t>
      </w:r>
      <w:r>
        <w:rPr>
          <w:spacing w:val="-12"/>
          <w:sz w:val="30"/>
        </w:rPr>
        <w:t xml:space="preserve"> </w:t>
      </w:r>
      <w:r>
        <w:rPr>
          <w:sz w:val="30"/>
        </w:rPr>
        <w:t>and</w:t>
      </w:r>
      <w:r>
        <w:rPr>
          <w:spacing w:val="-11"/>
          <w:sz w:val="30"/>
        </w:rPr>
        <w:t xml:space="preserve"> </w:t>
      </w:r>
      <w:r>
        <w:rPr>
          <w:sz w:val="30"/>
        </w:rPr>
        <w:t>remain</w:t>
      </w:r>
      <w:r>
        <w:rPr>
          <w:spacing w:val="-8"/>
          <w:sz w:val="30"/>
        </w:rPr>
        <w:t xml:space="preserve"> </w:t>
      </w:r>
      <w:r>
        <w:rPr>
          <w:sz w:val="30"/>
        </w:rPr>
        <w:t>in</w:t>
      </w:r>
      <w:r>
        <w:rPr>
          <w:spacing w:val="-8"/>
          <w:sz w:val="30"/>
        </w:rPr>
        <w:t xml:space="preserve"> </w:t>
      </w:r>
      <w:r>
        <w:rPr>
          <w:sz w:val="30"/>
        </w:rPr>
        <w:t xml:space="preserve">the </w:t>
      </w:r>
      <w:r>
        <w:rPr>
          <w:spacing w:val="-2"/>
          <w:sz w:val="30"/>
        </w:rPr>
        <w:t>profession.</w:t>
      </w:r>
    </w:p>
    <w:p w14:paraId="3AD806A8" w14:textId="77777777" w:rsidR="00352B06" w:rsidRDefault="00000000">
      <w:pPr>
        <w:pStyle w:val="ListParagraph"/>
        <w:numPr>
          <w:ilvl w:val="0"/>
          <w:numId w:val="1"/>
        </w:numPr>
        <w:tabs>
          <w:tab w:val="left" w:pos="386"/>
        </w:tabs>
        <w:spacing w:line="249" w:lineRule="auto"/>
        <w:ind w:right="523" w:firstLine="0"/>
        <w:jc w:val="both"/>
        <w:rPr>
          <w:sz w:val="30"/>
        </w:rPr>
      </w:pPr>
      <w:r>
        <w:rPr>
          <w:sz w:val="30"/>
        </w:rPr>
        <w:t>Expanding Radiography Programs – Increasing capacity in accredited educational</w:t>
      </w:r>
      <w:r>
        <w:rPr>
          <w:spacing w:val="-4"/>
          <w:sz w:val="30"/>
        </w:rPr>
        <w:t xml:space="preserve"> </w:t>
      </w:r>
      <w:r>
        <w:rPr>
          <w:sz w:val="30"/>
        </w:rPr>
        <w:t>programs</w:t>
      </w:r>
      <w:r>
        <w:rPr>
          <w:spacing w:val="-4"/>
          <w:sz w:val="30"/>
        </w:rPr>
        <w:t xml:space="preserve"> </w:t>
      </w:r>
      <w:r>
        <w:rPr>
          <w:sz w:val="30"/>
        </w:rPr>
        <w:t>will</w:t>
      </w:r>
      <w:r>
        <w:rPr>
          <w:spacing w:val="-4"/>
          <w:sz w:val="30"/>
        </w:rPr>
        <w:t xml:space="preserve"> </w:t>
      </w:r>
      <w:r>
        <w:rPr>
          <w:sz w:val="30"/>
        </w:rPr>
        <w:t>help</w:t>
      </w:r>
      <w:r>
        <w:rPr>
          <w:spacing w:val="-4"/>
          <w:sz w:val="30"/>
        </w:rPr>
        <w:t xml:space="preserve"> </w:t>
      </w:r>
      <w:r>
        <w:rPr>
          <w:sz w:val="30"/>
        </w:rPr>
        <w:t>produce</w:t>
      </w:r>
      <w:r>
        <w:rPr>
          <w:spacing w:val="-4"/>
          <w:sz w:val="30"/>
        </w:rPr>
        <w:t xml:space="preserve"> </w:t>
      </w:r>
      <w:r>
        <w:rPr>
          <w:sz w:val="30"/>
        </w:rPr>
        <w:t>properly</w:t>
      </w:r>
      <w:r>
        <w:rPr>
          <w:spacing w:val="-4"/>
          <w:sz w:val="30"/>
        </w:rPr>
        <w:t xml:space="preserve"> </w:t>
      </w:r>
      <w:r>
        <w:rPr>
          <w:sz w:val="30"/>
        </w:rPr>
        <w:t>trained</w:t>
      </w:r>
      <w:r>
        <w:rPr>
          <w:spacing w:val="-4"/>
          <w:sz w:val="30"/>
        </w:rPr>
        <w:t xml:space="preserve"> </w:t>
      </w:r>
      <w:r>
        <w:rPr>
          <w:sz w:val="30"/>
        </w:rPr>
        <w:t>technologists</w:t>
      </w:r>
      <w:r>
        <w:rPr>
          <w:spacing w:val="-7"/>
          <w:sz w:val="30"/>
        </w:rPr>
        <w:t xml:space="preserve"> </w:t>
      </w:r>
      <w:r>
        <w:rPr>
          <w:sz w:val="30"/>
        </w:rPr>
        <w:t>to meet demand.</w:t>
      </w:r>
    </w:p>
    <w:p w14:paraId="3AD806A9" w14:textId="77777777" w:rsidR="00352B06" w:rsidRDefault="00000000">
      <w:pPr>
        <w:pStyle w:val="ListParagraph"/>
        <w:numPr>
          <w:ilvl w:val="0"/>
          <w:numId w:val="1"/>
        </w:numPr>
        <w:tabs>
          <w:tab w:val="left" w:pos="386"/>
        </w:tabs>
        <w:spacing w:line="249" w:lineRule="auto"/>
        <w:ind w:firstLine="0"/>
        <w:rPr>
          <w:sz w:val="30"/>
        </w:rPr>
      </w:pPr>
      <w:r>
        <w:rPr>
          <w:sz w:val="30"/>
        </w:rPr>
        <w:t>Enhancing Clinical Site Availability – Strengthening partnerships between hospitals, clinics, and educational institutions can help students gain</w:t>
      </w:r>
      <w:r>
        <w:rPr>
          <w:spacing w:val="-10"/>
          <w:sz w:val="30"/>
        </w:rPr>
        <w:t xml:space="preserve"> </w:t>
      </w:r>
      <w:r>
        <w:rPr>
          <w:sz w:val="30"/>
        </w:rPr>
        <w:t>the</w:t>
      </w:r>
      <w:r>
        <w:rPr>
          <w:spacing w:val="-10"/>
          <w:sz w:val="30"/>
        </w:rPr>
        <w:t xml:space="preserve"> </w:t>
      </w:r>
      <w:r>
        <w:rPr>
          <w:sz w:val="30"/>
        </w:rPr>
        <w:t>hands-on</w:t>
      </w:r>
      <w:r>
        <w:rPr>
          <w:spacing w:val="-10"/>
          <w:sz w:val="30"/>
        </w:rPr>
        <w:t xml:space="preserve"> </w:t>
      </w:r>
      <w:r>
        <w:rPr>
          <w:sz w:val="30"/>
        </w:rPr>
        <w:t>experience</w:t>
      </w:r>
      <w:r>
        <w:rPr>
          <w:spacing w:val="-10"/>
          <w:sz w:val="30"/>
        </w:rPr>
        <w:t xml:space="preserve"> </w:t>
      </w:r>
      <w:r>
        <w:rPr>
          <w:sz w:val="30"/>
        </w:rPr>
        <w:t>needed</w:t>
      </w:r>
      <w:r>
        <w:rPr>
          <w:spacing w:val="-10"/>
          <w:sz w:val="30"/>
        </w:rPr>
        <w:t xml:space="preserve"> </w:t>
      </w:r>
      <w:r>
        <w:rPr>
          <w:sz w:val="30"/>
        </w:rPr>
        <w:t>to</w:t>
      </w:r>
      <w:r>
        <w:rPr>
          <w:spacing w:val="-15"/>
          <w:sz w:val="30"/>
        </w:rPr>
        <w:t xml:space="preserve"> </w:t>
      </w:r>
      <w:r>
        <w:rPr>
          <w:sz w:val="30"/>
        </w:rPr>
        <w:t>enter</w:t>
      </w:r>
      <w:r>
        <w:rPr>
          <w:spacing w:val="-10"/>
          <w:sz w:val="30"/>
        </w:rPr>
        <w:t xml:space="preserve"> </w:t>
      </w:r>
      <w:r>
        <w:rPr>
          <w:sz w:val="30"/>
        </w:rPr>
        <w:t>the</w:t>
      </w:r>
      <w:r>
        <w:rPr>
          <w:spacing w:val="-10"/>
          <w:sz w:val="30"/>
        </w:rPr>
        <w:t xml:space="preserve"> </w:t>
      </w:r>
      <w:r>
        <w:rPr>
          <w:sz w:val="30"/>
        </w:rPr>
        <w:t>workforce</w:t>
      </w:r>
      <w:r>
        <w:rPr>
          <w:spacing w:val="-15"/>
          <w:sz w:val="30"/>
        </w:rPr>
        <w:t xml:space="preserve"> </w:t>
      </w:r>
      <w:r>
        <w:rPr>
          <w:sz w:val="30"/>
        </w:rPr>
        <w:t>fully</w:t>
      </w:r>
      <w:r>
        <w:rPr>
          <w:spacing w:val="-10"/>
          <w:sz w:val="30"/>
        </w:rPr>
        <w:t xml:space="preserve"> </w:t>
      </w:r>
      <w:r>
        <w:rPr>
          <w:sz w:val="30"/>
        </w:rPr>
        <w:t>prepared.</w:t>
      </w:r>
    </w:p>
    <w:p w14:paraId="3AD806AA" w14:textId="77777777" w:rsidR="00352B06" w:rsidRDefault="00352B06">
      <w:pPr>
        <w:spacing w:line="249" w:lineRule="auto"/>
        <w:rPr>
          <w:sz w:val="30"/>
        </w:rPr>
        <w:sectPr w:rsidR="00352B06">
          <w:type w:val="continuous"/>
          <w:pgSz w:w="12240" w:h="15840"/>
          <w:pgMar w:top="1140" w:right="1420" w:bottom="280" w:left="1440" w:header="720" w:footer="720" w:gutter="0"/>
          <w:cols w:space="720"/>
        </w:sectPr>
      </w:pPr>
    </w:p>
    <w:p w14:paraId="3AD806AB" w14:textId="77777777" w:rsidR="00352B06" w:rsidRDefault="00000000">
      <w:pPr>
        <w:pStyle w:val="BodyText"/>
        <w:spacing w:before="65" w:line="249" w:lineRule="auto"/>
      </w:pPr>
      <w:r>
        <w:lastRenderedPageBreak/>
        <w:t>Compromising patient safety is not the solution to addressing workforce shortages. I urge the MSRT and regulatory bodies to consider alternative strategies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preserve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integrity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profession</w:t>
      </w:r>
      <w:r>
        <w:rPr>
          <w:spacing w:val="-11"/>
        </w:rPr>
        <w:t xml:space="preserve"> </w:t>
      </w:r>
      <w:r>
        <w:t>while</w:t>
      </w:r>
      <w:r>
        <w:rPr>
          <w:spacing w:val="-13"/>
        </w:rPr>
        <w:t xml:space="preserve"> </w:t>
      </w:r>
      <w:r>
        <w:t>ensuring</w:t>
      </w:r>
      <w:r>
        <w:rPr>
          <w:spacing w:val="-13"/>
        </w:rPr>
        <w:t xml:space="preserve"> </w:t>
      </w:r>
      <w:r>
        <w:t>high- quality care for patients in Massachusetts.</w:t>
      </w:r>
    </w:p>
    <w:p w14:paraId="3AD806AC" w14:textId="77777777" w:rsidR="00352B06" w:rsidRDefault="00352B06">
      <w:pPr>
        <w:pStyle w:val="BodyText"/>
        <w:spacing w:before="241"/>
        <w:ind w:left="0"/>
      </w:pPr>
    </w:p>
    <w:p w14:paraId="3AD806AD" w14:textId="77777777" w:rsidR="00352B06" w:rsidRDefault="00000000">
      <w:pPr>
        <w:pStyle w:val="BodyText"/>
        <w:spacing w:line="249" w:lineRule="auto"/>
        <w:ind w:right="325"/>
        <w:jc w:val="both"/>
      </w:pPr>
      <w:r>
        <w:t>Thank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consideration.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appreciate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commitment to maintaining</w:t>
      </w:r>
      <w:r>
        <w:rPr>
          <w:spacing w:val="-1"/>
        </w:rPr>
        <w:t xml:space="preserve"> </w:t>
      </w:r>
      <w:r>
        <w:t>the standards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radiologic technology,</w:t>
      </w:r>
      <w:r>
        <w:rPr>
          <w:spacing w:val="-2"/>
        </w:rPr>
        <w:t xml:space="preserve"> </w:t>
      </w:r>
      <w:r>
        <w:t>and I</w:t>
      </w:r>
      <w:r>
        <w:rPr>
          <w:spacing w:val="-6"/>
        </w:rPr>
        <w:t xml:space="preserve"> </w:t>
      </w:r>
      <w:r>
        <w:t>hope</w:t>
      </w:r>
      <w:r>
        <w:rPr>
          <w:spacing w:val="-1"/>
        </w:rPr>
        <w:t xml:space="preserve"> </w:t>
      </w:r>
      <w:r>
        <w:t>you will oppose the implementation of a limited scope radiography license.</w:t>
      </w:r>
    </w:p>
    <w:p w14:paraId="3AD806AE" w14:textId="77777777" w:rsidR="00352B06" w:rsidRDefault="00352B06">
      <w:pPr>
        <w:pStyle w:val="BodyText"/>
        <w:spacing w:before="237"/>
        <w:ind w:left="0"/>
      </w:pPr>
    </w:p>
    <w:p w14:paraId="3AD806AF" w14:textId="77777777" w:rsidR="00352B06" w:rsidRDefault="00000000">
      <w:pPr>
        <w:pStyle w:val="BodyText"/>
        <w:spacing w:line="376" w:lineRule="auto"/>
        <w:ind w:right="7198"/>
      </w:pPr>
      <w:r>
        <w:rPr>
          <w:spacing w:val="-2"/>
        </w:rPr>
        <w:t>Sincerely, Gabriel</w:t>
      </w:r>
      <w:r>
        <w:rPr>
          <w:spacing w:val="-22"/>
        </w:rPr>
        <w:t xml:space="preserve"> </w:t>
      </w:r>
      <w:r>
        <w:rPr>
          <w:spacing w:val="-2"/>
        </w:rPr>
        <w:t>J</w:t>
      </w:r>
      <w:r>
        <w:rPr>
          <w:spacing w:val="-22"/>
        </w:rPr>
        <w:t xml:space="preserve"> </w:t>
      </w:r>
      <w:r>
        <w:rPr>
          <w:spacing w:val="-2"/>
        </w:rPr>
        <w:t>Alvarez</w:t>
      </w:r>
    </w:p>
    <w:p w14:paraId="3AD806B0" w14:textId="77777777" w:rsidR="00352B06" w:rsidRDefault="00000000">
      <w:pPr>
        <w:pStyle w:val="BodyText"/>
        <w:spacing w:line="330" w:lineRule="exact"/>
        <w:jc w:val="both"/>
      </w:pPr>
      <w:r>
        <w:t>ARRT</w:t>
      </w:r>
      <w:r>
        <w:rPr>
          <w:spacing w:val="-4"/>
        </w:rPr>
        <w:t xml:space="preserve"> </w:t>
      </w:r>
      <w:r>
        <w:t>MART</w:t>
      </w:r>
      <w:r>
        <w:rPr>
          <w:spacing w:val="-4"/>
        </w:rPr>
        <w:t xml:space="preserve"> </w:t>
      </w:r>
      <w:r>
        <w:rPr>
          <w:spacing w:val="-2"/>
        </w:rPr>
        <w:t>RT(R)(CT)</w:t>
      </w:r>
    </w:p>
    <w:sectPr w:rsidR="00352B06">
      <w:pgSz w:w="12240" w:h="15840"/>
      <w:pgMar w:top="144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6CE"/>
    <w:multiLevelType w:val="hybridMultilevel"/>
    <w:tmpl w:val="2B14F3DA"/>
    <w:lvl w:ilvl="0" w:tplc="80363720">
      <w:start w:val="1"/>
      <w:numFmt w:val="decimal"/>
      <w:lvlText w:val="%1."/>
      <w:lvlJc w:val="left"/>
      <w:pPr>
        <w:ind w:left="12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35A46704">
      <w:numFmt w:val="bullet"/>
      <w:lvlText w:val="•"/>
      <w:lvlJc w:val="left"/>
      <w:pPr>
        <w:ind w:left="1046" w:hanging="267"/>
      </w:pPr>
      <w:rPr>
        <w:rFonts w:hint="default"/>
        <w:lang w:val="en-US" w:eastAsia="en-US" w:bidi="ar-SA"/>
      </w:rPr>
    </w:lvl>
    <w:lvl w:ilvl="2" w:tplc="9D1CEC8E">
      <w:numFmt w:val="bullet"/>
      <w:lvlText w:val="•"/>
      <w:lvlJc w:val="left"/>
      <w:pPr>
        <w:ind w:left="1972" w:hanging="267"/>
      </w:pPr>
      <w:rPr>
        <w:rFonts w:hint="default"/>
        <w:lang w:val="en-US" w:eastAsia="en-US" w:bidi="ar-SA"/>
      </w:rPr>
    </w:lvl>
    <w:lvl w:ilvl="3" w:tplc="C284B7A0">
      <w:numFmt w:val="bullet"/>
      <w:lvlText w:val="•"/>
      <w:lvlJc w:val="left"/>
      <w:pPr>
        <w:ind w:left="2898" w:hanging="267"/>
      </w:pPr>
      <w:rPr>
        <w:rFonts w:hint="default"/>
        <w:lang w:val="en-US" w:eastAsia="en-US" w:bidi="ar-SA"/>
      </w:rPr>
    </w:lvl>
    <w:lvl w:ilvl="4" w:tplc="09507DB8">
      <w:numFmt w:val="bullet"/>
      <w:lvlText w:val="•"/>
      <w:lvlJc w:val="left"/>
      <w:pPr>
        <w:ind w:left="3824" w:hanging="267"/>
      </w:pPr>
      <w:rPr>
        <w:rFonts w:hint="default"/>
        <w:lang w:val="en-US" w:eastAsia="en-US" w:bidi="ar-SA"/>
      </w:rPr>
    </w:lvl>
    <w:lvl w:ilvl="5" w:tplc="7AEC0F26">
      <w:numFmt w:val="bullet"/>
      <w:lvlText w:val="•"/>
      <w:lvlJc w:val="left"/>
      <w:pPr>
        <w:ind w:left="4750" w:hanging="267"/>
      </w:pPr>
      <w:rPr>
        <w:rFonts w:hint="default"/>
        <w:lang w:val="en-US" w:eastAsia="en-US" w:bidi="ar-SA"/>
      </w:rPr>
    </w:lvl>
    <w:lvl w:ilvl="6" w:tplc="840AFFFA">
      <w:numFmt w:val="bullet"/>
      <w:lvlText w:val="•"/>
      <w:lvlJc w:val="left"/>
      <w:pPr>
        <w:ind w:left="5676" w:hanging="267"/>
      </w:pPr>
      <w:rPr>
        <w:rFonts w:hint="default"/>
        <w:lang w:val="en-US" w:eastAsia="en-US" w:bidi="ar-SA"/>
      </w:rPr>
    </w:lvl>
    <w:lvl w:ilvl="7" w:tplc="BDCE1486">
      <w:numFmt w:val="bullet"/>
      <w:lvlText w:val="•"/>
      <w:lvlJc w:val="left"/>
      <w:pPr>
        <w:ind w:left="6602" w:hanging="267"/>
      </w:pPr>
      <w:rPr>
        <w:rFonts w:hint="default"/>
        <w:lang w:val="en-US" w:eastAsia="en-US" w:bidi="ar-SA"/>
      </w:rPr>
    </w:lvl>
    <w:lvl w:ilvl="8" w:tplc="AEB000E6">
      <w:numFmt w:val="bullet"/>
      <w:lvlText w:val="•"/>
      <w:lvlJc w:val="left"/>
      <w:pPr>
        <w:ind w:left="7528" w:hanging="267"/>
      </w:pPr>
      <w:rPr>
        <w:rFonts w:hint="default"/>
        <w:lang w:val="en-US" w:eastAsia="en-US" w:bidi="ar-SA"/>
      </w:rPr>
    </w:lvl>
  </w:abstractNum>
  <w:num w:numId="1" w16cid:durableId="113714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2B06"/>
    <w:rsid w:val="00352B06"/>
    <w:rsid w:val="004B2937"/>
    <w:rsid w:val="00A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8069A"/>
  <w15:docId w15:val="{86DBC258-CC85-4276-AAD6-2EEAEE4F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79"/>
      <w:ind w:left="120" w:right="3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2025-03-28T13:54:00Z</dcterms:created>
  <dcterms:modified xsi:type="dcterms:W3CDTF">2025-03-28T13:54:00Z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