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24" w:rsidRPr="00760224" w:rsidRDefault="00760224" w:rsidP="00760224">
      <w:pPr>
        <w:pStyle w:val="Header"/>
        <w:jc w:val="center"/>
        <w:rPr>
          <w:rFonts w:ascii="Times New Roman" w:hAnsi="Times New Roman" w:cs="Times New Roman"/>
          <w:b/>
          <w:bCs/>
          <w:sz w:val="24"/>
          <w:szCs w:val="24"/>
          <w:u w:val="single"/>
        </w:rPr>
      </w:pPr>
      <w:r w:rsidRPr="00760224">
        <w:rPr>
          <w:rFonts w:ascii="Times New Roman" w:hAnsi="Times New Roman" w:cs="Times New Roman"/>
          <w:b/>
          <w:bCs/>
          <w:sz w:val="24"/>
          <w:szCs w:val="24"/>
          <w:u w:val="single"/>
        </w:rPr>
        <w:t>THE OFFICE OF APPEALS AND DISPUTE RESOLUTION</w:t>
      </w:r>
    </w:p>
    <w:p w:rsidR="00760224" w:rsidRPr="00760224" w:rsidRDefault="00760224" w:rsidP="00760224">
      <w:pPr>
        <w:pStyle w:val="Header"/>
        <w:jc w:val="center"/>
        <w:rPr>
          <w:rFonts w:ascii="Times New Roman" w:hAnsi="Times New Roman" w:cs="Times New Roman"/>
          <w:b/>
          <w:bCs/>
          <w:sz w:val="24"/>
          <w:szCs w:val="24"/>
          <w:u w:val="single"/>
        </w:rPr>
      </w:pPr>
    </w:p>
    <w:p w:rsidR="00760224" w:rsidRPr="00760224" w:rsidRDefault="00760224" w:rsidP="00760224">
      <w:pPr>
        <w:pStyle w:val="Header"/>
        <w:rPr>
          <w:rFonts w:ascii="Times New Roman" w:hAnsi="Times New Roman" w:cs="Times New Roman"/>
          <w:sz w:val="24"/>
          <w:szCs w:val="24"/>
        </w:rPr>
      </w:pPr>
    </w:p>
    <w:p w:rsidR="00760224" w:rsidRPr="00760224" w:rsidRDefault="00760224" w:rsidP="00760224">
      <w:pPr>
        <w:pStyle w:val="Header"/>
        <w:rPr>
          <w:rFonts w:ascii="Times New Roman" w:hAnsi="Times New Roman" w:cs="Times New Roman"/>
          <w:b/>
          <w:color w:val="FF0000"/>
          <w:sz w:val="24"/>
          <w:szCs w:val="24"/>
        </w:rPr>
      </w:pPr>
      <w:r w:rsidRPr="00760224">
        <w:rPr>
          <w:rFonts w:ascii="Times New Roman" w:hAnsi="Times New Roman" w:cs="Times New Roman"/>
          <w:sz w:val="24"/>
          <w:szCs w:val="24"/>
        </w:rPr>
        <w:tab/>
      </w:r>
      <w:r w:rsidRPr="00760224">
        <w:rPr>
          <w:rFonts w:ascii="Times New Roman" w:hAnsi="Times New Roman" w:cs="Times New Roman"/>
          <w:sz w:val="24"/>
          <w:szCs w:val="24"/>
        </w:rPr>
        <w:tab/>
      </w:r>
      <w:r w:rsidRPr="00760224">
        <w:rPr>
          <w:rFonts w:ascii="Times New Roman" w:hAnsi="Times New Roman" w:cs="Times New Roman"/>
          <w:sz w:val="24"/>
          <w:szCs w:val="24"/>
        </w:rPr>
        <w:tab/>
      </w:r>
      <w:r w:rsidRPr="00760224">
        <w:rPr>
          <w:rFonts w:ascii="Times New Roman" w:hAnsi="Times New Roman" w:cs="Times New Roman"/>
          <w:sz w:val="24"/>
          <w:szCs w:val="24"/>
        </w:rPr>
        <w:tab/>
      </w:r>
      <w:r w:rsidRPr="00760224">
        <w:rPr>
          <w:rFonts w:ascii="Times New Roman" w:hAnsi="Times New Roman" w:cs="Times New Roman"/>
          <w:sz w:val="24"/>
          <w:szCs w:val="24"/>
        </w:rPr>
        <w:tab/>
      </w:r>
      <w:r w:rsidRPr="00760224">
        <w:rPr>
          <w:rFonts w:ascii="Times New Roman" w:hAnsi="Times New Roman" w:cs="Times New Roman"/>
          <w:sz w:val="24"/>
          <w:szCs w:val="24"/>
        </w:rPr>
        <w:tab/>
      </w:r>
      <w:r w:rsidRPr="00760224">
        <w:rPr>
          <w:rFonts w:ascii="Times New Roman" w:hAnsi="Times New Roman" w:cs="Times New Roman"/>
          <w:sz w:val="24"/>
          <w:szCs w:val="24"/>
        </w:rPr>
        <w:tab/>
      </w:r>
    </w:p>
    <w:p w:rsidR="00760224" w:rsidRPr="00760224" w:rsidRDefault="00760224" w:rsidP="00760224">
      <w:r w:rsidRPr="00760224">
        <w:tab/>
      </w:r>
      <w:r w:rsidRPr="00760224">
        <w:tab/>
      </w:r>
      <w:r w:rsidRPr="00760224">
        <w:tab/>
      </w:r>
      <w:r w:rsidRPr="00760224">
        <w:tab/>
      </w:r>
      <w:r w:rsidRPr="00760224">
        <w:tab/>
      </w:r>
      <w:r w:rsidRPr="00760224">
        <w:tab/>
      </w:r>
      <w:r w:rsidRPr="00760224">
        <w:tab/>
      </w:r>
    </w:p>
    <w:p w:rsidR="00760224" w:rsidRPr="00760224" w:rsidRDefault="00760224" w:rsidP="00760224">
      <w:r w:rsidRPr="00760224">
        <w:t>________________________</w:t>
      </w:r>
      <w:r w:rsidRPr="00760224">
        <w:tab/>
      </w:r>
      <w:r w:rsidR="00570201">
        <w:tab/>
      </w:r>
      <w:r w:rsidR="00570201">
        <w:tab/>
        <w:t>January 26, 2015</w:t>
      </w:r>
    </w:p>
    <w:p w:rsidR="00760224" w:rsidRPr="00760224" w:rsidRDefault="00760224" w:rsidP="00760224"/>
    <w:p w:rsidR="00760224" w:rsidRPr="00760224" w:rsidRDefault="00760224" w:rsidP="00760224">
      <w:r w:rsidRPr="00760224">
        <w:t>In the Matter of</w:t>
      </w:r>
      <w:r w:rsidRPr="00760224">
        <w:tab/>
      </w:r>
      <w:r w:rsidRPr="00760224">
        <w:tab/>
      </w:r>
      <w:r w:rsidRPr="00760224">
        <w:tab/>
      </w:r>
      <w:r w:rsidRPr="00760224">
        <w:tab/>
      </w:r>
      <w:r w:rsidRPr="00760224">
        <w:tab/>
      </w:r>
      <w:r w:rsidRPr="00760224">
        <w:rPr>
          <w:b/>
        </w:rPr>
        <w:t>Docket No. 2014-021</w:t>
      </w:r>
    </w:p>
    <w:p w:rsidR="00760224" w:rsidRPr="00760224" w:rsidRDefault="00760224" w:rsidP="00760224">
      <w:r w:rsidRPr="00760224">
        <w:t>Gator Swansea Partners, LLLP</w:t>
      </w:r>
      <w:r w:rsidRPr="00760224">
        <w:tab/>
      </w:r>
      <w:r w:rsidRPr="00760224">
        <w:tab/>
      </w:r>
      <w:r w:rsidRPr="00760224">
        <w:tab/>
        <w:t>DEP File No. ACOP-SE-14-1G002</w:t>
      </w:r>
    </w:p>
    <w:p w:rsidR="00760224" w:rsidRPr="00760224" w:rsidRDefault="00760224" w:rsidP="00760224">
      <w:pPr>
        <w:ind w:left="4320" w:firstLine="720"/>
      </w:pPr>
    </w:p>
    <w:p w:rsidR="00760224" w:rsidRDefault="00760224" w:rsidP="00760224">
      <w:r w:rsidRPr="00760224">
        <w:t>________________________</w:t>
      </w:r>
      <w:r w:rsidRPr="00760224">
        <w:tab/>
      </w:r>
    </w:p>
    <w:p w:rsidR="00760224" w:rsidRDefault="00760224" w:rsidP="00760224"/>
    <w:p w:rsidR="00760224" w:rsidRPr="00851595" w:rsidRDefault="00760224" w:rsidP="00760224">
      <w:pPr>
        <w:pStyle w:val="Heading1"/>
      </w:pPr>
      <w:r>
        <w:t>FINAL DECISION</w:t>
      </w:r>
    </w:p>
    <w:p w:rsidR="00760224" w:rsidRPr="00851595" w:rsidRDefault="00760224" w:rsidP="00760224"/>
    <w:p w:rsidR="00760224" w:rsidRDefault="00760224" w:rsidP="00760224">
      <w:pPr>
        <w:pStyle w:val="Title"/>
        <w:spacing w:line="480" w:lineRule="auto"/>
        <w:ind w:firstLine="720"/>
        <w:jc w:val="left"/>
        <w:rPr>
          <w:b w:val="0"/>
        </w:rPr>
      </w:pPr>
      <w:r w:rsidRPr="002A5C3A">
        <w:rPr>
          <w:b w:val="0"/>
          <w:bCs/>
        </w:rPr>
        <w:t xml:space="preserve">The Petitioner </w:t>
      </w:r>
      <w:r w:rsidRPr="003349BB">
        <w:rPr>
          <w:b w:val="0"/>
          <w:szCs w:val="22"/>
        </w:rPr>
        <w:t>Gator Swansea Partners, L</w:t>
      </w:r>
      <w:r>
        <w:rPr>
          <w:b w:val="0"/>
          <w:szCs w:val="22"/>
        </w:rPr>
        <w:t>L</w:t>
      </w:r>
      <w:r w:rsidRPr="003349BB">
        <w:rPr>
          <w:b w:val="0"/>
          <w:szCs w:val="22"/>
        </w:rPr>
        <w:t>LP</w:t>
      </w:r>
      <w:r w:rsidRPr="002A5C3A" w:rsidDel="003349BB">
        <w:rPr>
          <w:b w:val="0"/>
          <w:szCs w:val="22"/>
        </w:rPr>
        <w:t xml:space="preserve"> </w:t>
      </w:r>
      <w:r w:rsidRPr="002A5C3A">
        <w:rPr>
          <w:b w:val="0"/>
          <w:bCs/>
        </w:rPr>
        <w:t>brought this appeal challenging a Demand for Payment of $</w:t>
      </w:r>
      <w:r>
        <w:rPr>
          <w:b w:val="0"/>
          <w:bCs/>
        </w:rPr>
        <w:t>31</w:t>
      </w:r>
      <w:r w:rsidRPr="002A5C3A">
        <w:rPr>
          <w:b w:val="0"/>
          <w:bCs/>
        </w:rPr>
        <w:t xml:space="preserve">,000.00 in Stipulated Penalties (“Stipulated Penalties Demand”) </w:t>
      </w:r>
      <w:r w:rsidRPr="002A5C3A">
        <w:rPr>
          <w:b w:val="0"/>
          <w:u w:color="FF0000"/>
        </w:rPr>
        <w:t xml:space="preserve">that </w:t>
      </w:r>
      <w:r w:rsidRPr="002A5C3A">
        <w:rPr>
          <w:b w:val="0"/>
          <w:bCs/>
        </w:rPr>
        <w:t>the Southeast Regional Office of the Massachusetts Department of Environmental Protection (“</w:t>
      </w:r>
      <w:proofErr w:type="spellStart"/>
      <w:r w:rsidRPr="002A5C3A">
        <w:rPr>
          <w:b w:val="0"/>
          <w:bCs/>
        </w:rPr>
        <w:t>MassDEP</w:t>
      </w:r>
      <w:proofErr w:type="spellEnd"/>
      <w:r w:rsidRPr="002A5C3A">
        <w:rPr>
          <w:b w:val="0"/>
          <w:bCs/>
        </w:rPr>
        <w:t xml:space="preserve">” or “the Department”) issued to </w:t>
      </w:r>
      <w:r w:rsidRPr="002A5C3A">
        <w:rPr>
          <w:b w:val="0"/>
        </w:rPr>
        <w:t xml:space="preserve">the Petitioner on </w:t>
      </w:r>
      <w:r>
        <w:rPr>
          <w:b w:val="0"/>
        </w:rPr>
        <w:t xml:space="preserve">September 3, 2014.  The Department issued the Stipulated Penalties Demand as a result of the Petitioner’s alleged violations of </w:t>
      </w:r>
      <w:r w:rsidRPr="002A5C3A">
        <w:rPr>
          <w:b w:val="0"/>
        </w:rPr>
        <w:t>a</w:t>
      </w:r>
      <w:r>
        <w:rPr>
          <w:b w:val="0"/>
        </w:rPr>
        <w:t xml:space="preserve"> July 2013 </w:t>
      </w:r>
      <w:r w:rsidRPr="002A5C3A">
        <w:rPr>
          <w:b w:val="0"/>
        </w:rPr>
        <w:t>Administrative Consent Order With Penalty (“</w:t>
      </w:r>
      <w:r>
        <w:rPr>
          <w:b w:val="0"/>
        </w:rPr>
        <w:t xml:space="preserve">the July 2013 </w:t>
      </w:r>
      <w:r w:rsidRPr="002A5C3A">
        <w:rPr>
          <w:b w:val="0"/>
        </w:rPr>
        <w:t xml:space="preserve">ACOP”) that the Petitioner </w:t>
      </w:r>
      <w:r>
        <w:rPr>
          <w:b w:val="0"/>
        </w:rPr>
        <w:t xml:space="preserve">executed </w:t>
      </w:r>
      <w:r w:rsidRPr="002A5C3A">
        <w:rPr>
          <w:b w:val="0"/>
        </w:rPr>
        <w:t>with the Department to address the Petitioner’s purported violation</w:t>
      </w:r>
      <w:r>
        <w:rPr>
          <w:b w:val="0"/>
        </w:rPr>
        <w:t xml:space="preserve"> in discharging wastewater without a groundwater discharge permit from the Department </w:t>
      </w:r>
      <w:r w:rsidR="00C124E3">
        <w:rPr>
          <w:b w:val="0"/>
        </w:rPr>
        <w:t xml:space="preserve">during the course of </w:t>
      </w:r>
      <w:r>
        <w:rPr>
          <w:b w:val="0"/>
        </w:rPr>
        <w:t>owning and/or operating the Swansea Crossing Shopping Center at 207 Swansea Mall Drive in Swansea, Massachusetts (“the Site”)</w:t>
      </w:r>
      <w:r w:rsidRPr="002A5C3A">
        <w:rPr>
          <w:b w:val="0"/>
        </w:rPr>
        <w:t>.</w:t>
      </w:r>
      <w:r>
        <w:rPr>
          <w:b w:val="0"/>
        </w:rPr>
        <w:t xml:space="preserve">  The Petitioner’s discharge of the wastewater is </w:t>
      </w:r>
      <w:r>
        <w:rPr>
          <w:b w:val="0"/>
        </w:rPr>
        <w:lastRenderedPageBreak/>
        <w:t>governed by the Massachusetts Clean Water Act (“MCWA”), G.L. c. 21, §§ 26-53 and the Groundwater Discharge Regulations at 314 CMR 5.00.</w:t>
      </w:r>
    </w:p>
    <w:p w:rsidR="00760224" w:rsidRDefault="00760224" w:rsidP="00760224">
      <w:pPr>
        <w:pStyle w:val="Title"/>
        <w:spacing w:line="480" w:lineRule="auto"/>
        <w:ind w:firstLine="720"/>
        <w:jc w:val="left"/>
        <w:rPr>
          <w:b w:val="0"/>
        </w:rPr>
      </w:pPr>
      <w:r>
        <w:rPr>
          <w:b w:val="0"/>
        </w:rPr>
        <w:t xml:space="preserve">Paragraph 8.1 of the July 2013 ACOP required the Petitioner to complete construction of a wastewater treatment facility at the Site no later than July 31, 2014.  The July 2013 ACOP also required the Petitioner to pay stipulated penalties of $1,000.00 per day if it violated any of the July 2013 ACOP’s provisions.  </w:t>
      </w:r>
    </w:p>
    <w:p w:rsidR="00760224" w:rsidRPr="005038C9" w:rsidRDefault="00760224" w:rsidP="00760224">
      <w:pPr>
        <w:pStyle w:val="Title"/>
        <w:spacing w:line="480" w:lineRule="auto"/>
        <w:ind w:firstLine="720"/>
        <w:jc w:val="left"/>
        <w:rPr>
          <w:b w:val="0"/>
        </w:rPr>
      </w:pPr>
      <w:r>
        <w:rPr>
          <w:b w:val="0"/>
        </w:rPr>
        <w:t>The Petitioner failed to complete construction of a wastewater treatment facility by July 31, 2014 as required by ¶ 8.1 of the July 2013 ACOP.  As a result, on September 3, 2014, the Department issued the Petitioner a demand for payment of $31,000.00 in stipulated penalties.  The amount represented the number of days that had elapsed from July 31, 2014 to August 31, 2014 (31 days) multiplied by $1,000.00 per day in accordance with the July 2013 ACOP.  This appeal by Gator then followed.</w:t>
      </w:r>
    </w:p>
    <w:p w:rsidR="00760224" w:rsidRPr="00FA574F" w:rsidRDefault="00760224" w:rsidP="00760224">
      <w:pPr>
        <w:pStyle w:val="Title"/>
        <w:spacing w:line="480" w:lineRule="auto"/>
        <w:ind w:firstLine="720"/>
        <w:jc w:val="left"/>
        <w:rPr>
          <w:b w:val="0"/>
        </w:rPr>
      </w:pPr>
      <w:r>
        <w:rPr>
          <w:b w:val="0"/>
        </w:rPr>
        <w:t xml:space="preserve">Currently pending before me for review pursuant to </w:t>
      </w:r>
      <w:r w:rsidRPr="005C4164">
        <w:rPr>
          <w:b w:val="0"/>
        </w:rPr>
        <w:t>310 CMR 1.01(8</w:t>
      </w:r>
      <w:proofErr w:type="gramStart"/>
      <w:r w:rsidRPr="005C4164">
        <w:rPr>
          <w:b w:val="0"/>
        </w:rPr>
        <w:t>)(</w:t>
      </w:r>
      <w:proofErr w:type="gramEnd"/>
      <w:r w:rsidRPr="005C4164">
        <w:rPr>
          <w:b w:val="0"/>
        </w:rPr>
        <w:t>c), is a proposed Settlement Agreement that the Petitioner and the Depart</w:t>
      </w:r>
      <w:r w:rsidRPr="00724A0E">
        <w:rPr>
          <w:b w:val="0"/>
        </w:rPr>
        <w:t xml:space="preserve">ment </w:t>
      </w:r>
      <w:r>
        <w:rPr>
          <w:b w:val="0"/>
        </w:rPr>
        <w:t xml:space="preserve">have executed to settle the Petitioner’s appeal of the Stipulated Penalties Demand.  The </w:t>
      </w:r>
      <w:r w:rsidRPr="00724A0E">
        <w:rPr>
          <w:b w:val="0"/>
          <w:szCs w:val="24"/>
        </w:rPr>
        <w:t xml:space="preserve">Settlement Agreement </w:t>
      </w:r>
      <w:r>
        <w:rPr>
          <w:b w:val="0"/>
          <w:szCs w:val="24"/>
        </w:rPr>
        <w:t xml:space="preserve">is </w:t>
      </w:r>
      <w:r w:rsidRPr="00724A0E">
        <w:rPr>
          <w:b w:val="0"/>
          <w:szCs w:val="24"/>
        </w:rPr>
        <w:t>in the form of</w:t>
      </w:r>
      <w:r w:rsidR="00C124E3">
        <w:rPr>
          <w:b w:val="0"/>
          <w:szCs w:val="24"/>
        </w:rPr>
        <w:t>:</w:t>
      </w:r>
      <w:r w:rsidRPr="00724A0E">
        <w:rPr>
          <w:b w:val="0"/>
          <w:szCs w:val="24"/>
        </w:rPr>
        <w:t xml:space="preserve"> </w:t>
      </w:r>
      <w:r w:rsidR="00CF0491">
        <w:rPr>
          <w:b w:val="0"/>
          <w:szCs w:val="24"/>
        </w:rPr>
        <w:t xml:space="preserve">(1) </w:t>
      </w:r>
      <w:r w:rsidRPr="00724A0E">
        <w:rPr>
          <w:b w:val="0"/>
        </w:rPr>
        <w:t xml:space="preserve">an </w:t>
      </w:r>
      <w:r w:rsidRPr="00724A0E">
        <w:rPr>
          <w:b w:val="0"/>
          <w:szCs w:val="24"/>
        </w:rPr>
        <w:t>Administrative Consent Order With Penalty and Notice of Non-Compliance (“</w:t>
      </w:r>
      <w:r>
        <w:rPr>
          <w:b w:val="0"/>
          <w:szCs w:val="24"/>
        </w:rPr>
        <w:t xml:space="preserve">the October 2014 </w:t>
      </w:r>
      <w:r w:rsidRPr="00724A0E">
        <w:rPr>
          <w:b w:val="0"/>
          <w:szCs w:val="24"/>
        </w:rPr>
        <w:t>ACOP”)</w:t>
      </w:r>
      <w:r>
        <w:rPr>
          <w:b w:val="0"/>
          <w:szCs w:val="24"/>
        </w:rPr>
        <w:t xml:space="preserve"> </w:t>
      </w:r>
      <w:r w:rsidR="00CF0491">
        <w:rPr>
          <w:b w:val="0"/>
          <w:szCs w:val="24"/>
        </w:rPr>
        <w:t xml:space="preserve">and (2) Amendment to Administrative Consent Order (“the December 2014 ACOP Amendment”) </w:t>
      </w:r>
      <w:r w:rsidRPr="00724A0E">
        <w:rPr>
          <w:b w:val="0"/>
          <w:szCs w:val="24"/>
        </w:rPr>
        <w:t>that ha</w:t>
      </w:r>
      <w:r w:rsidR="00CF0491">
        <w:rPr>
          <w:b w:val="0"/>
          <w:szCs w:val="24"/>
        </w:rPr>
        <w:t xml:space="preserve">ve </w:t>
      </w:r>
      <w:r w:rsidRPr="00724A0E">
        <w:rPr>
          <w:b w:val="0"/>
          <w:szCs w:val="24"/>
        </w:rPr>
        <w:t>been executed by</w:t>
      </w:r>
      <w:r>
        <w:rPr>
          <w:b w:val="0"/>
          <w:szCs w:val="24"/>
        </w:rPr>
        <w:t>:</w:t>
      </w:r>
      <w:r w:rsidRPr="00724A0E">
        <w:rPr>
          <w:b w:val="0"/>
          <w:szCs w:val="24"/>
        </w:rPr>
        <w:t xml:space="preserve"> </w:t>
      </w:r>
      <w:r>
        <w:rPr>
          <w:b w:val="0"/>
          <w:szCs w:val="24"/>
        </w:rPr>
        <w:t xml:space="preserve">(1) James A. Goldsmith, the Petitioner’s President </w:t>
      </w:r>
      <w:r w:rsidRPr="00724A0E">
        <w:rPr>
          <w:b w:val="0"/>
          <w:szCs w:val="24"/>
        </w:rPr>
        <w:t>and</w:t>
      </w:r>
      <w:r>
        <w:rPr>
          <w:b w:val="0"/>
          <w:szCs w:val="24"/>
        </w:rPr>
        <w:t xml:space="preserve"> (2) Philip Weinberg, </w:t>
      </w:r>
      <w:r w:rsidRPr="00724A0E">
        <w:rPr>
          <w:b w:val="0"/>
          <w:szCs w:val="24"/>
        </w:rPr>
        <w:t>Regional Director of the Department’s</w:t>
      </w:r>
      <w:r>
        <w:rPr>
          <w:b w:val="0"/>
          <w:szCs w:val="24"/>
        </w:rPr>
        <w:t xml:space="preserve"> Southeast </w:t>
      </w:r>
      <w:r w:rsidRPr="00724A0E">
        <w:rPr>
          <w:b w:val="0"/>
          <w:szCs w:val="24"/>
        </w:rPr>
        <w:t>Regional Office.</w:t>
      </w:r>
      <w:r>
        <w:rPr>
          <w:rStyle w:val="FootnoteReference"/>
          <w:b w:val="0"/>
          <w:szCs w:val="24"/>
        </w:rPr>
        <w:footnoteReference w:id="1"/>
      </w:r>
      <w:r w:rsidRPr="00724A0E">
        <w:rPr>
          <w:b w:val="0"/>
          <w:szCs w:val="24"/>
        </w:rPr>
        <w:t xml:space="preserve">  </w:t>
      </w:r>
      <w:r>
        <w:rPr>
          <w:b w:val="0"/>
          <w:szCs w:val="24"/>
        </w:rPr>
        <w:t>If approved, t</w:t>
      </w:r>
      <w:r w:rsidRPr="00724A0E">
        <w:rPr>
          <w:b w:val="0"/>
          <w:szCs w:val="24"/>
        </w:rPr>
        <w:t xml:space="preserve">he </w:t>
      </w:r>
      <w:r w:rsidR="00CF0491">
        <w:rPr>
          <w:b w:val="0"/>
          <w:szCs w:val="24"/>
        </w:rPr>
        <w:t xml:space="preserve">Settlement Agreement </w:t>
      </w:r>
      <w:r>
        <w:rPr>
          <w:b w:val="0"/>
          <w:szCs w:val="24"/>
        </w:rPr>
        <w:t xml:space="preserve">will direct </w:t>
      </w:r>
      <w:r w:rsidRPr="00FA574F">
        <w:rPr>
          <w:b w:val="0"/>
        </w:rPr>
        <w:t>the Petitioner to</w:t>
      </w:r>
      <w:r>
        <w:rPr>
          <w:b w:val="0"/>
        </w:rPr>
        <w:t xml:space="preserve"> pay a reduced </w:t>
      </w:r>
      <w:r>
        <w:rPr>
          <w:b w:val="0"/>
        </w:rPr>
        <w:lastRenderedPageBreak/>
        <w:t xml:space="preserve">stipulated penalty amount of $25,000.00 ($6,000.00 from the original $31,000.00 demand); follow a new schedule to construct a wastewater treatment facility at the Site, or, in the alternative, connecting the Site to an existing nearby wastewater treatment facility; and pay other stipulated penalties as described below </w:t>
      </w:r>
      <w:r w:rsidR="002B29F7">
        <w:rPr>
          <w:b w:val="0"/>
        </w:rPr>
        <w:t xml:space="preserve">if the Petitioner violates the Settlement Agreement.  </w:t>
      </w:r>
    </w:p>
    <w:p w:rsidR="00760224" w:rsidRPr="008A3F6B" w:rsidRDefault="00760224" w:rsidP="00760224">
      <w:pPr>
        <w:pStyle w:val="Title"/>
        <w:spacing w:line="480" w:lineRule="auto"/>
        <w:jc w:val="left"/>
      </w:pPr>
      <w:r>
        <w:rPr>
          <w:b w:val="0"/>
        </w:rPr>
        <w:tab/>
        <w:t xml:space="preserve">After reviewing the </w:t>
      </w:r>
      <w:r w:rsidR="002B29F7">
        <w:rPr>
          <w:b w:val="0"/>
        </w:rPr>
        <w:t xml:space="preserve">Settlement Agreement, </w:t>
      </w:r>
      <w:r>
        <w:rPr>
          <w:b w:val="0"/>
        </w:rPr>
        <w:t xml:space="preserve">I find that it is reasonable and furthers the statutory and regulatory interests of MCWA and the Groundwater Discharge Regulations at 314 CMR 5.00.  Accordingly, </w:t>
      </w:r>
      <w:r w:rsidRPr="00724A0E">
        <w:rPr>
          <w:b w:val="0"/>
          <w:szCs w:val="24"/>
        </w:rPr>
        <w:t>I</w:t>
      </w:r>
      <w:r w:rsidRPr="00724A0E">
        <w:rPr>
          <w:b w:val="0"/>
        </w:rPr>
        <w:t xml:space="preserve"> </w:t>
      </w:r>
      <w:r w:rsidRPr="00724A0E">
        <w:rPr>
          <w:b w:val="0"/>
          <w:szCs w:val="24"/>
        </w:rPr>
        <w:t xml:space="preserve">issue this Final Decision approving and incorporating the </w:t>
      </w:r>
      <w:r w:rsidR="002B29F7">
        <w:rPr>
          <w:b w:val="0"/>
          <w:szCs w:val="24"/>
        </w:rPr>
        <w:t xml:space="preserve">Settlement Agreement.  </w:t>
      </w:r>
      <w:r>
        <w:rPr>
          <w:b w:val="0"/>
          <w:szCs w:val="24"/>
        </w:rPr>
        <w:t xml:space="preserve">Pursuant to </w:t>
      </w:r>
      <w:r w:rsidRPr="00724A0E">
        <w:rPr>
          <w:b w:val="0"/>
          <w:szCs w:val="24"/>
        </w:rPr>
        <w:t xml:space="preserve">the </w:t>
      </w:r>
      <w:r w:rsidR="002B29F7">
        <w:rPr>
          <w:b w:val="0"/>
          <w:szCs w:val="24"/>
        </w:rPr>
        <w:t xml:space="preserve">Settlement Agreement, </w:t>
      </w:r>
      <w:r w:rsidRPr="005038C9">
        <w:rPr>
          <w:b w:val="0"/>
        </w:rPr>
        <w:t>I issue the following Orders:</w:t>
      </w:r>
    </w:p>
    <w:p w:rsidR="00760224" w:rsidRPr="008A3F6B" w:rsidRDefault="00760224" w:rsidP="00760224">
      <w:pPr>
        <w:pStyle w:val="Title"/>
        <w:spacing w:line="480" w:lineRule="auto"/>
        <w:ind w:firstLine="720"/>
        <w:jc w:val="left"/>
      </w:pPr>
      <w:r>
        <w:rPr>
          <w:b w:val="0"/>
          <w:szCs w:val="24"/>
        </w:rPr>
        <w:t>(1)</w:t>
      </w:r>
      <w:r>
        <w:rPr>
          <w:b w:val="0"/>
          <w:szCs w:val="24"/>
        </w:rPr>
        <w:tab/>
        <w:t xml:space="preserve">In accordance with ¶ 28 of the October 2014 ACOP, </w:t>
      </w:r>
      <w:r w:rsidR="002B29F7">
        <w:rPr>
          <w:b w:val="0"/>
          <w:szCs w:val="24"/>
        </w:rPr>
        <w:t>t</w:t>
      </w:r>
      <w:r w:rsidRPr="00724A0E">
        <w:rPr>
          <w:b w:val="0"/>
          <w:szCs w:val="24"/>
        </w:rPr>
        <w:t>he effective date of the</w:t>
      </w:r>
      <w:r w:rsidR="002B29F7">
        <w:rPr>
          <w:b w:val="0"/>
          <w:szCs w:val="24"/>
        </w:rPr>
        <w:t xml:space="preserve"> Settlement Agreement </w:t>
      </w:r>
      <w:r w:rsidRPr="00724A0E">
        <w:rPr>
          <w:b w:val="0"/>
          <w:szCs w:val="24"/>
        </w:rPr>
        <w:t>is the date of this Final Decision</w:t>
      </w:r>
      <w:r>
        <w:rPr>
          <w:b w:val="0"/>
          <w:szCs w:val="24"/>
        </w:rPr>
        <w:t xml:space="preserve">.  </w:t>
      </w:r>
    </w:p>
    <w:p w:rsidR="002B29F7" w:rsidRDefault="00760224" w:rsidP="00760224">
      <w:pPr>
        <w:pStyle w:val="BodyTextIndent"/>
        <w:spacing w:line="480" w:lineRule="auto"/>
        <w:rPr>
          <w:sz w:val="24"/>
        </w:rPr>
      </w:pPr>
      <w:r w:rsidRPr="008A3F6B">
        <w:rPr>
          <w:sz w:val="24"/>
        </w:rPr>
        <w:t>(</w:t>
      </w:r>
      <w:r>
        <w:rPr>
          <w:sz w:val="24"/>
        </w:rPr>
        <w:t>2</w:t>
      </w:r>
      <w:r w:rsidRPr="008A3F6B">
        <w:rPr>
          <w:sz w:val="24"/>
        </w:rPr>
        <w:t>)</w:t>
      </w:r>
      <w:r w:rsidRPr="008A3F6B">
        <w:rPr>
          <w:sz w:val="24"/>
        </w:rPr>
        <w:tab/>
      </w:r>
      <w:r>
        <w:rPr>
          <w:sz w:val="24"/>
        </w:rPr>
        <w:t>T</w:t>
      </w:r>
      <w:r w:rsidRPr="008A3F6B">
        <w:rPr>
          <w:sz w:val="24"/>
        </w:rPr>
        <w:t xml:space="preserve">he Petitioner </w:t>
      </w:r>
      <w:r>
        <w:rPr>
          <w:sz w:val="24"/>
        </w:rPr>
        <w:t xml:space="preserve">shall </w:t>
      </w:r>
      <w:r w:rsidRPr="008A3F6B">
        <w:rPr>
          <w:sz w:val="24"/>
        </w:rPr>
        <w:t>perform the actions set forth</w:t>
      </w:r>
      <w:r>
        <w:rPr>
          <w:sz w:val="24"/>
        </w:rPr>
        <w:t xml:space="preserve"> </w:t>
      </w:r>
      <w:r w:rsidRPr="008A3F6B">
        <w:rPr>
          <w:sz w:val="24"/>
        </w:rPr>
        <w:t xml:space="preserve">in </w:t>
      </w:r>
      <w:r>
        <w:rPr>
          <w:sz w:val="24"/>
        </w:rPr>
        <w:t xml:space="preserve">¶¶ 8A-8J </w:t>
      </w:r>
      <w:r w:rsidRPr="008A3F6B">
        <w:rPr>
          <w:sz w:val="24"/>
        </w:rPr>
        <w:t xml:space="preserve">of the </w:t>
      </w:r>
      <w:r>
        <w:rPr>
          <w:sz w:val="24"/>
        </w:rPr>
        <w:t xml:space="preserve">October 2014 </w:t>
      </w:r>
      <w:r w:rsidRPr="008A3F6B">
        <w:rPr>
          <w:sz w:val="24"/>
        </w:rPr>
        <w:t>ACOP</w:t>
      </w:r>
      <w:r>
        <w:rPr>
          <w:sz w:val="24"/>
        </w:rPr>
        <w:t xml:space="preserve"> within the time periods set forth in those paragraphs.  </w:t>
      </w:r>
    </w:p>
    <w:p w:rsidR="002B29F7" w:rsidRDefault="00760224" w:rsidP="002B29F7">
      <w:pPr>
        <w:pStyle w:val="BodyTextIndent"/>
        <w:spacing w:line="480" w:lineRule="auto"/>
        <w:rPr>
          <w:sz w:val="24"/>
        </w:rPr>
      </w:pPr>
      <w:r>
        <w:rPr>
          <w:sz w:val="24"/>
        </w:rPr>
        <w:t>(3)</w:t>
      </w:r>
      <w:r>
        <w:rPr>
          <w:sz w:val="24"/>
        </w:rPr>
        <w:tab/>
        <w:t xml:space="preserve">In </w:t>
      </w:r>
      <w:r w:rsidRPr="008A3F6B">
        <w:rPr>
          <w:sz w:val="24"/>
        </w:rPr>
        <w:t xml:space="preserve">accordance with </w:t>
      </w:r>
      <w:r>
        <w:rPr>
          <w:sz w:val="24"/>
        </w:rPr>
        <w:t xml:space="preserve">¶ 12 </w:t>
      </w:r>
      <w:r w:rsidRPr="008A3F6B">
        <w:rPr>
          <w:sz w:val="24"/>
        </w:rPr>
        <w:t xml:space="preserve">of the </w:t>
      </w:r>
      <w:r w:rsidR="002B29F7">
        <w:rPr>
          <w:sz w:val="24"/>
        </w:rPr>
        <w:t xml:space="preserve">October 2014 </w:t>
      </w:r>
      <w:r w:rsidRPr="008A3F6B">
        <w:rPr>
          <w:sz w:val="24"/>
        </w:rPr>
        <w:t>ACOP</w:t>
      </w:r>
      <w:r w:rsidR="002B29F7">
        <w:rPr>
          <w:sz w:val="24"/>
        </w:rPr>
        <w:t xml:space="preserve"> and the December 2014 ACOP Amendment</w:t>
      </w:r>
      <w:r>
        <w:rPr>
          <w:sz w:val="24"/>
        </w:rPr>
        <w:t>, t</w:t>
      </w:r>
      <w:r w:rsidRPr="008A3F6B">
        <w:rPr>
          <w:sz w:val="24"/>
        </w:rPr>
        <w:t xml:space="preserve">he Petitioner </w:t>
      </w:r>
      <w:r>
        <w:rPr>
          <w:sz w:val="24"/>
        </w:rPr>
        <w:t xml:space="preserve">shall </w:t>
      </w:r>
      <w:r w:rsidRPr="008A3F6B">
        <w:rPr>
          <w:sz w:val="24"/>
        </w:rPr>
        <w:t>pay a civil administrative penalty of</w:t>
      </w:r>
      <w:r>
        <w:rPr>
          <w:sz w:val="24"/>
        </w:rPr>
        <w:t xml:space="preserve"> </w:t>
      </w:r>
      <w:r w:rsidRPr="001C4650">
        <w:rPr>
          <w:sz w:val="24"/>
        </w:rPr>
        <w:t>$2</w:t>
      </w:r>
      <w:r w:rsidR="002B29F7" w:rsidRPr="001C4650">
        <w:rPr>
          <w:sz w:val="24"/>
        </w:rPr>
        <w:t>5,000.00</w:t>
      </w:r>
      <w:r w:rsidR="002B29F7">
        <w:rPr>
          <w:b/>
          <w:sz w:val="24"/>
        </w:rPr>
        <w:t xml:space="preserve"> </w:t>
      </w:r>
      <w:r w:rsidRPr="008A3F6B">
        <w:rPr>
          <w:sz w:val="24"/>
        </w:rPr>
        <w:t xml:space="preserve">to the Commonwealth </w:t>
      </w:r>
      <w:r w:rsidR="002B29F7" w:rsidRPr="002B29F7">
        <w:rPr>
          <w:sz w:val="24"/>
        </w:rPr>
        <w:t>w</w:t>
      </w:r>
      <w:r w:rsidRPr="002B29F7">
        <w:rPr>
          <w:sz w:val="24"/>
        </w:rPr>
        <w:t xml:space="preserve">ithin </w:t>
      </w:r>
      <w:r w:rsidR="002B29F7">
        <w:rPr>
          <w:sz w:val="24"/>
        </w:rPr>
        <w:t xml:space="preserve">thirty </w:t>
      </w:r>
      <w:r w:rsidRPr="002B29F7">
        <w:rPr>
          <w:sz w:val="24"/>
        </w:rPr>
        <w:t>(</w:t>
      </w:r>
      <w:r w:rsidR="002B29F7">
        <w:rPr>
          <w:sz w:val="24"/>
        </w:rPr>
        <w:t>3</w:t>
      </w:r>
      <w:r w:rsidRPr="002B29F7">
        <w:rPr>
          <w:sz w:val="24"/>
        </w:rPr>
        <w:t xml:space="preserve">0) days of the </w:t>
      </w:r>
      <w:r w:rsidR="002B29F7">
        <w:rPr>
          <w:sz w:val="24"/>
        </w:rPr>
        <w:t>date of this Final Decision.</w:t>
      </w:r>
    </w:p>
    <w:p w:rsidR="00045FC0" w:rsidRDefault="00760224" w:rsidP="00760224">
      <w:pPr>
        <w:pStyle w:val="BodyTextIndent"/>
        <w:spacing w:line="480" w:lineRule="auto"/>
        <w:rPr>
          <w:sz w:val="24"/>
        </w:rPr>
      </w:pPr>
      <w:r w:rsidRPr="002B29F7">
        <w:rPr>
          <w:sz w:val="24"/>
        </w:rPr>
        <w:t>(4)</w:t>
      </w:r>
      <w:r w:rsidRPr="002B29F7">
        <w:rPr>
          <w:sz w:val="24"/>
        </w:rPr>
        <w:tab/>
        <w:t xml:space="preserve">In accordance with ¶ </w:t>
      </w:r>
      <w:r w:rsidR="00045FC0">
        <w:rPr>
          <w:sz w:val="24"/>
        </w:rPr>
        <w:t xml:space="preserve">19 </w:t>
      </w:r>
      <w:r w:rsidRPr="002B29F7">
        <w:rPr>
          <w:sz w:val="24"/>
        </w:rPr>
        <w:t xml:space="preserve">of the </w:t>
      </w:r>
      <w:r w:rsidR="00045FC0">
        <w:rPr>
          <w:sz w:val="24"/>
        </w:rPr>
        <w:t xml:space="preserve">October 2014 </w:t>
      </w:r>
      <w:r w:rsidRPr="002B29F7">
        <w:rPr>
          <w:sz w:val="24"/>
        </w:rPr>
        <w:t>ACOP</w:t>
      </w:r>
      <w:r w:rsidR="00045FC0">
        <w:rPr>
          <w:sz w:val="24"/>
        </w:rPr>
        <w:t>:</w:t>
      </w:r>
    </w:p>
    <w:p w:rsidR="001C4650" w:rsidRDefault="00045FC0" w:rsidP="00045FC0">
      <w:pPr>
        <w:pStyle w:val="BodyTextIndent"/>
        <w:spacing w:line="480" w:lineRule="auto"/>
        <w:ind w:left="720"/>
        <w:rPr>
          <w:sz w:val="24"/>
        </w:rPr>
      </w:pPr>
      <w:r>
        <w:rPr>
          <w:sz w:val="24"/>
        </w:rPr>
        <w:t>(a)</w:t>
      </w:r>
      <w:r>
        <w:rPr>
          <w:sz w:val="24"/>
        </w:rPr>
        <w:tab/>
      </w:r>
      <w:proofErr w:type="gramStart"/>
      <w:r w:rsidR="00760224" w:rsidRPr="002B29F7">
        <w:rPr>
          <w:sz w:val="24"/>
        </w:rPr>
        <w:t>if</w:t>
      </w:r>
      <w:proofErr w:type="gramEnd"/>
      <w:r w:rsidR="00760224" w:rsidRPr="002B29F7">
        <w:rPr>
          <w:sz w:val="24"/>
        </w:rPr>
        <w:t xml:space="preserve"> the Petitioner </w:t>
      </w:r>
      <w:r>
        <w:rPr>
          <w:sz w:val="24"/>
        </w:rPr>
        <w:t>fails to timely comply with ¶ 8H of the October 2014</w:t>
      </w:r>
    </w:p>
    <w:p w:rsidR="00045FC0" w:rsidRDefault="00045FC0" w:rsidP="001C4650">
      <w:pPr>
        <w:pStyle w:val="BodyTextIndent"/>
        <w:spacing w:line="480" w:lineRule="auto"/>
        <w:ind w:left="2160" w:firstLine="0"/>
        <w:rPr>
          <w:sz w:val="24"/>
        </w:rPr>
      </w:pPr>
      <w:r>
        <w:rPr>
          <w:sz w:val="24"/>
        </w:rPr>
        <w:t xml:space="preserve">ACOP, </w:t>
      </w:r>
      <w:r w:rsidR="00760224" w:rsidRPr="008A3F6B">
        <w:rPr>
          <w:sz w:val="24"/>
        </w:rPr>
        <w:t>the Petitioner shall pay the Commonwealth</w:t>
      </w:r>
      <w:r w:rsidR="00760224">
        <w:rPr>
          <w:sz w:val="24"/>
        </w:rPr>
        <w:t xml:space="preserve"> </w:t>
      </w:r>
      <w:r>
        <w:rPr>
          <w:sz w:val="24"/>
        </w:rPr>
        <w:t xml:space="preserve">a </w:t>
      </w:r>
      <w:r w:rsidR="00760224" w:rsidRPr="008A3F6B">
        <w:rPr>
          <w:sz w:val="24"/>
        </w:rPr>
        <w:t>stipulated civil</w:t>
      </w:r>
      <w:r w:rsidR="00760224">
        <w:rPr>
          <w:sz w:val="24"/>
        </w:rPr>
        <w:t xml:space="preserve"> </w:t>
      </w:r>
      <w:r w:rsidR="00760224" w:rsidRPr="008A3F6B">
        <w:rPr>
          <w:sz w:val="24"/>
        </w:rPr>
        <w:t>administrative penalt</w:t>
      </w:r>
      <w:r>
        <w:rPr>
          <w:sz w:val="24"/>
        </w:rPr>
        <w:t xml:space="preserve">y </w:t>
      </w:r>
      <w:r w:rsidR="00760224" w:rsidRPr="008A3F6B">
        <w:rPr>
          <w:sz w:val="24"/>
        </w:rPr>
        <w:t>of $</w:t>
      </w:r>
      <w:r w:rsidR="00760224">
        <w:rPr>
          <w:sz w:val="24"/>
        </w:rPr>
        <w:t>1</w:t>
      </w:r>
      <w:r>
        <w:rPr>
          <w:sz w:val="24"/>
        </w:rPr>
        <w:t>5</w:t>
      </w:r>
      <w:r w:rsidR="00760224">
        <w:rPr>
          <w:sz w:val="24"/>
        </w:rPr>
        <w:t>,000.00</w:t>
      </w:r>
      <w:r>
        <w:rPr>
          <w:sz w:val="24"/>
        </w:rPr>
        <w:t>;</w:t>
      </w:r>
    </w:p>
    <w:p w:rsidR="001C4650" w:rsidRDefault="00045FC0" w:rsidP="00045FC0">
      <w:pPr>
        <w:pStyle w:val="BodyTextIndent"/>
        <w:spacing w:line="480" w:lineRule="auto"/>
        <w:ind w:left="720"/>
        <w:rPr>
          <w:sz w:val="24"/>
        </w:rPr>
      </w:pPr>
      <w:r>
        <w:rPr>
          <w:sz w:val="24"/>
        </w:rPr>
        <w:lastRenderedPageBreak/>
        <w:t>(b)</w:t>
      </w:r>
      <w:r>
        <w:rPr>
          <w:sz w:val="24"/>
        </w:rPr>
        <w:tab/>
      </w:r>
      <w:proofErr w:type="gramStart"/>
      <w:r>
        <w:rPr>
          <w:sz w:val="24"/>
        </w:rPr>
        <w:t>if</w:t>
      </w:r>
      <w:proofErr w:type="gramEnd"/>
      <w:r>
        <w:rPr>
          <w:sz w:val="24"/>
        </w:rPr>
        <w:t xml:space="preserve"> the Petitioner fails to timely comply with ¶ 8I of the October 2014</w:t>
      </w:r>
    </w:p>
    <w:p w:rsidR="00045FC0" w:rsidRDefault="00045FC0" w:rsidP="001C4650">
      <w:pPr>
        <w:pStyle w:val="BodyTextIndent"/>
        <w:spacing w:line="480" w:lineRule="auto"/>
        <w:ind w:left="2160" w:firstLine="0"/>
        <w:rPr>
          <w:sz w:val="24"/>
        </w:rPr>
      </w:pPr>
      <w:r>
        <w:rPr>
          <w:sz w:val="24"/>
        </w:rPr>
        <w:t xml:space="preserve">ACOP, </w:t>
      </w:r>
      <w:r w:rsidRPr="008A3F6B">
        <w:rPr>
          <w:sz w:val="24"/>
        </w:rPr>
        <w:t>the Petitioner shall pay the Commonwealth</w:t>
      </w:r>
      <w:r>
        <w:rPr>
          <w:sz w:val="24"/>
        </w:rPr>
        <w:t xml:space="preserve"> a </w:t>
      </w:r>
      <w:r w:rsidRPr="008A3F6B">
        <w:rPr>
          <w:sz w:val="24"/>
        </w:rPr>
        <w:t>stipulated civil</w:t>
      </w:r>
      <w:r>
        <w:rPr>
          <w:sz w:val="24"/>
        </w:rPr>
        <w:t xml:space="preserve"> </w:t>
      </w:r>
      <w:r w:rsidRPr="008A3F6B">
        <w:rPr>
          <w:sz w:val="24"/>
        </w:rPr>
        <w:t>administrative penalt</w:t>
      </w:r>
      <w:r>
        <w:rPr>
          <w:sz w:val="24"/>
        </w:rPr>
        <w:t xml:space="preserve">y </w:t>
      </w:r>
      <w:r w:rsidRPr="008A3F6B">
        <w:rPr>
          <w:sz w:val="24"/>
        </w:rPr>
        <w:t>of $</w:t>
      </w:r>
      <w:r>
        <w:rPr>
          <w:sz w:val="24"/>
        </w:rPr>
        <w:t>15,000.00;</w:t>
      </w:r>
    </w:p>
    <w:p w:rsidR="001C4650" w:rsidRDefault="00045FC0" w:rsidP="00045FC0">
      <w:pPr>
        <w:pStyle w:val="BodyTextIndent"/>
        <w:spacing w:line="480" w:lineRule="auto"/>
        <w:ind w:left="720"/>
        <w:rPr>
          <w:sz w:val="24"/>
        </w:rPr>
      </w:pPr>
      <w:r>
        <w:rPr>
          <w:sz w:val="24"/>
        </w:rPr>
        <w:t xml:space="preserve"> (c)</w:t>
      </w:r>
      <w:r>
        <w:rPr>
          <w:sz w:val="24"/>
        </w:rPr>
        <w:tab/>
      </w:r>
      <w:proofErr w:type="gramStart"/>
      <w:r>
        <w:rPr>
          <w:sz w:val="24"/>
        </w:rPr>
        <w:t>if</w:t>
      </w:r>
      <w:proofErr w:type="gramEnd"/>
      <w:r>
        <w:rPr>
          <w:sz w:val="24"/>
        </w:rPr>
        <w:t xml:space="preserve"> the Petitioner fails to timely comply with ¶ 8J of the October 2014</w:t>
      </w:r>
    </w:p>
    <w:p w:rsidR="00045FC0" w:rsidRDefault="00045FC0" w:rsidP="001C4650">
      <w:pPr>
        <w:pStyle w:val="BodyTextIndent"/>
        <w:spacing w:line="480" w:lineRule="auto"/>
        <w:ind w:left="2160" w:firstLine="0"/>
        <w:rPr>
          <w:sz w:val="24"/>
        </w:rPr>
      </w:pPr>
      <w:r>
        <w:rPr>
          <w:sz w:val="24"/>
        </w:rPr>
        <w:t xml:space="preserve">ACOP, </w:t>
      </w:r>
      <w:r w:rsidRPr="008A3F6B">
        <w:rPr>
          <w:sz w:val="24"/>
        </w:rPr>
        <w:t>the Petitioner shall pay the Commonwealth</w:t>
      </w:r>
      <w:r>
        <w:rPr>
          <w:sz w:val="24"/>
        </w:rPr>
        <w:t xml:space="preserve"> a </w:t>
      </w:r>
      <w:r w:rsidRPr="008A3F6B">
        <w:rPr>
          <w:sz w:val="24"/>
        </w:rPr>
        <w:t>stipulated civil</w:t>
      </w:r>
      <w:r>
        <w:rPr>
          <w:sz w:val="24"/>
        </w:rPr>
        <w:t xml:space="preserve"> </w:t>
      </w:r>
      <w:r w:rsidRPr="008A3F6B">
        <w:rPr>
          <w:sz w:val="24"/>
        </w:rPr>
        <w:t>administrative penalt</w:t>
      </w:r>
      <w:r>
        <w:rPr>
          <w:sz w:val="24"/>
        </w:rPr>
        <w:t xml:space="preserve">y </w:t>
      </w:r>
      <w:r w:rsidRPr="008A3F6B">
        <w:rPr>
          <w:sz w:val="24"/>
        </w:rPr>
        <w:t>of $</w:t>
      </w:r>
      <w:r>
        <w:rPr>
          <w:sz w:val="24"/>
        </w:rPr>
        <w:t>15,000.00; and</w:t>
      </w:r>
    </w:p>
    <w:p w:rsidR="001C4650" w:rsidRDefault="00045FC0" w:rsidP="001C4650">
      <w:pPr>
        <w:pStyle w:val="BodyTextIndent"/>
        <w:spacing w:line="480" w:lineRule="auto"/>
        <w:ind w:left="720"/>
        <w:rPr>
          <w:sz w:val="24"/>
        </w:rPr>
      </w:pPr>
      <w:r>
        <w:rPr>
          <w:sz w:val="24"/>
        </w:rPr>
        <w:t>(d)</w:t>
      </w:r>
      <w:r>
        <w:rPr>
          <w:sz w:val="24"/>
        </w:rPr>
        <w:tab/>
      </w:r>
      <w:proofErr w:type="gramStart"/>
      <w:r>
        <w:rPr>
          <w:sz w:val="24"/>
        </w:rPr>
        <w:t>if</w:t>
      </w:r>
      <w:proofErr w:type="gramEnd"/>
      <w:r>
        <w:rPr>
          <w:sz w:val="24"/>
        </w:rPr>
        <w:t xml:space="preserve"> the Petitioner violates any other provision of the October 2014 ACOP,</w:t>
      </w:r>
    </w:p>
    <w:p w:rsidR="00045FC0" w:rsidRDefault="00045FC0" w:rsidP="001C4650">
      <w:pPr>
        <w:pStyle w:val="BodyTextIndent"/>
        <w:spacing w:line="480" w:lineRule="auto"/>
        <w:ind w:left="2160" w:firstLine="0"/>
        <w:rPr>
          <w:sz w:val="24"/>
        </w:rPr>
      </w:pPr>
      <w:proofErr w:type="gramStart"/>
      <w:r w:rsidRPr="008A3F6B">
        <w:rPr>
          <w:sz w:val="24"/>
        </w:rPr>
        <w:t>the</w:t>
      </w:r>
      <w:proofErr w:type="gramEnd"/>
      <w:r w:rsidRPr="008A3F6B">
        <w:rPr>
          <w:sz w:val="24"/>
        </w:rPr>
        <w:t xml:space="preserve"> Petitioner shall pay the Commonwealth</w:t>
      </w:r>
      <w:r>
        <w:rPr>
          <w:sz w:val="24"/>
        </w:rPr>
        <w:t xml:space="preserve"> </w:t>
      </w:r>
      <w:r w:rsidR="001C4650">
        <w:rPr>
          <w:sz w:val="24"/>
        </w:rPr>
        <w:t>s</w:t>
      </w:r>
      <w:r w:rsidRPr="008A3F6B">
        <w:rPr>
          <w:sz w:val="24"/>
        </w:rPr>
        <w:t>tipulated civil</w:t>
      </w:r>
      <w:r>
        <w:rPr>
          <w:sz w:val="24"/>
        </w:rPr>
        <w:t xml:space="preserve"> </w:t>
      </w:r>
      <w:r w:rsidRPr="008A3F6B">
        <w:rPr>
          <w:sz w:val="24"/>
        </w:rPr>
        <w:t>administrative penalt</w:t>
      </w:r>
      <w:r>
        <w:rPr>
          <w:sz w:val="24"/>
        </w:rPr>
        <w:t xml:space="preserve">ies </w:t>
      </w:r>
      <w:r w:rsidRPr="008A3F6B">
        <w:rPr>
          <w:sz w:val="24"/>
        </w:rPr>
        <w:t>of $</w:t>
      </w:r>
      <w:r>
        <w:rPr>
          <w:sz w:val="24"/>
        </w:rPr>
        <w:t xml:space="preserve">1,000.00 </w:t>
      </w:r>
      <w:r w:rsidR="00760224" w:rsidRPr="008A3F6B">
        <w:rPr>
          <w:sz w:val="24"/>
        </w:rPr>
        <w:t xml:space="preserve"> per day for each day</w:t>
      </w:r>
      <w:r>
        <w:rPr>
          <w:sz w:val="24"/>
        </w:rPr>
        <w:t xml:space="preserve"> or portion thereof</w:t>
      </w:r>
      <w:r w:rsidR="00DC313B">
        <w:rPr>
          <w:sz w:val="24"/>
        </w:rPr>
        <w:t xml:space="preserve"> the violation continues</w:t>
      </w:r>
      <w:r>
        <w:rPr>
          <w:sz w:val="24"/>
        </w:rPr>
        <w:t>.</w:t>
      </w:r>
    </w:p>
    <w:p w:rsidR="00760224" w:rsidRDefault="00045FC0" w:rsidP="00C124E3">
      <w:pPr>
        <w:pStyle w:val="BodyTextIndent"/>
        <w:spacing w:line="480" w:lineRule="auto"/>
        <w:rPr>
          <w:sz w:val="24"/>
        </w:rPr>
      </w:pPr>
      <w:r>
        <w:rPr>
          <w:sz w:val="24"/>
        </w:rPr>
        <w:t xml:space="preserve">The Petitioner shall pay all stipulated civil administrative penalties to the Commonwealth within thirty (30) days after the Department issues the Petitioner a written demand for payment.  </w:t>
      </w:r>
      <w:r w:rsidR="00760224" w:rsidRPr="008A3F6B">
        <w:rPr>
          <w:sz w:val="24"/>
        </w:rPr>
        <w:t xml:space="preserve"> </w:t>
      </w:r>
    </w:p>
    <w:p w:rsidR="00760224" w:rsidRPr="008A3F6B" w:rsidRDefault="00760224" w:rsidP="00760224">
      <w:pPr>
        <w:pStyle w:val="BodyTextIndent"/>
        <w:spacing w:line="480" w:lineRule="auto"/>
        <w:rPr>
          <w:sz w:val="24"/>
        </w:rPr>
      </w:pPr>
      <w:r>
        <w:rPr>
          <w:sz w:val="24"/>
        </w:rPr>
        <w:t>(5)</w:t>
      </w:r>
      <w:r>
        <w:rPr>
          <w:sz w:val="24"/>
        </w:rPr>
        <w:tab/>
      </w:r>
      <w:r w:rsidRPr="008A3F6B">
        <w:rPr>
          <w:sz w:val="24"/>
        </w:rPr>
        <w:t>In accordance with 310 CMR 1.01(8)(c), th</w:t>
      </w:r>
      <w:r>
        <w:rPr>
          <w:sz w:val="24"/>
        </w:rPr>
        <w:t xml:space="preserve">is </w:t>
      </w:r>
      <w:r w:rsidRPr="008A3F6B">
        <w:rPr>
          <w:sz w:val="24"/>
        </w:rPr>
        <w:t>appeal</w:t>
      </w:r>
      <w:r>
        <w:rPr>
          <w:sz w:val="24"/>
        </w:rPr>
        <w:t xml:space="preserve"> is</w:t>
      </w:r>
      <w:r w:rsidRPr="008A3F6B">
        <w:rPr>
          <w:sz w:val="24"/>
        </w:rPr>
        <w:t xml:space="preserve"> dismissed with the parties waiving whatever rights they may have to further administrative review before the Department as well as any appeal to Court.   </w:t>
      </w:r>
    </w:p>
    <w:p w:rsidR="00760224" w:rsidRPr="008A3F6B" w:rsidRDefault="00760224" w:rsidP="00760224">
      <w:pPr>
        <w:spacing w:line="480" w:lineRule="auto"/>
        <w:ind w:firstLine="720"/>
      </w:pPr>
      <w:r w:rsidRPr="008A3F6B">
        <w:t xml:space="preserve">  </w:t>
      </w:r>
      <w:r w:rsidRPr="008A3F6B">
        <w:tab/>
      </w:r>
      <w:r w:rsidRPr="008A3F6B">
        <w:tab/>
      </w:r>
      <w:r w:rsidRPr="008A3F6B">
        <w:tab/>
      </w:r>
      <w:r w:rsidRPr="008A3F6B">
        <w:tab/>
      </w:r>
      <w:r w:rsidRPr="008A3F6B">
        <w:tab/>
      </w:r>
    </w:p>
    <w:p w:rsidR="00760224" w:rsidRPr="008A3F6B" w:rsidRDefault="00760224" w:rsidP="00760224">
      <w:pPr>
        <w:ind w:firstLine="720"/>
      </w:pPr>
      <w:r w:rsidRPr="008A3F6B">
        <w:tab/>
      </w:r>
      <w:r w:rsidRPr="008A3F6B">
        <w:tab/>
      </w:r>
      <w:r w:rsidRPr="008A3F6B">
        <w:tab/>
      </w:r>
      <w:r w:rsidRPr="008A3F6B">
        <w:tab/>
      </w:r>
      <w:r w:rsidRPr="008A3F6B">
        <w:tab/>
      </w:r>
      <w:r w:rsidRPr="008A3F6B">
        <w:tab/>
        <w:t>__________________________</w:t>
      </w:r>
    </w:p>
    <w:p w:rsidR="00760224" w:rsidRPr="008A3F6B" w:rsidRDefault="00760224" w:rsidP="00760224">
      <w:r w:rsidRPr="008A3F6B">
        <w:tab/>
      </w:r>
      <w:r w:rsidRPr="008A3F6B">
        <w:tab/>
      </w:r>
      <w:r w:rsidRPr="008A3F6B">
        <w:tab/>
      </w:r>
      <w:r w:rsidRPr="008A3F6B">
        <w:tab/>
      </w:r>
      <w:r w:rsidRPr="008A3F6B">
        <w:tab/>
      </w:r>
      <w:r w:rsidRPr="008A3F6B">
        <w:tab/>
        <w:t xml:space="preserve"> </w:t>
      </w:r>
      <w:r w:rsidRPr="008A3F6B">
        <w:tab/>
      </w:r>
      <w:r w:rsidR="00C124E3">
        <w:t>Martin J. Suuberg</w:t>
      </w:r>
      <w:r w:rsidRPr="008A3F6B">
        <w:t xml:space="preserve">  </w:t>
      </w:r>
    </w:p>
    <w:p w:rsidR="00760224" w:rsidRPr="008A3F6B" w:rsidRDefault="00760224" w:rsidP="00760224">
      <w:pPr>
        <w:pStyle w:val="Title"/>
        <w:ind w:firstLine="720"/>
        <w:jc w:val="left"/>
        <w:rPr>
          <w:b w:val="0"/>
          <w:bCs/>
          <w:szCs w:val="24"/>
        </w:rPr>
      </w:pPr>
      <w:r w:rsidRPr="008A3F6B">
        <w:rPr>
          <w:b w:val="0"/>
          <w:bCs/>
          <w:szCs w:val="24"/>
        </w:rPr>
        <w:tab/>
      </w:r>
      <w:r w:rsidRPr="008A3F6B">
        <w:rPr>
          <w:b w:val="0"/>
          <w:bCs/>
          <w:szCs w:val="24"/>
        </w:rPr>
        <w:tab/>
      </w:r>
      <w:r w:rsidRPr="008A3F6B">
        <w:rPr>
          <w:b w:val="0"/>
          <w:bCs/>
          <w:szCs w:val="24"/>
        </w:rPr>
        <w:tab/>
      </w:r>
      <w:r w:rsidRPr="008A3F6B">
        <w:rPr>
          <w:b w:val="0"/>
          <w:bCs/>
          <w:szCs w:val="24"/>
        </w:rPr>
        <w:tab/>
      </w:r>
      <w:r w:rsidRPr="008A3F6B">
        <w:rPr>
          <w:b w:val="0"/>
          <w:bCs/>
          <w:szCs w:val="24"/>
        </w:rPr>
        <w:tab/>
      </w:r>
      <w:r w:rsidRPr="008A3F6B">
        <w:rPr>
          <w:b w:val="0"/>
          <w:bCs/>
          <w:szCs w:val="24"/>
        </w:rPr>
        <w:tab/>
        <w:t>Commissioner</w:t>
      </w:r>
    </w:p>
    <w:p w:rsidR="00045FC0" w:rsidRPr="00760224" w:rsidRDefault="00760224" w:rsidP="00760224">
      <w:r w:rsidRPr="00760224">
        <w:tab/>
      </w:r>
    </w:p>
    <w:sectPr w:rsidR="00045FC0" w:rsidRPr="00760224" w:rsidSect="00760224">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FC0" w:rsidRDefault="00045FC0" w:rsidP="00760224">
      <w:r>
        <w:separator/>
      </w:r>
    </w:p>
  </w:endnote>
  <w:endnote w:type="continuationSeparator" w:id="0">
    <w:p w:rsidR="00045FC0" w:rsidRDefault="00045FC0" w:rsidP="00760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0"/>
        <w:szCs w:val="20"/>
      </w:rPr>
      <w:id w:val="19396465"/>
      <w:docPartObj>
        <w:docPartGallery w:val="Page Numbers (Bottom of Page)"/>
        <w:docPartUnique/>
      </w:docPartObj>
    </w:sdtPr>
    <w:sdtContent>
      <w:sdt>
        <w:sdtPr>
          <w:rPr>
            <w:rFonts w:asciiTheme="minorHAnsi" w:eastAsiaTheme="minorHAnsi" w:hAnsiTheme="minorHAnsi" w:cstheme="minorBidi"/>
            <w:sz w:val="20"/>
            <w:szCs w:val="20"/>
          </w:rPr>
          <w:id w:val="98381352"/>
          <w:docPartObj>
            <w:docPartGallery w:val="Page Numbers (Top of Page)"/>
            <w:docPartUnique/>
          </w:docPartObj>
        </w:sdtPr>
        <w:sdtContent>
          <w:p w:rsidR="00045FC0" w:rsidRDefault="00045FC0" w:rsidP="00760224">
            <w:pPr>
              <w:rPr>
                <w:sz w:val="20"/>
                <w:szCs w:val="20"/>
              </w:rPr>
            </w:pPr>
          </w:p>
          <w:p w:rsidR="00045FC0" w:rsidRPr="00760224" w:rsidRDefault="00045FC0" w:rsidP="00760224">
            <w:pPr>
              <w:rPr>
                <w:b/>
                <w:sz w:val="20"/>
                <w:szCs w:val="20"/>
              </w:rPr>
            </w:pPr>
            <w:r w:rsidRPr="00760224">
              <w:rPr>
                <w:b/>
                <w:sz w:val="20"/>
                <w:szCs w:val="20"/>
              </w:rPr>
              <w:t xml:space="preserve">In the Matter of Gator Swansea Partners, LLLP </w:t>
            </w:r>
          </w:p>
          <w:p w:rsidR="00045FC0" w:rsidRPr="00760224" w:rsidRDefault="00045FC0" w:rsidP="00760224">
            <w:pPr>
              <w:rPr>
                <w:sz w:val="20"/>
                <w:szCs w:val="20"/>
              </w:rPr>
            </w:pPr>
            <w:r w:rsidRPr="00760224">
              <w:rPr>
                <w:sz w:val="20"/>
                <w:szCs w:val="20"/>
              </w:rPr>
              <w:t>Docket Nos. 2014-021</w:t>
            </w:r>
          </w:p>
          <w:p w:rsidR="00045FC0" w:rsidRPr="00760224" w:rsidRDefault="00045FC0" w:rsidP="00760224">
            <w:pPr>
              <w:rPr>
                <w:sz w:val="20"/>
                <w:szCs w:val="20"/>
              </w:rPr>
            </w:pPr>
            <w:r w:rsidRPr="00760224">
              <w:rPr>
                <w:sz w:val="20"/>
                <w:szCs w:val="20"/>
              </w:rPr>
              <w:t>Final Decision</w:t>
            </w:r>
          </w:p>
          <w:p w:rsidR="00045FC0" w:rsidRPr="00760224" w:rsidRDefault="00045FC0">
            <w:pPr>
              <w:pStyle w:val="Footer"/>
              <w:rPr>
                <w:rFonts w:ascii="Times New Roman" w:hAnsi="Times New Roman" w:cs="Times New Roman"/>
                <w:sz w:val="20"/>
                <w:szCs w:val="20"/>
              </w:rPr>
            </w:pPr>
            <w:r w:rsidRPr="00760224">
              <w:rPr>
                <w:rFonts w:ascii="Times New Roman" w:hAnsi="Times New Roman" w:cs="Times New Roman"/>
                <w:sz w:val="20"/>
                <w:szCs w:val="20"/>
              </w:rPr>
              <w:t xml:space="preserve">Page </w:t>
            </w:r>
            <w:r w:rsidR="00F63A37" w:rsidRPr="00760224">
              <w:rPr>
                <w:rFonts w:ascii="Times New Roman" w:hAnsi="Times New Roman" w:cs="Times New Roman"/>
                <w:b/>
                <w:sz w:val="20"/>
                <w:szCs w:val="20"/>
              </w:rPr>
              <w:fldChar w:fldCharType="begin"/>
            </w:r>
            <w:r w:rsidRPr="00760224">
              <w:rPr>
                <w:rFonts w:ascii="Times New Roman" w:hAnsi="Times New Roman" w:cs="Times New Roman"/>
                <w:b/>
                <w:sz w:val="20"/>
                <w:szCs w:val="20"/>
              </w:rPr>
              <w:instrText xml:space="preserve"> PAGE </w:instrText>
            </w:r>
            <w:r w:rsidR="00F63A37" w:rsidRPr="00760224">
              <w:rPr>
                <w:rFonts w:ascii="Times New Roman" w:hAnsi="Times New Roman" w:cs="Times New Roman"/>
                <w:b/>
                <w:sz w:val="20"/>
                <w:szCs w:val="20"/>
              </w:rPr>
              <w:fldChar w:fldCharType="separate"/>
            </w:r>
            <w:r w:rsidR="00570201">
              <w:rPr>
                <w:rFonts w:ascii="Times New Roman" w:hAnsi="Times New Roman" w:cs="Times New Roman"/>
                <w:b/>
                <w:noProof/>
                <w:sz w:val="20"/>
                <w:szCs w:val="20"/>
              </w:rPr>
              <w:t>4</w:t>
            </w:r>
            <w:r w:rsidR="00F63A37" w:rsidRPr="00760224">
              <w:rPr>
                <w:rFonts w:ascii="Times New Roman" w:hAnsi="Times New Roman" w:cs="Times New Roman"/>
                <w:b/>
                <w:sz w:val="20"/>
                <w:szCs w:val="20"/>
              </w:rPr>
              <w:fldChar w:fldCharType="end"/>
            </w:r>
            <w:r w:rsidRPr="00760224">
              <w:rPr>
                <w:rFonts w:ascii="Times New Roman" w:hAnsi="Times New Roman" w:cs="Times New Roman"/>
                <w:sz w:val="20"/>
                <w:szCs w:val="20"/>
              </w:rPr>
              <w:t xml:space="preserve"> of </w:t>
            </w:r>
            <w:r w:rsidR="00F63A37" w:rsidRPr="00760224">
              <w:rPr>
                <w:rFonts w:ascii="Times New Roman" w:hAnsi="Times New Roman" w:cs="Times New Roman"/>
                <w:b/>
                <w:sz w:val="20"/>
                <w:szCs w:val="20"/>
              </w:rPr>
              <w:fldChar w:fldCharType="begin"/>
            </w:r>
            <w:r w:rsidRPr="00760224">
              <w:rPr>
                <w:rFonts w:ascii="Times New Roman" w:hAnsi="Times New Roman" w:cs="Times New Roman"/>
                <w:b/>
                <w:sz w:val="20"/>
                <w:szCs w:val="20"/>
              </w:rPr>
              <w:instrText xml:space="preserve"> NUMPAGES  </w:instrText>
            </w:r>
            <w:r w:rsidR="00F63A37" w:rsidRPr="00760224">
              <w:rPr>
                <w:rFonts w:ascii="Times New Roman" w:hAnsi="Times New Roman" w:cs="Times New Roman"/>
                <w:b/>
                <w:sz w:val="20"/>
                <w:szCs w:val="20"/>
              </w:rPr>
              <w:fldChar w:fldCharType="separate"/>
            </w:r>
            <w:r w:rsidR="00570201">
              <w:rPr>
                <w:rFonts w:ascii="Times New Roman" w:hAnsi="Times New Roman" w:cs="Times New Roman"/>
                <w:b/>
                <w:noProof/>
                <w:sz w:val="20"/>
                <w:szCs w:val="20"/>
              </w:rPr>
              <w:t>4</w:t>
            </w:r>
            <w:r w:rsidR="00F63A37" w:rsidRPr="00760224">
              <w:rPr>
                <w:rFonts w:ascii="Times New Roman" w:hAnsi="Times New Roman" w:cs="Times New Roman"/>
                <w:b/>
                <w:sz w:val="20"/>
                <w:szCs w:val="20"/>
              </w:rPr>
              <w:fldChar w:fldCharType="end"/>
            </w:r>
          </w:p>
        </w:sdtContent>
      </w:sdt>
    </w:sdtContent>
  </w:sdt>
  <w:p w:rsidR="00045FC0" w:rsidRDefault="00045F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045FC0" w:rsidRPr="000C3209" w:rsidTr="00045FC0">
      <w:trPr>
        <w:trHeight w:val="363"/>
        <w:jc w:val="center"/>
      </w:trPr>
      <w:tc>
        <w:tcPr>
          <w:tcW w:w="11520" w:type="dxa"/>
          <w:vAlign w:val="bottom"/>
        </w:tcPr>
        <w:p w:rsidR="00045FC0" w:rsidRPr="008960A1" w:rsidRDefault="00045FC0" w:rsidP="00045FC0">
          <w:pPr>
            <w:ind w:left="72" w:right="162"/>
            <w:jc w:val="center"/>
            <w:rPr>
              <w:rFonts w:ascii="Arial" w:hAnsi="Arial"/>
              <w:b/>
              <w:color w:val="359D6E"/>
              <w:sz w:val="14"/>
            </w:rPr>
          </w:pPr>
          <w:r w:rsidRPr="008960A1">
            <w:rPr>
              <w:rFonts w:ascii="Arial" w:hAnsi="Arial"/>
              <w:b/>
              <w:color w:val="359D6E"/>
              <w:sz w:val="14"/>
            </w:rPr>
            <w:t xml:space="preserve">This information is available in alternate format. Call Michelle Waters-Ekanem, Diversity Director, at 617-292-5751. TTY# </w:t>
          </w:r>
          <w:proofErr w:type="spellStart"/>
          <w:r w:rsidRPr="008960A1">
            <w:rPr>
              <w:rFonts w:ascii="Arial" w:hAnsi="Arial"/>
              <w:b/>
              <w:color w:val="359D6E"/>
              <w:sz w:val="14"/>
            </w:rPr>
            <w:t>MassRelay</w:t>
          </w:r>
          <w:proofErr w:type="spellEnd"/>
          <w:r w:rsidRPr="008960A1">
            <w:rPr>
              <w:rFonts w:ascii="Arial" w:hAnsi="Arial"/>
              <w:b/>
              <w:color w:val="359D6E"/>
              <w:sz w:val="14"/>
            </w:rPr>
            <w:t xml:space="preserve"> Service 1-800-439-2370</w:t>
          </w:r>
        </w:p>
        <w:p w:rsidR="00045FC0" w:rsidRPr="008960A1" w:rsidRDefault="00045FC0" w:rsidP="00045FC0">
          <w:pPr>
            <w:ind w:left="-18" w:right="-252"/>
            <w:jc w:val="center"/>
            <w:rPr>
              <w:color w:val="359D6E"/>
            </w:rPr>
          </w:pPr>
          <w:proofErr w:type="spellStart"/>
          <w:r w:rsidRPr="008960A1">
            <w:rPr>
              <w:rFonts w:ascii="Arial" w:hAnsi="Arial"/>
              <w:color w:val="359D6E"/>
              <w:sz w:val="14"/>
            </w:rPr>
            <w:t>MassDEP</w:t>
          </w:r>
          <w:proofErr w:type="spellEnd"/>
          <w:r w:rsidRPr="008960A1">
            <w:rPr>
              <w:rFonts w:ascii="Arial" w:hAnsi="Arial"/>
              <w:color w:val="359D6E"/>
              <w:sz w:val="14"/>
            </w:rPr>
            <w:t xml:space="preserve"> Website: www.mass.gov/dep</w:t>
          </w:r>
        </w:p>
      </w:tc>
    </w:tr>
    <w:tr w:rsidR="00045FC0" w:rsidRPr="000C3209" w:rsidTr="00045FC0">
      <w:trPr>
        <w:trHeight w:val="296"/>
        <w:jc w:val="center"/>
      </w:trPr>
      <w:tc>
        <w:tcPr>
          <w:tcW w:w="11520" w:type="dxa"/>
          <w:vAlign w:val="bottom"/>
        </w:tcPr>
        <w:p w:rsidR="00045FC0" w:rsidRPr="008960A1" w:rsidRDefault="00045FC0" w:rsidP="00045FC0">
          <w:pPr>
            <w:ind w:left="-18"/>
            <w:jc w:val="center"/>
            <w:rPr>
              <w:color w:val="359D6E"/>
            </w:rPr>
          </w:pPr>
          <w:r w:rsidRPr="008960A1">
            <w:rPr>
              <w:rFonts w:ascii="Arial" w:hAnsi="Arial"/>
              <w:color w:val="359D6E"/>
              <w:position w:val="8"/>
              <w:sz w:val="14"/>
            </w:rPr>
            <w:t>Printed on Recycled Paper</w:t>
          </w:r>
        </w:p>
      </w:tc>
    </w:tr>
  </w:tbl>
  <w:p w:rsidR="00045FC0" w:rsidRDefault="00045FC0">
    <w:pPr>
      <w:pStyle w:val="Footer"/>
    </w:pPr>
  </w:p>
  <w:p w:rsidR="00045FC0" w:rsidRDefault="00045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FC0" w:rsidRDefault="00045FC0" w:rsidP="00760224">
      <w:r>
        <w:separator/>
      </w:r>
    </w:p>
  </w:footnote>
  <w:footnote w:type="continuationSeparator" w:id="0">
    <w:p w:rsidR="00045FC0" w:rsidRDefault="00045FC0" w:rsidP="00760224">
      <w:r>
        <w:continuationSeparator/>
      </w:r>
    </w:p>
  </w:footnote>
  <w:footnote w:id="1">
    <w:p w:rsidR="00045FC0" w:rsidRDefault="00045FC0" w:rsidP="00760224">
      <w:pPr>
        <w:pStyle w:val="FootnoteText"/>
      </w:pPr>
      <w:r>
        <w:rPr>
          <w:rStyle w:val="FootnoteReference"/>
        </w:rPr>
        <w:footnoteRef/>
      </w:r>
      <w:r>
        <w:t xml:space="preserve"> Mr. Goldsmith and Mr. Weinberg signed the October 2014 ACOP on October 29 and 31, 2014 respectively.  The October 2014 ACOP was filed with the Office of Appeals and Dispute Resolution (“OADR”) on November 24, 2014.  On December 2, 2014, the Chief Presiding Officer issued an Order directing the parties to file the December 2014 ACOP Amendment because the October 2014 ACOP did not contain a deadline for the Petitioner’s payment of the $25,000.00 civil administrative penalty in settlement of the appeal.</w:t>
      </w:r>
      <w:r w:rsidR="001C4650">
        <w:t xml:space="preserve">  The December 2014 ACOP Amendment was executed by the parties in accordance with ¶ 14 of the October 2014 ACOP which requires any modifications of the October 2014 ACOP to be in writing.  The original executed December 2014 ACOP Amendment was filed with OADR on December 29, 2014.</w:t>
      </w:r>
    </w:p>
    <w:p w:rsidR="00045FC0" w:rsidRDefault="00045FC0" w:rsidP="00760224">
      <w:pPr>
        <w:pStyle w:val="FootnoteText"/>
      </w:pPr>
    </w:p>
    <w:p w:rsidR="00045FC0" w:rsidRDefault="00045FC0" w:rsidP="002B29F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BF"/>
    </w:tblPr>
    <w:tblGrid>
      <w:gridCol w:w="1620"/>
      <w:gridCol w:w="280"/>
      <w:gridCol w:w="8920"/>
    </w:tblGrid>
    <w:tr w:rsidR="00045FC0" w:rsidTr="00045FC0">
      <w:trPr>
        <w:trHeight w:hRule="exact" w:val="1380"/>
        <w:jc w:val="center"/>
      </w:trPr>
      <w:tc>
        <w:tcPr>
          <w:tcW w:w="1620" w:type="dxa"/>
          <w:vMerge w:val="restart"/>
          <w:tcBorders>
            <w:top w:val="nil"/>
            <w:left w:val="nil"/>
            <w:right w:val="nil"/>
          </w:tcBorders>
        </w:tcPr>
        <w:p w:rsidR="00045FC0" w:rsidRDefault="00045FC0" w:rsidP="00760224">
          <w:pPr>
            <w:pStyle w:val="Header"/>
            <w:jc w:val="both"/>
          </w:pPr>
          <w:r>
            <w:rPr>
              <w:noProof/>
            </w:rPr>
            <w:drawing>
              <wp:inline distT="0" distB="0" distL="0" distR="0">
                <wp:extent cx="862965" cy="1111885"/>
                <wp:effectExtent l="19050" t="0" r="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gridSpan w:val="2"/>
          <w:tcBorders>
            <w:top w:val="nil"/>
            <w:left w:val="nil"/>
            <w:bottom w:val="nil"/>
            <w:right w:val="nil"/>
          </w:tcBorders>
          <w:tcMar>
            <w:left w:w="0" w:type="dxa"/>
          </w:tcMar>
        </w:tcPr>
        <w:p w:rsidR="00045FC0" w:rsidRDefault="00045FC0" w:rsidP="00760224">
          <w:pPr>
            <w:pStyle w:val="Header"/>
          </w:pPr>
          <w:r>
            <w:rPr>
              <w:noProof/>
            </w:rPr>
            <w:drawing>
              <wp:inline distT="0" distB="0" distL="0" distR="0">
                <wp:extent cx="5837555" cy="855980"/>
                <wp:effectExtent l="19050" t="0" r="0" b="0"/>
                <wp:docPr id="4" name="Picture 10" descr="Commonweal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00045FC0" w:rsidRDefault="00045FC0" w:rsidP="00760224">
          <w:pPr>
            <w:pStyle w:val="Header"/>
          </w:pPr>
        </w:p>
        <w:p w:rsidR="00045FC0" w:rsidRDefault="00045FC0" w:rsidP="00760224"/>
        <w:p w:rsidR="00045FC0" w:rsidRPr="001A50BD" w:rsidRDefault="00045FC0" w:rsidP="00760224">
          <w:pPr>
            <w:tabs>
              <w:tab w:val="left" w:pos="1868"/>
            </w:tabs>
          </w:pPr>
        </w:p>
      </w:tc>
    </w:tr>
    <w:tr w:rsidR="00045FC0" w:rsidTr="00045FC0">
      <w:trPr>
        <w:trHeight w:hRule="exact" w:val="600"/>
        <w:jc w:val="center"/>
      </w:trPr>
      <w:tc>
        <w:tcPr>
          <w:tcW w:w="1620" w:type="dxa"/>
          <w:vMerge/>
          <w:tcBorders>
            <w:left w:val="nil"/>
            <w:bottom w:val="nil"/>
            <w:right w:val="nil"/>
          </w:tcBorders>
        </w:tcPr>
        <w:p w:rsidR="00045FC0" w:rsidRDefault="00045FC0" w:rsidP="00760224">
          <w:pPr>
            <w:pStyle w:val="Header"/>
            <w:jc w:val="both"/>
          </w:pPr>
        </w:p>
      </w:tc>
      <w:tc>
        <w:tcPr>
          <w:tcW w:w="9200" w:type="dxa"/>
          <w:gridSpan w:val="2"/>
          <w:tcBorders>
            <w:top w:val="nil"/>
            <w:left w:val="nil"/>
            <w:bottom w:val="nil"/>
            <w:right w:val="nil"/>
          </w:tcBorders>
          <w:tcMar>
            <w:left w:w="140" w:type="dxa"/>
          </w:tcMar>
        </w:tcPr>
        <w:p w:rsidR="00045FC0" w:rsidRDefault="00045FC0" w:rsidP="00760224">
          <w:pPr>
            <w:pStyle w:val="Header"/>
            <w:ind w:left="-120"/>
          </w:pPr>
          <w:bookmarkStart w:id="0" w:name="Office"/>
          <w:bookmarkEnd w:id="0"/>
          <w:r>
            <w:rPr>
              <w:noProof/>
            </w:rPr>
            <w:drawing>
              <wp:inline distT="0" distB="0" distL="0" distR="0">
                <wp:extent cx="3380105" cy="170815"/>
                <wp:effectExtent l="19050" t="0" r="0" b="0"/>
                <wp:docPr id="8" name="Picture 4" descr="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Web_Share\Letterhead 10\boston_address.bmp"/>
                        <pic:cNvPicPr>
                          <a:picLocks noChangeAspect="1" noChangeArrowheads="1"/>
                        </pic:cNvPicPr>
                      </pic:nvPicPr>
                      <pic:blipFill>
                        <a:blip r:embed="rId3"/>
                        <a:srcRect/>
                        <a:stretch>
                          <a:fillRect/>
                        </a:stretch>
                      </pic:blipFill>
                      <pic:spPr bwMode="auto">
                        <a:xfrm>
                          <a:off x="0" y="0"/>
                          <a:ext cx="3380105" cy="170815"/>
                        </a:xfrm>
                        <a:prstGeom prst="rect">
                          <a:avLst/>
                        </a:prstGeom>
                        <a:noFill/>
                        <a:ln w="9525">
                          <a:noFill/>
                          <a:miter lim="800000"/>
                          <a:headEnd/>
                          <a:tailEnd/>
                        </a:ln>
                      </pic:spPr>
                    </pic:pic>
                  </a:graphicData>
                </a:graphic>
              </wp:inline>
            </w:drawing>
          </w:r>
        </w:p>
      </w:tc>
    </w:tr>
    <w:tr w:rsidR="00045FC0" w:rsidTr="00045FC0">
      <w:trPr>
        <w:trHeight w:val="600"/>
        <w:jc w:val="center"/>
      </w:trPr>
      <w:tc>
        <w:tcPr>
          <w:tcW w:w="1900" w:type="dxa"/>
          <w:gridSpan w:val="2"/>
          <w:tcBorders>
            <w:top w:val="nil"/>
            <w:left w:val="nil"/>
            <w:bottom w:val="nil"/>
            <w:right w:val="nil"/>
          </w:tcBorders>
        </w:tcPr>
        <w:p w:rsidR="00045FC0" w:rsidRPr="008960A1" w:rsidRDefault="00045FC0" w:rsidP="00760224">
          <w:pPr>
            <w:jc w:val="both"/>
            <w:rPr>
              <w:rFonts w:ascii="Arial" w:hAnsi="Arial" w:cs="Arial"/>
              <w:bCs/>
              <w:color w:val="359D6E"/>
              <w:sz w:val="16"/>
              <w:szCs w:val="16"/>
            </w:rPr>
          </w:pPr>
          <w:r w:rsidRPr="008960A1">
            <w:rPr>
              <w:rFonts w:ascii="Arial" w:hAnsi="Arial" w:cs="Arial"/>
              <w:color w:val="359D6E"/>
              <w:sz w:val="16"/>
              <w:szCs w:val="16"/>
            </w:rPr>
            <w:t>Charles D. Baker</w:t>
          </w:r>
        </w:p>
        <w:p w:rsidR="00045FC0" w:rsidRPr="008960A1" w:rsidRDefault="00045FC0" w:rsidP="00760224">
          <w:pPr>
            <w:rPr>
              <w:rFonts w:ascii="Arial" w:hAnsi="Arial" w:cs="Arial"/>
              <w:color w:val="359D6E"/>
              <w:sz w:val="16"/>
              <w:szCs w:val="16"/>
            </w:rPr>
          </w:pPr>
          <w:r w:rsidRPr="008960A1">
            <w:rPr>
              <w:rFonts w:ascii="Arial" w:hAnsi="Arial" w:cs="Arial"/>
              <w:color w:val="359D6E"/>
              <w:sz w:val="16"/>
              <w:szCs w:val="16"/>
            </w:rPr>
            <w:t>Governor</w:t>
          </w:r>
        </w:p>
        <w:p w:rsidR="00045FC0" w:rsidRPr="008960A1" w:rsidRDefault="00045FC0" w:rsidP="00760224">
          <w:pPr>
            <w:rPr>
              <w:rFonts w:ascii="Arial" w:hAnsi="Arial" w:cs="Arial"/>
              <w:color w:val="359D6E"/>
              <w:sz w:val="16"/>
              <w:szCs w:val="16"/>
            </w:rPr>
          </w:pPr>
        </w:p>
        <w:p w:rsidR="00045FC0" w:rsidRPr="008960A1" w:rsidRDefault="00045FC0" w:rsidP="00760224">
          <w:pPr>
            <w:rPr>
              <w:rFonts w:ascii="Arial" w:hAnsi="Arial" w:cs="Arial"/>
              <w:bCs/>
              <w:color w:val="359D6E"/>
              <w:sz w:val="16"/>
              <w:szCs w:val="16"/>
            </w:rPr>
          </w:pPr>
          <w:proofErr w:type="spellStart"/>
          <w:r w:rsidRPr="008960A1">
            <w:rPr>
              <w:rFonts w:ascii="Arial" w:hAnsi="Arial" w:cs="Arial"/>
              <w:bCs/>
              <w:color w:val="359D6E"/>
              <w:sz w:val="16"/>
              <w:szCs w:val="16"/>
            </w:rPr>
            <w:t>Karyn</w:t>
          </w:r>
          <w:proofErr w:type="spellEnd"/>
          <w:r w:rsidRPr="008960A1">
            <w:rPr>
              <w:rFonts w:ascii="Arial" w:hAnsi="Arial" w:cs="Arial"/>
              <w:bCs/>
              <w:color w:val="359D6E"/>
              <w:sz w:val="16"/>
              <w:szCs w:val="16"/>
            </w:rPr>
            <w:t xml:space="preserve"> E. </w:t>
          </w:r>
          <w:proofErr w:type="spellStart"/>
          <w:r w:rsidRPr="008960A1">
            <w:rPr>
              <w:rFonts w:ascii="Arial" w:hAnsi="Arial" w:cs="Arial"/>
              <w:bCs/>
              <w:color w:val="359D6E"/>
              <w:sz w:val="16"/>
              <w:szCs w:val="16"/>
            </w:rPr>
            <w:t>Polito</w:t>
          </w:r>
          <w:proofErr w:type="spellEnd"/>
        </w:p>
        <w:p w:rsidR="00045FC0" w:rsidRPr="008960A1" w:rsidRDefault="00045FC0" w:rsidP="00760224">
          <w:pPr>
            <w:rPr>
              <w:rFonts w:ascii="Arial" w:hAnsi="Arial" w:cs="Arial"/>
              <w:color w:val="359D6E"/>
              <w:sz w:val="16"/>
              <w:szCs w:val="16"/>
            </w:rPr>
          </w:pPr>
          <w:r w:rsidRPr="008960A1">
            <w:rPr>
              <w:rFonts w:ascii="Arial" w:hAnsi="Arial" w:cs="Arial"/>
              <w:color w:val="359D6E"/>
              <w:sz w:val="16"/>
              <w:szCs w:val="16"/>
            </w:rPr>
            <w:t>Lieutenant Governor</w:t>
          </w:r>
        </w:p>
        <w:p w:rsidR="00045FC0" w:rsidRPr="008960A1" w:rsidRDefault="00045FC0" w:rsidP="00760224">
          <w:pPr>
            <w:pStyle w:val="Header"/>
            <w:rPr>
              <w:rFonts w:ascii="Arial" w:hAnsi="Arial" w:cs="Arial"/>
              <w:color w:val="359D6E"/>
              <w:sz w:val="14"/>
              <w:szCs w:val="14"/>
            </w:rPr>
          </w:pPr>
        </w:p>
      </w:tc>
      <w:tc>
        <w:tcPr>
          <w:tcW w:w="8920" w:type="dxa"/>
          <w:tcBorders>
            <w:top w:val="nil"/>
            <w:left w:val="nil"/>
            <w:bottom w:val="nil"/>
            <w:right w:val="nil"/>
          </w:tcBorders>
        </w:tcPr>
        <w:p w:rsidR="00045FC0" w:rsidRPr="008960A1" w:rsidRDefault="00045FC0" w:rsidP="00760224">
          <w:pPr>
            <w:jc w:val="right"/>
            <w:rPr>
              <w:rFonts w:ascii="Arial" w:hAnsi="Arial" w:cs="Arial"/>
              <w:color w:val="359D6E"/>
              <w:sz w:val="16"/>
              <w:szCs w:val="16"/>
            </w:rPr>
          </w:pPr>
          <w:r w:rsidRPr="008960A1">
            <w:rPr>
              <w:rFonts w:ascii="Arial" w:hAnsi="Arial" w:cs="Arial"/>
              <w:color w:val="359D6E"/>
              <w:sz w:val="16"/>
              <w:szCs w:val="16"/>
            </w:rPr>
            <w:t>Matthew A. Beaton</w:t>
          </w:r>
        </w:p>
        <w:p w:rsidR="00045FC0" w:rsidRPr="008960A1" w:rsidRDefault="00045FC0" w:rsidP="00760224">
          <w:pPr>
            <w:jc w:val="right"/>
            <w:rPr>
              <w:rFonts w:ascii="Arial" w:hAnsi="Arial" w:cs="Arial"/>
              <w:color w:val="359D6E"/>
              <w:sz w:val="16"/>
              <w:szCs w:val="16"/>
            </w:rPr>
          </w:pPr>
          <w:r w:rsidRPr="008960A1">
            <w:rPr>
              <w:rFonts w:ascii="Arial" w:hAnsi="Arial" w:cs="Arial"/>
              <w:color w:val="359D6E"/>
              <w:sz w:val="16"/>
              <w:szCs w:val="16"/>
            </w:rPr>
            <w:t>Secretary</w:t>
          </w:r>
        </w:p>
        <w:p w:rsidR="00045FC0" w:rsidRPr="008960A1" w:rsidRDefault="00045FC0" w:rsidP="00760224">
          <w:pPr>
            <w:jc w:val="right"/>
            <w:rPr>
              <w:rFonts w:ascii="Arial" w:hAnsi="Arial" w:cs="Arial"/>
              <w:color w:val="359D6E"/>
              <w:sz w:val="16"/>
              <w:szCs w:val="16"/>
            </w:rPr>
          </w:pPr>
        </w:p>
        <w:p w:rsidR="00045FC0" w:rsidRPr="008960A1" w:rsidRDefault="00045FC0" w:rsidP="00760224">
          <w:pPr>
            <w:jc w:val="right"/>
            <w:rPr>
              <w:rFonts w:ascii="Arial" w:hAnsi="Arial" w:cs="Arial"/>
              <w:bCs/>
              <w:color w:val="359D6E"/>
              <w:sz w:val="16"/>
              <w:szCs w:val="16"/>
            </w:rPr>
          </w:pPr>
          <w:r w:rsidRPr="008960A1">
            <w:rPr>
              <w:rFonts w:ascii="Arial" w:hAnsi="Arial" w:cs="Arial"/>
              <w:bCs/>
              <w:color w:val="359D6E"/>
              <w:sz w:val="16"/>
              <w:szCs w:val="16"/>
            </w:rPr>
            <w:t>Martin Suuberg</w:t>
          </w:r>
        </w:p>
        <w:p w:rsidR="00045FC0" w:rsidRPr="008960A1" w:rsidRDefault="00045FC0" w:rsidP="00760224">
          <w:pPr>
            <w:pStyle w:val="Header"/>
            <w:ind w:right="10"/>
            <w:jc w:val="right"/>
            <w:rPr>
              <w:rFonts w:ascii="Arial" w:hAnsi="Arial" w:cs="Arial"/>
              <w:color w:val="359D6E"/>
              <w:sz w:val="14"/>
              <w:szCs w:val="14"/>
            </w:rPr>
          </w:pPr>
          <w:r w:rsidRPr="008960A1">
            <w:rPr>
              <w:rFonts w:ascii="Arial" w:hAnsi="Arial" w:cs="Arial"/>
              <w:color w:val="359D6E"/>
              <w:sz w:val="16"/>
              <w:szCs w:val="16"/>
            </w:rPr>
            <w:t>Commissioner</w:t>
          </w:r>
        </w:p>
      </w:tc>
    </w:tr>
  </w:tbl>
  <w:p w:rsidR="00045FC0" w:rsidRDefault="00045FC0" w:rsidP="00760224">
    <w:pPr>
      <w:pStyle w:val="Header"/>
    </w:pPr>
  </w:p>
  <w:p w:rsidR="00045FC0" w:rsidRDefault="00045FC0" w:rsidP="007602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0224"/>
    <w:rsid w:val="00001701"/>
    <w:rsid w:val="00045FC0"/>
    <w:rsid w:val="00075C1A"/>
    <w:rsid w:val="00113309"/>
    <w:rsid w:val="00117BE1"/>
    <w:rsid w:val="00137E64"/>
    <w:rsid w:val="00140341"/>
    <w:rsid w:val="001C4650"/>
    <w:rsid w:val="001D4B5A"/>
    <w:rsid w:val="00264990"/>
    <w:rsid w:val="002B29F7"/>
    <w:rsid w:val="002D45E3"/>
    <w:rsid w:val="002E00C0"/>
    <w:rsid w:val="002E35DC"/>
    <w:rsid w:val="002E769B"/>
    <w:rsid w:val="0031631C"/>
    <w:rsid w:val="00327586"/>
    <w:rsid w:val="00372396"/>
    <w:rsid w:val="003C60B3"/>
    <w:rsid w:val="003E148F"/>
    <w:rsid w:val="003E6675"/>
    <w:rsid w:val="00413C7C"/>
    <w:rsid w:val="00476FCE"/>
    <w:rsid w:val="004C782F"/>
    <w:rsid w:val="00532705"/>
    <w:rsid w:val="00570201"/>
    <w:rsid w:val="00576265"/>
    <w:rsid w:val="005B18ED"/>
    <w:rsid w:val="00607C65"/>
    <w:rsid w:val="00634037"/>
    <w:rsid w:val="006A5B5D"/>
    <w:rsid w:val="006B79D7"/>
    <w:rsid w:val="006F31E1"/>
    <w:rsid w:val="006F3676"/>
    <w:rsid w:val="00700D49"/>
    <w:rsid w:val="00727BAF"/>
    <w:rsid w:val="0073520A"/>
    <w:rsid w:val="00760224"/>
    <w:rsid w:val="008B0AD0"/>
    <w:rsid w:val="008E1CF1"/>
    <w:rsid w:val="008F2CB4"/>
    <w:rsid w:val="009245B2"/>
    <w:rsid w:val="00954B0B"/>
    <w:rsid w:val="009C4E0B"/>
    <w:rsid w:val="00A7134C"/>
    <w:rsid w:val="00B53C2E"/>
    <w:rsid w:val="00C124E3"/>
    <w:rsid w:val="00C56548"/>
    <w:rsid w:val="00CF0491"/>
    <w:rsid w:val="00DC313B"/>
    <w:rsid w:val="00DC5FF5"/>
    <w:rsid w:val="00E03F43"/>
    <w:rsid w:val="00EF7720"/>
    <w:rsid w:val="00F3067C"/>
    <w:rsid w:val="00F43B39"/>
    <w:rsid w:val="00F43E81"/>
    <w:rsid w:val="00F5606F"/>
    <w:rsid w:val="00F63A37"/>
    <w:rsid w:val="00FC5955"/>
    <w:rsid w:val="00FD319C"/>
    <w:rsid w:val="00FF5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24"/>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224"/>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22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0224"/>
  </w:style>
  <w:style w:type="paragraph" w:styleId="BalloonText">
    <w:name w:val="Balloon Text"/>
    <w:basedOn w:val="Normal"/>
    <w:link w:val="BalloonTextChar"/>
    <w:uiPriority w:val="99"/>
    <w:semiHidden/>
    <w:unhideWhenUsed/>
    <w:rsid w:val="0076022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0224"/>
    <w:rPr>
      <w:rFonts w:ascii="Tahoma" w:hAnsi="Tahoma" w:cs="Tahoma"/>
      <w:sz w:val="16"/>
      <w:szCs w:val="16"/>
    </w:rPr>
  </w:style>
  <w:style w:type="character" w:customStyle="1" w:styleId="Heading1Char">
    <w:name w:val="Heading 1 Char"/>
    <w:basedOn w:val="DefaultParagraphFont"/>
    <w:link w:val="Heading1"/>
    <w:rsid w:val="00760224"/>
    <w:rPr>
      <w:rFonts w:ascii="Times New Roman" w:eastAsia="Times New Roman" w:hAnsi="Times New Roman" w:cs="Times New Roman"/>
      <w:b/>
      <w:bCs/>
      <w:sz w:val="24"/>
      <w:szCs w:val="24"/>
      <w:u w:val="single"/>
    </w:rPr>
  </w:style>
  <w:style w:type="paragraph" w:styleId="FootnoteText">
    <w:name w:val="footnote text"/>
    <w:basedOn w:val="Normal"/>
    <w:link w:val="FootnoteTextChar"/>
    <w:semiHidden/>
    <w:rsid w:val="00760224"/>
    <w:rPr>
      <w:sz w:val="20"/>
      <w:szCs w:val="20"/>
    </w:rPr>
  </w:style>
  <w:style w:type="character" w:customStyle="1" w:styleId="FootnoteTextChar">
    <w:name w:val="Footnote Text Char"/>
    <w:basedOn w:val="DefaultParagraphFont"/>
    <w:link w:val="FootnoteText"/>
    <w:semiHidden/>
    <w:rsid w:val="00760224"/>
    <w:rPr>
      <w:rFonts w:ascii="Times New Roman" w:eastAsia="Times New Roman" w:hAnsi="Times New Roman" w:cs="Times New Roman"/>
      <w:sz w:val="20"/>
      <w:szCs w:val="20"/>
    </w:rPr>
  </w:style>
  <w:style w:type="character" w:styleId="FootnoteReference">
    <w:name w:val="footnote reference"/>
    <w:semiHidden/>
    <w:rsid w:val="00760224"/>
    <w:rPr>
      <w:vertAlign w:val="superscript"/>
    </w:rPr>
  </w:style>
  <w:style w:type="paragraph" w:styleId="BodyTextIndent">
    <w:name w:val="Body Text Indent"/>
    <w:basedOn w:val="Normal"/>
    <w:link w:val="BodyTextIndentChar"/>
    <w:rsid w:val="00760224"/>
    <w:pPr>
      <w:ind w:firstLine="720"/>
    </w:pPr>
    <w:rPr>
      <w:sz w:val="20"/>
    </w:rPr>
  </w:style>
  <w:style w:type="character" w:customStyle="1" w:styleId="BodyTextIndentChar">
    <w:name w:val="Body Text Indent Char"/>
    <w:basedOn w:val="DefaultParagraphFont"/>
    <w:link w:val="BodyTextIndent"/>
    <w:rsid w:val="00760224"/>
    <w:rPr>
      <w:rFonts w:ascii="Times New Roman" w:eastAsia="Times New Roman" w:hAnsi="Times New Roman" w:cs="Times New Roman"/>
      <w:sz w:val="20"/>
      <w:szCs w:val="24"/>
    </w:rPr>
  </w:style>
  <w:style w:type="paragraph" w:styleId="Title">
    <w:name w:val="Title"/>
    <w:basedOn w:val="Normal"/>
    <w:link w:val="TitleChar"/>
    <w:qFormat/>
    <w:rsid w:val="00760224"/>
    <w:pPr>
      <w:jc w:val="center"/>
    </w:pPr>
    <w:rPr>
      <w:b/>
      <w:szCs w:val="20"/>
    </w:rPr>
  </w:style>
  <w:style w:type="character" w:customStyle="1" w:styleId="TitleChar">
    <w:name w:val="Title Char"/>
    <w:basedOn w:val="DefaultParagraphFont"/>
    <w:link w:val="Title"/>
    <w:rsid w:val="00760224"/>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5405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2015-02-06T20:02:00Z</dcterms:created>
  <dc:creator>sgiorlandino</dc:creator>
  <lastModifiedBy>bmunster</lastModifiedBy>
  <dcterms:modified xsi:type="dcterms:W3CDTF">2015-02-06T20:02:00Z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273803759</vt:i4>
  </property>
  <property fmtid="{D5CDD505-2E9C-101B-9397-08002B2CF9AE}" pid="3" name="_NewReviewCycle">
    <vt:lpwstr/>
  </property>
  <property fmtid="{D5CDD505-2E9C-101B-9397-08002B2CF9AE}" pid="4" name="_EmailSubject">
    <vt:lpwstr>Gator Swansea Partners, LLLP, 2014-021</vt:lpwstr>
  </property>
  <property fmtid="{D5CDD505-2E9C-101B-9397-08002B2CF9AE}" pid="5" name="_AuthorEmail">
    <vt:lpwstr>Sal.Giorlandino@MassMail.State.MA.US</vt:lpwstr>
  </property>
  <property fmtid="{D5CDD505-2E9C-101B-9397-08002B2CF9AE}" pid="6" name="_AuthorEmailDisplayName">
    <vt:lpwstr>Giorlandino, Salvatore (DEP)</vt:lpwstr>
  </property>
  <property fmtid="{D5CDD505-2E9C-101B-9397-08002B2CF9AE}" pid="7" name="_ReviewingToolsShownOnce">
    <vt:lpwstr/>
  </property>
</Properties>
</file>