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926B4" w14:textId="77777777" w:rsidR="00EC2843" w:rsidRDefault="00EC2843"/>
    <w:p w14:paraId="1C547FCA" w14:textId="77777777" w:rsidR="00EC2843" w:rsidRPr="00492242" w:rsidRDefault="00EC2843" w:rsidP="00EC2843">
      <w:pPr>
        <w:jc w:val="center"/>
        <w:rPr>
          <w:rFonts w:ascii="Arial" w:hAnsi="Arial" w:cs="Arial"/>
          <w:b/>
          <w:sz w:val="24"/>
          <w:szCs w:val="24"/>
        </w:rPr>
      </w:pPr>
      <w:r w:rsidRPr="00492242">
        <w:rPr>
          <w:rFonts w:ascii="Arial" w:hAnsi="Arial" w:cs="Arial"/>
          <w:b/>
          <w:sz w:val="24"/>
          <w:szCs w:val="24"/>
        </w:rPr>
        <w:t>Governor’s Commission on Intellectual Disability</w:t>
      </w:r>
    </w:p>
    <w:p w14:paraId="70B7363B" w14:textId="170BD0C5" w:rsidR="00EC2843" w:rsidRPr="00492242" w:rsidRDefault="00A614DF" w:rsidP="00EC28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11, 2024</w:t>
      </w:r>
      <w:r w:rsidR="00EC2843" w:rsidRPr="00492242">
        <w:rPr>
          <w:rFonts w:ascii="Arial" w:hAnsi="Arial" w:cs="Arial"/>
          <w:b/>
          <w:sz w:val="24"/>
          <w:szCs w:val="24"/>
        </w:rPr>
        <w:t xml:space="preserve"> (Remote)</w:t>
      </w:r>
    </w:p>
    <w:p w14:paraId="3FA86B12" w14:textId="77777777" w:rsidR="00EC2843" w:rsidRPr="00492242" w:rsidRDefault="00EC2843" w:rsidP="00EC2843">
      <w:pPr>
        <w:jc w:val="center"/>
        <w:rPr>
          <w:rFonts w:ascii="Arial" w:hAnsi="Arial" w:cs="Arial"/>
          <w:b/>
          <w:sz w:val="24"/>
          <w:szCs w:val="24"/>
        </w:rPr>
      </w:pPr>
    </w:p>
    <w:p w14:paraId="3B207246" w14:textId="316949B3" w:rsidR="00EC2843" w:rsidRPr="004D6840" w:rsidRDefault="00EC2843" w:rsidP="00EC2843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 xml:space="preserve">The Governor’s Commission on Intellectual Disability met remotely on </w:t>
      </w:r>
      <w:r w:rsidR="00A614DF" w:rsidRPr="004D6840">
        <w:rPr>
          <w:rFonts w:cstheme="minorHAnsi"/>
          <w:sz w:val="26"/>
          <w:szCs w:val="26"/>
        </w:rPr>
        <w:t>September 11</w:t>
      </w:r>
      <w:r w:rsidR="0087508F" w:rsidRPr="004D6840">
        <w:rPr>
          <w:rFonts w:cstheme="minorHAnsi"/>
          <w:sz w:val="26"/>
          <w:szCs w:val="26"/>
        </w:rPr>
        <w:t>, 202</w:t>
      </w:r>
      <w:r w:rsidR="0056044B" w:rsidRPr="004D6840">
        <w:rPr>
          <w:rFonts w:cstheme="minorHAnsi"/>
          <w:sz w:val="26"/>
          <w:szCs w:val="26"/>
        </w:rPr>
        <w:t>4</w:t>
      </w:r>
      <w:r w:rsidRPr="004D6840">
        <w:rPr>
          <w:rFonts w:cstheme="minorHAnsi"/>
          <w:sz w:val="26"/>
          <w:szCs w:val="26"/>
        </w:rPr>
        <w:t>. Those attending were members: Jim Brett (Chair</w:t>
      </w:r>
      <w:r w:rsidR="00A614DF" w:rsidRPr="004D6840">
        <w:rPr>
          <w:rFonts w:cstheme="minorHAnsi"/>
          <w:sz w:val="26"/>
          <w:szCs w:val="26"/>
        </w:rPr>
        <w:t>), Marjorie</w:t>
      </w:r>
      <w:r w:rsidR="0039058F" w:rsidRPr="004D6840">
        <w:rPr>
          <w:rFonts w:cstheme="minorHAnsi"/>
          <w:sz w:val="26"/>
          <w:szCs w:val="26"/>
        </w:rPr>
        <w:t xml:space="preserve"> Cohen, </w:t>
      </w:r>
      <w:r w:rsidR="00A614DF" w:rsidRPr="004D6840">
        <w:rPr>
          <w:rFonts w:cstheme="minorHAnsi"/>
          <w:sz w:val="26"/>
          <w:szCs w:val="26"/>
        </w:rPr>
        <w:t>Doreen Cummings</w:t>
      </w:r>
      <w:r w:rsidRPr="004D6840">
        <w:rPr>
          <w:rFonts w:cstheme="minorHAnsi"/>
          <w:sz w:val="26"/>
          <w:szCs w:val="26"/>
        </w:rPr>
        <w:t xml:space="preserve">, Anne Fracht, Becca </w:t>
      </w:r>
      <w:r w:rsidR="00A614DF" w:rsidRPr="004D6840">
        <w:rPr>
          <w:rFonts w:cstheme="minorHAnsi"/>
          <w:sz w:val="26"/>
          <w:szCs w:val="26"/>
        </w:rPr>
        <w:t>Gould.</w:t>
      </w:r>
      <w:r w:rsidRPr="004D6840">
        <w:rPr>
          <w:rFonts w:cstheme="minorHAnsi"/>
          <w:sz w:val="26"/>
          <w:szCs w:val="26"/>
        </w:rPr>
        <w:t xml:space="preserve">  DDS: </w:t>
      </w:r>
      <w:r w:rsidR="00A614DF" w:rsidRPr="004D6840">
        <w:rPr>
          <w:rFonts w:cstheme="minorHAnsi"/>
          <w:sz w:val="26"/>
          <w:szCs w:val="26"/>
        </w:rPr>
        <w:t>Acting Commissioner Sarah Peterson</w:t>
      </w:r>
      <w:r w:rsidRPr="004D6840">
        <w:rPr>
          <w:rFonts w:cstheme="minorHAnsi"/>
          <w:sz w:val="26"/>
          <w:szCs w:val="26"/>
        </w:rPr>
        <w:t>, Christopher Klaskin, Tim Cahill,</w:t>
      </w:r>
      <w:r w:rsidR="0039058F" w:rsidRPr="004D6840">
        <w:rPr>
          <w:rFonts w:cstheme="minorHAnsi"/>
          <w:sz w:val="26"/>
          <w:szCs w:val="26"/>
        </w:rPr>
        <w:t xml:space="preserve"> Laney Bruner-Canhoto, Meghan Allen. </w:t>
      </w:r>
      <w:r w:rsidRPr="004D6840">
        <w:rPr>
          <w:rFonts w:cstheme="minorHAnsi"/>
          <w:sz w:val="26"/>
          <w:szCs w:val="26"/>
        </w:rPr>
        <w:t xml:space="preserve">Dylan Lattimer, </w:t>
      </w:r>
      <w:r w:rsidR="00A614DF" w:rsidRPr="004D6840">
        <w:rPr>
          <w:rFonts w:cstheme="minorHAnsi"/>
          <w:sz w:val="26"/>
          <w:szCs w:val="26"/>
        </w:rPr>
        <w:t xml:space="preserve">Jennifer Mcgonagle, Holly </w:t>
      </w:r>
      <w:r w:rsidR="004D6840" w:rsidRPr="004D6840">
        <w:rPr>
          <w:rFonts w:cstheme="minorHAnsi"/>
          <w:sz w:val="26"/>
          <w:szCs w:val="26"/>
        </w:rPr>
        <w:t>McCarthy and</w:t>
      </w:r>
      <w:r w:rsidRPr="004D6840">
        <w:rPr>
          <w:rFonts w:cstheme="minorHAnsi"/>
          <w:sz w:val="26"/>
          <w:szCs w:val="26"/>
        </w:rPr>
        <w:t xml:space="preserve"> Victor Hernandez.</w:t>
      </w:r>
    </w:p>
    <w:p w14:paraId="63CB6A56" w14:textId="586D3BA5" w:rsidR="0056044B" w:rsidRPr="004D6840" w:rsidRDefault="0056044B" w:rsidP="0056044B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Chairman Brett opened the meeting at 3:0</w:t>
      </w:r>
      <w:r w:rsidR="00A614DF" w:rsidRPr="004D6840">
        <w:rPr>
          <w:rFonts w:cstheme="minorHAnsi"/>
          <w:sz w:val="26"/>
          <w:szCs w:val="26"/>
        </w:rPr>
        <w:t>3</w:t>
      </w:r>
      <w:r w:rsidRPr="004D6840">
        <w:rPr>
          <w:rFonts w:cstheme="minorHAnsi"/>
          <w:sz w:val="26"/>
          <w:szCs w:val="26"/>
        </w:rPr>
        <w:t>pm and thanked everyone for joining.</w:t>
      </w:r>
    </w:p>
    <w:p w14:paraId="5E2DCF88" w14:textId="77777777" w:rsidR="00A614DF" w:rsidRPr="004D6840" w:rsidRDefault="0056044B" w:rsidP="0056044B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 xml:space="preserve">The </w:t>
      </w:r>
      <w:r w:rsidR="00A614DF" w:rsidRPr="004D6840">
        <w:rPr>
          <w:rFonts w:cstheme="minorHAnsi"/>
          <w:sz w:val="26"/>
          <w:szCs w:val="26"/>
        </w:rPr>
        <w:t>February 2024</w:t>
      </w:r>
      <w:r w:rsidRPr="004D6840">
        <w:rPr>
          <w:rFonts w:cstheme="minorHAnsi"/>
          <w:sz w:val="26"/>
          <w:szCs w:val="26"/>
        </w:rPr>
        <w:t xml:space="preserve"> minutes were approved.</w:t>
      </w:r>
    </w:p>
    <w:p w14:paraId="31DA65FB" w14:textId="626D84A4" w:rsidR="002F55E8" w:rsidRPr="004D6840" w:rsidRDefault="002F55E8" w:rsidP="002F55E8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 xml:space="preserve">Acting </w:t>
      </w:r>
      <w:r w:rsidRPr="004D6840">
        <w:rPr>
          <w:rFonts w:cstheme="minorHAnsi"/>
          <w:sz w:val="26"/>
          <w:szCs w:val="26"/>
        </w:rPr>
        <w:t>Commissioner</w:t>
      </w:r>
      <w:r w:rsidRPr="004D6840">
        <w:rPr>
          <w:rFonts w:cstheme="minorHAnsi"/>
          <w:sz w:val="26"/>
          <w:szCs w:val="26"/>
        </w:rPr>
        <w:t xml:space="preserve"> </w:t>
      </w:r>
      <w:r w:rsidR="00A614DF" w:rsidRPr="004D6840">
        <w:rPr>
          <w:rFonts w:cstheme="minorHAnsi"/>
          <w:sz w:val="26"/>
          <w:szCs w:val="26"/>
        </w:rPr>
        <w:t xml:space="preserve">Sarah Peterson </w:t>
      </w:r>
      <w:r w:rsidRPr="004D6840">
        <w:rPr>
          <w:rFonts w:cstheme="minorHAnsi"/>
          <w:sz w:val="26"/>
          <w:szCs w:val="26"/>
        </w:rPr>
        <w:t>highlighted the DDS l</w:t>
      </w:r>
      <w:r w:rsidRPr="004D6840">
        <w:rPr>
          <w:rFonts w:cstheme="minorHAnsi"/>
          <w:sz w:val="26"/>
          <w:szCs w:val="26"/>
        </w:rPr>
        <w:t>eadership transition</w:t>
      </w:r>
      <w:r w:rsidRPr="004D6840">
        <w:rPr>
          <w:rFonts w:cstheme="minorHAnsi"/>
          <w:sz w:val="26"/>
          <w:szCs w:val="26"/>
        </w:rPr>
        <w:t>, the i</w:t>
      </w:r>
      <w:r w:rsidRPr="004D6840">
        <w:rPr>
          <w:rFonts w:cstheme="minorHAnsi"/>
          <w:sz w:val="26"/>
          <w:szCs w:val="26"/>
        </w:rPr>
        <w:t>ncrease in Ch 257 rates which will help to address salaries and staff vacancies</w:t>
      </w:r>
      <w:r w:rsidRPr="004D6840">
        <w:rPr>
          <w:rFonts w:cstheme="minorHAnsi"/>
          <w:sz w:val="26"/>
          <w:szCs w:val="26"/>
        </w:rPr>
        <w:t>, our i</w:t>
      </w:r>
      <w:r w:rsidRPr="004D6840">
        <w:rPr>
          <w:rFonts w:cstheme="minorHAnsi"/>
          <w:sz w:val="26"/>
          <w:szCs w:val="26"/>
        </w:rPr>
        <w:t xml:space="preserve">ncrease in our Turning 22 account to address the program needs of our largest turning 22 class </w:t>
      </w:r>
      <w:r w:rsidRPr="004D6840">
        <w:rPr>
          <w:rFonts w:cstheme="minorHAnsi"/>
          <w:sz w:val="26"/>
          <w:szCs w:val="26"/>
        </w:rPr>
        <w:t>to date</w:t>
      </w:r>
      <w:r w:rsidRPr="004D6840">
        <w:rPr>
          <w:rFonts w:cstheme="minorHAnsi"/>
          <w:sz w:val="26"/>
          <w:szCs w:val="26"/>
        </w:rPr>
        <w:t>,</w:t>
      </w:r>
      <w:r w:rsidRPr="004D6840">
        <w:rPr>
          <w:rFonts w:cstheme="minorHAnsi"/>
          <w:sz w:val="26"/>
          <w:szCs w:val="26"/>
        </w:rPr>
        <w:t xml:space="preserve"> the </w:t>
      </w:r>
      <w:r w:rsidRPr="004D6840">
        <w:rPr>
          <w:rFonts w:cstheme="minorHAnsi"/>
          <w:sz w:val="26"/>
          <w:szCs w:val="26"/>
        </w:rPr>
        <w:t xml:space="preserve">Supports Intensity Scale - Adult Version (SIS-A) is continuing to assess a pilot group across the state with 5 new DDS assessors. </w:t>
      </w:r>
      <w:r w:rsidRPr="004D6840">
        <w:rPr>
          <w:rFonts w:cstheme="minorHAnsi"/>
          <w:sz w:val="26"/>
          <w:szCs w:val="26"/>
        </w:rPr>
        <w:t xml:space="preserve">The </w:t>
      </w:r>
      <w:r w:rsidRPr="004D6840">
        <w:rPr>
          <w:rFonts w:cstheme="minorHAnsi"/>
          <w:sz w:val="26"/>
          <w:szCs w:val="26"/>
        </w:rPr>
        <w:t>SIS-A is unique because it identifies the support needs of IDD individuals from a strength-based approach.</w:t>
      </w:r>
      <w:r w:rsidRPr="004D6840">
        <w:rPr>
          <w:rFonts w:cstheme="minorHAnsi"/>
          <w:sz w:val="26"/>
          <w:szCs w:val="26"/>
        </w:rPr>
        <w:t xml:space="preserve"> </w:t>
      </w:r>
      <w:r w:rsidRPr="004D6840">
        <w:rPr>
          <w:rFonts w:cstheme="minorHAnsi"/>
          <w:sz w:val="26"/>
          <w:szCs w:val="26"/>
        </w:rPr>
        <w:t xml:space="preserve">As a follow up to our </w:t>
      </w:r>
      <w:r w:rsidRPr="004D6840">
        <w:rPr>
          <w:rFonts w:cstheme="minorHAnsi"/>
          <w:sz w:val="26"/>
          <w:szCs w:val="26"/>
        </w:rPr>
        <w:t>February</w:t>
      </w:r>
      <w:r w:rsidRPr="004D6840">
        <w:rPr>
          <w:rFonts w:cstheme="minorHAnsi"/>
          <w:sz w:val="26"/>
          <w:szCs w:val="26"/>
        </w:rPr>
        <w:t xml:space="preserve"> meeting which included “Quality Management Safeguarding </w:t>
      </w:r>
      <w:r w:rsidR="004D6840" w:rsidRPr="004D6840">
        <w:rPr>
          <w:rFonts w:cstheme="minorHAnsi"/>
          <w:sz w:val="26"/>
          <w:szCs w:val="26"/>
        </w:rPr>
        <w:t>Systems” to</w:t>
      </w:r>
      <w:r w:rsidRPr="004D6840">
        <w:rPr>
          <w:rFonts w:cstheme="minorHAnsi"/>
          <w:sz w:val="26"/>
          <w:szCs w:val="26"/>
        </w:rPr>
        <w:t xml:space="preserve"> better support the health, safety and wellbeing of our individuals, DDS has </w:t>
      </w:r>
      <w:r w:rsidR="00D74D81" w:rsidRPr="004D6840">
        <w:rPr>
          <w:rFonts w:cstheme="minorHAnsi"/>
          <w:sz w:val="26"/>
          <w:szCs w:val="26"/>
        </w:rPr>
        <w:t>secured a</w:t>
      </w:r>
      <w:r w:rsidRPr="004D6840">
        <w:rPr>
          <w:rFonts w:cstheme="minorHAnsi"/>
          <w:sz w:val="26"/>
          <w:szCs w:val="26"/>
        </w:rPr>
        <w:t xml:space="preserve"> medical ethicist to assist with consultation on conflict resolution, treatment dilemmas, and end-of-life/palliative care concerns, along with the </w:t>
      </w:r>
      <w:r w:rsidR="00D74D81" w:rsidRPr="004D6840">
        <w:rPr>
          <w:rFonts w:cstheme="minorHAnsi"/>
          <w:sz w:val="26"/>
          <w:szCs w:val="26"/>
        </w:rPr>
        <w:t>continued services</w:t>
      </w:r>
      <w:r w:rsidRPr="004D6840">
        <w:rPr>
          <w:rFonts w:cstheme="minorHAnsi"/>
          <w:sz w:val="26"/>
          <w:szCs w:val="26"/>
        </w:rPr>
        <w:t xml:space="preserve"> of Dr. Deb Dreyfuss as the chief medical advisor to the Department. </w:t>
      </w:r>
      <w:r w:rsidRPr="004D6840">
        <w:rPr>
          <w:rFonts w:cstheme="minorHAnsi"/>
          <w:sz w:val="26"/>
          <w:szCs w:val="26"/>
        </w:rPr>
        <w:t>T</w:t>
      </w:r>
      <w:r w:rsidRPr="004D6840">
        <w:rPr>
          <w:rFonts w:cstheme="minorHAnsi"/>
          <w:sz w:val="26"/>
          <w:szCs w:val="26"/>
        </w:rPr>
        <w:t xml:space="preserve">he Affordable Homes Act signed by the Governor last month, included $70M for the Facilities Consolidation Fund (FCF) which supports the development of community-based housing for individuals served </w:t>
      </w:r>
      <w:r w:rsidR="004D6840" w:rsidRPr="004D6840">
        <w:rPr>
          <w:rFonts w:cstheme="minorHAnsi"/>
          <w:sz w:val="26"/>
          <w:szCs w:val="26"/>
        </w:rPr>
        <w:t>by the</w:t>
      </w:r>
      <w:r w:rsidRPr="004D6840">
        <w:rPr>
          <w:rFonts w:cstheme="minorHAnsi"/>
          <w:sz w:val="26"/>
          <w:szCs w:val="26"/>
        </w:rPr>
        <w:t xml:space="preserve"> Department of Mental Health and Department of Developmental Services.</w:t>
      </w:r>
    </w:p>
    <w:p w14:paraId="16E97C1B" w14:textId="4213722F" w:rsidR="00A614DF" w:rsidRPr="004D6840" w:rsidRDefault="0056044B" w:rsidP="00A614DF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Dylan Lattimore, DDS Assistant Commissioner of Management and Finance reviewed the DDS FY25 budget</w:t>
      </w:r>
      <w:r w:rsidR="00A614DF" w:rsidRPr="004D6840">
        <w:rPr>
          <w:rFonts w:cstheme="minorHAnsi"/>
          <w:sz w:val="26"/>
          <w:szCs w:val="26"/>
        </w:rPr>
        <w:t xml:space="preserve">. </w:t>
      </w:r>
      <w:r w:rsidR="00A614DF" w:rsidRPr="004D6840">
        <w:rPr>
          <w:rFonts w:cstheme="minorHAnsi"/>
          <w:sz w:val="26"/>
          <w:szCs w:val="26"/>
        </w:rPr>
        <w:t xml:space="preserve">DDS is funded at $2.9B </w:t>
      </w:r>
      <w:r w:rsidR="00A614DF" w:rsidRPr="004D6840">
        <w:rPr>
          <w:rFonts w:cstheme="minorHAnsi"/>
          <w:sz w:val="26"/>
          <w:szCs w:val="26"/>
        </w:rPr>
        <w:t xml:space="preserve">with an </w:t>
      </w:r>
      <w:r w:rsidR="00A614DF" w:rsidRPr="004D6840">
        <w:rPr>
          <w:rFonts w:cstheme="minorHAnsi"/>
          <w:sz w:val="26"/>
          <w:szCs w:val="26"/>
        </w:rPr>
        <w:t>increase of $106M over FY24</w:t>
      </w:r>
      <w:r w:rsidR="00A614DF" w:rsidRPr="004D6840">
        <w:rPr>
          <w:rFonts w:cstheme="minorHAnsi"/>
          <w:sz w:val="26"/>
          <w:szCs w:val="26"/>
        </w:rPr>
        <w:t>.</w:t>
      </w:r>
      <w:r w:rsidR="00A614DF" w:rsidRPr="004D6840">
        <w:rPr>
          <w:rFonts w:cstheme="minorHAnsi"/>
          <w:sz w:val="26"/>
          <w:szCs w:val="26"/>
        </w:rPr>
        <w:t xml:space="preserve"> DDS will be receiving the following additional resources during FY25:</w:t>
      </w:r>
    </w:p>
    <w:p w14:paraId="164ADCE5" w14:textId="77777777" w:rsidR="00A614DF" w:rsidRPr="004D6840" w:rsidRDefault="00A614DF" w:rsidP="00A614DF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$366M in Chapter 257 Reserve Transfers</w:t>
      </w:r>
    </w:p>
    <w:p w14:paraId="510902CD" w14:textId="77777777" w:rsidR="00A614DF" w:rsidRPr="004D6840" w:rsidRDefault="00A614DF" w:rsidP="00A614DF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$8M in Collective Bargaining Transfers</w:t>
      </w:r>
    </w:p>
    <w:p w14:paraId="61BD427F" w14:textId="77777777" w:rsidR="00A614DF" w:rsidRPr="004D6840" w:rsidRDefault="00A614DF" w:rsidP="00A614DF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$12M in ARPA Transfers</w:t>
      </w:r>
    </w:p>
    <w:p w14:paraId="34ACDBAD" w14:textId="77777777" w:rsidR="00A614DF" w:rsidRPr="004D6840" w:rsidRDefault="00A614DF" w:rsidP="00A614DF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$283M for operation of ABI/MFP Residential Waiver programs</w:t>
      </w:r>
    </w:p>
    <w:p w14:paraId="66745802" w14:textId="3F554606" w:rsidR="00A614DF" w:rsidRPr="004D6840" w:rsidRDefault="00A614DF" w:rsidP="00A614DF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 xml:space="preserve">$12M for operation of </w:t>
      </w:r>
      <w:r w:rsidR="00D74D81">
        <w:rPr>
          <w:rFonts w:cstheme="minorHAnsi"/>
          <w:sz w:val="26"/>
          <w:szCs w:val="26"/>
        </w:rPr>
        <w:t xml:space="preserve">the </w:t>
      </w:r>
      <w:r w:rsidRPr="004D6840">
        <w:rPr>
          <w:rFonts w:cstheme="minorHAnsi"/>
          <w:sz w:val="26"/>
          <w:szCs w:val="26"/>
        </w:rPr>
        <w:t>DESE Transitional program</w:t>
      </w:r>
    </w:p>
    <w:p w14:paraId="18612E9A" w14:textId="58C103AC" w:rsidR="00A614DF" w:rsidRPr="004D6840" w:rsidRDefault="00A614DF" w:rsidP="00A614DF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lastRenderedPageBreak/>
        <w:t>Other h</w:t>
      </w:r>
      <w:r w:rsidRPr="004D6840">
        <w:rPr>
          <w:rFonts w:cstheme="minorHAnsi"/>
          <w:sz w:val="26"/>
          <w:szCs w:val="26"/>
        </w:rPr>
        <w:t xml:space="preserve">ighlights of the FY25 </w:t>
      </w:r>
      <w:r w:rsidRPr="004D6840">
        <w:rPr>
          <w:rFonts w:cstheme="minorHAnsi"/>
          <w:sz w:val="26"/>
          <w:szCs w:val="26"/>
        </w:rPr>
        <w:t xml:space="preserve">budget </w:t>
      </w:r>
      <w:r w:rsidRPr="004D6840">
        <w:rPr>
          <w:rFonts w:cstheme="minorHAnsi"/>
          <w:sz w:val="26"/>
          <w:szCs w:val="26"/>
        </w:rPr>
        <w:t>include:</w:t>
      </w:r>
    </w:p>
    <w:p w14:paraId="634596AC" w14:textId="77777777" w:rsidR="00A614DF" w:rsidRPr="004D6840" w:rsidRDefault="00A614DF" w:rsidP="00A614DF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$125M for the FY24 &amp; FY25 Turning-22 Class</w:t>
      </w:r>
    </w:p>
    <w:p w14:paraId="6F4227D2" w14:textId="77777777" w:rsidR="00A614DF" w:rsidRPr="004D6840" w:rsidRDefault="00A614DF" w:rsidP="00A614DF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Rate increases for Residential Services and Shared Living</w:t>
      </w:r>
    </w:p>
    <w:p w14:paraId="5EC76B09" w14:textId="77777777" w:rsidR="00A614DF" w:rsidRPr="004D6840" w:rsidRDefault="00A614DF" w:rsidP="00A614DF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New rates for behaviorally intensive programs</w:t>
      </w:r>
    </w:p>
    <w:p w14:paraId="2362291D" w14:textId="7F7E0DAF" w:rsidR="00A614DF" w:rsidRPr="004D6840" w:rsidRDefault="00A614DF" w:rsidP="00A614DF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 xml:space="preserve">30% increase for Shared Living </w:t>
      </w:r>
    </w:p>
    <w:p w14:paraId="52886D4A" w14:textId="77777777" w:rsidR="00A614DF" w:rsidRPr="004D6840" w:rsidRDefault="00A614DF" w:rsidP="00A614DF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$9M (18%) increase for Adult Autism services</w:t>
      </w:r>
    </w:p>
    <w:p w14:paraId="56D5A465" w14:textId="77777777" w:rsidR="00A614DF" w:rsidRPr="004D6840" w:rsidRDefault="00A614DF" w:rsidP="00A614DF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$21M increase to Family Support Account</w:t>
      </w:r>
    </w:p>
    <w:p w14:paraId="160A0766" w14:textId="5D10A1D6" w:rsidR="0056044B" w:rsidRPr="004D6840" w:rsidRDefault="00A614DF" w:rsidP="00A614DF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$44M increase to Employment and Day Account</w:t>
      </w:r>
    </w:p>
    <w:p w14:paraId="4EFDFCDB" w14:textId="77777777" w:rsidR="004D6840" w:rsidRDefault="004D6840" w:rsidP="004D6840">
      <w:pPr>
        <w:rPr>
          <w:rFonts w:cstheme="minorHAnsi"/>
          <w:sz w:val="26"/>
          <w:szCs w:val="26"/>
        </w:rPr>
      </w:pPr>
    </w:p>
    <w:p w14:paraId="56B4A1A4" w14:textId="15B33C67" w:rsidR="004D6840" w:rsidRPr="004D6840" w:rsidRDefault="002F55E8" w:rsidP="0056044B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Victor Hernandez reviewed the changing landscape of the DDS community housing</w:t>
      </w:r>
      <w:r w:rsidR="004D6840" w:rsidRPr="004D6840">
        <w:rPr>
          <w:rFonts w:cstheme="minorHAnsi"/>
          <w:sz w:val="26"/>
          <w:szCs w:val="26"/>
        </w:rPr>
        <w:t xml:space="preserve"> efforts</w:t>
      </w:r>
      <w:r w:rsidRPr="004D6840">
        <w:rPr>
          <w:rFonts w:cstheme="minorHAnsi"/>
          <w:sz w:val="26"/>
          <w:szCs w:val="26"/>
        </w:rPr>
        <w:t xml:space="preserve">. </w:t>
      </w:r>
      <w:r w:rsidR="004D6840" w:rsidRPr="004D6840">
        <w:rPr>
          <w:rFonts w:cstheme="minorHAnsi"/>
          <w:sz w:val="26"/>
          <w:szCs w:val="26"/>
        </w:rPr>
        <w:t>In 2008, DDS adopted the Community Services Expansion and Facility Consolidation Plan. The Plan provided for the closing of four of the Department’s six facilities (Fernald, Monson, Templeton, and Glavin)</w:t>
      </w:r>
      <w:r w:rsidR="004D6840" w:rsidRPr="004D6840">
        <w:rPr>
          <w:rFonts w:cstheme="minorHAnsi"/>
          <w:sz w:val="26"/>
          <w:szCs w:val="26"/>
        </w:rPr>
        <w:t xml:space="preserve">. </w:t>
      </w:r>
      <w:r w:rsidR="004D6840" w:rsidRPr="004D6840">
        <w:rPr>
          <w:rFonts w:cstheme="minorHAnsi"/>
          <w:sz w:val="26"/>
          <w:szCs w:val="26"/>
        </w:rPr>
        <w:t xml:space="preserve">The expansion of the community </w:t>
      </w:r>
      <w:r w:rsidR="004D6840" w:rsidRPr="004D6840">
        <w:rPr>
          <w:rFonts w:cstheme="minorHAnsi"/>
          <w:sz w:val="26"/>
          <w:szCs w:val="26"/>
        </w:rPr>
        <w:t xml:space="preserve">service </w:t>
      </w:r>
      <w:r w:rsidR="004D6840" w:rsidRPr="004D6840">
        <w:rPr>
          <w:rFonts w:cstheme="minorHAnsi"/>
          <w:sz w:val="26"/>
          <w:szCs w:val="26"/>
        </w:rPr>
        <w:t>system create</w:t>
      </w:r>
      <w:r w:rsidR="004D6840" w:rsidRPr="004D6840">
        <w:rPr>
          <w:rFonts w:cstheme="minorHAnsi"/>
          <w:sz w:val="26"/>
          <w:szCs w:val="26"/>
        </w:rPr>
        <w:t>d</w:t>
      </w:r>
      <w:r w:rsidR="004D6840" w:rsidRPr="004D6840">
        <w:rPr>
          <w:rFonts w:cstheme="minorHAnsi"/>
          <w:sz w:val="26"/>
          <w:szCs w:val="26"/>
        </w:rPr>
        <w:t xml:space="preserve"> community options for those then living in the developmental centers</w:t>
      </w:r>
      <w:r w:rsidR="004D6840" w:rsidRPr="004D6840">
        <w:rPr>
          <w:rFonts w:cstheme="minorHAnsi"/>
          <w:sz w:val="26"/>
          <w:szCs w:val="26"/>
        </w:rPr>
        <w:t xml:space="preserve">. To do this, </w:t>
      </w:r>
      <w:r w:rsidR="004D6840" w:rsidRPr="004D6840">
        <w:rPr>
          <w:rFonts w:cstheme="minorHAnsi"/>
          <w:sz w:val="26"/>
          <w:szCs w:val="26"/>
        </w:rPr>
        <w:t xml:space="preserve">DDS developed an aggressive housing agenda to increase the supply of housing for DDS individuals. </w:t>
      </w:r>
      <w:r w:rsidR="004D6840" w:rsidRPr="004D6840">
        <w:rPr>
          <w:rFonts w:cstheme="minorHAnsi"/>
          <w:sz w:val="26"/>
          <w:szCs w:val="26"/>
        </w:rPr>
        <w:t xml:space="preserve">This </w:t>
      </w:r>
      <w:r w:rsidR="004D6840" w:rsidRPr="004D6840">
        <w:rPr>
          <w:rFonts w:cstheme="minorHAnsi"/>
          <w:sz w:val="26"/>
          <w:szCs w:val="26"/>
        </w:rPr>
        <w:t>switch from facilities-based programs gave way to the development of small single-family residences located throughout the Commonwealth.</w:t>
      </w:r>
      <w:r w:rsidR="004D6840" w:rsidRPr="004D6840">
        <w:rPr>
          <w:rFonts w:cstheme="minorHAnsi"/>
          <w:sz w:val="26"/>
          <w:szCs w:val="26"/>
        </w:rPr>
        <w:t xml:space="preserve"> Over time in MA, t</w:t>
      </w:r>
      <w:r w:rsidR="004D6840" w:rsidRPr="004D6840">
        <w:rPr>
          <w:rFonts w:cstheme="minorHAnsi"/>
          <w:sz w:val="26"/>
          <w:szCs w:val="26"/>
        </w:rPr>
        <w:t>he number of homes being built has not kept up with the demand leading to a shortage of homes</w:t>
      </w:r>
      <w:r w:rsidR="004D6840" w:rsidRPr="004D6840">
        <w:rPr>
          <w:rFonts w:cstheme="minorHAnsi"/>
          <w:sz w:val="26"/>
          <w:szCs w:val="26"/>
        </w:rPr>
        <w:t xml:space="preserve"> being available. </w:t>
      </w:r>
      <w:r w:rsidR="004D6840" w:rsidRPr="004D6840">
        <w:rPr>
          <w:rFonts w:cstheme="minorHAnsi"/>
          <w:sz w:val="26"/>
          <w:szCs w:val="26"/>
        </w:rPr>
        <w:t xml:space="preserve">There are </w:t>
      </w:r>
      <w:r w:rsidR="004D6840" w:rsidRPr="004D6840">
        <w:rPr>
          <w:rFonts w:cstheme="minorHAnsi"/>
          <w:sz w:val="26"/>
          <w:szCs w:val="26"/>
        </w:rPr>
        <w:t xml:space="preserve">now </w:t>
      </w:r>
      <w:r w:rsidR="004D6840" w:rsidRPr="004D6840">
        <w:rPr>
          <w:rFonts w:cstheme="minorHAnsi"/>
          <w:sz w:val="26"/>
          <w:szCs w:val="26"/>
        </w:rPr>
        <w:t>more people looking to buy a home than there are homes available.</w:t>
      </w:r>
      <w:r w:rsidR="004D6840" w:rsidRPr="004D6840">
        <w:rPr>
          <w:rFonts w:cstheme="minorHAnsi"/>
          <w:sz w:val="26"/>
          <w:szCs w:val="26"/>
        </w:rPr>
        <w:t xml:space="preserve"> This created a competitive market for available homes along with limited </w:t>
      </w:r>
      <w:r w:rsidR="004D6840" w:rsidRPr="004D6840">
        <w:rPr>
          <w:rFonts w:cstheme="minorHAnsi"/>
          <w:sz w:val="26"/>
          <w:szCs w:val="26"/>
        </w:rPr>
        <w:t>buildable lots</w:t>
      </w:r>
      <w:r w:rsidR="004D6840" w:rsidRPr="004D6840">
        <w:rPr>
          <w:rFonts w:cstheme="minorHAnsi"/>
          <w:sz w:val="26"/>
          <w:szCs w:val="26"/>
        </w:rPr>
        <w:t xml:space="preserve"> where in </w:t>
      </w:r>
      <w:r w:rsidR="004D6840" w:rsidRPr="004D6840">
        <w:rPr>
          <w:rFonts w:cstheme="minorHAnsi"/>
          <w:sz w:val="26"/>
          <w:szCs w:val="26"/>
        </w:rPr>
        <w:t>populated areas</w:t>
      </w:r>
      <w:r w:rsidR="004D6840" w:rsidRPr="004D6840">
        <w:rPr>
          <w:rFonts w:cstheme="minorHAnsi"/>
          <w:sz w:val="26"/>
          <w:szCs w:val="26"/>
        </w:rPr>
        <w:t xml:space="preserve"> buildable lots are </w:t>
      </w:r>
      <w:r w:rsidR="004D6840" w:rsidRPr="004D6840">
        <w:rPr>
          <w:rFonts w:cstheme="minorHAnsi"/>
          <w:sz w:val="26"/>
          <w:szCs w:val="26"/>
        </w:rPr>
        <w:t>limited</w:t>
      </w:r>
      <w:r w:rsidR="004D6840" w:rsidRPr="004D6840">
        <w:rPr>
          <w:rFonts w:cstheme="minorHAnsi"/>
          <w:sz w:val="26"/>
          <w:szCs w:val="26"/>
        </w:rPr>
        <w:t xml:space="preserve">. To address this, </w:t>
      </w:r>
      <w:r w:rsidR="004D6840" w:rsidRPr="004D6840">
        <w:rPr>
          <w:rFonts w:cstheme="minorHAnsi"/>
          <w:sz w:val="26"/>
          <w:szCs w:val="26"/>
        </w:rPr>
        <w:t>DDS has developed an integrated housing model to meet the accessibility and support needs of the individuals in this challenging housing environment.</w:t>
      </w:r>
      <w:r w:rsidR="004D6840" w:rsidRPr="004D6840">
        <w:rPr>
          <w:rFonts w:cstheme="minorHAnsi"/>
          <w:sz w:val="26"/>
          <w:szCs w:val="26"/>
        </w:rPr>
        <w:t xml:space="preserve"> </w:t>
      </w:r>
      <w:r w:rsidR="004D6840" w:rsidRPr="004D6840">
        <w:rPr>
          <w:rFonts w:cstheme="minorHAnsi"/>
          <w:sz w:val="26"/>
          <w:szCs w:val="26"/>
        </w:rPr>
        <w:t>This model provides for apartment units that are integrated into larger multi-unit developments, allowing DDS individuals to live independently as part of a diverse community while still being able to receive and benefit from service supports</w:t>
      </w:r>
      <w:r w:rsidR="004D6840">
        <w:rPr>
          <w:rFonts w:cstheme="minorHAnsi"/>
          <w:sz w:val="26"/>
          <w:szCs w:val="26"/>
        </w:rPr>
        <w:t xml:space="preserve">. Assistant Commissioner for Quality Management, </w:t>
      </w:r>
      <w:r w:rsidR="004D6840" w:rsidRPr="004D6840">
        <w:rPr>
          <w:rFonts w:cstheme="minorHAnsi"/>
          <w:sz w:val="26"/>
          <w:szCs w:val="26"/>
        </w:rPr>
        <w:t>Laney Bruner-Canhoto</w:t>
      </w:r>
      <w:r w:rsidR="004D6840">
        <w:rPr>
          <w:rFonts w:cstheme="minorHAnsi"/>
          <w:sz w:val="26"/>
          <w:szCs w:val="26"/>
        </w:rPr>
        <w:t xml:space="preserve"> reviewed how licensing and certification </w:t>
      </w:r>
      <w:r w:rsidR="00D74D81">
        <w:rPr>
          <w:rFonts w:cstheme="minorHAnsi"/>
          <w:sz w:val="26"/>
          <w:szCs w:val="26"/>
        </w:rPr>
        <w:t xml:space="preserve">reviews these sites for community integration under the Medicaid </w:t>
      </w:r>
      <w:r w:rsidR="00D74D81" w:rsidRPr="00D74D81">
        <w:rPr>
          <w:rFonts w:cstheme="minorHAnsi"/>
          <w:sz w:val="26"/>
          <w:szCs w:val="26"/>
        </w:rPr>
        <w:t xml:space="preserve">Home and Community Based Settings </w:t>
      </w:r>
      <w:r w:rsidR="00D74D81">
        <w:rPr>
          <w:rFonts w:cstheme="minorHAnsi"/>
          <w:sz w:val="26"/>
          <w:szCs w:val="26"/>
        </w:rPr>
        <w:t xml:space="preserve">(HCBS) </w:t>
      </w:r>
      <w:r w:rsidR="00D74D81" w:rsidRPr="00D74D81">
        <w:rPr>
          <w:rFonts w:cstheme="minorHAnsi"/>
          <w:sz w:val="26"/>
          <w:szCs w:val="26"/>
        </w:rPr>
        <w:t>Policy</w:t>
      </w:r>
      <w:r w:rsidR="00D74D81">
        <w:rPr>
          <w:rFonts w:cstheme="minorHAnsi"/>
          <w:sz w:val="26"/>
          <w:szCs w:val="26"/>
        </w:rPr>
        <w:t>.</w:t>
      </w:r>
    </w:p>
    <w:p w14:paraId="1C1B7CBA" w14:textId="2ECDF4A2" w:rsidR="0056044B" w:rsidRPr="004D6840" w:rsidRDefault="0056044B" w:rsidP="0056044B">
      <w:pPr>
        <w:rPr>
          <w:rFonts w:cstheme="minorHAnsi"/>
          <w:sz w:val="26"/>
          <w:szCs w:val="26"/>
        </w:rPr>
      </w:pPr>
      <w:r w:rsidRPr="004D6840">
        <w:rPr>
          <w:rFonts w:cstheme="minorHAnsi"/>
          <w:sz w:val="26"/>
          <w:szCs w:val="26"/>
        </w:rPr>
        <w:t>Chairman Brett adjourned the meeting at 4:</w:t>
      </w:r>
      <w:r w:rsidR="004D6840" w:rsidRPr="004D6840">
        <w:rPr>
          <w:rFonts w:cstheme="minorHAnsi"/>
          <w:sz w:val="26"/>
          <w:szCs w:val="26"/>
        </w:rPr>
        <w:t>04</w:t>
      </w:r>
      <w:r w:rsidRPr="004D6840">
        <w:rPr>
          <w:rFonts w:cstheme="minorHAnsi"/>
          <w:sz w:val="26"/>
          <w:szCs w:val="26"/>
        </w:rPr>
        <w:t>pm.</w:t>
      </w:r>
    </w:p>
    <w:sectPr w:rsidR="0056044B" w:rsidRPr="004D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C1DCE"/>
    <w:multiLevelType w:val="hybridMultilevel"/>
    <w:tmpl w:val="4D2C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A5745"/>
    <w:multiLevelType w:val="hybridMultilevel"/>
    <w:tmpl w:val="6200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02024">
    <w:abstractNumId w:val="0"/>
  </w:num>
  <w:num w:numId="2" w16cid:durableId="67557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43"/>
    <w:rsid w:val="00100C6D"/>
    <w:rsid w:val="00126E40"/>
    <w:rsid w:val="00187342"/>
    <w:rsid w:val="00211E49"/>
    <w:rsid w:val="002F55E8"/>
    <w:rsid w:val="0039058F"/>
    <w:rsid w:val="004D6840"/>
    <w:rsid w:val="0056044B"/>
    <w:rsid w:val="00623DAE"/>
    <w:rsid w:val="00793F93"/>
    <w:rsid w:val="007C3A0D"/>
    <w:rsid w:val="00805383"/>
    <w:rsid w:val="00863FC5"/>
    <w:rsid w:val="0087508F"/>
    <w:rsid w:val="008A3588"/>
    <w:rsid w:val="00A614DF"/>
    <w:rsid w:val="00BE7D5E"/>
    <w:rsid w:val="00C128D3"/>
    <w:rsid w:val="00D74D81"/>
    <w:rsid w:val="00EC2843"/>
    <w:rsid w:val="00F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4524"/>
  <w15:chartTrackingRefBased/>
  <w15:docId w15:val="{083FFF3F-BA72-4B65-9A75-17CF7917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Victor (DDS)</dc:creator>
  <cp:keywords/>
  <dc:description/>
  <cp:lastModifiedBy>Hernandez, Victor (DDS)</cp:lastModifiedBy>
  <cp:revision>2</cp:revision>
  <dcterms:created xsi:type="dcterms:W3CDTF">2024-12-02T19:47:00Z</dcterms:created>
  <dcterms:modified xsi:type="dcterms:W3CDTF">2024-12-02T19:47:00Z</dcterms:modified>
</cp:coreProperties>
</file>