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A34" w14:textId="6EFD366A" w:rsidR="00BD0EFD" w:rsidRPr="00245565" w:rsidRDefault="00DE0269">
      <w:pPr>
        <w:pStyle w:val="P68B1DB1-Normal1"/>
        <w:jc w:val="center"/>
        <w:rPr>
          <w:lang w:val="fr-HT"/>
        </w:rPr>
      </w:pPr>
      <w:r w:rsidRPr="00245565">
        <w:rPr>
          <w:lang w:val="fr-HT"/>
        </w:rPr>
        <w:t>Exercice pratique GEAR</w:t>
      </w:r>
    </w:p>
    <w:p w14:paraId="7E7324E9" w14:textId="77777777" w:rsidR="00BD0EFD" w:rsidRPr="00245565" w:rsidRDefault="00BD0EFD">
      <w:pPr>
        <w:jc w:val="center"/>
        <w:rPr>
          <w:b/>
          <w:color w:val="0070C0"/>
          <w:sz w:val="48"/>
          <w:lang w:val="fr-HT"/>
        </w:rPr>
      </w:pPr>
    </w:p>
    <w:p w14:paraId="69845696" w14:textId="0A741332" w:rsidR="00BD0EFD" w:rsidRPr="00245565" w:rsidRDefault="00DE0269">
      <w:pPr>
        <w:pStyle w:val="P68B1DB1-Normal2"/>
        <w:rPr>
          <w:lang w:val="fr-HT"/>
        </w:rPr>
      </w:pPr>
      <w:r w:rsidRPr="00245565">
        <w:rPr>
          <w:lang w:val="fr-HT"/>
        </w:rPr>
        <w:t>Cet exercice pratique aidera votre équipe de base à se familiariser avec l'outil en ligne GEAR. Suivez les étapes guidées pour vous entraîner à explorer les données et à utiliser ces données pour répondre aux questions de la feuille de route pour la résilience sociale (étape 5 du processus MVP 2.0).</w:t>
      </w:r>
    </w:p>
    <w:p w14:paraId="2936D294" w14:textId="77777777" w:rsidR="00BD0EFD" w:rsidRPr="00245565" w:rsidRDefault="00BD0EFD">
      <w:pPr>
        <w:rPr>
          <w:color w:val="000000" w:themeColor="text1"/>
          <w:sz w:val="28"/>
          <w:lang w:val="fr-HT"/>
        </w:rPr>
      </w:pPr>
    </w:p>
    <w:tbl>
      <w:tblPr>
        <w:tblStyle w:val="TableGrid"/>
        <w:tblW w:w="0" w:type="auto"/>
        <w:tblBorders>
          <w:top w:val="single" w:sz="4" w:space="0" w:color="E97132" w:themeColor="accent2"/>
          <w:left w:val="single" w:sz="4" w:space="0" w:color="E97132" w:themeColor="accent2"/>
          <w:bottom w:val="single" w:sz="4" w:space="0" w:color="E97132" w:themeColor="accent2"/>
          <w:right w:val="single" w:sz="4" w:space="0" w:color="E97132" w:themeColor="accent2"/>
          <w:insideH w:val="none" w:sz="0" w:space="0" w:color="auto"/>
          <w:insideV w:val="none" w:sz="0" w:space="0" w:color="auto"/>
        </w:tblBorders>
        <w:tblLook w:val="04A0" w:firstRow="1" w:lastRow="0" w:firstColumn="1" w:lastColumn="0" w:noHBand="0" w:noVBand="1"/>
      </w:tblPr>
      <w:tblGrid>
        <w:gridCol w:w="9350"/>
      </w:tblGrid>
      <w:tr w:rsidR="00BD0EFD" w:rsidRPr="00245565" w14:paraId="22C09CA7" w14:textId="77777777">
        <w:trPr>
          <w:trHeight w:val="1152"/>
        </w:trPr>
        <w:tc>
          <w:tcPr>
            <w:tcW w:w="9350" w:type="dxa"/>
            <w:shd w:val="clear" w:color="auto" w:fill="FFF8EC"/>
            <w:vAlign w:val="center"/>
          </w:tcPr>
          <w:p w14:paraId="43F366E9" w14:textId="64859E10" w:rsidR="00BD0EFD" w:rsidRPr="00245565" w:rsidRDefault="00DE0269">
            <w:pPr>
              <w:pStyle w:val="P68B1DB1-Normal3"/>
              <w:rPr>
                <w:lang w:val="fr-HT"/>
              </w:rPr>
            </w:pPr>
            <w:r w:rsidRPr="00245565">
              <w:rPr>
                <w:lang w:val="fr-HT"/>
              </w:rPr>
              <w:t>Regarde</w:t>
            </w:r>
            <w:r w:rsidR="001F3F8C" w:rsidRPr="00245565">
              <w:rPr>
                <w:lang w:val="fr-HT"/>
              </w:rPr>
              <w:t>z</w:t>
            </w:r>
            <w:r w:rsidRPr="00245565">
              <w:rPr>
                <w:lang w:val="fr-HT"/>
              </w:rPr>
              <w:t xml:space="preserve"> la démonstration en vidéo GEAR </w:t>
            </w:r>
          </w:p>
          <w:p w14:paraId="37392F4A" w14:textId="1F90F287" w:rsidR="00BD0EFD" w:rsidRPr="00245565" w:rsidRDefault="00BD0EFD">
            <w:pPr>
              <w:rPr>
                <w:b/>
                <w:color w:val="E77A32"/>
                <w:sz w:val="28"/>
                <w:lang w:val="fr-HT"/>
              </w:rPr>
            </w:pPr>
          </w:p>
          <w:p w14:paraId="27D7F437" w14:textId="1301B9F3" w:rsidR="00BD0EFD" w:rsidRPr="00245565" w:rsidRDefault="00DE0269">
            <w:pPr>
              <w:rPr>
                <w:b/>
                <w:color w:val="E77A32"/>
                <w:sz w:val="24"/>
                <w:lang w:val="fr-HT"/>
              </w:rPr>
            </w:pPr>
            <w:r w:rsidRPr="00245565">
              <w:rPr>
                <w:color w:val="E77A32"/>
                <w:sz w:val="24"/>
                <w:lang w:val="fr-HT"/>
              </w:rPr>
              <w:t xml:space="preserve">Consultez la « Vidéo pratique » sur la </w:t>
            </w:r>
            <w:r w:rsidR="00BD0EFD">
              <w:fldChar w:fldCharType="begin"/>
            </w:r>
            <w:r w:rsidR="00BD0EFD" w:rsidRPr="00245565">
              <w:rPr>
                <w:lang w:val="fr-HT"/>
              </w:rPr>
              <w:instrText>HYPERLINK "https://resilient.mass.gov/GEAR"</w:instrText>
            </w:r>
            <w:r w:rsidR="00BD0EFD">
              <w:fldChar w:fldCharType="separate"/>
            </w:r>
            <w:r w:rsidR="00BD0EFD" w:rsidRPr="00245565">
              <w:rPr>
                <w:rStyle w:val="Hyperlink"/>
                <w:b/>
                <w:color w:val="0070C0"/>
                <w:sz w:val="24"/>
                <w:lang w:val="fr-HT"/>
              </w:rPr>
              <w:t>page d'accueil de GEAR</w:t>
            </w:r>
            <w:r w:rsidR="00BD0EFD">
              <w:fldChar w:fldCharType="end"/>
            </w:r>
            <w:r w:rsidRPr="00245565">
              <w:rPr>
                <w:color w:val="E77A32"/>
                <w:sz w:val="24"/>
                <w:lang w:val="fr-HT"/>
              </w:rPr>
              <w:t xml:space="preserve"> pour obtenir des conseils supplémentaires sur l'utilisation de l'outil en ligne GEAR. </w:t>
            </w:r>
          </w:p>
        </w:tc>
      </w:tr>
    </w:tbl>
    <w:p w14:paraId="016FA21D" w14:textId="77777777" w:rsidR="00BD0EFD" w:rsidRPr="00245565" w:rsidRDefault="00BD0EFD">
      <w:pPr>
        <w:rPr>
          <w:sz w:val="28"/>
          <w:lang w:val="fr-HT"/>
        </w:rPr>
      </w:pPr>
    </w:p>
    <w:p w14:paraId="752F0997" w14:textId="33B9FEC5" w:rsidR="00BD0EFD" w:rsidRPr="00245565" w:rsidRDefault="00DE0269">
      <w:pPr>
        <w:pStyle w:val="P68B1DB1-Normal2"/>
        <w:rPr>
          <w:lang w:val="fr-HT"/>
        </w:rPr>
      </w:pPr>
      <w:r w:rsidRPr="00245565">
        <w:rPr>
          <w:lang w:val="fr-HT"/>
        </w:rPr>
        <w:t>___________________________________________________________</w:t>
      </w:r>
    </w:p>
    <w:p w14:paraId="744F95E4" w14:textId="77777777" w:rsidR="00BD0EFD" w:rsidRPr="00245565" w:rsidRDefault="00BD0EFD">
      <w:pPr>
        <w:rPr>
          <w:sz w:val="28"/>
          <w:lang w:val="fr-HT"/>
        </w:rPr>
      </w:pPr>
    </w:p>
    <w:p w14:paraId="355B4233" w14:textId="1A277134" w:rsidR="00BD0EFD" w:rsidRPr="00245565" w:rsidRDefault="00DE0269">
      <w:pPr>
        <w:pStyle w:val="P68B1DB1-Normal4"/>
        <w:rPr>
          <w:lang w:val="fr-HT"/>
        </w:rPr>
      </w:pPr>
      <w:r w:rsidRPr="00245565">
        <w:rPr>
          <w:lang w:val="fr-HT"/>
        </w:rPr>
        <w:t xml:space="preserve">Commençons par examiner le logement. </w:t>
      </w:r>
    </w:p>
    <w:p w14:paraId="33A45F2C" w14:textId="77777777" w:rsidR="00BD0EFD" w:rsidRPr="00245565" w:rsidRDefault="00BD0EFD">
      <w:pPr>
        <w:rPr>
          <w:b/>
          <w:sz w:val="28"/>
          <w:lang w:val="fr-HT"/>
        </w:rPr>
      </w:pPr>
    </w:p>
    <w:p w14:paraId="1BB28EA3" w14:textId="6F88CD9B" w:rsidR="00BD0EFD" w:rsidRDefault="00DE0269">
      <w:pPr>
        <w:pStyle w:val="ListParagraph"/>
        <w:numPr>
          <w:ilvl w:val="0"/>
          <w:numId w:val="2"/>
        </w:numPr>
        <w:rPr>
          <w:sz w:val="28"/>
        </w:rPr>
      </w:pPr>
      <w:r w:rsidRPr="00245565">
        <w:rPr>
          <w:sz w:val="28"/>
          <w:lang w:val="fr-HT"/>
        </w:rPr>
        <w:t xml:space="preserve">Sur la </w:t>
      </w:r>
      <w:r w:rsidR="00BD0EFD">
        <w:fldChar w:fldCharType="begin"/>
      </w:r>
      <w:r w:rsidR="00BD0EFD" w:rsidRPr="00245565">
        <w:rPr>
          <w:lang w:val="fr-HT"/>
        </w:rPr>
        <w:instrText>HYPERLINK "https://resilient.mass.gov/GEAR"</w:instrText>
      </w:r>
      <w:r w:rsidR="00BD0EFD">
        <w:fldChar w:fldCharType="separate"/>
      </w:r>
      <w:r w:rsidR="00BD0EFD" w:rsidRPr="00245565">
        <w:rPr>
          <w:rStyle w:val="Hyperlink"/>
          <w:b/>
          <w:color w:val="0070C0"/>
          <w:sz w:val="28"/>
          <w:lang w:val="fr-HT"/>
        </w:rPr>
        <w:t>page d'accueil</w:t>
      </w:r>
      <w:r w:rsidR="00BD0EFD">
        <w:fldChar w:fldCharType="end"/>
      </w:r>
      <w:r w:rsidR="005952B7" w:rsidRPr="00245565">
        <w:rPr>
          <w:lang w:val="fr-HT"/>
        </w:rPr>
        <w:t xml:space="preserve"> </w:t>
      </w:r>
      <w:r w:rsidRPr="00245565">
        <w:rPr>
          <w:sz w:val="28"/>
          <w:lang w:val="fr-HT"/>
        </w:rPr>
        <w:t xml:space="preserve">de GEAR, faites défiler vers le bas jusqu'à l'endroit où </w:t>
      </w:r>
      <w:r w:rsidR="001F3F8C" w:rsidRPr="00245565">
        <w:rPr>
          <w:sz w:val="28"/>
          <w:lang w:val="fr-HT"/>
        </w:rPr>
        <w:t xml:space="preserve">il </w:t>
      </w:r>
      <w:r w:rsidRPr="00245565">
        <w:rPr>
          <w:sz w:val="28"/>
          <w:lang w:val="fr-HT"/>
        </w:rPr>
        <w:t xml:space="preserve">est indiqué « Sélectionnez vos facteurs ». </w:t>
      </w:r>
      <w:proofErr w:type="spellStart"/>
      <w:r>
        <w:rPr>
          <w:sz w:val="28"/>
        </w:rPr>
        <w:t>Choisissez</w:t>
      </w:r>
      <w:proofErr w:type="spellEnd"/>
      <w:r>
        <w:rPr>
          <w:sz w:val="28"/>
        </w:rPr>
        <w:t xml:space="preserve"> « </w:t>
      </w:r>
      <w:proofErr w:type="spellStart"/>
      <w:r>
        <w:rPr>
          <w:sz w:val="28"/>
        </w:rPr>
        <w:t>Logement</w:t>
      </w:r>
      <w:proofErr w:type="spellEnd"/>
      <w:r>
        <w:rPr>
          <w:sz w:val="28"/>
        </w:rPr>
        <w:t xml:space="preserve"> ». </w:t>
      </w:r>
    </w:p>
    <w:p w14:paraId="03ACD6EC" w14:textId="61F7AAD4" w:rsidR="00BD0EFD" w:rsidRDefault="00DE0269">
      <w:pPr>
        <w:pStyle w:val="P68B1DB1-ListParagraph5"/>
        <w:numPr>
          <w:ilvl w:val="0"/>
          <w:numId w:val="2"/>
        </w:numPr>
      </w:pPr>
      <w:r w:rsidRPr="00245565">
        <w:rPr>
          <w:lang w:val="fr-HT"/>
        </w:rPr>
        <w:t xml:space="preserve">Il affiche maintenant deux options sous Risques climatiques (les autres options sont grisées). </w:t>
      </w:r>
      <w:proofErr w:type="spellStart"/>
      <w:r>
        <w:t>Choisissez</w:t>
      </w:r>
      <w:proofErr w:type="spellEnd"/>
      <w:r>
        <w:t xml:space="preserve"> </w:t>
      </w:r>
      <w:proofErr w:type="spellStart"/>
      <w:r>
        <w:t>Inondations</w:t>
      </w:r>
      <w:proofErr w:type="spellEnd"/>
      <w:r>
        <w:t xml:space="preserve"> </w:t>
      </w:r>
      <w:proofErr w:type="spellStart"/>
      <w:r>
        <w:t>intérieures</w:t>
      </w:r>
      <w:proofErr w:type="spellEnd"/>
      <w:r>
        <w:t xml:space="preserve">. </w:t>
      </w:r>
    </w:p>
    <w:p w14:paraId="78E8C2F0" w14:textId="77777777" w:rsidR="00BD0EFD" w:rsidRPr="00245565" w:rsidRDefault="00DE0269">
      <w:pPr>
        <w:pStyle w:val="P68B1DB1-ListParagraph5"/>
        <w:numPr>
          <w:ilvl w:val="0"/>
          <w:numId w:val="2"/>
        </w:numPr>
        <w:rPr>
          <w:lang w:val="fr-HT"/>
        </w:rPr>
      </w:pPr>
      <w:r w:rsidRPr="00245565">
        <w:rPr>
          <w:lang w:val="fr-HT"/>
        </w:rPr>
        <w:t>Cliquez sur « Générer un guide ».</w:t>
      </w:r>
    </w:p>
    <w:p w14:paraId="01E571EF" w14:textId="5C13A689" w:rsidR="00BD0EFD" w:rsidRPr="00245565" w:rsidRDefault="00DE0269">
      <w:pPr>
        <w:pStyle w:val="P68B1DB1-ListParagraph5"/>
        <w:numPr>
          <w:ilvl w:val="0"/>
          <w:numId w:val="2"/>
        </w:numPr>
        <w:rPr>
          <w:lang w:val="fr-HT"/>
        </w:rPr>
      </w:pPr>
      <w:r w:rsidRPr="00245565">
        <w:rPr>
          <w:lang w:val="fr-HT"/>
        </w:rPr>
        <w:t xml:space="preserve">Vous consultez maintenant le guide Logement x Inondations intérieures. Prenez un moment pour lire comment les inondations à l'intérieur des terres peuvent avoir un impact sur le logement dans votre communauté. </w:t>
      </w:r>
    </w:p>
    <w:p w14:paraId="549A2398" w14:textId="77777777" w:rsidR="00BD0EFD" w:rsidRPr="00245565" w:rsidRDefault="00BD0EFD">
      <w:pPr>
        <w:rPr>
          <w:sz w:val="28"/>
          <w:lang w:val="fr-HT"/>
        </w:rPr>
      </w:pPr>
    </w:p>
    <w:p w14:paraId="7BE8C754" w14:textId="77777777" w:rsidR="00BD0EFD" w:rsidRPr="00245565" w:rsidRDefault="00DE0269">
      <w:pPr>
        <w:pStyle w:val="P68B1DB1-Normal4"/>
        <w:rPr>
          <w:lang w:val="fr-HT"/>
        </w:rPr>
      </w:pPr>
      <w:r w:rsidRPr="00245565">
        <w:rPr>
          <w:lang w:val="fr-HT"/>
        </w:rPr>
        <w:t xml:space="preserve">Consultez la carte du logement. </w:t>
      </w:r>
    </w:p>
    <w:p w14:paraId="1623F132" w14:textId="77777777" w:rsidR="00BD0EFD" w:rsidRPr="00245565" w:rsidRDefault="00BD0EFD">
      <w:pPr>
        <w:rPr>
          <w:sz w:val="28"/>
          <w:lang w:val="fr-HT"/>
        </w:rPr>
      </w:pPr>
    </w:p>
    <w:p w14:paraId="4E44F112" w14:textId="2E64FF74" w:rsidR="00BD0EFD" w:rsidRDefault="00DE0269">
      <w:pPr>
        <w:pStyle w:val="P68B1DB1-ListParagraph5"/>
        <w:numPr>
          <w:ilvl w:val="0"/>
          <w:numId w:val="3"/>
        </w:numPr>
      </w:pPr>
      <w:r w:rsidRPr="00245565">
        <w:rPr>
          <w:lang w:val="fr-HT"/>
        </w:rPr>
        <w:t>Faites défiler vers le bas jusqu'à l'endroit où il est indiqué « Enquêter sur les c</w:t>
      </w:r>
      <w:r w:rsidR="00FF553B" w:rsidRPr="00245565">
        <w:rPr>
          <w:lang w:val="fr-HT"/>
        </w:rPr>
        <w:t>alques</w:t>
      </w:r>
      <w:r w:rsidRPr="00245565">
        <w:rPr>
          <w:lang w:val="fr-HT"/>
        </w:rPr>
        <w:t xml:space="preserve"> de données de la carte GEAR ». Dans cette section, il sera indiqué « Explorez la carte du logement pour en savoir plus… » </w:t>
      </w:r>
      <w:proofErr w:type="spellStart"/>
      <w:r>
        <w:t>Cliquez</w:t>
      </w:r>
      <w:proofErr w:type="spellEnd"/>
      <w:r>
        <w:t xml:space="preserve"> sur le lien vers la carte du </w:t>
      </w:r>
      <w:proofErr w:type="spellStart"/>
      <w:r>
        <w:t>logement</w:t>
      </w:r>
      <w:proofErr w:type="spellEnd"/>
      <w:r>
        <w:t xml:space="preserve">. </w:t>
      </w:r>
    </w:p>
    <w:p w14:paraId="1B27AFB1" w14:textId="3812D574" w:rsidR="00BD0EFD" w:rsidRPr="00245565" w:rsidRDefault="00DE0269">
      <w:pPr>
        <w:pStyle w:val="P68B1DB1-ListParagraph5"/>
        <w:numPr>
          <w:ilvl w:val="0"/>
          <w:numId w:val="3"/>
        </w:numPr>
        <w:rPr>
          <w:lang w:val="fr-HT"/>
        </w:rPr>
      </w:pPr>
      <w:r w:rsidRPr="00245565">
        <w:rPr>
          <w:lang w:val="fr-HT"/>
        </w:rPr>
        <w:lastRenderedPageBreak/>
        <w:t xml:space="preserve">Vous regardez maintenant une carte avec des données liées au logement. Dans le coin supérieur gauche, utilisez la liste déroulante pour sélectionner votre municipalité. </w:t>
      </w:r>
    </w:p>
    <w:p w14:paraId="6394FC1E" w14:textId="77777777" w:rsidR="00BD0EFD" w:rsidRPr="00245565" w:rsidRDefault="00BD0EFD">
      <w:pPr>
        <w:rPr>
          <w:sz w:val="28"/>
          <w:lang w:val="fr-HT"/>
        </w:rPr>
      </w:pPr>
    </w:p>
    <w:p w14:paraId="60190057" w14:textId="77777777" w:rsidR="00BD0EFD" w:rsidRPr="00245565" w:rsidRDefault="00BD0EFD">
      <w:pPr>
        <w:rPr>
          <w:b/>
          <w:sz w:val="28"/>
          <w:lang w:val="fr-HT"/>
        </w:rPr>
      </w:pPr>
    </w:p>
    <w:p w14:paraId="04F477C0" w14:textId="32AADE25" w:rsidR="00BD0EFD" w:rsidRPr="00245565" w:rsidRDefault="00DE0269">
      <w:pPr>
        <w:pStyle w:val="P68B1DB1-Normal4"/>
        <w:rPr>
          <w:lang w:val="fr-HT"/>
        </w:rPr>
      </w:pPr>
      <w:r w:rsidRPr="00245565">
        <w:rPr>
          <w:lang w:val="fr-HT"/>
        </w:rPr>
        <w:t xml:space="preserve">Explorez la répartition des types de logements. </w:t>
      </w:r>
    </w:p>
    <w:p w14:paraId="31A2B773" w14:textId="77777777" w:rsidR="00BD0EFD" w:rsidRPr="00245565" w:rsidRDefault="00BD0EFD">
      <w:pPr>
        <w:rPr>
          <w:sz w:val="28"/>
          <w:lang w:val="fr-HT"/>
        </w:rPr>
      </w:pPr>
    </w:p>
    <w:p w14:paraId="2FF0A3AE" w14:textId="18A8E3F3" w:rsidR="00BD0EFD" w:rsidRPr="00245565" w:rsidRDefault="00DE0269">
      <w:pPr>
        <w:pStyle w:val="P68B1DB1-ListParagraph5"/>
        <w:numPr>
          <w:ilvl w:val="0"/>
          <w:numId w:val="4"/>
        </w:numPr>
        <w:rPr>
          <w:lang w:val="fr-HT"/>
        </w:rPr>
      </w:pPr>
      <w:r w:rsidRPr="00245565">
        <w:rPr>
          <w:lang w:val="fr-HT"/>
        </w:rPr>
        <w:t>Sur le côté droit de l'écran, vous verrez une liste de c</w:t>
      </w:r>
      <w:r w:rsidR="001F3F8C" w:rsidRPr="00245565">
        <w:rPr>
          <w:lang w:val="fr-HT"/>
        </w:rPr>
        <w:t>alques</w:t>
      </w:r>
      <w:r w:rsidRPr="00245565">
        <w:rPr>
          <w:lang w:val="fr-HT"/>
        </w:rPr>
        <w:t xml:space="preserve"> de données. Faites défiler vers le bas jusqu'à l'endroit où il est indiqué « Type de logement ». Activez ce calque en cochant la case à côté. Cliquez ensuite sur la flèche vers la gauche pour développer les options. </w:t>
      </w:r>
    </w:p>
    <w:p w14:paraId="064DF95E" w14:textId="61E11F71" w:rsidR="00BD0EFD" w:rsidRPr="00245565" w:rsidRDefault="00DE0269">
      <w:pPr>
        <w:pStyle w:val="P68B1DB1-ListParagraph5"/>
        <w:numPr>
          <w:ilvl w:val="0"/>
          <w:numId w:val="4"/>
        </w:numPr>
        <w:rPr>
          <w:lang w:val="fr-HT"/>
        </w:rPr>
      </w:pPr>
      <w:r w:rsidRPr="00245565">
        <w:rPr>
          <w:lang w:val="fr-HT"/>
        </w:rPr>
        <w:t>Cliquez sur la case à côté de « Type de logement prédominant - Nombre d'unités ». Vous verrez les données apparaître sur la carte. Si vous ne voyez aucun changement sur la carte, assurez-vous d'avoir activé le calque « Type de logement » ci-dessus.</w:t>
      </w:r>
    </w:p>
    <w:p w14:paraId="13880B23" w14:textId="51F39E0E" w:rsidR="00BD0EFD" w:rsidRPr="00245565" w:rsidRDefault="00DE0269">
      <w:pPr>
        <w:pStyle w:val="P68B1DB1-ListParagraph5"/>
        <w:numPr>
          <w:ilvl w:val="0"/>
          <w:numId w:val="4"/>
        </w:numPr>
        <w:rPr>
          <w:lang w:val="fr-HT"/>
        </w:rPr>
      </w:pPr>
      <w:r w:rsidRPr="00245565">
        <w:rPr>
          <w:lang w:val="fr-HT"/>
        </w:rPr>
        <w:t xml:space="preserve">La carte affichera les données pour les secteurs de recensement. Les municipalités à forte population seront divisées en de nombreux secteurs de recensement. Pour les communautés avec de très petites populations, il peut y avoir plus d'une municipalité dans un secteur de recensement donné. Un par un, cliquez sur les secteurs de recensement qui font partie de votre municipalité ou qui la chevauchent. Pour chaque secteur de recensement, une boîte apparaîtra qui montre la répartition des types de logement par </w:t>
      </w:r>
      <w:r w:rsidRPr="00245565">
        <w:rPr>
          <w:lang w:val="fr-HT"/>
        </w:rPr>
        <w:t xml:space="preserve">nombre d'unités. Quel est le pourcentage de logements unifamiliaux (une unité, détachée) ? Quel pourcentage a deux unités ? Que diriez-vous de plus de deux unités ? </w:t>
      </w:r>
    </w:p>
    <w:p w14:paraId="4BCC083E" w14:textId="19DF5C5A" w:rsidR="00BD0EFD" w:rsidRDefault="00DE0269">
      <w:pPr>
        <w:pStyle w:val="P68B1DB1-ListParagraph5"/>
        <w:numPr>
          <w:ilvl w:val="0"/>
          <w:numId w:val="4"/>
        </w:numPr>
      </w:pPr>
      <w:r w:rsidRPr="00245565">
        <w:rPr>
          <w:lang w:val="fr-HT"/>
        </w:rPr>
        <w:t xml:space="preserve">Envisagez de noter ces informations sur votre feuille de route pour la résilience sociale où il est demandé : « Quels types de logements sont répandus dans notre communauté ? » </w:t>
      </w:r>
      <w:r>
        <w:t>(Et « </w:t>
      </w:r>
      <w:proofErr w:type="gramStart"/>
      <w:r>
        <w:t>Quels</w:t>
      </w:r>
      <w:proofErr w:type="gramEnd"/>
      <w:r>
        <w:t xml:space="preserve"> types ne le </w:t>
      </w:r>
      <w:proofErr w:type="spellStart"/>
      <w:r>
        <w:t>sont</w:t>
      </w:r>
      <w:proofErr w:type="spellEnd"/>
      <w:r>
        <w:t xml:space="preserve"> </w:t>
      </w:r>
      <w:proofErr w:type="gramStart"/>
      <w:r>
        <w:t>pas ?</w:t>
      </w:r>
      <w:proofErr w:type="gramEnd"/>
      <w:r>
        <w:t> »)</w:t>
      </w:r>
    </w:p>
    <w:p w14:paraId="4A64812E" w14:textId="27A0B9FD" w:rsidR="00BD0EFD" w:rsidRPr="00245565" w:rsidRDefault="00DE0269">
      <w:pPr>
        <w:pStyle w:val="P68B1DB1-ListParagraph5"/>
        <w:numPr>
          <w:ilvl w:val="0"/>
          <w:numId w:val="4"/>
        </w:numPr>
        <w:rPr>
          <w:lang w:val="fr-HT"/>
        </w:rPr>
      </w:pPr>
      <w:r w:rsidRPr="00245565">
        <w:rPr>
          <w:lang w:val="fr-HT"/>
        </w:rPr>
        <w:t>Vous pouvez également activer l</w:t>
      </w:r>
      <w:r w:rsidR="00FF553B" w:rsidRPr="00245565">
        <w:rPr>
          <w:lang w:val="fr-HT"/>
        </w:rPr>
        <w:t>e calque</w:t>
      </w:r>
      <w:r w:rsidRPr="00245565">
        <w:rPr>
          <w:lang w:val="fr-HT"/>
        </w:rPr>
        <w:t xml:space="preserve"> « Résidences de soins de longue durée » pour répondre à cette question.</w:t>
      </w:r>
    </w:p>
    <w:p w14:paraId="66FEE2B9" w14:textId="171EE47F" w:rsidR="00BD0EFD" w:rsidRPr="00245565" w:rsidRDefault="00DE0269">
      <w:pPr>
        <w:pStyle w:val="P68B1DB1-ListParagraph5"/>
        <w:numPr>
          <w:ilvl w:val="0"/>
          <w:numId w:val="4"/>
        </w:numPr>
        <w:rPr>
          <w:lang w:val="fr-HT"/>
        </w:rPr>
      </w:pPr>
      <w:r w:rsidRPr="00245565">
        <w:rPr>
          <w:lang w:val="fr-HT"/>
        </w:rPr>
        <w:t>Désactivez tous les calques de données avant de passer à l'étape suivante.</w:t>
      </w:r>
    </w:p>
    <w:p w14:paraId="2FCA74ED" w14:textId="77777777" w:rsidR="00BD0EFD" w:rsidRPr="00245565" w:rsidRDefault="00BD0EFD">
      <w:pPr>
        <w:rPr>
          <w:b/>
          <w:sz w:val="28"/>
          <w:lang w:val="fr-HT"/>
        </w:rPr>
      </w:pPr>
    </w:p>
    <w:p w14:paraId="13546625" w14:textId="434100DA" w:rsidR="00BD0EFD" w:rsidRPr="00245565" w:rsidRDefault="00DE0269">
      <w:pPr>
        <w:pStyle w:val="P68B1DB1-Normal4"/>
        <w:rPr>
          <w:lang w:val="fr-HT"/>
        </w:rPr>
      </w:pPr>
      <w:r w:rsidRPr="00245565">
        <w:rPr>
          <w:lang w:val="fr-HT"/>
        </w:rPr>
        <w:lastRenderedPageBreak/>
        <w:t xml:space="preserve">Découvrez le pourcentage de ménages qui sont locataires. </w:t>
      </w:r>
    </w:p>
    <w:p w14:paraId="3F1C6095" w14:textId="77777777" w:rsidR="00BD0EFD" w:rsidRPr="00245565" w:rsidRDefault="00BD0EFD">
      <w:pPr>
        <w:rPr>
          <w:sz w:val="28"/>
          <w:lang w:val="fr-HT"/>
        </w:rPr>
      </w:pPr>
    </w:p>
    <w:p w14:paraId="0766C7A2" w14:textId="7C5C7C9D" w:rsidR="00BD0EFD" w:rsidRPr="00245565" w:rsidRDefault="00DE0269">
      <w:pPr>
        <w:pStyle w:val="P68B1DB1-ListParagraph5"/>
        <w:numPr>
          <w:ilvl w:val="0"/>
          <w:numId w:val="6"/>
        </w:numPr>
        <w:rPr>
          <w:lang w:val="fr-HT"/>
        </w:rPr>
      </w:pPr>
      <w:r w:rsidRPr="00245565">
        <w:rPr>
          <w:lang w:val="fr-HT"/>
        </w:rPr>
        <w:t>Dans la liste des c</w:t>
      </w:r>
      <w:r w:rsidR="001F3F8C" w:rsidRPr="00245565">
        <w:rPr>
          <w:lang w:val="fr-HT"/>
        </w:rPr>
        <w:t>alques</w:t>
      </w:r>
      <w:r w:rsidRPr="00245565">
        <w:rPr>
          <w:lang w:val="fr-HT"/>
        </w:rPr>
        <w:t xml:space="preserve"> de données sur le côté droit de l'écran, faites défiler jusqu'à l'endroit où il est indiqué « EJ et autres populations prioritaires ». Activez ce calque en cochant la case à côté. Cliquez ensuite sur la flèche vers la gauche pour développer les options. </w:t>
      </w:r>
    </w:p>
    <w:p w14:paraId="7B45F4D9" w14:textId="306CC7BD" w:rsidR="00BD0EFD" w:rsidRPr="00245565" w:rsidRDefault="00DE0269">
      <w:pPr>
        <w:pStyle w:val="P68B1DB1-ListParagraph5"/>
        <w:numPr>
          <w:ilvl w:val="0"/>
          <w:numId w:val="6"/>
        </w:numPr>
        <w:rPr>
          <w:lang w:val="fr-HT"/>
        </w:rPr>
      </w:pPr>
      <w:r w:rsidRPr="00245565">
        <w:rPr>
          <w:lang w:val="fr-HT"/>
        </w:rPr>
        <w:t>Cliquez sur la case à côté de « Unités de logement locatif ». Vous verrez les données apparaître sur la carte. Si vous ne voyez aucun changement sur la carte, assurez-vous d'avoir activé le calque « EJ et autres populations prioritaires » ci-dessus.</w:t>
      </w:r>
    </w:p>
    <w:p w14:paraId="7EE977AC" w14:textId="407A7826" w:rsidR="00BD0EFD" w:rsidRDefault="00DE0269">
      <w:pPr>
        <w:pStyle w:val="P68B1DB1-ListParagraph5"/>
        <w:numPr>
          <w:ilvl w:val="0"/>
          <w:numId w:val="6"/>
        </w:numPr>
      </w:pPr>
      <w:r w:rsidRPr="00245565">
        <w:rPr>
          <w:lang w:val="fr-HT"/>
        </w:rPr>
        <w:t xml:space="preserve">Encore une fois, la carte affichera les données pour les secteurs de recensement. Un par un, cliquez sur les secteurs de recensement qui font partie de votre municipalité ou qui la chevauchent. </w:t>
      </w:r>
      <w:r>
        <w:t xml:space="preserve">Quel </w:t>
      </w:r>
      <w:proofErr w:type="spellStart"/>
      <w:r>
        <w:t>pourcentage</w:t>
      </w:r>
      <w:proofErr w:type="spellEnd"/>
      <w:r>
        <w:t xml:space="preserve"> de ménages </w:t>
      </w:r>
      <w:proofErr w:type="spellStart"/>
      <w:r>
        <w:t>sont</w:t>
      </w:r>
      <w:proofErr w:type="spellEnd"/>
      <w:r>
        <w:t xml:space="preserve"> </w:t>
      </w:r>
      <w:proofErr w:type="spellStart"/>
      <w:proofErr w:type="gramStart"/>
      <w:r>
        <w:t>locataires</w:t>
      </w:r>
      <w:proofErr w:type="spellEnd"/>
      <w:r>
        <w:t> ?</w:t>
      </w:r>
      <w:proofErr w:type="gramEnd"/>
      <w:r>
        <w:t xml:space="preserve"> </w:t>
      </w:r>
    </w:p>
    <w:p w14:paraId="0DA60223" w14:textId="5E9BCDE1" w:rsidR="00BD0EFD" w:rsidRDefault="00DE0269">
      <w:pPr>
        <w:pStyle w:val="P68B1DB1-ListParagraph5"/>
        <w:numPr>
          <w:ilvl w:val="0"/>
          <w:numId w:val="6"/>
        </w:numPr>
      </w:pPr>
      <w:r w:rsidRPr="00245565">
        <w:rPr>
          <w:lang w:val="fr-HT"/>
        </w:rPr>
        <w:t xml:space="preserve">Envisagez de noter ces informations sur votre feuille de route pour la résilience sociale où il est demandé : « Quels types de logements sont répandus dans notre communauté ? » </w:t>
      </w:r>
      <w:r>
        <w:t>(Et « </w:t>
      </w:r>
      <w:proofErr w:type="gramStart"/>
      <w:r>
        <w:t>Quels</w:t>
      </w:r>
      <w:proofErr w:type="gramEnd"/>
      <w:r>
        <w:t xml:space="preserve"> types ne le </w:t>
      </w:r>
      <w:proofErr w:type="spellStart"/>
      <w:r>
        <w:t>sont</w:t>
      </w:r>
      <w:proofErr w:type="spellEnd"/>
      <w:r>
        <w:t xml:space="preserve"> </w:t>
      </w:r>
      <w:proofErr w:type="gramStart"/>
      <w:r>
        <w:t>pas ?</w:t>
      </w:r>
      <w:proofErr w:type="gramEnd"/>
      <w:r>
        <w:t> »)</w:t>
      </w:r>
    </w:p>
    <w:p w14:paraId="1AC9AC80" w14:textId="11BA2200" w:rsidR="00BD0EFD" w:rsidRPr="00245565" w:rsidRDefault="00DE0269">
      <w:pPr>
        <w:pStyle w:val="P68B1DB1-ListParagraph5"/>
        <w:numPr>
          <w:ilvl w:val="0"/>
          <w:numId w:val="6"/>
        </w:numPr>
        <w:rPr>
          <w:lang w:val="fr-HT"/>
        </w:rPr>
      </w:pPr>
      <w:r w:rsidRPr="00245565">
        <w:rPr>
          <w:lang w:val="fr-HT"/>
        </w:rPr>
        <w:t xml:space="preserve">Réfléchissez aux informations supplémentaires qui seraient nécessaires pour répondre pleinement à cette question, au-delà des données disponibles sur cette carte. </w:t>
      </w:r>
    </w:p>
    <w:p w14:paraId="6C967BC3" w14:textId="3D7CCE5D" w:rsidR="00BD0EFD" w:rsidRPr="00245565" w:rsidRDefault="00DE0269">
      <w:pPr>
        <w:pStyle w:val="P68B1DB1-ListParagraph5"/>
        <w:numPr>
          <w:ilvl w:val="0"/>
          <w:numId w:val="6"/>
        </w:numPr>
        <w:rPr>
          <w:lang w:val="fr-HT"/>
        </w:rPr>
      </w:pPr>
      <w:r w:rsidRPr="00245565">
        <w:rPr>
          <w:lang w:val="fr-HT"/>
        </w:rPr>
        <w:t>Désactivez tous les calques de données avant de passer à l'étape suivante.</w:t>
      </w:r>
    </w:p>
    <w:p w14:paraId="5CCDD06B" w14:textId="77777777" w:rsidR="00BD0EFD" w:rsidRPr="00245565" w:rsidRDefault="00BD0EFD">
      <w:pPr>
        <w:rPr>
          <w:sz w:val="28"/>
          <w:lang w:val="fr-HT"/>
        </w:rPr>
      </w:pPr>
    </w:p>
    <w:p w14:paraId="445F9D24" w14:textId="6D81FF04" w:rsidR="00BD0EFD" w:rsidRPr="00245565" w:rsidRDefault="00DE0269">
      <w:pPr>
        <w:pStyle w:val="P68B1DB1-Normal6"/>
        <w:rPr>
          <w:lang w:val="fr-HT"/>
        </w:rPr>
      </w:pPr>
      <w:r w:rsidRPr="00245565">
        <w:rPr>
          <w:lang w:val="fr-HT"/>
        </w:rPr>
        <w:t xml:space="preserve">Découvrez le pourcentage de locataires qui supportent le coût du logement. </w:t>
      </w:r>
    </w:p>
    <w:p w14:paraId="040F53DF" w14:textId="77777777" w:rsidR="00BD0EFD" w:rsidRPr="00245565" w:rsidRDefault="00BD0EFD">
      <w:pPr>
        <w:rPr>
          <w:sz w:val="28"/>
          <w:lang w:val="fr-HT"/>
        </w:rPr>
      </w:pPr>
    </w:p>
    <w:p w14:paraId="504910BD" w14:textId="11BF9F8F" w:rsidR="00BD0EFD" w:rsidRPr="00245565" w:rsidRDefault="00DE0269">
      <w:pPr>
        <w:pStyle w:val="P68B1DB1-ListParagraph5"/>
        <w:numPr>
          <w:ilvl w:val="0"/>
          <w:numId w:val="5"/>
        </w:numPr>
        <w:rPr>
          <w:lang w:val="fr-HT"/>
        </w:rPr>
      </w:pPr>
      <w:r w:rsidRPr="00245565">
        <w:rPr>
          <w:lang w:val="fr-HT"/>
        </w:rPr>
        <w:t>Dans la liste des c</w:t>
      </w:r>
      <w:r w:rsidR="001F3F8C" w:rsidRPr="00245565">
        <w:rPr>
          <w:lang w:val="fr-HT"/>
        </w:rPr>
        <w:t>alques</w:t>
      </w:r>
      <w:r w:rsidRPr="00245565">
        <w:rPr>
          <w:lang w:val="fr-HT"/>
        </w:rPr>
        <w:t xml:space="preserve"> de données, faites défiler jusqu'à l'endroit où il est indiqué « Données démographiques sur le logement ». Activez ce calque en cochant la case à côté. Cliquez ensuite sur la flèche vers la gauche pour développer les options. </w:t>
      </w:r>
    </w:p>
    <w:p w14:paraId="79BAE5DE" w14:textId="55CCEF3F" w:rsidR="00BD0EFD" w:rsidRPr="00245565" w:rsidRDefault="00DE0269">
      <w:pPr>
        <w:pStyle w:val="P68B1DB1-ListParagraph5"/>
        <w:numPr>
          <w:ilvl w:val="0"/>
          <w:numId w:val="5"/>
        </w:numPr>
        <w:rPr>
          <w:lang w:val="fr-HT"/>
        </w:rPr>
      </w:pPr>
      <w:r w:rsidRPr="00245565">
        <w:rPr>
          <w:lang w:val="fr-HT"/>
        </w:rPr>
        <w:t>Cliquez sur la case à côté de « Fardeau du coût du logement (locataires) ». Vous verrez les données apparaître sur la carte. Si vous ne voyez aucun changement sur la carte, assurez-vous d'avoir activé le calque « Type de logement » ci-dessus.</w:t>
      </w:r>
    </w:p>
    <w:p w14:paraId="7BB34192" w14:textId="59D40A00" w:rsidR="00BD0EFD" w:rsidRPr="00245565" w:rsidRDefault="00DE0269">
      <w:pPr>
        <w:pStyle w:val="P68B1DB1-ListParagraph5"/>
        <w:numPr>
          <w:ilvl w:val="0"/>
          <w:numId w:val="5"/>
        </w:numPr>
        <w:rPr>
          <w:lang w:val="fr-HT"/>
        </w:rPr>
      </w:pPr>
      <w:r w:rsidRPr="00245565">
        <w:rPr>
          <w:lang w:val="fr-HT"/>
        </w:rPr>
        <w:lastRenderedPageBreak/>
        <w:t>Encore une fois, la carte affichera les données pour les secteurs de recensement. Un par un, cliquez sur les secteurs de recensement qui font partie de votre municipalité ou qui la chevauchent. Quel pourcentage des locataires sont surchargés par le coût du logement ? Ces données identifient les ménages comme ayant un coût élevé si plus de 50 % de leurs revenus sont consacrés au logement.</w:t>
      </w:r>
    </w:p>
    <w:p w14:paraId="5CDB5F98" w14:textId="0026C81C" w:rsidR="00BD0EFD" w:rsidRPr="00245565" w:rsidRDefault="00DE0269">
      <w:pPr>
        <w:pStyle w:val="P68B1DB1-ListParagraph5"/>
        <w:numPr>
          <w:ilvl w:val="0"/>
          <w:numId w:val="5"/>
        </w:numPr>
        <w:rPr>
          <w:lang w:val="fr-HT"/>
        </w:rPr>
      </w:pPr>
      <w:r w:rsidRPr="00245565">
        <w:rPr>
          <w:lang w:val="fr-HT"/>
        </w:rPr>
        <w:t xml:space="preserve">Dans la case qui apparaît, il sera également indiqué quelle proportion des ménages propriétaires avec et sans hypothèque consacrent plus de 50% de leurs revenus au logement. </w:t>
      </w:r>
    </w:p>
    <w:p w14:paraId="14BECE6B" w14:textId="5645673D" w:rsidR="00BD0EFD" w:rsidRPr="00245565" w:rsidRDefault="00DE0269">
      <w:pPr>
        <w:pStyle w:val="P68B1DB1-ListParagraph5"/>
        <w:numPr>
          <w:ilvl w:val="0"/>
          <w:numId w:val="5"/>
        </w:numPr>
        <w:rPr>
          <w:lang w:val="fr-HT"/>
        </w:rPr>
      </w:pPr>
      <w:r w:rsidRPr="00245565">
        <w:rPr>
          <w:lang w:val="fr-HT"/>
        </w:rPr>
        <w:t xml:space="preserve">Envisagez de noter ces informations pour les locataires et les propriétaires sur votre feuille de route pour la résilience sociale où il est demandé : « Quelles sont les plus grandes préoccupations de la communauté liées au logement ? » Cela pourrait également fournir un contexte pertinent pour la question « Y a-t-il des personnes dans notre communauté qui vivent dans l'insécurité en matière de logement ? À quoi cela ressemble-t-il pour les membres de notre communauté ? » </w:t>
      </w:r>
    </w:p>
    <w:p w14:paraId="21C206FD" w14:textId="105B4D1E" w:rsidR="00BD0EFD" w:rsidRPr="00245565" w:rsidRDefault="00DE0269">
      <w:pPr>
        <w:pStyle w:val="P68B1DB1-ListParagraph5"/>
        <w:numPr>
          <w:ilvl w:val="0"/>
          <w:numId w:val="5"/>
        </w:numPr>
        <w:rPr>
          <w:lang w:val="fr-HT"/>
        </w:rPr>
      </w:pPr>
      <w:r w:rsidRPr="00245565">
        <w:rPr>
          <w:lang w:val="fr-HT"/>
        </w:rPr>
        <w:t xml:space="preserve">Réfléchissez aux informations supplémentaires qui seraient nécessaires pour répondre pleinement à cette question, au-delà des données disponibles sur cette carte. Pour une question sur les préoccupations de la communauté, il sera très important de parler aux membres de la communauté. </w:t>
      </w:r>
    </w:p>
    <w:p w14:paraId="555463CE" w14:textId="6DB80CA6" w:rsidR="00BD0EFD" w:rsidRPr="00245565" w:rsidRDefault="00DE0269">
      <w:pPr>
        <w:pStyle w:val="P68B1DB1-ListParagraph5"/>
        <w:numPr>
          <w:ilvl w:val="0"/>
          <w:numId w:val="5"/>
        </w:numPr>
        <w:rPr>
          <w:lang w:val="fr-HT"/>
        </w:rPr>
      </w:pPr>
      <w:r w:rsidRPr="00245565">
        <w:rPr>
          <w:lang w:val="fr-HT"/>
        </w:rPr>
        <w:t>Désactivez tous les calques de données avant de passer à l'étape suivante.</w:t>
      </w:r>
    </w:p>
    <w:p w14:paraId="109AE7F9" w14:textId="77777777" w:rsidR="00BD0EFD" w:rsidRPr="00245565" w:rsidRDefault="00BD0EFD">
      <w:pPr>
        <w:pStyle w:val="ListParagraph"/>
        <w:rPr>
          <w:sz w:val="28"/>
          <w:lang w:val="fr-HT"/>
        </w:rPr>
      </w:pPr>
    </w:p>
    <w:p w14:paraId="42FB531B" w14:textId="5B8C63F1" w:rsidR="00BD0EFD" w:rsidRPr="00245565" w:rsidRDefault="00DE0269">
      <w:pPr>
        <w:pStyle w:val="P68B1DB1-Normal6"/>
        <w:rPr>
          <w:lang w:val="fr-HT"/>
        </w:rPr>
      </w:pPr>
      <w:r w:rsidRPr="00245565">
        <w:rPr>
          <w:lang w:val="fr-HT"/>
        </w:rPr>
        <w:t xml:space="preserve">Découvrez comment les habitations peuvent être affectées par les inondations à l'intérieur des terres. </w:t>
      </w:r>
    </w:p>
    <w:p w14:paraId="36F3C121" w14:textId="77777777" w:rsidR="00BD0EFD" w:rsidRPr="00245565" w:rsidRDefault="00BD0EFD">
      <w:pPr>
        <w:rPr>
          <w:b/>
          <w:sz w:val="28"/>
          <w:lang w:val="fr-HT"/>
        </w:rPr>
      </w:pPr>
    </w:p>
    <w:p w14:paraId="75682935" w14:textId="041D0B73" w:rsidR="00BD0EFD" w:rsidRPr="00245565" w:rsidRDefault="00DE0269">
      <w:pPr>
        <w:pStyle w:val="P68B1DB1-ListParagraph5"/>
        <w:numPr>
          <w:ilvl w:val="0"/>
          <w:numId w:val="7"/>
        </w:numPr>
        <w:rPr>
          <w:lang w:val="fr-HT"/>
        </w:rPr>
      </w:pPr>
      <w:r w:rsidRPr="00245565">
        <w:rPr>
          <w:lang w:val="fr-HT"/>
        </w:rPr>
        <w:t xml:space="preserve">Effectuez un zoom avant sur la carte jusqu'à ce que vous puissiez voir où se trouvent les bâtiments de votre communauté. </w:t>
      </w:r>
    </w:p>
    <w:p w14:paraId="2EE9C671" w14:textId="77777777" w:rsidR="00BD0EFD" w:rsidRPr="00245565" w:rsidRDefault="00DE0269">
      <w:pPr>
        <w:pStyle w:val="P68B1DB1-ListParagraph5"/>
        <w:numPr>
          <w:ilvl w:val="0"/>
          <w:numId w:val="7"/>
        </w:numPr>
        <w:rPr>
          <w:lang w:val="fr-HT"/>
        </w:rPr>
      </w:pPr>
      <w:r w:rsidRPr="00245565">
        <w:rPr>
          <w:lang w:val="fr-HT"/>
        </w:rPr>
        <w:t xml:space="preserve">Dans la liste des calques de données sur le côté droit de l'écran, faites défiler jusqu'à l'endroit où il est indiqué « Type de logement ». Activez ce calque en cochant la case à côté. Cliquez ensuite sur la flèche vers la gauche pour développer les options. </w:t>
      </w:r>
    </w:p>
    <w:p w14:paraId="3F87F014" w14:textId="694CF080" w:rsidR="00BD0EFD" w:rsidRPr="00245565" w:rsidRDefault="00DE0269">
      <w:pPr>
        <w:pStyle w:val="P68B1DB1-ListParagraph5"/>
        <w:numPr>
          <w:ilvl w:val="0"/>
          <w:numId w:val="7"/>
        </w:numPr>
        <w:rPr>
          <w:lang w:val="fr-HT"/>
        </w:rPr>
      </w:pPr>
      <w:r w:rsidRPr="00245565">
        <w:rPr>
          <w:lang w:val="fr-HT"/>
        </w:rPr>
        <w:lastRenderedPageBreak/>
        <w:t>Cliquez sur la case à côté de « Utilisation des terres résidentielles uniquement ». Ce calque peut aider à identifier les bâtiments qui sont des logements. Vous pouvez modifier la transparence de ce calque en cliquant sur les trois points à droite du nom du calque et en sélectionnant « augmenter la transparence ».</w:t>
      </w:r>
    </w:p>
    <w:p w14:paraId="6C2514C9" w14:textId="12BCC82C" w:rsidR="00BD0EFD" w:rsidRPr="00245565" w:rsidRDefault="00DE0269">
      <w:pPr>
        <w:pStyle w:val="P68B1DB1-ListParagraph5"/>
        <w:numPr>
          <w:ilvl w:val="0"/>
          <w:numId w:val="7"/>
        </w:numPr>
        <w:rPr>
          <w:lang w:val="fr-HT"/>
        </w:rPr>
      </w:pPr>
      <w:r w:rsidRPr="00245565">
        <w:rPr>
          <w:lang w:val="fr-HT"/>
        </w:rPr>
        <w:t xml:space="preserve">Nous allons maintenant explorer les endroits où les logements pourraient être exposés aux risques d'inondation. Activez le calque « Données sur les dangers climatiques » en cochant la case à côté. Cliquez ensuite sur la flèche vers la gauche pour développer les options. </w:t>
      </w:r>
    </w:p>
    <w:p w14:paraId="7317BDED" w14:textId="2011EC89" w:rsidR="00BD0EFD" w:rsidRPr="00245565" w:rsidRDefault="00DE0269">
      <w:pPr>
        <w:pStyle w:val="P68B1DB1-ListParagraph5"/>
        <w:numPr>
          <w:ilvl w:val="0"/>
          <w:numId w:val="7"/>
        </w:numPr>
        <w:rPr>
          <w:lang w:val="fr-HT"/>
        </w:rPr>
      </w:pPr>
      <w:r w:rsidRPr="00245565">
        <w:rPr>
          <w:lang w:val="fr-HT"/>
        </w:rPr>
        <w:t>Activez le calque « Ensembles de données historiques sur les risques d'inondation ». Cliquez ensuite sur la flèche vers la gauche pour développer les options. Activez les trois c</w:t>
      </w:r>
      <w:r w:rsidR="001F3F8C" w:rsidRPr="00245565">
        <w:rPr>
          <w:lang w:val="fr-HT"/>
        </w:rPr>
        <w:t>alques</w:t>
      </w:r>
      <w:r w:rsidRPr="00245565">
        <w:rPr>
          <w:lang w:val="fr-HT"/>
        </w:rPr>
        <w:t xml:space="preserve"> d'inondation et voyez quelles zones d'inondation peuvent chevaucher les logements de votre communauté. Pour en savoir plus sur chacune de ces zones inondables, consultez la légende. En haut de la boîte des Calques, vous pouvez basculer entre les calques et la légende. Cliquez là où il est écrit « Légende » avec une flèche pointant vers la droite dans le coin supérieur droit. La légende vous donnera plus d'informations sur les calques que vous voyez sur la carte.</w:t>
      </w:r>
    </w:p>
    <w:p w14:paraId="4C182F87" w14:textId="1F8ACD14" w:rsidR="00BD0EFD" w:rsidRPr="00245565" w:rsidRDefault="00DE0269">
      <w:pPr>
        <w:pStyle w:val="P68B1DB1-ListParagraph5"/>
        <w:numPr>
          <w:ilvl w:val="0"/>
          <w:numId w:val="7"/>
        </w:numPr>
        <w:rPr>
          <w:lang w:val="fr-HT"/>
        </w:rPr>
      </w:pPr>
      <w:r w:rsidRPr="00245565">
        <w:rPr>
          <w:lang w:val="fr-HT"/>
        </w:rPr>
        <w:t xml:space="preserve">Envisagez de noter ces informations sur le risque d'inondation pour le logement dans votre feuille de route pour la résilience sociale sous les « encitations à une réflexion plus approfondie » où il est demandé : « Quels peuvent être les impacts spécifiques pour notre communauté ? » </w:t>
      </w:r>
    </w:p>
    <w:p w14:paraId="3D722668" w14:textId="2DD7CE89" w:rsidR="00BD0EFD" w:rsidRPr="00245565" w:rsidRDefault="00DE0269">
      <w:pPr>
        <w:pStyle w:val="P68B1DB1-ListParagraph5"/>
        <w:numPr>
          <w:ilvl w:val="0"/>
          <w:numId w:val="7"/>
        </w:numPr>
        <w:rPr>
          <w:lang w:val="fr-HT"/>
        </w:rPr>
      </w:pPr>
      <w:r w:rsidRPr="00245565">
        <w:rPr>
          <w:lang w:val="fr-HT"/>
        </w:rPr>
        <w:t xml:space="preserve">Réfléchissez aux informations supplémentaires qui seraient nécessaires pour répondre pleinement à cette question. Par exemple, vous pouvez également consulter « Points chauds (température de la surface du sol) » sous le guide Logement x Chaleur. Si vous êtes une communauté côtière, vous pouvez également prendre en compte les données de l'un des guides sur les inondations côtières. Réfléchissez également aux informations supplémentaires dont vous auriez besoin, au-delà des données de ces cartes. </w:t>
      </w:r>
    </w:p>
    <w:sectPr w:rsidR="00BD0EFD" w:rsidRPr="00245565">
      <w:footerReference w:type="default" r:id="rId10"/>
      <w:pgSz w:w="12240" w:h="15840"/>
      <w:pgMar w:top="1440" w:right="1440" w:bottom="10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7E13" w14:textId="77777777" w:rsidR="00DE0269" w:rsidRDefault="00DE0269">
      <w:pPr>
        <w:spacing w:line="240" w:lineRule="auto"/>
      </w:pPr>
      <w:r>
        <w:separator/>
      </w:r>
    </w:p>
  </w:endnote>
  <w:endnote w:type="continuationSeparator" w:id="0">
    <w:p w14:paraId="05117C1B" w14:textId="77777777" w:rsidR="00DE0269" w:rsidRDefault="00DE0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9CEF" w14:textId="403DEF2D" w:rsidR="00BD0EFD" w:rsidRDefault="00DE0269">
    <w:pPr>
      <w:pStyle w:val="P68B1DB1-Normal7"/>
      <w:widowControl w:val="0"/>
      <w:spacing w:line="240" w:lineRule="auto"/>
      <w:jc w:val="right"/>
      <w:rPr>
        <w:rFonts w:ascii="Calibri" w:eastAsia="Calibri" w:hAnsi="Calibri" w:cs="Calibri"/>
        <w:sz w:val="24"/>
      </w:rPr>
    </w:pPr>
    <w:proofErr w:type="spellStart"/>
    <w:r>
      <w:t>Exercice</w:t>
    </w:r>
    <w:proofErr w:type="spellEnd"/>
    <w:r>
      <w:t xml:space="preserve"> </w:t>
    </w:r>
    <w:proofErr w:type="spellStart"/>
    <w:r>
      <w:t>pratique</w:t>
    </w:r>
    <w:r>
      <w:rPr>
        <w:b/>
        <w:noProof/>
      </w:rPr>
      <mc:AlternateContent>
        <mc:Choice Requires="wps">
          <w:drawing>
            <wp:anchor distT="0" distB="0" distL="114300" distR="114300" simplePos="0" relativeHeight="251659264" behindDoc="1" locked="0" layoutInCell="1" allowOverlap="1" wp14:anchorId="6E9717BD" wp14:editId="380D15F6">
              <wp:simplePos x="0" y="0"/>
              <wp:positionH relativeFrom="column">
                <wp:posOffset>3561907</wp:posOffset>
              </wp:positionH>
              <wp:positionV relativeFrom="paragraph">
                <wp:posOffset>-55969</wp:posOffset>
              </wp:positionV>
              <wp:extent cx="2483884" cy="266700"/>
              <wp:effectExtent l="0" t="0" r="5715" b="0"/>
              <wp:wrapNone/>
              <wp:docPr id="447643980" name="Rectangle 1"/>
              <wp:cNvGraphicFramePr/>
              <a:graphic xmlns:a="http://schemas.openxmlformats.org/drawingml/2006/main">
                <a:graphicData uri="http://schemas.microsoft.com/office/word/2010/wordprocessingShape">
                  <wps:wsp>
                    <wps:cNvSpPr/>
                    <wps:spPr>
                      <a:xfrm>
                        <a:off x="0" y="0"/>
                        <a:ext cx="2483884"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D34ED" id="Rectangle 1" o:spid="_x0000_s1026" style="position:absolute;margin-left:280.45pt;margin-top:-4.4pt;width:195.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" fillcolor="#f2f2f2 [3052]" stroked="f" strokeweight=".5pt"/>
          </w:pict>
        </mc:Fallback>
      </mc:AlternateContent>
    </w:r>
    <w:r>
      <w:rPr>
        <w:b/>
      </w:rPr>
      <w:t>MVP</w:t>
    </w:r>
    <w:proofErr w:type="spellEnd"/>
    <w:r>
      <w:rPr>
        <w:b/>
      </w:rPr>
      <w:t xml:space="preserve"> 2.0</w:t>
    </w:r>
    <w:r>
      <w:t xml:space="preserve"> GEAR | p. </w:t>
    </w: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0A36" w14:textId="77777777" w:rsidR="00DE0269" w:rsidRDefault="00DE0269">
      <w:pPr>
        <w:spacing w:line="240" w:lineRule="auto"/>
      </w:pPr>
      <w:r>
        <w:separator/>
      </w:r>
    </w:p>
  </w:footnote>
  <w:footnote w:type="continuationSeparator" w:id="0">
    <w:p w14:paraId="19A6DA40" w14:textId="77777777" w:rsidR="00DE0269" w:rsidRDefault="00DE02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007"/>
    <w:multiLevelType w:val="hybridMultilevel"/>
    <w:tmpl w:val="B5AC0BF2"/>
    <w:lvl w:ilvl="0" w:tplc="4322E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10962"/>
    <w:multiLevelType w:val="hybridMultilevel"/>
    <w:tmpl w:val="B6BC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91677"/>
    <w:multiLevelType w:val="hybridMultilevel"/>
    <w:tmpl w:val="BB9E3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F0647"/>
    <w:multiLevelType w:val="hybridMultilevel"/>
    <w:tmpl w:val="E996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62307"/>
    <w:multiLevelType w:val="multilevel"/>
    <w:tmpl w:val="EED4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21594A"/>
    <w:multiLevelType w:val="hybridMultilevel"/>
    <w:tmpl w:val="4AE4733A"/>
    <w:lvl w:ilvl="0" w:tplc="F2F8B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C21EC"/>
    <w:multiLevelType w:val="hybridMultilevel"/>
    <w:tmpl w:val="1022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551178">
    <w:abstractNumId w:val="4"/>
  </w:num>
  <w:num w:numId="2" w16cid:durableId="249389288">
    <w:abstractNumId w:val="6"/>
  </w:num>
  <w:num w:numId="3" w16cid:durableId="1153523890">
    <w:abstractNumId w:val="1"/>
  </w:num>
  <w:num w:numId="4" w16cid:durableId="711265833">
    <w:abstractNumId w:val="3"/>
  </w:num>
  <w:num w:numId="5" w16cid:durableId="1441031343">
    <w:abstractNumId w:val="2"/>
  </w:num>
  <w:num w:numId="6" w16cid:durableId="884368573">
    <w:abstractNumId w:val="5"/>
  </w:num>
  <w:num w:numId="7" w16cid:durableId="4044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B9"/>
    <w:rsid w:val="00047637"/>
    <w:rsid w:val="000B3351"/>
    <w:rsid w:val="0010573C"/>
    <w:rsid w:val="001F3F8C"/>
    <w:rsid w:val="00235D30"/>
    <w:rsid w:val="0024226F"/>
    <w:rsid w:val="00245565"/>
    <w:rsid w:val="002507D5"/>
    <w:rsid w:val="003414C7"/>
    <w:rsid w:val="003A247F"/>
    <w:rsid w:val="003A26D3"/>
    <w:rsid w:val="003C4A53"/>
    <w:rsid w:val="003C6EDC"/>
    <w:rsid w:val="004F2246"/>
    <w:rsid w:val="004F4DBD"/>
    <w:rsid w:val="00562642"/>
    <w:rsid w:val="005952B7"/>
    <w:rsid w:val="005D638E"/>
    <w:rsid w:val="00611BCE"/>
    <w:rsid w:val="00632FA5"/>
    <w:rsid w:val="006E1D31"/>
    <w:rsid w:val="00722564"/>
    <w:rsid w:val="00767FF9"/>
    <w:rsid w:val="0077577F"/>
    <w:rsid w:val="007837DF"/>
    <w:rsid w:val="007A2B61"/>
    <w:rsid w:val="008814F9"/>
    <w:rsid w:val="008915E9"/>
    <w:rsid w:val="008941A9"/>
    <w:rsid w:val="008B1381"/>
    <w:rsid w:val="008B1CF9"/>
    <w:rsid w:val="0090520F"/>
    <w:rsid w:val="009934A6"/>
    <w:rsid w:val="0099490A"/>
    <w:rsid w:val="009A0CB9"/>
    <w:rsid w:val="009A1E31"/>
    <w:rsid w:val="009F2948"/>
    <w:rsid w:val="00A0434C"/>
    <w:rsid w:val="00A22159"/>
    <w:rsid w:val="00BD0EFD"/>
    <w:rsid w:val="00C03E1A"/>
    <w:rsid w:val="00C30EB9"/>
    <w:rsid w:val="00C3614C"/>
    <w:rsid w:val="00C86AB6"/>
    <w:rsid w:val="00C94ADB"/>
    <w:rsid w:val="00CC54FF"/>
    <w:rsid w:val="00D22B9B"/>
    <w:rsid w:val="00D74DF9"/>
    <w:rsid w:val="00D905B8"/>
    <w:rsid w:val="00DE0269"/>
    <w:rsid w:val="00E40086"/>
    <w:rsid w:val="00E622F8"/>
    <w:rsid w:val="00EA1799"/>
    <w:rsid w:val="00EB15B9"/>
    <w:rsid w:val="00EE7D2B"/>
    <w:rsid w:val="00F01176"/>
    <w:rsid w:val="00F745AA"/>
    <w:rsid w:val="00FC2024"/>
    <w:rsid w:val="00FF0298"/>
    <w:rsid w:val="00FF553B"/>
    <w:rsid w:val="0364668E"/>
    <w:rsid w:val="14F201BE"/>
    <w:rsid w:val="1A64DC74"/>
    <w:rsid w:val="32245896"/>
    <w:rsid w:val="32A6FD61"/>
    <w:rsid w:val="372A44CA"/>
    <w:rsid w:val="379A5782"/>
    <w:rsid w:val="3A3DA9AC"/>
    <w:rsid w:val="42BE939C"/>
    <w:rsid w:val="4A2125A4"/>
    <w:rsid w:val="4E726702"/>
    <w:rsid w:val="66A78693"/>
    <w:rsid w:val="6BC7E054"/>
    <w:rsid w:val="6D991FB6"/>
    <w:rsid w:val="70B88D15"/>
    <w:rsid w:val="7250D559"/>
    <w:rsid w:val="73CA40B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473D"/>
  <w15:chartTrackingRefBased/>
  <w15:docId w15:val="{BA2303C3-4423-4B78-9DC0-A158C06B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B9"/>
    <w:pPr>
      <w:spacing w:after="0" w:line="276" w:lineRule="auto"/>
    </w:pPr>
    <w:rPr>
      <w:rFonts w:ascii="Arial" w:eastAsia="Arial" w:hAnsi="Arial" w:cs="Arial"/>
      <w:kern w:val="0"/>
      <w:sz w:val="22"/>
      <w14:ligatures w14:val="none"/>
    </w:rPr>
  </w:style>
  <w:style w:type="paragraph" w:styleId="Heading1">
    <w:name w:val="heading 1"/>
    <w:basedOn w:val="Normal"/>
    <w:next w:val="Normal"/>
    <w:link w:val="Heading1Char"/>
    <w:uiPriority w:val="9"/>
    <w:qFormat/>
    <w:rsid w:val="009A0CB9"/>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9A0CB9"/>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9A0CB9"/>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9A0CB9"/>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9A0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CB9"/>
    <w:pPr>
      <w:keepNext/>
      <w:keepLines/>
      <w:spacing w:before="4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9A0C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CB9"/>
    <w:pPr>
      <w:keepNext/>
      <w:keepLines/>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9A0C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B9"/>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9A0CB9"/>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9A0CB9"/>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9A0CB9"/>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9A0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CB9"/>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9A0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B9"/>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9A0CB9"/>
    <w:rPr>
      <w:rFonts w:eastAsiaTheme="majorEastAsia" w:cstheme="majorBidi"/>
      <w:color w:val="272727" w:themeColor="text1" w:themeTint="D8"/>
    </w:rPr>
  </w:style>
  <w:style w:type="paragraph" w:styleId="Title">
    <w:name w:val="Title"/>
    <w:basedOn w:val="Normal"/>
    <w:next w:val="Normal"/>
    <w:link w:val="TitleChar"/>
    <w:uiPriority w:val="10"/>
    <w:qFormat/>
    <w:rsid w:val="009A0CB9"/>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9A0CB9"/>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9A0CB9"/>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9A0CB9"/>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9A0CB9"/>
    <w:pPr>
      <w:spacing w:before="160"/>
      <w:jc w:val="center"/>
    </w:pPr>
    <w:rPr>
      <w:i/>
      <w:color w:val="404040" w:themeColor="text1" w:themeTint="BF"/>
    </w:rPr>
  </w:style>
  <w:style w:type="character" w:customStyle="1" w:styleId="QuoteChar">
    <w:name w:val="Quote Char"/>
    <w:basedOn w:val="DefaultParagraphFont"/>
    <w:link w:val="Quote"/>
    <w:uiPriority w:val="29"/>
    <w:rsid w:val="009A0CB9"/>
    <w:rPr>
      <w:i/>
      <w:color w:val="404040" w:themeColor="text1" w:themeTint="BF"/>
    </w:rPr>
  </w:style>
  <w:style w:type="paragraph" w:styleId="ListParagraph">
    <w:name w:val="List Paragraph"/>
    <w:basedOn w:val="Normal"/>
    <w:uiPriority w:val="34"/>
    <w:qFormat/>
    <w:rsid w:val="009A0CB9"/>
    <w:pPr>
      <w:ind w:left="720"/>
      <w:contextualSpacing/>
    </w:pPr>
  </w:style>
  <w:style w:type="character" w:styleId="IntenseEmphasis">
    <w:name w:val="Intense Emphasis"/>
    <w:basedOn w:val="DefaultParagraphFont"/>
    <w:uiPriority w:val="21"/>
    <w:qFormat/>
    <w:rsid w:val="009A0CB9"/>
    <w:rPr>
      <w:i/>
      <w:color w:val="0F4761" w:themeColor="accent1" w:themeShade="BF"/>
    </w:rPr>
  </w:style>
  <w:style w:type="paragraph" w:styleId="IntenseQuote">
    <w:name w:val="Intense Quote"/>
    <w:basedOn w:val="Normal"/>
    <w:next w:val="Normal"/>
    <w:link w:val="IntenseQuoteChar"/>
    <w:uiPriority w:val="30"/>
    <w:qFormat/>
    <w:rsid w:val="009A0CB9"/>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9A0CB9"/>
    <w:rPr>
      <w:i/>
      <w:color w:val="0F4761" w:themeColor="accent1" w:themeShade="BF"/>
    </w:rPr>
  </w:style>
  <w:style w:type="character" w:styleId="IntenseReference">
    <w:name w:val="Intense Reference"/>
    <w:basedOn w:val="DefaultParagraphFont"/>
    <w:uiPriority w:val="32"/>
    <w:qFormat/>
    <w:rsid w:val="009A0CB9"/>
    <w:rPr>
      <w:b/>
      <w:smallCaps/>
      <w:color w:val="0F4761" w:themeColor="accent1" w:themeShade="BF"/>
    </w:rPr>
  </w:style>
  <w:style w:type="table" w:styleId="TableGrid">
    <w:name w:val="Table Grid"/>
    <w:basedOn w:val="TableNormal"/>
    <w:uiPriority w:val="39"/>
    <w:rsid w:val="00722564"/>
    <w:pPr>
      <w:spacing w:after="0" w:line="240" w:lineRule="auto"/>
    </w:pPr>
    <w:rPr>
      <w:rFonts w:ascii="Arial" w:eastAsia="Arial" w:hAnsi="Arial" w:cs="Arial"/>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EDC"/>
    <w:rPr>
      <w:sz w:val="16"/>
    </w:rPr>
  </w:style>
  <w:style w:type="paragraph" w:styleId="CommentText">
    <w:name w:val="annotation text"/>
    <w:basedOn w:val="Normal"/>
    <w:link w:val="CommentTextChar"/>
    <w:uiPriority w:val="99"/>
    <w:unhideWhenUsed/>
    <w:rsid w:val="003C6EDC"/>
    <w:pPr>
      <w:spacing w:line="240" w:lineRule="auto"/>
    </w:pPr>
    <w:rPr>
      <w:sz w:val="20"/>
    </w:rPr>
  </w:style>
  <w:style w:type="character" w:customStyle="1" w:styleId="CommentTextChar">
    <w:name w:val="Comment Text Char"/>
    <w:basedOn w:val="DefaultParagraphFont"/>
    <w:link w:val="CommentText"/>
    <w:uiPriority w:val="99"/>
    <w:rsid w:val="003C6EDC"/>
    <w:rPr>
      <w:rFonts w:ascii="Arial" w:eastAsia="Arial" w:hAnsi="Arial" w:cs="Arial"/>
      <w:kern w:val="0"/>
      <w:sz w:val="20"/>
      <w14:ligatures w14:val="none"/>
    </w:rPr>
  </w:style>
  <w:style w:type="paragraph" w:styleId="CommentSubject">
    <w:name w:val="annotation subject"/>
    <w:basedOn w:val="CommentText"/>
    <w:next w:val="CommentText"/>
    <w:link w:val="CommentSubjectChar"/>
    <w:uiPriority w:val="99"/>
    <w:semiHidden/>
    <w:unhideWhenUsed/>
    <w:rsid w:val="003C6EDC"/>
    <w:rPr>
      <w:b/>
    </w:rPr>
  </w:style>
  <w:style w:type="character" w:customStyle="1" w:styleId="CommentSubjectChar">
    <w:name w:val="Comment Subject Char"/>
    <w:basedOn w:val="CommentTextChar"/>
    <w:link w:val="CommentSubject"/>
    <w:uiPriority w:val="99"/>
    <w:semiHidden/>
    <w:rsid w:val="003C6EDC"/>
    <w:rPr>
      <w:rFonts w:ascii="Arial" w:eastAsia="Arial" w:hAnsi="Arial" w:cs="Arial"/>
      <w:b/>
      <w:kern w:val="0"/>
      <w:sz w:val="20"/>
      <w14:ligatures w14:val="none"/>
    </w:rPr>
  </w:style>
  <w:style w:type="character" w:styleId="Mention">
    <w:name w:val="Mention"/>
    <w:basedOn w:val="DefaultParagraphFont"/>
    <w:uiPriority w:val="99"/>
    <w:unhideWhenUsed/>
    <w:rsid w:val="008814F9"/>
    <w:rPr>
      <w:color w:val="2B579A"/>
      <w:shd w:val="clear" w:color="auto" w:fill="E1DFDD"/>
    </w:rPr>
  </w:style>
  <w:style w:type="character" w:styleId="Hyperlink">
    <w:name w:val="Hyperlink"/>
    <w:basedOn w:val="DefaultParagraphFont"/>
    <w:uiPriority w:val="99"/>
    <w:unhideWhenUsed/>
    <w:rsid w:val="00A22159"/>
    <w:rPr>
      <w:color w:val="467886" w:themeColor="hyperlink"/>
      <w:u w:val="single"/>
    </w:rPr>
  </w:style>
  <w:style w:type="character" w:styleId="UnresolvedMention">
    <w:name w:val="Unresolved Mention"/>
    <w:basedOn w:val="DefaultParagraphFont"/>
    <w:uiPriority w:val="99"/>
    <w:semiHidden/>
    <w:unhideWhenUsed/>
    <w:rsid w:val="00A22159"/>
    <w:rPr>
      <w:color w:val="605E5C"/>
      <w:shd w:val="clear" w:color="auto" w:fill="E1DFDD"/>
    </w:rPr>
  </w:style>
  <w:style w:type="paragraph" w:styleId="Header">
    <w:name w:val="header"/>
    <w:basedOn w:val="Normal"/>
    <w:link w:val="HeaderChar"/>
    <w:uiPriority w:val="99"/>
    <w:unhideWhenUsed/>
    <w:rsid w:val="004F2246"/>
    <w:pPr>
      <w:tabs>
        <w:tab w:val="center" w:pos="4680"/>
        <w:tab w:val="right" w:pos="9360"/>
      </w:tabs>
      <w:spacing w:line="240" w:lineRule="auto"/>
    </w:pPr>
  </w:style>
  <w:style w:type="character" w:customStyle="1" w:styleId="HeaderChar">
    <w:name w:val="Header Char"/>
    <w:basedOn w:val="DefaultParagraphFont"/>
    <w:link w:val="Header"/>
    <w:uiPriority w:val="99"/>
    <w:rsid w:val="004F2246"/>
    <w:rPr>
      <w:rFonts w:ascii="Arial" w:eastAsia="Arial" w:hAnsi="Arial" w:cs="Arial"/>
      <w:kern w:val="0"/>
      <w:sz w:val="22"/>
      <w14:ligatures w14:val="none"/>
    </w:rPr>
  </w:style>
  <w:style w:type="paragraph" w:styleId="Footer">
    <w:name w:val="footer"/>
    <w:basedOn w:val="Normal"/>
    <w:link w:val="FooterChar"/>
    <w:uiPriority w:val="99"/>
    <w:unhideWhenUsed/>
    <w:rsid w:val="004F2246"/>
    <w:pPr>
      <w:tabs>
        <w:tab w:val="center" w:pos="4680"/>
        <w:tab w:val="right" w:pos="9360"/>
      </w:tabs>
      <w:spacing w:line="240" w:lineRule="auto"/>
    </w:pPr>
  </w:style>
  <w:style w:type="character" w:customStyle="1" w:styleId="FooterChar">
    <w:name w:val="Footer Char"/>
    <w:basedOn w:val="DefaultParagraphFont"/>
    <w:link w:val="Footer"/>
    <w:uiPriority w:val="99"/>
    <w:rsid w:val="004F2246"/>
    <w:rPr>
      <w:rFonts w:ascii="Arial" w:eastAsia="Arial" w:hAnsi="Arial" w:cs="Arial"/>
      <w:kern w:val="0"/>
      <w:sz w:val="22"/>
      <w14:ligatures w14:val="none"/>
    </w:rPr>
  </w:style>
  <w:style w:type="paragraph" w:customStyle="1" w:styleId="P68B1DB1-Normal1">
    <w:name w:val="P68B1DB1-Normal1"/>
    <w:basedOn w:val="Normal"/>
    <w:rPr>
      <w:b/>
      <w:color w:val="0070C0"/>
      <w:sz w:val="48"/>
    </w:rPr>
  </w:style>
  <w:style w:type="paragraph" w:customStyle="1" w:styleId="P68B1DB1-Normal2">
    <w:name w:val="P68B1DB1-Normal2"/>
    <w:basedOn w:val="Normal"/>
    <w:rPr>
      <w:sz w:val="28"/>
    </w:rPr>
  </w:style>
  <w:style w:type="paragraph" w:customStyle="1" w:styleId="P68B1DB1-Normal3">
    <w:name w:val="P68B1DB1-Normal3"/>
    <w:basedOn w:val="Normal"/>
    <w:rPr>
      <w:b/>
      <w:color w:val="E77A32"/>
      <w:sz w:val="28"/>
    </w:rPr>
  </w:style>
  <w:style w:type="paragraph" w:customStyle="1" w:styleId="P68B1DB1-Normal4">
    <w:name w:val="P68B1DB1-Normal4"/>
    <w:basedOn w:val="Normal"/>
    <w:rPr>
      <w:b/>
      <w:sz w:val="28"/>
    </w:rPr>
  </w:style>
  <w:style w:type="paragraph" w:customStyle="1" w:styleId="P68B1DB1-ListParagraph5">
    <w:name w:val="P68B1DB1-ListParagraph5"/>
    <w:basedOn w:val="ListParagraph"/>
    <w:rPr>
      <w:sz w:val="28"/>
    </w:rPr>
  </w:style>
  <w:style w:type="paragraph" w:customStyle="1" w:styleId="P68B1DB1-Normal6">
    <w:name w:val="P68B1DB1-Normal6"/>
    <w:basedOn w:val="Normal"/>
    <w:rPr>
      <w:b/>
      <w:sz w:val="28"/>
    </w:rPr>
  </w:style>
  <w:style w:type="paragraph" w:customStyle="1" w:styleId="P68B1DB1-Normal7">
    <w:name w:val="P68B1DB1-Normal7"/>
    <w:basedOn w:val="Normal"/>
    <w:rPr>
      <w:color w:val="0070C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FD787-9469-4287-A0FF-527F6F3E60FE}">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27FD5073-FFA0-4B33-BECB-F5BE87CB5433}"/>
</file>

<file path=customXml/itemProps3.xml><?xml version="1.0" encoding="utf-8"?>
<ds:datastoreItem xmlns:ds="http://schemas.openxmlformats.org/officeDocument/2006/customXml" ds:itemID="{FABD2EE2-8267-41DA-89A9-D9E9E035883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Dina Reed | Fox Director</cp:lastModifiedBy>
  <cp:revision>2</cp:revision>
  <dcterms:created xsi:type="dcterms:W3CDTF">2026-04-01T15:24:00Z</dcterms:created>
  <dcterms:modified xsi:type="dcterms:W3CDTF">2026-04-01T15:24:00Z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