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6350D" w14:textId="77777777" w:rsidR="00EC6D36" w:rsidRPr="008F318A" w:rsidRDefault="00EC6D36" w:rsidP="00F85CC4">
      <w:pPr>
        <w:pStyle w:val="Heading1"/>
        <w:pBdr>
          <w:bottom w:val="single" w:sz="4" w:space="1" w:color="auto"/>
        </w:pBdr>
        <w:tabs>
          <w:tab w:val="left" w:pos="3870"/>
        </w:tabs>
        <w:spacing w:after="300"/>
      </w:pPr>
      <w:r w:rsidRPr="008F318A">
        <w:t>Guidelines for Medical Necessity Determination for Gender-Affirming Surgery</w:t>
      </w:r>
    </w:p>
    <w:p w14:paraId="366DDF1B" w14:textId="77777777" w:rsidR="00EC6D36" w:rsidRDefault="00EC6D36" w:rsidP="00EC6D36">
      <w:bookmarkStart w:id="0" w:name="_Hlk60833923"/>
      <w:r>
        <w:t xml:space="preserve">This edition of the </w:t>
      </w:r>
      <w:r w:rsidRPr="001F3378">
        <w:rPr>
          <w:rStyle w:val="Emphasis"/>
        </w:rPr>
        <w:t>Guidelines for Medical Necessity Determination</w:t>
      </w:r>
      <w:r>
        <w:t xml:space="preserve"> (Guidelines) identifies the clinical information that MassHealth needs to determine medical necessity for gender-affirming surgery (GAS). These Guidelines are based on generally accepted standards of practice, review of the medical literature, and federal and state policies and laws applicable to Medicaid programs. </w:t>
      </w:r>
    </w:p>
    <w:p w14:paraId="3014EF2B" w14:textId="1CC9D0C7" w:rsidR="00EC6D36" w:rsidRDefault="00EC6D36" w:rsidP="00EC6D36">
      <w:r>
        <w:t xml:space="preserve">Providers should consult MassHealth regulations at </w:t>
      </w:r>
      <w:hyperlink r:id="rId11">
        <w:r w:rsidRPr="74B7AF95">
          <w:rPr>
            <w:rStyle w:val="Hyperlink"/>
          </w:rPr>
          <w:t xml:space="preserve">130 CMR 415.000: </w:t>
        </w:r>
        <w:r w:rsidRPr="00F7384C">
          <w:rPr>
            <w:rStyle w:val="Hyperlink"/>
            <w:i/>
            <w:iCs/>
          </w:rPr>
          <w:t>Acute Inpatient Hospital Services</w:t>
        </w:r>
      </w:hyperlink>
      <w:r>
        <w:t xml:space="preserve">, </w:t>
      </w:r>
      <w:hyperlink r:id="rId12">
        <w:r w:rsidR="00FF422B">
          <w:rPr>
            <w:rStyle w:val="Hyperlink"/>
          </w:rPr>
          <w:t xml:space="preserve">130 CMR 433.000: </w:t>
        </w:r>
        <w:r w:rsidR="00FF422B" w:rsidRPr="00F7384C">
          <w:rPr>
            <w:rStyle w:val="Hyperlink"/>
            <w:i/>
            <w:iCs/>
          </w:rPr>
          <w:t>Physician Services</w:t>
        </w:r>
      </w:hyperlink>
      <w:r>
        <w:t xml:space="preserve">, </w:t>
      </w:r>
      <w:hyperlink r:id="rId13">
        <w:r w:rsidR="00FF422B">
          <w:rPr>
            <w:rStyle w:val="Hyperlink"/>
          </w:rPr>
          <w:t xml:space="preserve">130 CMR 410.000: </w:t>
        </w:r>
        <w:r w:rsidR="00FF422B" w:rsidRPr="00F7384C">
          <w:rPr>
            <w:rStyle w:val="Hyperlink"/>
            <w:i/>
            <w:iCs/>
          </w:rPr>
          <w:t>Outpatient Hospital Services</w:t>
        </w:r>
      </w:hyperlink>
      <w:r>
        <w:t xml:space="preserve">, </w:t>
      </w:r>
      <w:hyperlink r:id="rId14">
        <w:r w:rsidR="00FF422B">
          <w:rPr>
            <w:rStyle w:val="Hyperlink"/>
          </w:rPr>
          <w:t xml:space="preserve">130 CMR 450.000: </w:t>
        </w:r>
        <w:r w:rsidR="00FF422B" w:rsidRPr="00F7384C">
          <w:rPr>
            <w:rStyle w:val="Hyperlink"/>
            <w:i/>
            <w:iCs/>
          </w:rPr>
          <w:t>Administrative and Billing Regulations</w:t>
        </w:r>
      </w:hyperlink>
      <w:r w:rsidR="00FF422B">
        <w:rPr>
          <w:rStyle w:val="Hyperlink"/>
        </w:rPr>
        <w:t>,</w:t>
      </w:r>
      <w:r w:rsidR="00FF422B" w:rsidRPr="00FF422B">
        <w:rPr>
          <w:rStyle w:val="Hyperlink"/>
          <w:color w:val="auto"/>
          <w:u w:val="none"/>
        </w:rPr>
        <w:t xml:space="preserve"> </w:t>
      </w:r>
      <w:hyperlink r:id="rId15" w:history="1">
        <w:r w:rsidR="00FF422B" w:rsidRPr="00FF422B">
          <w:rPr>
            <w:rStyle w:val="Hyperlink"/>
          </w:rPr>
          <w:t>Subchapter 6</w:t>
        </w:r>
      </w:hyperlink>
      <w:r w:rsidR="00FF422B">
        <w:rPr>
          <w:rStyle w:val="Hyperlink"/>
        </w:rPr>
        <w:t xml:space="preserve"> </w:t>
      </w:r>
      <w:r w:rsidR="00FF422B" w:rsidRPr="00FF422B">
        <w:rPr>
          <w:rStyle w:val="Hyperlink"/>
          <w:color w:val="auto"/>
          <w:u w:val="none"/>
        </w:rPr>
        <w:t xml:space="preserve">of the </w:t>
      </w:r>
      <w:r w:rsidR="00FF422B" w:rsidRPr="007B47DE">
        <w:rPr>
          <w:rStyle w:val="Hyperlink"/>
          <w:i/>
          <w:iCs/>
          <w:color w:val="auto"/>
          <w:u w:val="none"/>
        </w:rPr>
        <w:t>Acute Outpatient Hospital Manual</w:t>
      </w:r>
      <w:r w:rsidR="00FF422B" w:rsidRPr="00FF422B">
        <w:rPr>
          <w:rStyle w:val="Hyperlink"/>
          <w:color w:val="auto"/>
          <w:u w:val="none"/>
        </w:rPr>
        <w:t>,</w:t>
      </w:r>
      <w:r w:rsidRPr="00FF422B">
        <w:t xml:space="preserve"> </w:t>
      </w:r>
      <w:r>
        <w:t xml:space="preserve">and </w:t>
      </w:r>
      <w:hyperlink r:id="rId16" w:anchor="-subchapter-6-">
        <w:r w:rsidRPr="74B7AF95">
          <w:rPr>
            <w:rStyle w:val="Hyperlink"/>
          </w:rPr>
          <w:t>Subchapter 6</w:t>
        </w:r>
      </w:hyperlink>
      <w:r>
        <w:t xml:space="preserve"> of the </w:t>
      </w:r>
      <w:r w:rsidRPr="007B47DE">
        <w:rPr>
          <w:i/>
          <w:iCs/>
        </w:rPr>
        <w:t>Physician Manual</w:t>
      </w:r>
      <w:r>
        <w:t xml:space="preserve"> for information about coverage, limitations, service conditions, and other prior</w:t>
      </w:r>
      <w:r w:rsidR="007B47DE">
        <w:t xml:space="preserve"> </w:t>
      </w:r>
      <w:r>
        <w:t>authorization (PA) requirements.</w:t>
      </w:r>
    </w:p>
    <w:p w14:paraId="36027EA0" w14:textId="418185BA" w:rsidR="006E3C09" w:rsidRDefault="006E3C09" w:rsidP="006E3C09">
      <w:r>
        <w:t xml:space="preserve">Providers serving members enrolled in a MassHealth-contracted accountable care partnership plan (ACPP), managed care organization (MCO), One Care organization, Senior Care </w:t>
      </w:r>
      <w:r w:rsidR="00F7384C">
        <w:t>Options</w:t>
      </w:r>
      <w:r>
        <w:t xml:space="preserve"> (SCO)</w:t>
      </w:r>
      <w:r w:rsidR="00F7384C">
        <w:t xml:space="preserve"> plan</w:t>
      </w:r>
      <w:r>
        <w:t>, or Program of All-inclusive Care for the Elderly (PACE) should refer to the ACPP’s, MCO’s, One Care organization’s, SCO’s, or PACE’s medical policies</w:t>
      </w:r>
      <w:r w:rsidR="007B47DE">
        <w:t>, respectively,</w:t>
      </w:r>
      <w:r w:rsidR="00E178BD">
        <w:t xml:space="preserve"> </w:t>
      </w:r>
      <w:r>
        <w:t>for covered services.</w:t>
      </w:r>
    </w:p>
    <w:p w14:paraId="51C9C1B2" w14:textId="0C335094" w:rsidR="00EC6D36" w:rsidRDefault="00EC6D36" w:rsidP="00EC6D36">
      <w:r>
        <w:t xml:space="preserve">MassHealth requires PA for GAS. MassHealth reviews requests for PA </w:t>
      </w:r>
      <w:r w:rsidR="0079273E">
        <w:t>based on</w:t>
      </w:r>
      <w:r>
        <w:t xml:space="preserve"> medical necessity. If MassHealth approves the request, payment is still subject to all general conditions of MassHealth, including member eligibility, other insurance, and program restrictions.</w:t>
      </w:r>
    </w:p>
    <w:bookmarkEnd w:id="0"/>
    <w:p w14:paraId="4418B87C" w14:textId="77777777" w:rsidR="00EC6D36" w:rsidRPr="008F318A" w:rsidRDefault="00EC6D36" w:rsidP="008953D8">
      <w:pPr>
        <w:pStyle w:val="Heading2"/>
      </w:pPr>
      <w:r w:rsidRPr="008F318A">
        <w:t xml:space="preserve">Section I. General Information </w:t>
      </w:r>
    </w:p>
    <w:p w14:paraId="036A3954" w14:textId="5335ABAB" w:rsidR="00EC6D36" w:rsidRPr="00BD0CA9" w:rsidRDefault="00EC6D36" w:rsidP="484B09EE">
      <w:pPr>
        <w:rPr>
          <w:rFonts w:ascii="Calibri" w:eastAsia="Calibri" w:hAnsi="Calibri" w:cs="Calibri"/>
        </w:rPr>
      </w:pPr>
      <w:r>
        <w:t xml:space="preserve">Sex and gender are two different constructs. Sex is a biological construct based on chromosomes and anatomy. Gender is a social construct and refers to attitudes, feelings, and behaviors </w:t>
      </w:r>
      <w:r w:rsidR="0080573B">
        <w:t xml:space="preserve">often </w:t>
      </w:r>
      <w:r>
        <w:t xml:space="preserve">associated with a person’s </w:t>
      </w:r>
      <w:r w:rsidR="006B3FE5">
        <w:t>assigned gender</w:t>
      </w:r>
      <w:r>
        <w:t xml:space="preserve">. </w:t>
      </w:r>
      <w:r w:rsidRPr="009F7DD2">
        <w:rPr>
          <w:rStyle w:val="Emphasis"/>
        </w:rPr>
        <w:t>Gender identity</w:t>
      </w:r>
      <w:r>
        <w:t xml:space="preserve"> refers to an individual’s personal sense of self </w:t>
      </w:r>
      <w:r w:rsidR="0079273E">
        <w:t>and</w:t>
      </w:r>
      <w:r w:rsidR="00434027">
        <w:t xml:space="preserve"> </w:t>
      </w:r>
      <w:r>
        <w:t xml:space="preserve">gender. </w:t>
      </w:r>
      <w:r w:rsidRPr="484B09EE">
        <w:rPr>
          <w:rStyle w:val="Emphasis"/>
        </w:rPr>
        <w:t>Gender dysphoria</w:t>
      </w:r>
      <w:r>
        <w:t xml:space="preserve"> refers to clinically significant distress experienced due to discordance between gender identity and </w:t>
      </w:r>
      <w:r w:rsidR="006B3FE5">
        <w:t>assigned gender</w:t>
      </w:r>
      <w:r>
        <w:t>.</w:t>
      </w:r>
      <w:r w:rsidR="00F62419" w:rsidRPr="005D79F4">
        <w:rPr>
          <w:rFonts w:ascii="Calibri" w:hAnsi="Calibri"/>
        </w:rPr>
        <w:t xml:space="preserve"> </w:t>
      </w:r>
      <w:r>
        <w:t>G</w:t>
      </w:r>
      <w:r w:rsidR="2D977F19">
        <w:t>ender dysphoria</w:t>
      </w:r>
      <w:r w:rsidR="00F62419" w:rsidRPr="005D79F4">
        <w:rPr>
          <w:rFonts w:ascii="Calibri" w:hAnsi="Calibri"/>
        </w:rPr>
        <w:t xml:space="preserve"> often intensifies around puberty, when there is a surge in biological sex hormones.</w:t>
      </w:r>
      <w:r>
        <w:t xml:space="preserve"> </w:t>
      </w:r>
      <w:r w:rsidR="499D5135">
        <w:t>Gender dysphoria</w:t>
      </w:r>
      <w:r>
        <w:t xml:space="preserve"> has replaced </w:t>
      </w:r>
      <w:r w:rsidRPr="00557D18">
        <w:rPr>
          <w:rStyle w:val="Emphasis"/>
        </w:rPr>
        <w:t>gender-identity disorder</w:t>
      </w:r>
      <w:r>
        <w:t xml:space="preserve"> in </w:t>
      </w:r>
      <w:r w:rsidR="004741A6">
        <w:t xml:space="preserve">the </w:t>
      </w:r>
      <w:r w:rsidRPr="007B47DE">
        <w:rPr>
          <w:i/>
          <w:iCs/>
        </w:rPr>
        <w:t>Diagnostic and Statistical Manual of Mental Disorders</w:t>
      </w:r>
      <w:r>
        <w:t xml:space="preserve"> (DSM-</w:t>
      </w:r>
      <w:r w:rsidR="002904A2">
        <w:t>5</w:t>
      </w:r>
      <w:r>
        <w:t xml:space="preserve">). </w:t>
      </w:r>
      <w:r w:rsidR="396CB6CE">
        <w:t>Gender dysphoria</w:t>
      </w:r>
      <w:r>
        <w:t xml:space="preserve"> </w:t>
      </w:r>
      <w:r w:rsidR="006B3FE5">
        <w:t xml:space="preserve">may </w:t>
      </w:r>
      <w:r>
        <w:t xml:space="preserve">manifest in a variety of ways, including desires to be treated consistently with one’s gender identity, not </w:t>
      </w:r>
      <w:r w:rsidR="006B3FE5">
        <w:t>assigned gender</w:t>
      </w:r>
      <w:r>
        <w:t xml:space="preserve">, </w:t>
      </w:r>
      <w:r w:rsidR="006B3FE5">
        <w:t xml:space="preserve">and </w:t>
      </w:r>
      <w:r>
        <w:t xml:space="preserve">to </w:t>
      </w:r>
      <w:r w:rsidR="00BD0CA9" w:rsidRPr="00BD0CA9">
        <w:rPr>
          <w:rFonts w:ascii="Calibri" w:eastAsia="Calibri" w:hAnsi="Calibri" w:cs="Calibri"/>
        </w:rPr>
        <w:t>have sex characteristics aligned with one’s gender identity</w:t>
      </w:r>
      <w:r w:rsidR="00043148">
        <w:rPr>
          <w:rFonts w:ascii="Calibri" w:eastAsia="Calibri" w:hAnsi="Calibri" w:cs="Calibri"/>
        </w:rPr>
        <w:t>.</w:t>
      </w:r>
    </w:p>
    <w:p w14:paraId="1D25FB8C" w14:textId="2ED6A5E0" w:rsidR="00EC6D36" w:rsidRDefault="00EC6D36" w:rsidP="484B09EE">
      <w:r w:rsidRPr="484B09EE">
        <w:rPr>
          <w:rStyle w:val="Emphasis"/>
        </w:rPr>
        <w:t>Gender-affirming surgery</w:t>
      </w:r>
      <w:r>
        <w:t xml:space="preserve"> (GAS) refers to one or more reconstruction procedures that may be part of a multidisciplinary treatment plan involving medical, surgical, and behavioral health interventions </w:t>
      </w:r>
      <w:r>
        <w:lastRenderedPageBreak/>
        <w:t xml:space="preserve">available for the treatment of </w:t>
      </w:r>
      <w:r w:rsidR="783839C6">
        <w:t>gender dysphoria</w:t>
      </w:r>
      <w:r>
        <w:t>. GAS</w:t>
      </w:r>
      <w:r w:rsidR="006B3FE5">
        <w:t xml:space="preserve"> may be part of therapeutic treatment</w:t>
      </w:r>
      <w:r>
        <w:t xml:space="preserve"> to better align physical characteristics with gender identity. The evaluation of medical necessity will be individualized to each </w:t>
      </w:r>
      <w:r w:rsidR="00C215CF">
        <w:t>person</w:t>
      </w:r>
      <w:r>
        <w:t xml:space="preserve"> and </w:t>
      </w:r>
      <w:r w:rsidR="0079273E">
        <w:t>consider</w:t>
      </w:r>
      <w:r>
        <w:t xml:space="preserve"> this principle and the totality of the</w:t>
      </w:r>
      <w:r w:rsidR="00EB7EB1">
        <w:t xml:space="preserve"> person’s</w:t>
      </w:r>
      <w:r>
        <w:t xml:space="preserve"> gendered appearance. </w:t>
      </w:r>
    </w:p>
    <w:p w14:paraId="552FEDE5" w14:textId="001950A2" w:rsidR="00EC6D36" w:rsidRDefault="00EC6D36" w:rsidP="00EC6D36">
      <w:r>
        <w:t>MassHealth considers approval for coverage of GAS on an individual, case-by-case basis, in accordance with</w:t>
      </w:r>
      <w:r w:rsidR="0074022A">
        <w:t xml:space="preserve"> </w:t>
      </w:r>
      <w:hyperlink r:id="rId17">
        <w:r w:rsidR="0074022A" w:rsidRPr="74B7AF95">
          <w:rPr>
            <w:rStyle w:val="Hyperlink"/>
          </w:rPr>
          <w:t xml:space="preserve">130 CMR 415.000: </w:t>
        </w:r>
        <w:r w:rsidR="0074022A" w:rsidRPr="00F7384C">
          <w:rPr>
            <w:rStyle w:val="Hyperlink"/>
            <w:i/>
            <w:iCs/>
          </w:rPr>
          <w:t>Acute Inpatient Hospital Services</w:t>
        </w:r>
      </w:hyperlink>
      <w:r w:rsidR="0074022A">
        <w:t xml:space="preserve">, </w:t>
      </w:r>
      <w:hyperlink r:id="rId18">
        <w:r w:rsidR="0074022A">
          <w:rPr>
            <w:rStyle w:val="Hyperlink"/>
          </w:rPr>
          <w:t xml:space="preserve">130 CMR 433.000: </w:t>
        </w:r>
        <w:r w:rsidR="0074022A" w:rsidRPr="00F7384C">
          <w:rPr>
            <w:rStyle w:val="Hyperlink"/>
            <w:i/>
            <w:iCs/>
          </w:rPr>
          <w:t>Physician Services</w:t>
        </w:r>
      </w:hyperlink>
      <w:r w:rsidR="0074022A">
        <w:t xml:space="preserve">, </w:t>
      </w:r>
      <w:hyperlink r:id="rId19">
        <w:r w:rsidR="0074022A">
          <w:rPr>
            <w:rStyle w:val="Hyperlink"/>
          </w:rPr>
          <w:t xml:space="preserve">130 CMR 410.000: </w:t>
        </w:r>
        <w:r w:rsidR="0074022A" w:rsidRPr="00F7384C">
          <w:rPr>
            <w:rStyle w:val="Hyperlink"/>
            <w:i/>
            <w:iCs/>
          </w:rPr>
          <w:t>Outpatient Hospital Services</w:t>
        </w:r>
      </w:hyperlink>
      <w:r w:rsidR="0074022A">
        <w:t xml:space="preserve">, </w:t>
      </w:r>
      <w:r>
        <w:t xml:space="preserve">and </w:t>
      </w:r>
      <w:hyperlink r:id="rId20" w:history="1">
        <w:r w:rsidRPr="00960B4B">
          <w:rPr>
            <w:rStyle w:val="Hyperlink"/>
          </w:rPr>
          <w:t xml:space="preserve">130 CMR 450.204: </w:t>
        </w:r>
        <w:r w:rsidRPr="00E4629B">
          <w:rPr>
            <w:rStyle w:val="Hyperlink"/>
            <w:i/>
            <w:iCs/>
          </w:rPr>
          <w:t>Medical Necessity</w:t>
        </w:r>
      </w:hyperlink>
      <w:r>
        <w:t>.</w:t>
      </w:r>
    </w:p>
    <w:p w14:paraId="2AC64156" w14:textId="77777777" w:rsidR="00EC6D36" w:rsidRPr="008953D8" w:rsidRDefault="00EC6D36" w:rsidP="008953D8">
      <w:pPr>
        <w:pStyle w:val="Heading2"/>
      </w:pPr>
      <w:r w:rsidRPr="008953D8">
        <w:t>Section II. Clinical Guidelines</w:t>
      </w:r>
    </w:p>
    <w:p w14:paraId="12C53D3D" w14:textId="77777777" w:rsidR="00EC6D36" w:rsidRPr="008F318A" w:rsidRDefault="00EC6D36" w:rsidP="008F318A">
      <w:pPr>
        <w:pStyle w:val="Heading3"/>
      </w:pPr>
      <w:r w:rsidRPr="008F318A">
        <w:t>A.  Clinical Coverage</w:t>
      </w:r>
    </w:p>
    <w:p w14:paraId="33CAFB18" w14:textId="5761BE69" w:rsidR="00EC6D36" w:rsidRDefault="00EC6D36" w:rsidP="00EC6D36">
      <w:r>
        <w:t xml:space="preserve">MassHealth bases its determination of medical necessity for GAS on clinical data including, but not limited to, indicators that would affect the relative risks and benefits of the procedure, including postoperative recovery. </w:t>
      </w:r>
    </w:p>
    <w:p w14:paraId="0D0F8876" w14:textId="0C688809" w:rsidR="00EC6D36" w:rsidRPr="008953D8" w:rsidRDefault="0079273E" w:rsidP="008F318A">
      <w:pPr>
        <w:pStyle w:val="Heading3"/>
        <w:rPr>
          <w:rStyle w:val="Strong"/>
        </w:rPr>
      </w:pPr>
      <w:r w:rsidRPr="008953D8">
        <w:rPr>
          <w:rStyle w:val="Strong"/>
        </w:rPr>
        <w:t>MASCULINIZING</w:t>
      </w:r>
      <w:r w:rsidR="00EC6D36" w:rsidRPr="008953D8">
        <w:rPr>
          <w:rStyle w:val="Strong"/>
        </w:rPr>
        <w:t xml:space="preserve"> GENDER-AFFIRMING SURGERIES</w:t>
      </w:r>
    </w:p>
    <w:p w14:paraId="3F9C6BB7" w14:textId="2608EE68" w:rsidR="00C53522" w:rsidRPr="008953D8" w:rsidRDefault="00EC6D36" w:rsidP="009010FE">
      <w:pPr>
        <w:pStyle w:val="ListParagraph"/>
        <w:numPr>
          <w:ilvl w:val="0"/>
          <w:numId w:val="10"/>
        </w:numPr>
        <w:contextualSpacing w:val="0"/>
      </w:pPr>
      <w:r w:rsidRPr="008953D8">
        <w:t>Bilateral mastectomy</w:t>
      </w:r>
      <w:r w:rsidR="32066A51" w:rsidRPr="008953D8">
        <w:t>, reduction</w:t>
      </w:r>
      <w:r w:rsidR="00953DFA" w:rsidRPr="008953D8">
        <w:t xml:space="preserve"> </w:t>
      </w:r>
      <w:r w:rsidR="00953DFA" w:rsidRPr="008953D8">
        <w:rPr>
          <w:color w:val="000000"/>
        </w:rPr>
        <w:t>mammoplasty</w:t>
      </w:r>
      <w:r w:rsidR="32066A51" w:rsidRPr="008953D8">
        <w:t>,</w:t>
      </w:r>
      <w:r w:rsidR="00D65EAF" w:rsidRPr="008953D8">
        <w:t xml:space="preserve"> and</w:t>
      </w:r>
      <w:r w:rsidR="009D6EDE" w:rsidRPr="008953D8">
        <w:t>/or</w:t>
      </w:r>
      <w:r w:rsidR="00D65EAF" w:rsidRPr="008953D8">
        <w:t xml:space="preserve"> chest reconstruction</w:t>
      </w:r>
      <w:r w:rsidR="00676A3D" w:rsidRPr="008953D8">
        <w:t>/contouring</w:t>
      </w:r>
      <w:r w:rsidRPr="008953D8">
        <w:t xml:space="preserve"> may be medically necessary when </w:t>
      </w:r>
      <w:r w:rsidR="009010FE" w:rsidRPr="008953D8">
        <w:t xml:space="preserve">all of the </w:t>
      </w:r>
      <w:r w:rsidR="001E2CAA" w:rsidRPr="008953D8">
        <w:t xml:space="preserve">following </w:t>
      </w:r>
      <w:r w:rsidR="009010FE" w:rsidRPr="008953D8">
        <w:t xml:space="preserve">criteria listed in subsections II.A.1.a. through </w:t>
      </w:r>
      <w:r w:rsidR="000E38DD">
        <w:t>b</w:t>
      </w:r>
      <w:r w:rsidR="009010FE" w:rsidRPr="008953D8">
        <w:t>. are met and documented.</w:t>
      </w:r>
    </w:p>
    <w:p w14:paraId="036210E7" w14:textId="4D8DCC53" w:rsidR="00EB7EB1" w:rsidRPr="008953D8" w:rsidRDefault="00EC6D36" w:rsidP="00EB7EB1">
      <w:pPr>
        <w:pStyle w:val="ListParagraph"/>
        <w:numPr>
          <w:ilvl w:val="0"/>
          <w:numId w:val="15"/>
        </w:numPr>
        <w:contextualSpacing w:val="0"/>
        <w:rPr>
          <w:rFonts w:eastAsiaTheme="minorEastAsia"/>
        </w:rPr>
      </w:pPr>
      <w:bookmarkStart w:id="1" w:name="_Hlk60834351"/>
      <w:r w:rsidRPr="008953D8">
        <w:t xml:space="preserve">The member has been assessed by a </w:t>
      </w:r>
      <w:r w:rsidR="001975AE" w:rsidRPr="008953D8">
        <w:t xml:space="preserve">licensed </w:t>
      </w:r>
      <w:r w:rsidRPr="008953D8">
        <w:t xml:space="preserve">qualified </w:t>
      </w:r>
      <w:r w:rsidR="00BC2164" w:rsidRPr="008953D8">
        <w:t>behavioral</w:t>
      </w:r>
      <w:r w:rsidR="76BEF5D8" w:rsidRPr="008953D8">
        <w:t xml:space="preserve"> </w:t>
      </w:r>
      <w:r w:rsidRPr="008953D8">
        <w:t>health professional</w:t>
      </w:r>
      <w:r w:rsidR="002F085A" w:rsidRPr="008953D8">
        <w:rPr>
          <w:rStyle w:val="FootnoteReference"/>
        </w:rPr>
        <w:footnoteReference w:id="2"/>
      </w:r>
      <w:r w:rsidR="00992D48" w:rsidRPr="008953D8">
        <w:t>,</w:t>
      </w:r>
      <w:r w:rsidR="151379CA" w:rsidRPr="008953D8">
        <w:t xml:space="preserve"> </w:t>
      </w:r>
      <w:r w:rsidRPr="008953D8">
        <w:t xml:space="preserve">resulting in a diagnosis of </w:t>
      </w:r>
      <w:r w:rsidR="598CD340" w:rsidRPr="008953D8">
        <w:t>gender dysphoria</w:t>
      </w:r>
      <w:r w:rsidRPr="008953D8">
        <w:t xml:space="preserve"> meeting DSM-</w:t>
      </w:r>
      <w:r w:rsidR="00472CCF" w:rsidRPr="008953D8">
        <w:t xml:space="preserve">5 </w:t>
      </w:r>
      <w:r w:rsidRPr="008953D8">
        <w:t>criteria</w:t>
      </w:r>
      <w:r w:rsidR="00C45F33" w:rsidRPr="008953D8">
        <w:t>.</w:t>
      </w:r>
      <w:r w:rsidRPr="008953D8">
        <w:t xml:space="preserve"> </w:t>
      </w:r>
      <w:r w:rsidR="00C45F33" w:rsidRPr="008953D8">
        <w:t>T</w:t>
      </w:r>
      <w:r w:rsidRPr="008953D8">
        <w:t xml:space="preserve">his diagnosis must have been present for at least </w:t>
      </w:r>
      <w:r w:rsidR="00F7384C">
        <w:t>six months</w:t>
      </w:r>
      <w:r w:rsidRPr="008953D8">
        <w:t>.</w:t>
      </w:r>
      <w:r w:rsidR="00FC1833" w:rsidRPr="008953D8">
        <w:t xml:space="preserve"> Detailed information on the requirement for these assessments can be found </w:t>
      </w:r>
      <w:r w:rsidR="001D26AE" w:rsidRPr="008953D8">
        <w:t xml:space="preserve">later </w:t>
      </w:r>
      <w:r w:rsidR="00FC1833" w:rsidRPr="008953D8">
        <w:t>in Section III.A.1.</w:t>
      </w:r>
    </w:p>
    <w:p w14:paraId="5313C688" w14:textId="32200D2F" w:rsidR="00C53522" w:rsidRPr="008953D8" w:rsidRDefault="00EC6D36" w:rsidP="00EB7EB1">
      <w:pPr>
        <w:pStyle w:val="ListParagraph"/>
        <w:numPr>
          <w:ilvl w:val="0"/>
          <w:numId w:val="15"/>
        </w:numPr>
        <w:contextualSpacing w:val="0"/>
        <w:rPr>
          <w:rFonts w:eastAsiaTheme="minorEastAsia"/>
        </w:rPr>
      </w:pPr>
      <w:r w:rsidRPr="008953D8">
        <w:t xml:space="preserve">Co-morbid medical or </w:t>
      </w:r>
      <w:r w:rsidR="00C215CF" w:rsidRPr="008953D8">
        <w:t>behavioral</w:t>
      </w:r>
      <w:r w:rsidRPr="008953D8">
        <w:t xml:space="preserve"> health </w:t>
      </w:r>
      <w:r w:rsidR="00C215CF" w:rsidRPr="008953D8">
        <w:t>conditions</w:t>
      </w:r>
      <w:r w:rsidRPr="008953D8">
        <w:t xml:space="preserve"> are appropriately managed, reasonably controlled, and not causing symptoms of </w:t>
      </w:r>
      <w:r w:rsidR="00FC1833" w:rsidRPr="008953D8">
        <w:t xml:space="preserve">gender </w:t>
      </w:r>
      <w:r w:rsidRPr="008953D8">
        <w:t>dysphoria.</w:t>
      </w:r>
    </w:p>
    <w:bookmarkEnd w:id="1"/>
    <w:p w14:paraId="21471278" w14:textId="37047005" w:rsidR="00C53522" w:rsidRPr="008953D8" w:rsidRDefault="00EC6D36" w:rsidP="009010FE">
      <w:pPr>
        <w:pStyle w:val="ListParagraph"/>
        <w:numPr>
          <w:ilvl w:val="0"/>
          <w:numId w:val="10"/>
        </w:numPr>
        <w:contextualSpacing w:val="0"/>
      </w:pPr>
      <w:r w:rsidRPr="008953D8">
        <w:t xml:space="preserve">The </w:t>
      </w:r>
      <w:r w:rsidR="0079273E" w:rsidRPr="008953D8">
        <w:t>masculinizing</w:t>
      </w:r>
      <w:r w:rsidRPr="008953D8">
        <w:t xml:space="preserve"> gender-affirming surgeries listed below may be medically necessary when </w:t>
      </w:r>
      <w:r w:rsidR="009010FE" w:rsidRPr="008953D8">
        <w:t>all</w:t>
      </w:r>
      <w:r w:rsidR="009D6EDE" w:rsidRPr="008953D8">
        <w:t xml:space="preserve"> </w:t>
      </w:r>
      <w:r w:rsidRPr="008953D8">
        <w:t xml:space="preserve">criteria listed in a. through </w:t>
      </w:r>
      <w:r w:rsidR="00D13E6F">
        <w:t>d</w:t>
      </w:r>
      <w:r w:rsidRPr="008953D8">
        <w:t>.</w:t>
      </w:r>
      <w:r w:rsidR="001D26AE" w:rsidRPr="008953D8">
        <w:t xml:space="preserve"> </w:t>
      </w:r>
      <w:r w:rsidRPr="008953D8">
        <w:t>are met and documented.</w:t>
      </w:r>
    </w:p>
    <w:p w14:paraId="690B0B16" w14:textId="77777777" w:rsidR="00C53522" w:rsidRPr="008953D8" w:rsidRDefault="00EC6D36" w:rsidP="00552A1A">
      <w:pPr>
        <w:pStyle w:val="ListParagraph"/>
        <w:numPr>
          <w:ilvl w:val="0"/>
          <w:numId w:val="28"/>
        </w:numPr>
        <w:spacing w:after="0" w:line="240" w:lineRule="atLeast"/>
      </w:pPr>
      <w:r w:rsidRPr="008953D8">
        <w:t>Hysterectomy</w:t>
      </w:r>
    </w:p>
    <w:p w14:paraId="1BB08D27" w14:textId="7E4C50CB" w:rsidR="002A10DE" w:rsidRPr="008953D8" w:rsidRDefault="002A10DE" w:rsidP="00552A1A">
      <w:pPr>
        <w:pStyle w:val="ListParagraph"/>
        <w:numPr>
          <w:ilvl w:val="0"/>
          <w:numId w:val="28"/>
        </w:numPr>
        <w:spacing w:after="0" w:line="240" w:lineRule="atLeast"/>
      </w:pPr>
      <w:r w:rsidRPr="008953D8">
        <w:t>Salpingo-oophorectomy</w:t>
      </w:r>
    </w:p>
    <w:p w14:paraId="2192461E" w14:textId="77777777" w:rsidR="00C53522" w:rsidRPr="008953D8" w:rsidRDefault="00EC6D36" w:rsidP="00552A1A">
      <w:pPr>
        <w:pStyle w:val="ListParagraph"/>
        <w:numPr>
          <w:ilvl w:val="0"/>
          <w:numId w:val="28"/>
        </w:numPr>
        <w:spacing w:after="0" w:line="240" w:lineRule="atLeast"/>
      </w:pPr>
      <w:r w:rsidRPr="008953D8">
        <w:t>Vulvectomy</w:t>
      </w:r>
    </w:p>
    <w:p w14:paraId="44E40689" w14:textId="77777777" w:rsidR="00C53522" w:rsidRPr="008953D8" w:rsidRDefault="00EC6D36" w:rsidP="00552A1A">
      <w:pPr>
        <w:pStyle w:val="ListParagraph"/>
        <w:numPr>
          <w:ilvl w:val="0"/>
          <w:numId w:val="28"/>
        </w:numPr>
        <w:spacing w:after="0" w:line="240" w:lineRule="atLeast"/>
      </w:pPr>
      <w:r w:rsidRPr="008953D8">
        <w:t>Vaginectomy</w:t>
      </w:r>
    </w:p>
    <w:p w14:paraId="259FAB48" w14:textId="77777777" w:rsidR="00C53522" w:rsidRPr="008953D8" w:rsidRDefault="00EC6D36" w:rsidP="00552A1A">
      <w:pPr>
        <w:pStyle w:val="ListParagraph"/>
        <w:numPr>
          <w:ilvl w:val="0"/>
          <w:numId w:val="28"/>
        </w:numPr>
        <w:spacing w:after="0" w:line="23" w:lineRule="atLeast"/>
      </w:pPr>
      <w:r w:rsidRPr="008953D8">
        <w:t>Urethroplasty</w:t>
      </w:r>
    </w:p>
    <w:p w14:paraId="28385BCD" w14:textId="73DA9A51" w:rsidR="00C53522" w:rsidRPr="008953D8" w:rsidRDefault="009D6EDE" w:rsidP="00552A1A">
      <w:pPr>
        <w:pStyle w:val="ListParagraph"/>
        <w:numPr>
          <w:ilvl w:val="0"/>
          <w:numId w:val="28"/>
        </w:numPr>
        <w:spacing w:after="0" w:line="23" w:lineRule="atLeast"/>
      </w:pPr>
      <w:r w:rsidRPr="008953D8">
        <w:t>Metoidioplasty</w:t>
      </w:r>
      <w:r w:rsidR="00EC6D36" w:rsidRPr="008953D8">
        <w:t xml:space="preserve"> (</w:t>
      </w:r>
      <w:proofErr w:type="spellStart"/>
      <w:r w:rsidR="00EC6D36" w:rsidRPr="008953D8">
        <w:t>micropenis</w:t>
      </w:r>
      <w:proofErr w:type="spellEnd"/>
      <w:r w:rsidR="00EC6D36" w:rsidRPr="008953D8">
        <w:t>) OR phalloplasty (allows coital ability and standing micturition)</w:t>
      </w:r>
    </w:p>
    <w:p w14:paraId="73073ACC" w14:textId="53F0209A" w:rsidR="007A6D47" w:rsidRPr="008953D8" w:rsidRDefault="00EC6D36" w:rsidP="004529A8">
      <w:pPr>
        <w:pStyle w:val="ListParagraph"/>
        <w:numPr>
          <w:ilvl w:val="0"/>
          <w:numId w:val="28"/>
        </w:numPr>
        <w:spacing w:after="0" w:line="23" w:lineRule="atLeast"/>
      </w:pPr>
      <w:r w:rsidRPr="008953D8">
        <w:t>Scrotoplasty with insertion of testicular prosthesis</w:t>
      </w:r>
    </w:p>
    <w:p w14:paraId="69BB0045" w14:textId="25299337" w:rsidR="00C53522" w:rsidRPr="008953D8" w:rsidRDefault="00EC6D36" w:rsidP="004529A8">
      <w:pPr>
        <w:pStyle w:val="ListParagraph"/>
        <w:numPr>
          <w:ilvl w:val="0"/>
          <w:numId w:val="28"/>
        </w:numPr>
        <w:spacing w:after="0" w:line="23" w:lineRule="atLeast"/>
      </w:pPr>
      <w:r w:rsidRPr="008953D8">
        <w:lastRenderedPageBreak/>
        <w:t xml:space="preserve">Electrolysis </w:t>
      </w:r>
      <w:r w:rsidR="00D65EAF" w:rsidRPr="008953D8">
        <w:t xml:space="preserve">or laser hair removal </w:t>
      </w:r>
      <w:r w:rsidRPr="008953D8">
        <w:t xml:space="preserve">performed by a licensed </w:t>
      </w:r>
      <w:r w:rsidR="00D54E9C" w:rsidRPr="008953D8">
        <w:t xml:space="preserve">qualified professional </w:t>
      </w:r>
      <w:r w:rsidRPr="008953D8">
        <w:t xml:space="preserve">for the removal of hair on a skin graft donor site </w:t>
      </w:r>
      <w:r w:rsidR="00992D48" w:rsidRPr="008953D8">
        <w:t>before</w:t>
      </w:r>
      <w:r w:rsidRPr="008953D8">
        <w:t xml:space="preserve"> its use in genital gender-affirming surgery</w:t>
      </w:r>
      <w:r w:rsidR="007A6D47">
        <w:br/>
      </w:r>
    </w:p>
    <w:p w14:paraId="5C2B1025" w14:textId="75A82018" w:rsidR="00042030" w:rsidRPr="008953D8" w:rsidRDefault="00EB7EB1" w:rsidP="00EB7EB1">
      <w:pPr>
        <w:pStyle w:val="ListParagraph"/>
        <w:numPr>
          <w:ilvl w:val="1"/>
          <w:numId w:val="10"/>
        </w:numPr>
        <w:contextualSpacing w:val="0"/>
        <w:rPr>
          <w:rFonts w:eastAsiaTheme="minorEastAsia"/>
        </w:rPr>
      </w:pPr>
      <w:r w:rsidRPr="008953D8">
        <w:t>The member has been assessed by two licensed health professionals, one of whom must be a</w:t>
      </w:r>
      <w:r w:rsidR="001975AE" w:rsidRPr="008953D8">
        <w:t xml:space="preserve"> licensed</w:t>
      </w:r>
      <w:r w:rsidRPr="008953D8">
        <w:t xml:space="preserve"> qualified </w:t>
      </w:r>
      <w:r w:rsidR="00BC2164" w:rsidRPr="008953D8">
        <w:t>behavioral</w:t>
      </w:r>
      <w:r w:rsidRPr="008953D8">
        <w:t xml:space="preserve"> health professional and the other a clinician familiar with the member’s health, with each assessment resulting in a diagnosis of gender dysphoria meeting DSM-</w:t>
      </w:r>
      <w:r w:rsidR="00F26967" w:rsidRPr="008953D8">
        <w:t>5</w:t>
      </w:r>
      <w:r w:rsidR="00581C25" w:rsidRPr="008953D8">
        <w:t xml:space="preserve"> </w:t>
      </w:r>
      <w:r w:rsidRPr="008953D8">
        <w:t xml:space="preserve">criteria. The initial diagnosis (from one professional) must have been present for at least </w:t>
      </w:r>
      <w:r w:rsidR="00F7384C">
        <w:t>six months</w:t>
      </w:r>
      <w:r w:rsidR="00D874FA" w:rsidRPr="008953D8">
        <w:t>.</w:t>
      </w:r>
      <w:r w:rsidRPr="008953D8">
        <w:t xml:space="preserve"> Additional information on the requirement for these assessments can be found </w:t>
      </w:r>
      <w:r w:rsidR="007264C9" w:rsidRPr="008953D8">
        <w:t xml:space="preserve">later </w:t>
      </w:r>
      <w:r w:rsidRPr="008953D8">
        <w:t xml:space="preserve">in Section III.A.1. </w:t>
      </w:r>
    </w:p>
    <w:p w14:paraId="162A7B02" w14:textId="0B12603E" w:rsidR="00042030" w:rsidRPr="008953D8" w:rsidRDefault="006B4B20" w:rsidP="00042030">
      <w:pPr>
        <w:pStyle w:val="ListParagraph"/>
        <w:numPr>
          <w:ilvl w:val="1"/>
          <w:numId w:val="10"/>
        </w:numPr>
        <w:contextualSpacing w:val="0"/>
        <w:rPr>
          <w:rFonts w:eastAsiaTheme="minorEastAsia"/>
        </w:rPr>
      </w:pPr>
      <w:r w:rsidRPr="008953D8">
        <w:t xml:space="preserve">The member is 18 years of age or older. </w:t>
      </w:r>
    </w:p>
    <w:p w14:paraId="35C24C58" w14:textId="77777777" w:rsidR="00042030" w:rsidRPr="008953D8" w:rsidRDefault="00EC6D36" w:rsidP="00042030">
      <w:pPr>
        <w:pStyle w:val="ListParagraph"/>
        <w:numPr>
          <w:ilvl w:val="1"/>
          <w:numId w:val="10"/>
        </w:numPr>
        <w:contextualSpacing w:val="0"/>
        <w:rPr>
          <w:rFonts w:eastAsiaTheme="minorEastAsia"/>
        </w:rPr>
      </w:pPr>
      <w:r w:rsidRPr="008953D8">
        <w:t xml:space="preserve">Co-morbid medical or </w:t>
      </w:r>
      <w:r w:rsidR="00C215CF" w:rsidRPr="008953D8">
        <w:t>behavioral</w:t>
      </w:r>
      <w:r w:rsidRPr="008953D8">
        <w:t xml:space="preserve"> health </w:t>
      </w:r>
      <w:r w:rsidR="00C215CF" w:rsidRPr="008953D8">
        <w:t>conditions</w:t>
      </w:r>
      <w:r w:rsidRPr="008953D8">
        <w:t xml:space="preserve"> are appropriately managed, reasonably controlled, and not causing symptoms of </w:t>
      </w:r>
      <w:r w:rsidR="009D6EDE" w:rsidRPr="008953D8">
        <w:t xml:space="preserve">gender </w:t>
      </w:r>
      <w:r w:rsidRPr="008953D8">
        <w:t>dysphoria.</w:t>
      </w:r>
    </w:p>
    <w:p w14:paraId="522B4CD7" w14:textId="4E2AEEFC" w:rsidR="00EC6D36" w:rsidRPr="008953D8" w:rsidRDefault="00EC6D36" w:rsidP="00042030">
      <w:pPr>
        <w:pStyle w:val="ListParagraph"/>
        <w:numPr>
          <w:ilvl w:val="1"/>
          <w:numId w:val="10"/>
        </w:numPr>
        <w:contextualSpacing w:val="0"/>
        <w:rPr>
          <w:rFonts w:eastAsiaTheme="minorEastAsia"/>
        </w:rPr>
      </w:pPr>
      <w:r w:rsidRPr="008953D8">
        <w:t xml:space="preserve">The member has had </w:t>
      </w:r>
      <w:r w:rsidR="00F7384C">
        <w:t xml:space="preserve">six </w:t>
      </w:r>
      <w:r w:rsidRPr="008953D8">
        <w:t>continuous months of clinician-supervised hormone therapy appropriate to the member’s gender goals, unless hormone therapy is medically contraindicated</w:t>
      </w:r>
      <w:r w:rsidR="00675D4A">
        <w:t xml:space="preserve">. </w:t>
      </w:r>
    </w:p>
    <w:p w14:paraId="622FB343" w14:textId="7A477977" w:rsidR="00EC6D36" w:rsidRPr="008953D8" w:rsidRDefault="0079273E" w:rsidP="008F318A">
      <w:pPr>
        <w:pStyle w:val="Heading3"/>
        <w:rPr>
          <w:rStyle w:val="Strong"/>
        </w:rPr>
      </w:pPr>
      <w:r w:rsidRPr="008953D8">
        <w:rPr>
          <w:rStyle w:val="Strong"/>
        </w:rPr>
        <w:t>FEMINIZING GENDER-AFFIRMING</w:t>
      </w:r>
      <w:r w:rsidR="00EC6D36" w:rsidRPr="008953D8">
        <w:rPr>
          <w:rStyle w:val="Strong"/>
        </w:rPr>
        <w:t xml:space="preserve"> SURGERIES</w:t>
      </w:r>
    </w:p>
    <w:p w14:paraId="436340D8" w14:textId="36E2455E" w:rsidR="009010FE" w:rsidRPr="008953D8" w:rsidRDefault="00EC6D36" w:rsidP="009010FE">
      <w:pPr>
        <w:pStyle w:val="ListParagraph"/>
        <w:numPr>
          <w:ilvl w:val="0"/>
          <w:numId w:val="10"/>
        </w:numPr>
        <w:contextualSpacing w:val="0"/>
      </w:pPr>
      <w:r w:rsidRPr="008953D8">
        <w:t>Augmentation mammoplasty with implantation of breast prostheses</w:t>
      </w:r>
      <w:r w:rsidR="00B34C6F">
        <w:t xml:space="preserve"> and</w:t>
      </w:r>
      <w:r w:rsidR="005B19CC">
        <w:t xml:space="preserve"> mastopexy</w:t>
      </w:r>
      <w:r w:rsidRPr="008953D8">
        <w:t xml:space="preserve"> may be considered medically necessary </w:t>
      </w:r>
      <w:r w:rsidR="009010FE" w:rsidRPr="008953D8">
        <w:t xml:space="preserve">when all criteria listed </w:t>
      </w:r>
      <w:r w:rsidR="0016462F">
        <w:t>below</w:t>
      </w:r>
      <w:r w:rsidR="009010FE" w:rsidRPr="008953D8">
        <w:t xml:space="preserve"> are met and documented.</w:t>
      </w:r>
    </w:p>
    <w:p w14:paraId="180FD31B" w14:textId="349DAD46" w:rsidR="00124D22" w:rsidRPr="008953D8" w:rsidRDefault="00124D22" w:rsidP="00124D22">
      <w:pPr>
        <w:pStyle w:val="ListParagraph"/>
        <w:numPr>
          <w:ilvl w:val="1"/>
          <w:numId w:val="10"/>
        </w:numPr>
        <w:contextualSpacing w:val="0"/>
        <w:rPr>
          <w:rFonts w:eastAsiaTheme="minorEastAsia"/>
        </w:rPr>
      </w:pPr>
      <w:bookmarkStart w:id="2" w:name="_Hlk60834336"/>
      <w:r w:rsidRPr="008953D8">
        <w:t xml:space="preserve">The member has been assessed by a </w:t>
      </w:r>
      <w:r w:rsidR="001975AE" w:rsidRPr="008953D8">
        <w:t xml:space="preserve">licensed </w:t>
      </w:r>
      <w:r w:rsidRPr="008953D8">
        <w:t xml:space="preserve">qualified </w:t>
      </w:r>
      <w:r w:rsidR="00BC2164" w:rsidRPr="008953D8">
        <w:t>behavioral</w:t>
      </w:r>
      <w:r w:rsidRPr="008953D8">
        <w:t xml:space="preserve"> health professional, resulting in a diagnosis of gender dysphoria meeting DSM-</w:t>
      </w:r>
      <w:r w:rsidR="00F26967" w:rsidRPr="008953D8">
        <w:t xml:space="preserve">5 </w:t>
      </w:r>
      <w:r w:rsidRPr="008953D8">
        <w:t>criteria</w:t>
      </w:r>
      <w:r w:rsidR="00C45F33" w:rsidRPr="008953D8">
        <w:t>. T</w:t>
      </w:r>
      <w:r w:rsidRPr="008953D8">
        <w:t xml:space="preserve">his diagnosis must have been present for at least </w:t>
      </w:r>
      <w:r w:rsidR="00F7384C">
        <w:t>six months</w:t>
      </w:r>
      <w:r w:rsidRPr="008953D8">
        <w:t xml:space="preserve">. </w:t>
      </w:r>
      <w:r w:rsidR="00EB7EB1" w:rsidRPr="008953D8">
        <w:t>Additional</w:t>
      </w:r>
      <w:r w:rsidRPr="008953D8">
        <w:t xml:space="preserve"> information on the requirement for these assessments can be found </w:t>
      </w:r>
      <w:r w:rsidR="007264C9" w:rsidRPr="008953D8">
        <w:t xml:space="preserve">later </w:t>
      </w:r>
      <w:r w:rsidRPr="008953D8">
        <w:t>in Section III.A.1.</w:t>
      </w:r>
    </w:p>
    <w:p w14:paraId="0FD6E60C" w14:textId="77777777" w:rsidR="0062489E" w:rsidRPr="008953D8" w:rsidRDefault="0062489E" w:rsidP="006E3068">
      <w:pPr>
        <w:pStyle w:val="ListParagraph"/>
        <w:numPr>
          <w:ilvl w:val="1"/>
          <w:numId w:val="10"/>
        </w:numPr>
        <w:spacing w:line="23" w:lineRule="atLeast"/>
        <w:contextualSpacing w:val="0"/>
      </w:pPr>
      <w:r w:rsidRPr="008953D8">
        <w:t xml:space="preserve">The member is 18 years of age or older. </w:t>
      </w:r>
    </w:p>
    <w:p w14:paraId="074F3A18" w14:textId="77777777" w:rsidR="00EB7EB1" w:rsidRPr="008953D8" w:rsidRDefault="00EC6D36" w:rsidP="00EB7EB1">
      <w:pPr>
        <w:pStyle w:val="ListParagraph"/>
        <w:numPr>
          <w:ilvl w:val="1"/>
          <w:numId w:val="10"/>
        </w:numPr>
        <w:contextualSpacing w:val="0"/>
      </w:pPr>
      <w:r w:rsidRPr="008953D8">
        <w:t xml:space="preserve">Co-morbid medical or </w:t>
      </w:r>
      <w:r w:rsidR="008174F9" w:rsidRPr="008953D8">
        <w:t>behavioral</w:t>
      </w:r>
      <w:r w:rsidRPr="008953D8">
        <w:t xml:space="preserve"> health</w:t>
      </w:r>
      <w:r w:rsidR="008174F9" w:rsidRPr="008953D8">
        <w:t xml:space="preserve"> conditions</w:t>
      </w:r>
      <w:r w:rsidRPr="008953D8">
        <w:t xml:space="preserve"> are appropriately managed, reasonably controlled, and not causing symptoms of </w:t>
      </w:r>
      <w:r w:rsidR="009D6EDE" w:rsidRPr="008953D8">
        <w:t xml:space="preserve">gender </w:t>
      </w:r>
      <w:r w:rsidRPr="008953D8">
        <w:t>dysphoria.</w:t>
      </w:r>
    </w:p>
    <w:p w14:paraId="6F2DE9AA" w14:textId="0679A129" w:rsidR="009010FE" w:rsidRPr="008953D8" w:rsidRDefault="00EC6D36" w:rsidP="00EB7EB1">
      <w:pPr>
        <w:pStyle w:val="ListParagraph"/>
        <w:numPr>
          <w:ilvl w:val="1"/>
          <w:numId w:val="10"/>
        </w:numPr>
        <w:contextualSpacing w:val="0"/>
      </w:pPr>
      <w:r w:rsidRPr="008953D8">
        <w:t xml:space="preserve">The member has had </w:t>
      </w:r>
      <w:r w:rsidR="00F7384C">
        <w:t>six months</w:t>
      </w:r>
      <w:r w:rsidRPr="008953D8">
        <w:t xml:space="preserve"> of clinician-supervised hormone therapy that has resulted in no or minimal breast development, unless hormone therapy is medically contraindicated.</w:t>
      </w:r>
      <w:r w:rsidR="00E1734A">
        <w:t xml:space="preserve"> </w:t>
      </w:r>
    </w:p>
    <w:bookmarkEnd w:id="2"/>
    <w:p w14:paraId="6DDC812A" w14:textId="59CAB1F1" w:rsidR="009010FE" w:rsidRPr="008953D8" w:rsidRDefault="00EC6D36" w:rsidP="00C27EBA">
      <w:pPr>
        <w:pStyle w:val="ListParagraph"/>
        <w:numPr>
          <w:ilvl w:val="0"/>
          <w:numId w:val="10"/>
        </w:numPr>
        <w:spacing w:after="0" w:line="240" w:lineRule="auto"/>
        <w:contextualSpacing w:val="0"/>
      </w:pPr>
      <w:r w:rsidRPr="008953D8">
        <w:t xml:space="preserve">The </w:t>
      </w:r>
      <w:r w:rsidR="007264C9" w:rsidRPr="008953D8">
        <w:t xml:space="preserve">following </w:t>
      </w:r>
      <w:r w:rsidR="0079273E" w:rsidRPr="008953D8">
        <w:t>feminizing</w:t>
      </w:r>
      <w:r w:rsidRPr="008953D8">
        <w:t xml:space="preserve"> gender-affirming surgeries may be medically necessary </w:t>
      </w:r>
      <w:r w:rsidR="009010FE" w:rsidRPr="008953D8">
        <w:t>when all criteria listed in</w:t>
      </w:r>
      <w:r w:rsidR="00906368">
        <w:t xml:space="preserve"> </w:t>
      </w:r>
      <w:r w:rsidR="009010FE" w:rsidRPr="008953D8">
        <w:t xml:space="preserve">a. through </w:t>
      </w:r>
      <w:r w:rsidR="007E49B2">
        <w:t>d</w:t>
      </w:r>
      <w:r w:rsidR="009010FE" w:rsidRPr="008953D8">
        <w:t>. are met and documented.</w:t>
      </w:r>
    </w:p>
    <w:p w14:paraId="57726FBF" w14:textId="77777777" w:rsidR="00C27EBA" w:rsidRPr="008953D8" w:rsidRDefault="00C27EBA" w:rsidP="00C27EBA">
      <w:pPr>
        <w:pStyle w:val="ListParagraph"/>
        <w:spacing w:after="0" w:line="240" w:lineRule="auto"/>
        <w:contextualSpacing w:val="0"/>
      </w:pPr>
    </w:p>
    <w:p w14:paraId="07E7AD92" w14:textId="77777777" w:rsidR="009010FE" w:rsidRPr="008953D8" w:rsidRDefault="00EC6D36" w:rsidP="00B64349">
      <w:pPr>
        <w:pStyle w:val="ListParagraph"/>
        <w:numPr>
          <w:ilvl w:val="2"/>
          <w:numId w:val="29"/>
        </w:numPr>
        <w:spacing w:after="0" w:line="240" w:lineRule="auto"/>
        <w:contextualSpacing w:val="0"/>
      </w:pPr>
      <w:r w:rsidRPr="008953D8">
        <w:t>Penectomy</w:t>
      </w:r>
    </w:p>
    <w:p w14:paraId="4CC46B35" w14:textId="77777777" w:rsidR="009010FE" w:rsidRPr="008953D8" w:rsidRDefault="00EC6D36" w:rsidP="00B64349">
      <w:pPr>
        <w:pStyle w:val="ListParagraph"/>
        <w:numPr>
          <w:ilvl w:val="2"/>
          <w:numId w:val="29"/>
        </w:numPr>
        <w:spacing w:after="0" w:line="240" w:lineRule="auto"/>
        <w:contextualSpacing w:val="0"/>
      </w:pPr>
      <w:proofErr w:type="spellStart"/>
      <w:r w:rsidRPr="008953D8">
        <w:t>Clitoroplasty</w:t>
      </w:r>
      <w:proofErr w:type="spellEnd"/>
    </w:p>
    <w:p w14:paraId="1935F0B1" w14:textId="77777777" w:rsidR="009010FE" w:rsidRPr="008953D8" w:rsidRDefault="00EC6D36" w:rsidP="00B64349">
      <w:pPr>
        <w:pStyle w:val="ListParagraph"/>
        <w:numPr>
          <w:ilvl w:val="2"/>
          <w:numId w:val="29"/>
        </w:numPr>
        <w:spacing w:after="0" w:line="240" w:lineRule="auto"/>
        <w:contextualSpacing w:val="0"/>
      </w:pPr>
      <w:proofErr w:type="spellStart"/>
      <w:r w:rsidRPr="008953D8">
        <w:t>Colovaginoplasty</w:t>
      </w:r>
      <w:proofErr w:type="spellEnd"/>
    </w:p>
    <w:p w14:paraId="65A72B93" w14:textId="77777777" w:rsidR="009010FE" w:rsidRPr="008953D8" w:rsidRDefault="00EC6D36" w:rsidP="00B64349">
      <w:pPr>
        <w:pStyle w:val="ListParagraph"/>
        <w:numPr>
          <w:ilvl w:val="2"/>
          <w:numId w:val="29"/>
        </w:numPr>
        <w:spacing w:after="0" w:line="240" w:lineRule="auto"/>
        <w:contextualSpacing w:val="0"/>
      </w:pPr>
      <w:proofErr w:type="spellStart"/>
      <w:r w:rsidRPr="008953D8">
        <w:t>Vulvoplasty</w:t>
      </w:r>
      <w:proofErr w:type="spellEnd"/>
    </w:p>
    <w:p w14:paraId="631DD923" w14:textId="77777777" w:rsidR="009010FE" w:rsidRPr="008953D8" w:rsidRDefault="00EC6D36" w:rsidP="00B64349">
      <w:pPr>
        <w:pStyle w:val="ListParagraph"/>
        <w:numPr>
          <w:ilvl w:val="2"/>
          <w:numId w:val="29"/>
        </w:numPr>
        <w:spacing w:after="0" w:line="240" w:lineRule="auto"/>
        <w:contextualSpacing w:val="0"/>
      </w:pPr>
      <w:r w:rsidRPr="008953D8">
        <w:t>Labiaplast</w:t>
      </w:r>
      <w:r w:rsidR="009010FE" w:rsidRPr="008953D8">
        <w:t>y</w:t>
      </w:r>
    </w:p>
    <w:p w14:paraId="64B8A7FB" w14:textId="2989D669" w:rsidR="009010FE" w:rsidRPr="008953D8" w:rsidRDefault="00EC6D36" w:rsidP="00B64349">
      <w:pPr>
        <w:pStyle w:val="ListParagraph"/>
        <w:numPr>
          <w:ilvl w:val="2"/>
          <w:numId w:val="29"/>
        </w:numPr>
        <w:spacing w:after="0" w:line="240" w:lineRule="auto"/>
        <w:contextualSpacing w:val="0"/>
      </w:pPr>
      <w:r w:rsidRPr="008953D8">
        <w:lastRenderedPageBreak/>
        <w:t>Orchiectomy</w:t>
      </w:r>
    </w:p>
    <w:p w14:paraId="27F3442D" w14:textId="5C35C901" w:rsidR="00575FF5" w:rsidRPr="008953D8" w:rsidRDefault="00575FF5" w:rsidP="00B64349">
      <w:pPr>
        <w:pStyle w:val="ListParagraph"/>
        <w:numPr>
          <w:ilvl w:val="2"/>
          <w:numId w:val="29"/>
        </w:numPr>
        <w:spacing w:after="0" w:line="240" w:lineRule="auto"/>
        <w:contextualSpacing w:val="0"/>
      </w:pPr>
      <w:r w:rsidRPr="008953D8">
        <w:t xml:space="preserve">Electrolysis or laser hair removal performed by a licensed qualified professional for the removal of hair on a skin graft donor site </w:t>
      </w:r>
      <w:r w:rsidR="007264C9" w:rsidRPr="008953D8">
        <w:t>before</w:t>
      </w:r>
      <w:r w:rsidRPr="008953D8">
        <w:t xml:space="preserve"> its use in genital gender-affirming surgery</w:t>
      </w:r>
    </w:p>
    <w:p w14:paraId="166D044E" w14:textId="77777777" w:rsidR="00C27EBA" w:rsidRPr="008953D8" w:rsidRDefault="00C27EBA" w:rsidP="00C27EBA">
      <w:pPr>
        <w:pStyle w:val="ListParagraph"/>
        <w:spacing w:after="0" w:line="240" w:lineRule="auto"/>
        <w:ind w:left="2160"/>
        <w:contextualSpacing w:val="0"/>
      </w:pPr>
    </w:p>
    <w:p w14:paraId="78563D32" w14:textId="200D1778" w:rsidR="00226299" w:rsidRPr="008953D8" w:rsidRDefault="00226299" w:rsidP="00B64349">
      <w:pPr>
        <w:pStyle w:val="ListParagraph"/>
        <w:numPr>
          <w:ilvl w:val="0"/>
          <w:numId w:val="27"/>
        </w:numPr>
        <w:spacing w:after="0" w:line="240" w:lineRule="auto"/>
      </w:pPr>
      <w:r w:rsidRPr="008953D8">
        <w:t>The member has been assessed by two independently licensed health professionals, one of whom must be a</w:t>
      </w:r>
      <w:r w:rsidR="001975AE" w:rsidRPr="008953D8">
        <w:t xml:space="preserve"> licensed</w:t>
      </w:r>
      <w:r w:rsidRPr="008953D8">
        <w:t xml:space="preserve"> qualified </w:t>
      </w:r>
      <w:r w:rsidR="00BC2164" w:rsidRPr="008953D8">
        <w:t>behavioral</w:t>
      </w:r>
      <w:r w:rsidRPr="008953D8">
        <w:t xml:space="preserve"> health professional and the other a clinician familiar with the member’s health, with each assessment resulting in a diagnosis of gender dysphoria meeting DSM-</w:t>
      </w:r>
      <w:r w:rsidR="00F26967" w:rsidRPr="008953D8">
        <w:t xml:space="preserve">5 </w:t>
      </w:r>
      <w:r w:rsidRPr="008953D8">
        <w:t xml:space="preserve">criteria. The initial diagnosis (from one professional) must have been present for at least </w:t>
      </w:r>
      <w:r w:rsidR="00F7384C">
        <w:t>six months</w:t>
      </w:r>
      <w:r w:rsidR="00D874FA" w:rsidRPr="008953D8">
        <w:t xml:space="preserve">. </w:t>
      </w:r>
      <w:r w:rsidRPr="008953D8">
        <w:t xml:space="preserve">Additional information on the requirement for these assessments can be found </w:t>
      </w:r>
      <w:r w:rsidR="007264C9" w:rsidRPr="008953D8">
        <w:t xml:space="preserve">later </w:t>
      </w:r>
      <w:r w:rsidRPr="008953D8">
        <w:t xml:space="preserve">in Section III.A.1. </w:t>
      </w:r>
      <w:r w:rsidR="00744728">
        <w:br/>
      </w:r>
    </w:p>
    <w:p w14:paraId="7F0E8AA6" w14:textId="77777777" w:rsidR="00226299" w:rsidRPr="008953D8" w:rsidRDefault="006B4B20" w:rsidP="00226299">
      <w:pPr>
        <w:pStyle w:val="ListParagraph"/>
        <w:numPr>
          <w:ilvl w:val="0"/>
          <w:numId w:val="27"/>
        </w:numPr>
        <w:rPr>
          <w:rFonts w:eastAsiaTheme="minorEastAsia"/>
        </w:rPr>
      </w:pPr>
      <w:r w:rsidRPr="008953D8">
        <w:t>The member is 18 years of age or older</w:t>
      </w:r>
      <w:r w:rsidR="009010FE" w:rsidRPr="008953D8">
        <w:t>.</w:t>
      </w:r>
      <w:r w:rsidR="153AF8F8" w:rsidRPr="008953D8">
        <w:t xml:space="preserve"> </w:t>
      </w:r>
    </w:p>
    <w:p w14:paraId="6BEA00A2" w14:textId="77777777" w:rsidR="00226299" w:rsidRPr="008953D8" w:rsidRDefault="00226299" w:rsidP="00226299">
      <w:pPr>
        <w:pStyle w:val="ListParagraph"/>
      </w:pPr>
    </w:p>
    <w:p w14:paraId="15D6273D" w14:textId="66EE4D90" w:rsidR="00226299" w:rsidRPr="008953D8" w:rsidRDefault="00EC6D36" w:rsidP="00B64349">
      <w:pPr>
        <w:pStyle w:val="ListParagraph"/>
        <w:numPr>
          <w:ilvl w:val="0"/>
          <w:numId w:val="27"/>
        </w:numPr>
      </w:pPr>
      <w:r w:rsidRPr="008953D8">
        <w:t xml:space="preserve">Co-morbid medical or </w:t>
      </w:r>
      <w:r w:rsidR="00B84B89" w:rsidRPr="008953D8">
        <w:t>behavioral</w:t>
      </w:r>
      <w:r w:rsidRPr="008953D8">
        <w:t xml:space="preserve"> health </w:t>
      </w:r>
      <w:r w:rsidR="00B84B89" w:rsidRPr="008953D8">
        <w:t>conditions</w:t>
      </w:r>
      <w:r w:rsidRPr="008953D8">
        <w:t xml:space="preserve"> are appropriately managed, reasonably controlled, and not causing symptoms of</w:t>
      </w:r>
      <w:r w:rsidR="009D6EDE" w:rsidRPr="008953D8">
        <w:t xml:space="preserve"> gender</w:t>
      </w:r>
      <w:r w:rsidRPr="008953D8">
        <w:t xml:space="preserve"> dysphoria.</w:t>
      </w:r>
      <w:r w:rsidR="00744728">
        <w:br/>
      </w:r>
    </w:p>
    <w:p w14:paraId="0F152D4F" w14:textId="70B1CED9" w:rsidR="00EC6D36" w:rsidRPr="008953D8" w:rsidRDefault="00EC6D36" w:rsidP="00226299">
      <w:pPr>
        <w:pStyle w:val="ListParagraph"/>
        <w:numPr>
          <w:ilvl w:val="0"/>
          <w:numId w:val="27"/>
        </w:numPr>
        <w:rPr>
          <w:rFonts w:eastAsiaTheme="minorEastAsia"/>
        </w:rPr>
      </w:pPr>
      <w:r w:rsidRPr="008953D8">
        <w:t xml:space="preserve">The member has had </w:t>
      </w:r>
      <w:r w:rsidR="00D95150">
        <w:t xml:space="preserve">six </w:t>
      </w:r>
      <w:r w:rsidRPr="008953D8">
        <w:t>continuous months of clinician-supervised hormone therapy appropriate to the member’s</w:t>
      </w:r>
      <w:r w:rsidR="000A1C5E" w:rsidRPr="008953D8">
        <w:t xml:space="preserve"> gender</w:t>
      </w:r>
      <w:r w:rsidRPr="008953D8">
        <w:t xml:space="preserve"> goals, unless hormone therapy is medically contraindicated</w:t>
      </w:r>
      <w:r w:rsidR="0023707D">
        <w:t xml:space="preserve">. </w:t>
      </w:r>
    </w:p>
    <w:p w14:paraId="3A77EDD1" w14:textId="774ECA40" w:rsidR="00EC6D36" w:rsidRPr="008953D8" w:rsidRDefault="00EC6D36" w:rsidP="008F318A">
      <w:pPr>
        <w:pStyle w:val="Heading3"/>
        <w:rPr>
          <w:rStyle w:val="Strong"/>
        </w:rPr>
      </w:pPr>
      <w:r w:rsidRPr="008953D8">
        <w:rPr>
          <w:rStyle w:val="Strong"/>
        </w:rPr>
        <w:t>FACIAL FEMINIZATION OR MASCULINIZATION</w:t>
      </w:r>
      <w:r w:rsidR="00D81AF3" w:rsidRPr="008953D8">
        <w:rPr>
          <w:rStyle w:val="Strong"/>
        </w:rPr>
        <w:t xml:space="preserve"> SURGERIES</w:t>
      </w:r>
    </w:p>
    <w:p w14:paraId="69B0BD21" w14:textId="3AADE38B" w:rsidR="009010FE" w:rsidRPr="008953D8" w:rsidRDefault="00EC6D36" w:rsidP="00C27EBA">
      <w:pPr>
        <w:pStyle w:val="ListParagraph"/>
        <w:numPr>
          <w:ilvl w:val="0"/>
          <w:numId w:val="10"/>
        </w:numPr>
        <w:spacing w:after="0" w:line="23" w:lineRule="atLeast"/>
      </w:pPr>
      <w:r w:rsidRPr="008953D8">
        <w:t xml:space="preserve">The </w:t>
      </w:r>
      <w:r w:rsidR="007264C9" w:rsidRPr="008953D8">
        <w:t xml:space="preserve">following </w:t>
      </w:r>
      <w:r w:rsidRPr="008953D8">
        <w:t xml:space="preserve">procedures may be medically necessary when </w:t>
      </w:r>
      <w:r w:rsidR="009010FE" w:rsidRPr="008953D8">
        <w:t>all</w:t>
      </w:r>
      <w:r w:rsidRPr="008953D8">
        <w:t xml:space="preserve"> criteria listed in a. through </w:t>
      </w:r>
      <w:r w:rsidR="00A62B0A">
        <w:t>c</w:t>
      </w:r>
      <w:r w:rsidRPr="008953D8">
        <w:t>. are met and documented.</w:t>
      </w:r>
      <w:r w:rsidR="009010FE" w:rsidRPr="008953D8">
        <w:t xml:space="preserve"> </w:t>
      </w:r>
    </w:p>
    <w:p w14:paraId="0D59132B" w14:textId="77777777" w:rsidR="00C27EBA" w:rsidRPr="008953D8" w:rsidRDefault="00C27EBA" w:rsidP="00C27EBA">
      <w:pPr>
        <w:pStyle w:val="ListParagraph"/>
        <w:spacing w:after="0" w:line="23" w:lineRule="atLeast"/>
      </w:pPr>
    </w:p>
    <w:p w14:paraId="2B6E233A" w14:textId="77777777" w:rsidR="00D81AF3" w:rsidRPr="008953D8" w:rsidRDefault="00D81AF3" w:rsidP="00B64349">
      <w:pPr>
        <w:pStyle w:val="ListParagraph"/>
        <w:numPr>
          <w:ilvl w:val="2"/>
          <w:numId w:val="30"/>
        </w:numPr>
        <w:spacing w:after="0" w:line="23" w:lineRule="atLeast"/>
        <w:contextualSpacing w:val="0"/>
      </w:pPr>
      <w:r w:rsidRPr="008953D8">
        <w:t>Blepharoplasty</w:t>
      </w:r>
    </w:p>
    <w:p w14:paraId="3B4A248A" w14:textId="77777777" w:rsidR="00D81AF3" w:rsidRPr="008953D8" w:rsidRDefault="00D81AF3" w:rsidP="00B64349">
      <w:pPr>
        <w:pStyle w:val="ListParagraph"/>
        <w:numPr>
          <w:ilvl w:val="2"/>
          <w:numId w:val="30"/>
        </w:numPr>
        <w:spacing w:after="0" w:line="23" w:lineRule="atLeast"/>
        <w:contextualSpacing w:val="0"/>
      </w:pPr>
      <w:r w:rsidRPr="008953D8">
        <w:t>Brow lift</w:t>
      </w:r>
    </w:p>
    <w:p w14:paraId="26688C04" w14:textId="77777777" w:rsidR="00D81AF3" w:rsidRPr="008953D8" w:rsidRDefault="00D81AF3" w:rsidP="00B64349">
      <w:pPr>
        <w:pStyle w:val="ListParagraph"/>
        <w:numPr>
          <w:ilvl w:val="2"/>
          <w:numId w:val="30"/>
        </w:numPr>
        <w:spacing w:after="0" w:line="23" w:lineRule="atLeast"/>
        <w:contextualSpacing w:val="0"/>
      </w:pPr>
      <w:r w:rsidRPr="008953D8">
        <w:t>Cheek augmentation</w:t>
      </w:r>
    </w:p>
    <w:p w14:paraId="13D02CAE" w14:textId="77777777" w:rsidR="00D81AF3" w:rsidRPr="008953D8" w:rsidRDefault="00D81AF3" w:rsidP="00B64349">
      <w:pPr>
        <w:pStyle w:val="ListParagraph"/>
        <w:numPr>
          <w:ilvl w:val="2"/>
          <w:numId w:val="30"/>
        </w:numPr>
        <w:spacing w:after="0" w:line="23" w:lineRule="atLeast"/>
        <w:contextualSpacing w:val="0"/>
      </w:pPr>
      <w:r w:rsidRPr="008953D8">
        <w:t>Forehead contouring and reduction</w:t>
      </w:r>
    </w:p>
    <w:p w14:paraId="344EBDAB" w14:textId="77777777" w:rsidR="00D81AF3" w:rsidRPr="008953D8" w:rsidRDefault="00D81AF3" w:rsidP="00B64349">
      <w:pPr>
        <w:pStyle w:val="ListParagraph"/>
        <w:numPr>
          <w:ilvl w:val="2"/>
          <w:numId w:val="30"/>
        </w:numPr>
        <w:spacing w:after="0" w:line="23" w:lineRule="atLeast"/>
        <w:contextualSpacing w:val="0"/>
      </w:pPr>
      <w:r w:rsidRPr="008953D8">
        <w:t>Genioplasty</w:t>
      </w:r>
    </w:p>
    <w:p w14:paraId="4BCF1446" w14:textId="77777777" w:rsidR="00D81AF3" w:rsidRPr="008953D8" w:rsidRDefault="00D81AF3" w:rsidP="00B64349">
      <w:pPr>
        <w:pStyle w:val="ListParagraph"/>
        <w:numPr>
          <w:ilvl w:val="2"/>
          <w:numId w:val="30"/>
        </w:numPr>
        <w:spacing w:after="0" w:line="23" w:lineRule="atLeast"/>
        <w:contextualSpacing w:val="0"/>
      </w:pPr>
      <w:r w:rsidRPr="008953D8">
        <w:t>Hairline advancement</w:t>
      </w:r>
    </w:p>
    <w:p w14:paraId="6249A263" w14:textId="77777777" w:rsidR="00D81AF3" w:rsidRPr="008953D8" w:rsidRDefault="00D81AF3" w:rsidP="00B64349">
      <w:pPr>
        <w:pStyle w:val="ListParagraph"/>
        <w:numPr>
          <w:ilvl w:val="2"/>
          <w:numId w:val="30"/>
        </w:numPr>
        <w:spacing w:after="0" w:line="23" w:lineRule="atLeast"/>
        <w:contextualSpacing w:val="0"/>
      </w:pPr>
      <w:r w:rsidRPr="008953D8">
        <w:t>Lateral canthopexy</w:t>
      </w:r>
    </w:p>
    <w:p w14:paraId="3DE78B74" w14:textId="77777777" w:rsidR="00D81AF3" w:rsidRPr="008953D8" w:rsidRDefault="00D81AF3" w:rsidP="00B64349">
      <w:pPr>
        <w:pStyle w:val="ListParagraph"/>
        <w:numPr>
          <w:ilvl w:val="2"/>
          <w:numId w:val="30"/>
        </w:numPr>
        <w:spacing w:after="0" w:line="23" w:lineRule="atLeast"/>
        <w:contextualSpacing w:val="0"/>
      </w:pPr>
      <w:r w:rsidRPr="008953D8">
        <w:t>Lip lift</w:t>
      </w:r>
    </w:p>
    <w:p w14:paraId="76DDB2A9" w14:textId="77777777" w:rsidR="00D81AF3" w:rsidRPr="008953D8" w:rsidRDefault="00D81AF3" w:rsidP="00B64349">
      <w:pPr>
        <w:pStyle w:val="ListParagraph"/>
        <w:numPr>
          <w:ilvl w:val="2"/>
          <w:numId w:val="30"/>
        </w:numPr>
        <w:spacing w:after="0" w:line="23" w:lineRule="atLeast"/>
        <w:contextualSpacing w:val="0"/>
      </w:pPr>
      <w:r w:rsidRPr="008953D8">
        <w:t>Lysis intranasal synechia</w:t>
      </w:r>
    </w:p>
    <w:p w14:paraId="321BEF36" w14:textId="77777777" w:rsidR="00D81AF3" w:rsidRPr="008953D8" w:rsidRDefault="00D81AF3" w:rsidP="00B64349">
      <w:pPr>
        <w:pStyle w:val="ListParagraph"/>
        <w:numPr>
          <w:ilvl w:val="2"/>
          <w:numId w:val="30"/>
        </w:numPr>
        <w:spacing w:after="0" w:line="23" w:lineRule="atLeast"/>
        <w:contextualSpacing w:val="0"/>
      </w:pPr>
      <w:r w:rsidRPr="008953D8">
        <w:t>Osteoplasty</w:t>
      </w:r>
    </w:p>
    <w:p w14:paraId="74B4C128" w14:textId="61A55E6D" w:rsidR="00D81AF3" w:rsidRPr="008953D8" w:rsidRDefault="00D81AF3" w:rsidP="00B64349">
      <w:pPr>
        <w:pStyle w:val="ListParagraph"/>
        <w:numPr>
          <w:ilvl w:val="2"/>
          <w:numId w:val="30"/>
        </w:numPr>
        <w:spacing w:after="0" w:line="23" w:lineRule="atLeast"/>
        <w:contextualSpacing w:val="0"/>
      </w:pPr>
      <w:r w:rsidRPr="008953D8">
        <w:t>Rhinoplasty and septoplasty</w:t>
      </w:r>
    </w:p>
    <w:p w14:paraId="6EA18FFC" w14:textId="49A69CA6" w:rsidR="00B37AA2" w:rsidRPr="008953D8" w:rsidRDefault="00953DFA" w:rsidP="00B64349">
      <w:pPr>
        <w:pStyle w:val="ListParagraph"/>
        <w:numPr>
          <w:ilvl w:val="2"/>
          <w:numId w:val="30"/>
        </w:numPr>
        <w:spacing w:after="0" w:line="23" w:lineRule="atLeast"/>
        <w:contextualSpacing w:val="0"/>
      </w:pPr>
      <w:r w:rsidRPr="008953D8">
        <w:rPr>
          <w:color w:val="000000"/>
        </w:rPr>
        <w:t>Suction-assisted lipectomy</w:t>
      </w:r>
    </w:p>
    <w:p w14:paraId="54FDFAB2" w14:textId="7159E8B5" w:rsidR="00D81AF3" w:rsidRDefault="00D81AF3" w:rsidP="00B64349">
      <w:pPr>
        <w:pStyle w:val="ListParagraph"/>
        <w:numPr>
          <w:ilvl w:val="2"/>
          <w:numId w:val="30"/>
        </w:numPr>
        <w:spacing w:after="0" w:line="23" w:lineRule="atLeast"/>
        <w:contextualSpacing w:val="0"/>
      </w:pPr>
      <w:r w:rsidRPr="008953D8">
        <w:t>Tracheoplasty</w:t>
      </w:r>
    </w:p>
    <w:p w14:paraId="732B9F75" w14:textId="77777777" w:rsidR="001B3FAF" w:rsidRPr="008953D8" w:rsidRDefault="001B3FAF" w:rsidP="001B3FAF">
      <w:pPr>
        <w:pStyle w:val="ListParagraph"/>
        <w:numPr>
          <w:ilvl w:val="2"/>
          <w:numId w:val="30"/>
        </w:numPr>
        <w:spacing w:after="0" w:line="23" w:lineRule="atLeast"/>
        <w:contextualSpacing w:val="0"/>
      </w:pPr>
      <w:r>
        <w:t>Facial fat pad procedures</w:t>
      </w:r>
    </w:p>
    <w:p w14:paraId="2995CECF" w14:textId="77777777" w:rsidR="001B3FAF" w:rsidRPr="008953D8" w:rsidRDefault="001B3FAF" w:rsidP="001B3FAF">
      <w:pPr>
        <w:pStyle w:val="ListParagraph"/>
        <w:spacing w:after="0" w:line="23" w:lineRule="atLeast"/>
        <w:ind w:left="1800"/>
        <w:contextualSpacing w:val="0"/>
      </w:pPr>
    </w:p>
    <w:p w14:paraId="61320DA7" w14:textId="68CC75C9" w:rsidR="004F0CFF" w:rsidRPr="008953D8" w:rsidRDefault="004F0CFF" w:rsidP="00C27EBA">
      <w:pPr>
        <w:pStyle w:val="ListParagraph"/>
        <w:numPr>
          <w:ilvl w:val="0"/>
          <w:numId w:val="18"/>
        </w:numPr>
        <w:spacing w:after="0" w:line="23" w:lineRule="atLeast"/>
        <w:contextualSpacing w:val="0"/>
      </w:pPr>
      <w:r w:rsidRPr="008953D8">
        <w:t xml:space="preserve">The member has been assessed by a </w:t>
      </w:r>
      <w:r w:rsidR="001975AE" w:rsidRPr="008953D8">
        <w:t xml:space="preserve">licensed </w:t>
      </w:r>
      <w:r w:rsidRPr="008953D8">
        <w:t xml:space="preserve">qualified </w:t>
      </w:r>
      <w:r w:rsidR="00BC2164" w:rsidRPr="008953D8">
        <w:t>behavioral</w:t>
      </w:r>
      <w:r w:rsidRPr="008953D8">
        <w:t xml:space="preserve"> health professional, resulting in a diagnosis of gender dysphoria meeting DSM-</w:t>
      </w:r>
      <w:r w:rsidR="00F26967" w:rsidRPr="008953D8">
        <w:t xml:space="preserve">5 </w:t>
      </w:r>
      <w:r w:rsidRPr="008953D8">
        <w:t>criteria</w:t>
      </w:r>
      <w:r w:rsidR="008768C6" w:rsidRPr="008953D8">
        <w:t>. T</w:t>
      </w:r>
      <w:r w:rsidRPr="008953D8">
        <w:t xml:space="preserve">his diagnosis must have been present for at least </w:t>
      </w:r>
      <w:r w:rsidR="00F7384C">
        <w:t>six months</w:t>
      </w:r>
      <w:r w:rsidRPr="008953D8">
        <w:t xml:space="preserve">. </w:t>
      </w:r>
      <w:r w:rsidR="00EB7EB1" w:rsidRPr="008953D8">
        <w:t>Additional</w:t>
      </w:r>
      <w:r w:rsidRPr="008953D8">
        <w:t xml:space="preserve"> information on these assessments can be found </w:t>
      </w:r>
      <w:r w:rsidR="007E43D1" w:rsidRPr="008953D8">
        <w:t xml:space="preserve">later </w:t>
      </w:r>
      <w:r w:rsidRPr="008953D8">
        <w:t>in Section III.A.1.</w:t>
      </w:r>
      <w:r w:rsidR="005B7175">
        <w:br/>
      </w:r>
    </w:p>
    <w:p w14:paraId="02518B5F" w14:textId="77777777" w:rsidR="009010FE" w:rsidRPr="008953D8" w:rsidRDefault="006B4B20" w:rsidP="00D81AF3">
      <w:pPr>
        <w:pStyle w:val="ListParagraph"/>
        <w:numPr>
          <w:ilvl w:val="0"/>
          <w:numId w:val="18"/>
        </w:numPr>
        <w:spacing w:line="23" w:lineRule="atLeast"/>
        <w:contextualSpacing w:val="0"/>
      </w:pPr>
      <w:r w:rsidRPr="008953D8">
        <w:lastRenderedPageBreak/>
        <w:t xml:space="preserve">The member is 18 years of age or older. </w:t>
      </w:r>
    </w:p>
    <w:p w14:paraId="284DD12F" w14:textId="3E5AFA59" w:rsidR="00EC6D36" w:rsidRPr="008953D8" w:rsidRDefault="00EC6D36" w:rsidP="00D81AF3">
      <w:pPr>
        <w:pStyle w:val="ListParagraph"/>
        <w:numPr>
          <w:ilvl w:val="0"/>
          <w:numId w:val="18"/>
        </w:numPr>
        <w:spacing w:line="23" w:lineRule="atLeast"/>
        <w:contextualSpacing w:val="0"/>
      </w:pPr>
      <w:r w:rsidRPr="008953D8">
        <w:t xml:space="preserve">Co-morbid medical or </w:t>
      </w:r>
      <w:r w:rsidR="00B84B89" w:rsidRPr="008953D8">
        <w:t>behavioral</w:t>
      </w:r>
      <w:r w:rsidRPr="008953D8">
        <w:t xml:space="preserve"> health </w:t>
      </w:r>
      <w:r w:rsidR="00B84B89" w:rsidRPr="008953D8">
        <w:t>conditions</w:t>
      </w:r>
      <w:r w:rsidRPr="008953D8">
        <w:t xml:space="preserve"> are appropriately managed, reasonably controlled, and not causing symptoms of </w:t>
      </w:r>
      <w:r w:rsidR="009D6EDE" w:rsidRPr="008953D8">
        <w:t xml:space="preserve">gender </w:t>
      </w:r>
      <w:r w:rsidRPr="008953D8">
        <w:t>dysphoria.</w:t>
      </w:r>
    </w:p>
    <w:p w14:paraId="5BA655A4" w14:textId="1E2F6E9F" w:rsidR="00C236D1" w:rsidRPr="008953D8" w:rsidRDefault="00C247B0" w:rsidP="00D81AF3">
      <w:pPr>
        <w:spacing w:line="23" w:lineRule="atLeast"/>
      </w:pPr>
      <w:r>
        <w:t>Hair</w:t>
      </w:r>
      <w:r w:rsidR="00C236D1" w:rsidRPr="008953D8">
        <w:t xml:space="preserve"> removal may also be covered as part of gender dysphoria treatment. For further details, refer to the </w:t>
      </w:r>
      <w:hyperlink r:id="rId21" w:history="1">
        <w:r w:rsidR="00727B51" w:rsidRPr="00FA422A">
          <w:rPr>
            <w:rStyle w:val="Hyperlink"/>
            <w:i/>
            <w:iCs/>
          </w:rPr>
          <w:t>Guidelines</w:t>
        </w:r>
        <w:r w:rsidR="00550CDD" w:rsidRPr="00FA422A">
          <w:rPr>
            <w:rStyle w:val="Hyperlink"/>
            <w:i/>
            <w:iCs/>
          </w:rPr>
          <w:t xml:space="preserve"> for Medical Necessity Determination for Hair Removal</w:t>
        </w:r>
      </w:hyperlink>
      <w:r w:rsidR="00C236D1" w:rsidRPr="008953D8">
        <w:t xml:space="preserve">. </w:t>
      </w:r>
    </w:p>
    <w:p w14:paraId="4C5EBAFC" w14:textId="77777777" w:rsidR="00EC6D36" w:rsidRPr="008953D8" w:rsidRDefault="00EC6D36" w:rsidP="008F318A">
      <w:pPr>
        <w:pStyle w:val="Heading3"/>
      </w:pPr>
      <w:r w:rsidRPr="008953D8">
        <w:t>B. Noncoverage</w:t>
      </w:r>
    </w:p>
    <w:p w14:paraId="1B2494BC" w14:textId="1423D809" w:rsidR="00D81AF3" w:rsidRPr="008953D8" w:rsidRDefault="00EC6D36" w:rsidP="484B09EE">
      <w:r w:rsidRPr="008953D8">
        <w:t xml:space="preserve">MassHealth presumes that certain procedures and surgeries are not medically necessary for the treatment of </w:t>
      </w:r>
      <w:r w:rsidR="0848298E" w:rsidRPr="008953D8">
        <w:t>gender dysphoria</w:t>
      </w:r>
      <w:r w:rsidRPr="008953D8">
        <w:t>. Examples of such procedures and surgeries include, but are not limited to, the following.</w:t>
      </w:r>
    </w:p>
    <w:p w14:paraId="687E6B33" w14:textId="77777777" w:rsidR="00B172F7" w:rsidRPr="008953D8" w:rsidRDefault="00B172F7" w:rsidP="00F47D55">
      <w:pPr>
        <w:pStyle w:val="ListParagraph"/>
        <w:numPr>
          <w:ilvl w:val="0"/>
          <w:numId w:val="32"/>
        </w:numPr>
        <w:tabs>
          <w:tab w:val="left" w:pos="1440"/>
        </w:tabs>
        <w:spacing w:after="0" w:line="23" w:lineRule="atLeast"/>
        <w:ind w:left="1800"/>
        <w:contextualSpacing w:val="0"/>
      </w:pPr>
      <w:r w:rsidRPr="008953D8">
        <w:t>Chemical peels</w:t>
      </w:r>
    </w:p>
    <w:p w14:paraId="421878FB" w14:textId="3FFE40AF" w:rsidR="00D81AF3" w:rsidRPr="008953D8" w:rsidRDefault="00EC6D36" w:rsidP="00F47D55">
      <w:pPr>
        <w:pStyle w:val="ListParagraph"/>
        <w:numPr>
          <w:ilvl w:val="0"/>
          <w:numId w:val="32"/>
        </w:numPr>
        <w:tabs>
          <w:tab w:val="left" w:pos="1440"/>
        </w:tabs>
        <w:spacing w:after="0" w:line="23" w:lineRule="atLeast"/>
        <w:ind w:left="1800"/>
        <w:contextualSpacing w:val="0"/>
        <w:rPr>
          <w:rFonts w:eastAsiaTheme="minorEastAsia"/>
        </w:rPr>
      </w:pPr>
      <w:r w:rsidRPr="008953D8">
        <w:t>Collagen injections</w:t>
      </w:r>
    </w:p>
    <w:p w14:paraId="1D83D24D" w14:textId="77777777" w:rsidR="00D81AF3" w:rsidRPr="008953D8" w:rsidRDefault="00EC6D36" w:rsidP="00F47D55">
      <w:pPr>
        <w:pStyle w:val="ListParagraph"/>
        <w:numPr>
          <w:ilvl w:val="0"/>
          <w:numId w:val="32"/>
        </w:numPr>
        <w:tabs>
          <w:tab w:val="left" w:pos="1440"/>
        </w:tabs>
        <w:spacing w:after="0" w:line="23" w:lineRule="atLeast"/>
        <w:ind w:left="1800"/>
        <w:contextualSpacing w:val="0"/>
      </w:pPr>
      <w:r w:rsidRPr="008953D8">
        <w:t>Dermabrasion</w:t>
      </w:r>
    </w:p>
    <w:p w14:paraId="731019C6" w14:textId="63F83C9F" w:rsidR="00D81AF3" w:rsidRPr="008953D8" w:rsidRDefault="00EC6D36" w:rsidP="00F47D55">
      <w:pPr>
        <w:pStyle w:val="ListParagraph"/>
        <w:numPr>
          <w:ilvl w:val="0"/>
          <w:numId w:val="32"/>
        </w:numPr>
        <w:tabs>
          <w:tab w:val="left" w:pos="1440"/>
        </w:tabs>
        <w:spacing w:after="0" w:line="23" w:lineRule="atLeast"/>
        <w:ind w:left="1800"/>
        <w:contextualSpacing w:val="0"/>
        <w:rPr>
          <w:rFonts w:eastAsiaTheme="minorEastAsia"/>
        </w:rPr>
      </w:pPr>
      <w:r w:rsidRPr="008953D8">
        <w:t>Hair transplantation</w:t>
      </w:r>
    </w:p>
    <w:p w14:paraId="642256A6" w14:textId="750C4662" w:rsidR="005A1C36" w:rsidRPr="008953D8" w:rsidRDefault="005A1C36" w:rsidP="00F47D55">
      <w:pPr>
        <w:pStyle w:val="ListParagraph"/>
        <w:numPr>
          <w:ilvl w:val="0"/>
          <w:numId w:val="32"/>
        </w:numPr>
        <w:tabs>
          <w:tab w:val="left" w:pos="1440"/>
        </w:tabs>
        <w:spacing w:after="0" w:line="23" w:lineRule="atLeast"/>
        <w:ind w:left="1800"/>
        <w:contextualSpacing w:val="0"/>
      </w:pPr>
      <w:r w:rsidRPr="008953D8">
        <w:t>Implants: calf, gluteal</w:t>
      </w:r>
      <w:r w:rsidR="007E43D1" w:rsidRPr="008953D8">
        <w:t>,</w:t>
      </w:r>
      <w:r w:rsidRPr="008953D8">
        <w:t xml:space="preserve"> or pectoral</w:t>
      </w:r>
    </w:p>
    <w:p w14:paraId="4ECBC739" w14:textId="416810A0" w:rsidR="005A1C36" w:rsidRDefault="005A1C36" w:rsidP="00F47D55">
      <w:pPr>
        <w:pStyle w:val="ListParagraph"/>
        <w:numPr>
          <w:ilvl w:val="0"/>
          <w:numId w:val="32"/>
        </w:numPr>
        <w:tabs>
          <w:tab w:val="left" w:pos="1440"/>
        </w:tabs>
        <w:spacing w:after="0" w:line="23" w:lineRule="atLeast"/>
        <w:ind w:left="1800"/>
        <w:contextualSpacing w:val="0"/>
      </w:pPr>
      <w:r>
        <w:t xml:space="preserve">Isolated blepharoplasty </w:t>
      </w:r>
    </w:p>
    <w:p w14:paraId="30F2ADBB" w14:textId="62EDB624" w:rsidR="00D81AF3" w:rsidRDefault="00EC6D36" w:rsidP="00F47D55">
      <w:pPr>
        <w:pStyle w:val="ListParagraph"/>
        <w:numPr>
          <w:ilvl w:val="0"/>
          <w:numId w:val="32"/>
        </w:numPr>
        <w:tabs>
          <w:tab w:val="left" w:pos="1440"/>
        </w:tabs>
        <w:spacing w:after="0" w:line="23" w:lineRule="atLeast"/>
        <w:ind w:left="1800"/>
        <w:contextualSpacing w:val="0"/>
      </w:pPr>
      <w:r>
        <w:t>Lip reduction or enhancement</w:t>
      </w:r>
    </w:p>
    <w:p w14:paraId="54716AC7" w14:textId="3AB6E6CD" w:rsidR="005A1C36" w:rsidRDefault="005A1C36" w:rsidP="00F47D55">
      <w:pPr>
        <w:pStyle w:val="ListParagraph"/>
        <w:numPr>
          <w:ilvl w:val="0"/>
          <w:numId w:val="32"/>
        </w:numPr>
        <w:tabs>
          <w:tab w:val="left" w:pos="1440"/>
        </w:tabs>
        <w:spacing w:after="0" w:line="23" w:lineRule="atLeast"/>
        <w:ind w:left="1800"/>
        <w:contextualSpacing w:val="0"/>
      </w:pPr>
      <w:r>
        <w:t>Neck lift</w:t>
      </w:r>
    </w:p>
    <w:p w14:paraId="40042947" w14:textId="335CAC09" w:rsidR="00D81AF3" w:rsidRDefault="00EC6D36" w:rsidP="00F47D55">
      <w:pPr>
        <w:pStyle w:val="ListParagraph"/>
        <w:numPr>
          <w:ilvl w:val="0"/>
          <w:numId w:val="32"/>
        </w:numPr>
        <w:tabs>
          <w:tab w:val="left" w:pos="1440"/>
        </w:tabs>
        <w:spacing w:after="0" w:line="23" w:lineRule="atLeast"/>
        <w:ind w:left="1800"/>
        <w:contextualSpacing w:val="0"/>
      </w:pPr>
      <w:r>
        <w:t xml:space="preserve">Panniculectomy or abdominoplasty (see </w:t>
      </w:r>
      <w:hyperlink r:id="rId22" w:history="1">
        <w:r w:rsidRPr="00F47D55">
          <w:rPr>
            <w:rStyle w:val="Hyperlink"/>
            <w:i/>
          </w:rPr>
          <w:t>Guidelines for Medical Necessity Determination for Excision of Excessive Skin and Subcutaneous Tissue</w:t>
        </w:r>
      </w:hyperlink>
      <w:r>
        <w:t>)</w:t>
      </w:r>
    </w:p>
    <w:p w14:paraId="7326381B" w14:textId="5AA39FAC" w:rsidR="005A1C36" w:rsidRDefault="005A1C36" w:rsidP="00F47D55">
      <w:pPr>
        <w:pStyle w:val="ListParagraph"/>
        <w:numPr>
          <w:ilvl w:val="0"/>
          <w:numId w:val="32"/>
        </w:numPr>
        <w:tabs>
          <w:tab w:val="left" w:pos="1440"/>
        </w:tabs>
        <w:spacing w:after="0" w:line="23" w:lineRule="atLeast"/>
        <w:ind w:left="1800"/>
        <w:contextualSpacing w:val="0"/>
      </w:pPr>
      <w:r>
        <w:t>Reversal of previous GAS</w:t>
      </w:r>
    </w:p>
    <w:p w14:paraId="67520256" w14:textId="60F42805" w:rsidR="00B172F7" w:rsidRDefault="00B172F7" w:rsidP="00F47D55">
      <w:pPr>
        <w:pStyle w:val="ListParagraph"/>
        <w:numPr>
          <w:ilvl w:val="0"/>
          <w:numId w:val="32"/>
        </w:numPr>
        <w:tabs>
          <w:tab w:val="left" w:pos="1440"/>
        </w:tabs>
        <w:spacing w:after="0" w:line="23" w:lineRule="atLeast"/>
        <w:ind w:left="1800"/>
        <w:contextualSpacing w:val="0"/>
        <w:rPr>
          <w:rFonts w:eastAsiaTheme="minorEastAsia"/>
        </w:rPr>
      </w:pPr>
      <w:r>
        <w:t>Revisions of previous GAS other than for complications (infections or impairment of function)</w:t>
      </w:r>
    </w:p>
    <w:p w14:paraId="34D14F7D" w14:textId="05150A74" w:rsidR="00B172F7" w:rsidRDefault="005A1C36" w:rsidP="00F47D55">
      <w:pPr>
        <w:pStyle w:val="ListParagraph"/>
        <w:numPr>
          <w:ilvl w:val="0"/>
          <w:numId w:val="32"/>
        </w:numPr>
        <w:tabs>
          <w:tab w:val="left" w:pos="1440"/>
        </w:tabs>
        <w:spacing w:after="0" w:line="23" w:lineRule="atLeast"/>
        <w:ind w:left="1800"/>
        <w:contextualSpacing w:val="0"/>
      </w:pPr>
      <w:r>
        <w:t>Rhytidectomy</w:t>
      </w:r>
    </w:p>
    <w:p w14:paraId="46F64723" w14:textId="3E5FCB77" w:rsidR="008174F9" w:rsidRDefault="00FD0B7E" w:rsidP="00F47D55">
      <w:pPr>
        <w:pStyle w:val="ListParagraph"/>
        <w:numPr>
          <w:ilvl w:val="0"/>
          <w:numId w:val="32"/>
        </w:numPr>
        <w:tabs>
          <w:tab w:val="left" w:pos="1440"/>
        </w:tabs>
        <w:spacing w:after="0" w:line="23" w:lineRule="atLeast"/>
        <w:ind w:left="1800"/>
        <w:contextualSpacing w:val="0"/>
        <w:rPr>
          <w:rFonts w:eastAsiaTheme="minorEastAsia"/>
        </w:rPr>
      </w:pPr>
      <w:r>
        <w:t>Vocal cord</w:t>
      </w:r>
      <w:r w:rsidR="00EC6D36">
        <w:t xml:space="preserve"> surgery</w:t>
      </w:r>
    </w:p>
    <w:p w14:paraId="61B3CE3F" w14:textId="034C4C03" w:rsidR="00EC6D36" w:rsidRPr="008F318A" w:rsidRDefault="00EC6D36" w:rsidP="008953D8">
      <w:pPr>
        <w:pStyle w:val="Heading2"/>
      </w:pPr>
      <w:r w:rsidRPr="008F318A">
        <w:t xml:space="preserve">Section III. Submitting Clinical Documentation </w:t>
      </w:r>
    </w:p>
    <w:p w14:paraId="59D5B33B" w14:textId="279C58C9" w:rsidR="00D81AF3" w:rsidRPr="008F318A" w:rsidRDefault="00D81AF3" w:rsidP="00F47D55">
      <w:pPr>
        <w:pStyle w:val="Heading3"/>
        <w:numPr>
          <w:ilvl w:val="0"/>
          <w:numId w:val="31"/>
        </w:numPr>
        <w:ind w:left="360"/>
      </w:pPr>
      <w:r w:rsidRPr="008F318A">
        <w:t xml:space="preserve">Prior </w:t>
      </w:r>
      <w:r w:rsidR="00B00AAF">
        <w:t>A</w:t>
      </w:r>
      <w:r w:rsidR="00B00AAF" w:rsidRPr="008F318A">
        <w:t>uthorization</w:t>
      </w:r>
    </w:p>
    <w:p w14:paraId="689944F3" w14:textId="4CEF3C4D" w:rsidR="00D81AF3" w:rsidRDefault="00EC6D36" w:rsidP="484B09EE">
      <w:r>
        <w:t>Re</w:t>
      </w:r>
      <w:r w:rsidR="00D81AF3">
        <w:t>q</w:t>
      </w:r>
      <w:r>
        <w:t xml:space="preserve">uests for PA for GAS must be submitted by the surgeon performing the procedure and accompanied by clinical documentation that supports the medical necessity for the procedure, including, but not limited to, the assessment made by the qualified </w:t>
      </w:r>
      <w:r w:rsidR="00A5761D">
        <w:t xml:space="preserve">licensed </w:t>
      </w:r>
      <w:r>
        <w:t xml:space="preserve">health professional(s) resulting in a diagnosis of </w:t>
      </w:r>
      <w:r w:rsidR="629B6627">
        <w:t xml:space="preserve">gender dysphoria </w:t>
      </w:r>
      <w:r>
        <w:t xml:space="preserve">and the referral(s) for surgery from the qualified </w:t>
      </w:r>
      <w:r w:rsidR="00A5761D">
        <w:t xml:space="preserve">licensed </w:t>
      </w:r>
      <w:r>
        <w:t xml:space="preserve">health professional(s). Documentation of medical necessity must include </w:t>
      </w:r>
      <w:r w:rsidR="00415635">
        <w:t>all</w:t>
      </w:r>
      <w:r>
        <w:t xml:space="preserve"> the following. </w:t>
      </w:r>
    </w:p>
    <w:p w14:paraId="256F357B" w14:textId="70ACBF76" w:rsidR="00D81AF3" w:rsidRDefault="00EC6D36" w:rsidP="484B09EE">
      <w:pPr>
        <w:pStyle w:val="ListParagraph"/>
        <w:numPr>
          <w:ilvl w:val="0"/>
          <w:numId w:val="22"/>
        </w:numPr>
        <w:contextualSpacing w:val="0"/>
        <w:rPr>
          <w:rFonts w:eastAsiaTheme="minorEastAsia"/>
        </w:rPr>
      </w:pPr>
      <w:r>
        <w:t>A copy of the assessment performed by qualified</w:t>
      </w:r>
      <w:r w:rsidR="00FD0B7E">
        <w:t xml:space="preserve"> </w:t>
      </w:r>
      <w:r w:rsidR="00A5761D">
        <w:t xml:space="preserve">licensed </w:t>
      </w:r>
      <w:r>
        <w:t xml:space="preserve">health professional(s), including date of onset and history resulting in a diagnosis of </w:t>
      </w:r>
      <w:r w:rsidR="2D5097BE">
        <w:t xml:space="preserve">gender dysphoria </w:t>
      </w:r>
      <w:r>
        <w:t>meeting DSM-</w:t>
      </w:r>
      <w:r w:rsidR="00F26967">
        <w:t xml:space="preserve">5 </w:t>
      </w:r>
      <w:r w:rsidR="008160E5">
        <w:t>c</w:t>
      </w:r>
      <w:r>
        <w:t>riteria</w:t>
      </w:r>
      <w:r w:rsidR="00A25582">
        <w:t xml:space="preserve">; </w:t>
      </w:r>
      <w:r>
        <w:t>referral(s) for the specific procedures, as outlined in clinical guidelines</w:t>
      </w:r>
      <w:r w:rsidR="00A25582">
        <w:t xml:space="preserve">; </w:t>
      </w:r>
      <w:r w:rsidR="00FF1BF9">
        <w:t xml:space="preserve">and all other </w:t>
      </w:r>
      <w:r w:rsidR="00CA15AF" w:rsidRPr="00CA15AF">
        <w:t xml:space="preserve">World Professional Association for Transgender Health </w:t>
      </w:r>
      <w:r w:rsidR="00CA15AF">
        <w:t xml:space="preserve">(WPATH) </w:t>
      </w:r>
      <w:r w:rsidR="00FF1BF9">
        <w:t>recommended content for referral letters.</w:t>
      </w:r>
    </w:p>
    <w:p w14:paraId="21AADADC" w14:textId="77777777" w:rsidR="00BA71E6" w:rsidRDefault="006D5BA8" w:rsidP="00EB7EB1">
      <w:pPr>
        <w:pStyle w:val="ListParagraph"/>
        <w:numPr>
          <w:ilvl w:val="1"/>
          <w:numId w:val="22"/>
        </w:numPr>
        <w:contextualSpacing w:val="0"/>
      </w:pPr>
      <w:r>
        <w:lastRenderedPageBreak/>
        <w:t>A r</w:t>
      </w:r>
      <w:r w:rsidR="00EB7EB1">
        <w:t>eferral from</w:t>
      </w:r>
      <w:r w:rsidR="0097694A">
        <w:t xml:space="preserve"> an </w:t>
      </w:r>
      <w:r w:rsidR="00EB7EB1">
        <w:t>independently qualified licensed health professional</w:t>
      </w:r>
      <w:r w:rsidR="00F67D28">
        <w:t xml:space="preserve"> </w:t>
      </w:r>
      <w:r w:rsidR="0097694A">
        <w:t>who is a</w:t>
      </w:r>
      <w:r w:rsidR="00EB7EB1">
        <w:t xml:space="preserve"> clinician familiar with the member’s health, </w:t>
      </w:r>
      <w:r w:rsidR="0097694A">
        <w:t>who</w:t>
      </w:r>
      <w:r w:rsidR="00EB7EB1">
        <w:t xml:space="preserve"> </w:t>
      </w:r>
      <w:r w:rsidR="00A25582">
        <w:t xml:space="preserve">has </w:t>
      </w:r>
      <w:r w:rsidR="00EB7EB1">
        <w:t>independently assessed the member, with</w:t>
      </w:r>
      <w:r w:rsidR="0097694A">
        <w:t xml:space="preserve"> the</w:t>
      </w:r>
      <w:r w:rsidR="00EB7EB1">
        <w:t xml:space="preserve"> assessment resulting in a diagnosis of gender dysphoria meeting DSM-</w:t>
      </w:r>
      <w:r w:rsidR="00F26967">
        <w:t xml:space="preserve">5 </w:t>
      </w:r>
      <w:r w:rsidR="00EB7EB1">
        <w:t xml:space="preserve">criteria, </w:t>
      </w:r>
      <w:r w:rsidR="0097694A">
        <w:t xml:space="preserve">is </w:t>
      </w:r>
      <w:r w:rsidR="00EB7EB1">
        <w:t>required for the procedures described in subsection II.A.</w:t>
      </w:r>
      <w:r w:rsidR="00226299">
        <w:t xml:space="preserve"> </w:t>
      </w:r>
    </w:p>
    <w:p w14:paraId="4207BB33" w14:textId="0CE0A872" w:rsidR="00EB7EB1" w:rsidRDefault="00152448" w:rsidP="00EB7EB1">
      <w:pPr>
        <w:pStyle w:val="ListParagraph"/>
        <w:numPr>
          <w:ilvl w:val="1"/>
          <w:numId w:val="22"/>
        </w:numPr>
        <w:contextualSpacing w:val="0"/>
      </w:pPr>
      <w:r>
        <w:t xml:space="preserve">The referral should attest that the member has been </w:t>
      </w:r>
      <w:r w:rsidR="00282915">
        <w:t xml:space="preserve">independently </w:t>
      </w:r>
      <w:r>
        <w:t xml:space="preserve">evaluated by a </w:t>
      </w:r>
      <w:r w:rsidR="00282915">
        <w:t xml:space="preserve">licensed qualified behavioral health professional. </w:t>
      </w:r>
      <w:r w:rsidR="0097694A">
        <w:t>The referral must be provided in the form of a letter and include description of the clinical rationale for the requested surgery.</w:t>
      </w:r>
    </w:p>
    <w:p w14:paraId="2DED9A84" w14:textId="70595BDB" w:rsidR="00D81AF3" w:rsidRDefault="0031764D" w:rsidP="00D81AF3">
      <w:pPr>
        <w:pStyle w:val="ListParagraph"/>
        <w:numPr>
          <w:ilvl w:val="0"/>
          <w:numId w:val="22"/>
        </w:numPr>
        <w:contextualSpacing w:val="0"/>
      </w:pPr>
      <w:r>
        <w:t>Documentation that</w:t>
      </w:r>
      <w:r w:rsidR="00EC6D36">
        <w:t xml:space="preserve"> any coexisting </w:t>
      </w:r>
      <w:r w:rsidR="008174F9">
        <w:t>behavioral</w:t>
      </w:r>
      <w:r w:rsidR="00EC6D36">
        <w:t xml:space="preserve"> health</w:t>
      </w:r>
      <w:r w:rsidR="005A1C36">
        <w:t xml:space="preserve"> </w:t>
      </w:r>
      <w:r w:rsidR="00B84B89">
        <w:t>and/</w:t>
      </w:r>
      <w:r w:rsidR="00EC6D36">
        <w:t xml:space="preserve">or medical </w:t>
      </w:r>
      <w:r w:rsidR="008174F9">
        <w:t>conditions</w:t>
      </w:r>
      <w:r w:rsidR="00EC6D36">
        <w:t xml:space="preserve"> are</w:t>
      </w:r>
      <w:r w:rsidR="005A1C36">
        <w:t xml:space="preserve"> </w:t>
      </w:r>
      <w:r w:rsidR="00EC6D36">
        <w:t xml:space="preserve">appropriately managed and are reasonably controlled. </w:t>
      </w:r>
    </w:p>
    <w:p w14:paraId="45B3DD54" w14:textId="77777777" w:rsidR="00D81AF3" w:rsidRDefault="00EC6D36" w:rsidP="00D81AF3">
      <w:pPr>
        <w:pStyle w:val="ListParagraph"/>
        <w:numPr>
          <w:ilvl w:val="0"/>
          <w:numId w:val="22"/>
        </w:numPr>
        <w:contextualSpacing w:val="0"/>
      </w:pPr>
      <w:r>
        <w:t xml:space="preserve">If hormone therapy is a required criterion, medical records must document patient compliance with the prescribed regimen and clinical response over the course of hormone therapy. </w:t>
      </w:r>
    </w:p>
    <w:p w14:paraId="624ECF7D" w14:textId="4091440A" w:rsidR="00D81AF3" w:rsidRDefault="4FA146D0" w:rsidP="00D81AF3">
      <w:pPr>
        <w:pStyle w:val="ListParagraph"/>
        <w:numPr>
          <w:ilvl w:val="0"/>
          <w:numId w:val="22"/>
        </w:numPr>
        <w:contextualSpacing w:val="0"/>
      </w:pPr>
      <w:r>
        <w:t xml:space="preserve">Documentation </w:t>
      </w:r>
      <w:r w:rsidR="00EC6D36">
        <w:t xml:space="preserve">from the surgeon performing the GAS must </w:t>
      </w:r>
      <w:r w:rsidR="298E56EB">
        <w:t xml:space="preserve">include </w:t>
      </w:r>
      <w:r w:rsidR="7646A1F1">
        <w:t xml:space="preserve">a full clinical assessment, </w:t>
      </w:r>
      <w:r w:rsidR="51B2F535">
        <w:t>a physical exam, descri</w:t>
      </w:r>
      <w:r w:rsidR="38E27682">
        <w:t>ption of</w:t>
      </w:r>
      <w:r w:rsidR="51B2F535">
        <w:t xml:space="preserve"> the procedure(s) to be perform</w:t>
      </w:r>
      <w:r w:rsidR="4335C62D">
        <w:t>ed</w:t>
      </w:r>
      <w:r w:rsidR="51B2F535">
        <w:t>,</w:t>
      </w:r>
      <w:r w:rsidR="26E66AAA">
        <w:t xml:space="preserve"> </w:t>
      </w:r>
      <w:r w:rsidR="00CF2FEF">
        <w:t xml:space="preserve">and </w:t>
      </w:r>
      <w:r w:rsidR="3DF2E9AC">
        <w:t xml:space="preserve">frontal and lateral photos (for facial surgery), </w:t>
      </w:r>
      <w:r w:rsidR="26E66AAA">
        <w:t>and</w:t>
      </w:r>
      <w:r w:rsidR="51B2F535">
        <w:t xml:space="preserve"> </w:t>
      </w:r>
      <w:r w:rsidR="00CF2FEF">
        <w:t xml:space="preserve">must also </w:t>
      </w:r>
      <w:r w:rsidR="00EC6D36">
        <w:t xml:space="preserve">attest to all of the following: </w:t>
      </w:r>
    </w:p>
    <w:p w14:paraId="14490028" w14:textId="577583A0" w:rsidR="00D81AF3" w:rsidRDefault="00EC6D36" w:rsidP="00D81AF3">
      <w:pPr>
        <w:pStyle w:val="ListParagraph"/>
        <w:numPr>
          <w:ilvl w:val="1"/>
          <w:numId w:val="22"/>
        </w:numPr>
        <w:contextualSpacing w:val="0"/>
      </w:pPr>
      <w:r>
        <w:t>The member meets the clinical criteria for coverage described in Section II.A. of these Guidelines;</w:t>
      </w:r>
    </w:p>
    <w:p w14:paraId="194C7800" w14:textId="5F4BEB2E" w:rsidR="00D81AF3" w:rsidRDefault="00EC6D36" w:rsidP="00D81AF3">
      <w:pPr>
        <w:pStyle w:val="ListParagraph"/>
        <w:numPr>
          <w:ilvl w:val="1"/>
          <w:numId w:val="22"/>
        </w:numPr>
        <w:contextualSpacing w:val="0"/>
      </w:pPr>
      <w:r>
        <w:t xml:space="preserve">The surgeon has collaborated with the qualified </w:t>
      </w:r>
      <w:r w:rsidR="00A5761D">
        <w:t xml:space="preserve">licensed </w:t>
      </w:r>
      <w:r>
        <w:t xml:space="preserve">health professional(s) and any other health care professionals involved in the member’s care, including, but not limited to, the member’s primary care clinician and the health care professional who is providing hormone therapy (if applicable); </w:t>
      </w:r>
    </w:p>
    <w:p w14:paraId="07D698A5" w14:textId="1C510971" w:rsidR="00D81AF3" w:rsidRDefault="00EC6D36" w:rsidP="00D81AF3">
      <w:pPr>
        <w:pStyle w:val="ListParagraph"/>
        <w:numPr>
          <w:ilvl w:val="1"/>
          <w:numId w:val="22"/>
        </w:numPr>
        <w:contextualSpacing w:val="0"/>
      </w:pPr>
      <w:r>
        <w:t>The surgeon has discussed risks and complications of the proposed surgery, including the surgeon’s own complication rates, and has obtained informed consent from the member</w:t>
      </w:r>
      <w:r w:rsidR="00B84B89">
        <w:t>; and</w:t>
      </w:r>
    </w:p>
    <w:p w14:paraId="30A0F08E" w14:textId="18884C59" w:rsidR="00EC6D36" w:rsidRDefault="00EC6D36" w:rsidP="00D81AF3">
      <w:pPr>
        <w:pStyle w:val="ListParagraph"/>
        <w:numPr>
          <w:ilvl w:val="1"/>
          <w:numId w:val="22"/>
        </w:numPr>
        <w:contextualSpacing w:val="0"/>
      </w:pPr>
      <w:r>
        <w:t xml:space="preserve">The surgeon has discussed preservation of fertility </w:t>
      </w:r>
      <w:r w:rsidR="00B84B89">
        <w:t xml:space="preserve">with the member </w:t>
      </w:r>
      <w:r w:rsidR="00CF2FEF">
        <w:t>before</w:t>
      </w:r>
      <w:r w:rsidR="00B84B89">
        <w:t xml:space="preserve"> surgery </w:t>
      </w:r>
      <w:r>
        <w:t xml:space="preserve">and the member understands that </w:t>
      </w:r>
      <w:r w:rsidR="009A0EB8">
        <w:t xml:space="preserve">fertility </w:t>
      </w:r>
      <w:r>
        <w:t>procedures are not covered by MassHealth. Any surgery resulting in sterilization must meet all applicable state and federal laws, regulations, and guidance.</w:t>
      </w:r>
      <w:r w:rsidR="5FD1AE01">
        <w:t xml:space="preserve"> Sterilization consent form must be submitted, if applicable</w:t>
      </w:r>
      <w:r w:rsidR="48D78190">
        <w:t xml:space="preserve">. </w:t>
      </w:r>
      <w:r w:rsidR="25C3D587">
        <w:t>Hysterectomy (</w:t>
      </w:r>
      <w:r w:rsidR="461F0577">
        <w:t>HI-1</w:t>
      </w:r>
      <w:r w:rsidR="3CF805F0">
        <w:t>)</w:t>
      </w:r>
      <w:r w:rsidR="461F0577">
        <w:t xml:space="preserve"> or </w:t>
      </w:r>
      <w:r w:rsidR="03CE371E">
        <w:t>Sterilization consent (</w:t>
      </w:r>
      <w:r w:rsidR="461F0577">
        <w:t>CS</w:t>
      </w:r>
      <w:r w:rsidR="0BED414E">
        <w:t>-18</w:t>
      </w:r>
      <w:r w:rsidR="6FC400B2">
        <w:t>)</w:t>
      </w:r>
      <w:r w:rsidR="0BED414E">
        <w:t xml:space="preserve"> or </w:t>
      </w:r>
      <w:r w:rsidR="12B11EC8">
        <w:t>(CS-</w:t>
      </w:r>
      <w:r w:rsidR="0BED414E">
        <w:t>21</w:t>
      </w:r>
      <w:r w:rsidR="49D4F6B6">
        <w:t>)</w:t>
      </w:r>
      <w:r w:rsidR="0BED414E">
        <w:t xml:space="preserve"> </w:t>
      </w:r>
      <w:r w:rsidR="5FD1AE01">
        <w:t>form</w:t>
      </w:r>
      <w:r w:rsidR="3B4C36DE">
        <w:t>s</w:t>
      </w:r>
      <w:r w:rsidR="5FD1AE01">
        <w:t xml:space="preserve"> </w:t>
      </w:r>
      <w:r w:rsidR="00CF2FEF">
        <w:t xml:space="preserve">are </w:t>
      </w:r>
      <w:r w:rsidR="1BF5A900">
        <w:t xml:space="preserve">available </w:t>
      </w:r>
      <w:r w:rsidR="5FD1AE01">
        <w:t>at</w:t>
      </w:r>
      <w:r w:rsidR="009F7C5A">
        <w:t xml:space="preserve">    </w:t>
      </w:r>
      <w:hyperlink r:id="rId23" w:history="1">
        <w:r w:rsidR="009F7C5A" w:rsidRPr="00BA71E6">
          <w:rPr>
            <w:rStyle w:val="Hyperlink"/>
          </w:rPr>
          <w:t>www.mass.gov/lists/masshealth-provider-forms-used-by-multiple-provider-types</w:t>
        </w:r>
      </w:hyperlink>
      <w:r w:rsidR="00BA71E6">
        <w:t>.</w:t>
      </w:r>
    </w:p>
    <w:p w14:paraId="242A26FF" w14:textId="27798F73" w:rsidR="00D81AF3" w:rsidRPr="008F318A" w:rsidRDefault="00D81AF3" w:rsidP="008F318A">
      <w:pPr>
        <w:pStyle w:val="Heading3"/>
      </w:pPr>
      <w:r w:rsidRPr="008F318A">
        <w:t xml:space="preserve">B. Submitting </w:t>
      </w:r>
      <w:r w:rsidR="00B00AAF">
        <w:t>D</w:t>
      </w:r>
      <w:r w:rsidR="00B00AAF" w:rsidRPr="008F318A">
        <w:t>ocumentation</w:t>
      </w:r>
    </w:p>
    <w:p w14:paraId="6ECF06C1" w14:textId="77777777" w:rsidR="00053F0F" w:rsidRDefault="00EC6D36" w:rsidP="00D81AF3">
      <w:r>
        <w:t xml:space="preserve">As </w:t>
      </w:r>
      <w:r w:rsidR="00CF2FEF">
        <w:t xml:space="preserve">previously </w:t>
      </w:r>
      <w:r>
        <w:t xml:space="preserve">noted, all clinical information must be submitted by the surgeon performing the GAS. </w:t>
      </w:r>
    </w:p>
    <w:p w14:paraId="4E35A3DF" w14:textId="77777777" w:rsidR="00053F0F" w:rsidRPr="00053F0F" w:rsidRDefault="00053F0F" w:rsidP="00053F0F">
      <w:pPr>
        <w:tabs>
          <w:tab w:val="left" w:pos="360"/>
        </w:tabs>
        <w:ind w:right="192"/>
        <w:rPr>
          <w:rFonts w:ascii="Calibri" w:hAnsi="Calibri" w:cs="Calibri"/>
        </w:rPr>
      </w:pPr>
      <w:r w:rsidRPr="00053F0F">
        <w:t xml:space="preserve">Providers must electronically submit PA requests and all supporting documentation using the Provider Online Service Center (POSC), unless the provider has a currently approved electronic claims waiver </w:t>
      </w:r>
      <w:r w:rsidRPr="00053F0F">
        <w:lastRenderedPageBreak/>
        <w:t xml:space="preserve">(hereinafter, “waiver”). Please see </w:t>
      </w:r>
      <w:hyperlink r:id="rId24" w:history="1">
        <w:r w:rsidRPr="00FA422A">
          <w:rPr>
            <w:i/>
            <w:iCs/>
            <w:color w:val="0044D6"/>
            <w:u w:val="thick"/>
          </w:rPr>
          <w:t>All Provider Bulletin 369</w:t>
        </w:r>
      </w:hyperlink>
      <w:r w:rsidRPr="00053F0F">
        <w:t xml:space="preserve"> for further waiver information. Questions about POSC access should be directed to the MassHealth Customer Service Center at (800) 841-2900, TDD/TTY: 711.</w:t>
      </w:r>
    </w:p>
    <w:p w14:paraId="7ADC8AAF" w14:textId="77777777" w:rsidR="00053F0F" w:rsidRPr="00053F0F" w:rsidRDefault="00053F0F" w:rsidP="00053F0F">
      <w:r w:rsidRPr="00053F0F">
        <w:t xml:space="preserve">For PA requests that are not submitted using the POSC, providers with currently approved waivers must include the MassHealth Prior Authorization Request (PA-1 Form) and all supporting documentation. The PA-1 Form can be found at </w:t>
      </w:r>
      <w:hyperlink r:id="rId25" w:history="1">
        <w:r w:rsidRPr="00053F0F">
          <w:rPr>
            <w:color w:val="0044D6"/>
            <w:u w:val="thick"/>
          </w:rPr>
          <w:t>mass.gov/prior-authorization-for-</w:t>
        </w:r>
        <w:proofErr w:type="spellStart"/>
        <w:r w:rsidRPr="00053F0F">
          <w:rPr>
            <w:color w:val="0044D6"/>
            <w:u w:val="thick"/>
          </w:rPr>
          <w:t>masshealth</w:t>
        </w:r>
        <w:proofErr w:type="spellEnd"/>
        <w:r w:rsidRPr="00053F0F">
          <w:rPr>
            <w:color w:val="0044D6"/>
            <w:u w:val="thick"/>
          </w:rPr>
          <w:t>-providers</w:t>
        </w:r>
      </w:hyperlink>
      <w:r w:rsidRPr="00053F0F">
        <w:t>.  </w:t>
      </w:r>
    </w:p>
    <w:p w14:paraId="00C6303F" w14:textId="77777777" w:rsidR="00053F0F" w:rsidRDefault="00053F0F" w:rsidP="00D81AF3"/>
    <w:p w14:paraId="3EBD765F" w14:textId="0F99AAD1" w:rsidR="00AD4B0B" w:rsidRPr="008F318A" w:rsidRDefault="00EC6D36" w:rsidP="008953D8">
      <w:pPr>
        <w:pStyle w:val="Heading2"/>
      </w:pPr>
      <w:r w:rsidRPr="008F318A">
        <w:t>Select References</w:t>
      </w:r>
    </w:p>
    <w:p w14:paraId="58877175" w14:textId="5C0C78A5" w:rsidR="00AD4B0B" w:rsidRPr="00FA422A" w:rsidRDefault="00AD4B0B" w:rsidP="00FA422A">
      <w:pPr>
        <w:spacing w:before="120"/>
        <w:rPr>
          <w:sz w:val="20"/>
          <w:szCs w:val="20"/>
        </w:rPr>
      </w:pPr>
      <w:r w:rsidRPr="00FA422A">
        <w:rPr>
          <w:sz w:val="20"/>
          <w:szCs w:val="20"/>
        </w:rPr>
        <w:t>American Psychiatric Association: Diagnostic and Statistical Manual of Mental Disorders, Fifth Edition, Arlington, VA, American Psychiatric Association, 2013, pp 451-459.</w:t>
      </w:r>
    </w:p>
    <w:p w14:paraId="7B9A0D3A" w14:textId="77777777" w:rsidR="00AD4B0B" w:rsidRPr="00FA422A" w:rsidRDefault="00AD4B0B" w:rsidP="00FA422A">
      <w:pPr>
        <w:spacing w:before="120"/>
        <w:rPr>
          <w:sz w:val="20"/>
          <w:szCs w:val="20"/>
        </w:rPr>
      </w:pPr>
      <w:r w:rsidRPr="00FA422A">
        <w:rPr>
          <w:sz w:val="20"/>
          <w:szCs w:val="20"/>
        </w:rPr>
        <w:t xml:space="preserve">Byne W, Bradley S, Coleman E, et al. </w:t>
      </w:r>
      <w:hyperlink r:id="rId26" w:history="1">
        <w:r w:rsidRPr="00FA422A">
          <w:rPr>
            <w:rStyle w:val="Hyperlink"/>
            <w:sz w:val="20"/>
            <w:szCs w:val="20"/>
          </w:rPr>
          <w:t>Report of the APA Task Force on Treatment of Gender Identity Disorder</w:t>
        </w:r>
      </w:hyperlink>
      <w:r w:rsidRPr="00FA422A">
        <w:rPr>
          <w:sz w:val="20"/>
          <w:szCs w:val="20"/>
        </w:rPr>
        <w:t xml:space="preserve">. </w:t>
      </w:r>
      <w:r w:rsidRPr="00FA422A">
        <w:rPr>
          <w:rStyle w:val="Emphasis"/>
          <w:sz w:val="20"/>
          <w:szCs w:val="20"/>
        </w:rPr>
        <w:t>Am J Psychiatry.</w:t>
      </w:r>
      <w:r w:rsidRPr="00FA422A">
        <w:rPr>
          <w:sz w:val="20"/>
          <w:szCs w:val="20"/>
        </w:rPr>
        <w:t xml:space="preserve"> 2012; Suppl.: 1-35.</w:t>
      </w:r>
    </w:p>
    <w:p w14:paraId="5FFA621B" w14:textId="77777777" w:rsidR="00AD4B0B" w:rsidRPr="00FA422A" w:rsidRDefault="00AD4B0B" w:rsidP="00FA422A">
      <w:pPr>
        <w:spacing w:before="120"/>
        <w:rPr>
          <w:rFonts w:cstheme="minorHAnsi"/>
          <w:sz w:val="20"/>
          <w:szCs w:val="20"/>
        </w:rPr>
      </w:pPr>
      <w:r w:rsidRPr="00FA422A">
        <w:rPr>
          <w:rFonts w:cstheme="minorHAnsi"/>
          <w:sz w:val="20"/>
          <w:szCs w:val="20"/>
        </w:rPr>
        <w:t xml:space="preserve">Donato DP, Walzer NK, Rivera A, Wright L, Agarwal CA. </w:t>
      </w:r>
      <w:hyperlink r:id="rId27" w:history="1">
        <w:r w:rsidRPr="00FA422A">
          <w:rPr>
            <w:rStyle w:val="Hyperlink"/>
            <w:rFonts w:cstheme="minorHAnsi"/>
            <w:sz w:val="20"/>
            <w:szCs w:val="20"/>
          </w:rPr>
          <w:t>Female-to-Male Chest Reconstruction: A Review of Technique and Outcomes.</w:t>
        </w:r>
      </w:hyperlink>
      <w:r w:rsidRPr="00FA422A">
        <w:rPr>
          <w:rFonts w:cstheme="minorHAnsi"/>
          <w:sz w:val="20"/>
          <w:szCs w:val="20"/>
        </w:rPr>
        <w:t> </w:t>
      </w:r>
      <w:r w:rsidRPr="00FA422A">
        <w:rPr>
          <w:rFonts w:cstheme="minorHAnsi"/>
          <w:i/>
          <w:iCs/>
          <w:sz w:val="20"/>
          <w:szCs w:val="20"/>
        </w:rPr>
        <w:t xml:space="preserve">Ann </w:t>
      </w:r>
      <w:proofErr w:type="spellStart"/>
      <w:r w:rsidRPr="00FA422A">
        <w:rPr>
          <w:rFonts w:cstheme="minorHAnsi"/>
          <w:i/>
          <w:iCs/>
          <w:sz w:val="20"/>
          <w:szCs w:val="20"/>
        </w:rPr>
        <w:t>Plast</w:t>
      </w:r>
      <w:proofErr w:type="spellEnd"/>
      <w:r w:rsidRPr="00FA422A">
        <w:rPr>
          <w:rFonts w:cstheme="minorHAnsi"/>
          <w:i/>
          <w:iCs/>
          <w:sz w:val="20"/>
          <w:szCs w:val="20"/>
        </w:rPr>
        <w:t xml:space="preserve"> Surg</w:t>
      </w:r>
      <w:r w:rsidRPr="00FA422A">
        <w:rPr>
          <w:rFonts w:cstheme="minorHAnsi"/>
          <w:sz w:val="20"/>
          <w:szCs w:val="20"/>
        </w:rPr>
        <w:t>. 2017;79(3):259-263. doi:10.1097/SAP.0000000000001099</w:t>
      </w:r>
    </w:p>
    <w:p w14:paraId="23927F5A" w14:textId="77777777" w:rsidR="00AD4B0B" w:rsidRPr="00FA422A" w:rsidRDefault="00AD4B0B" w:rsidP="00FA422A">
      <w:pPr>
        <w:spacing w:before="120"/>
        <w:rPr>
          <w:rFonts w:cstheme="minorHAnsi"/>
          <w:sz w:val="20"/>
          <w:szCs w:val="20"/>
        </w:rPr>
      </w:pPr>
      <w:r w:rsidRPr="00FA422A">
        <w:rPr>
          <w:rFonts w:cstheme="minorHAnsi"/>
          <w:sz w:val="20"/>
          <w:szCs w:val="20"/>
        </w:rPr>
        <w:t xml:space="preserve">Esmonde N, Heston A, Jedrzejewski B, et al. </w:t>
      </w:r>
      <w:hyperlink r:id="rId28" w:history="1">
        <w:r w:rsidRPr="00FA422A">
          <w:rPr>
            <w:rStyle w:val="Hyperlink"/>
            <w:rFonts w:cstheme="minorHAnsi"/>
            <w:sz w:val="20"/>
            <w:szCs w:val="20"/>
          </w:rPr>
          <w:t>What is "Nonbinary" and What Do I Need to Know? A Primer for Surgeons Providing Chest Surgery for Transgender Patients. </w:t>
        </w:r>
        <w:proofErr w:type="spellStart"/>
      </w:hyperlink>
      <w:r w:rsidRPr="00FA422A">
        <w:rPr>
          <w:rFonts w:cstheme="minorHAnsi"/>
          <w:i/>
          <w:iCs/>
          <w:sz w:val="20"/>
          <w:szCs w:val="20"/>
        </w:rPr>
        <w:t>Aesthet</w:t>
      </w:r>
      <w:proofErr w:type="spellEnd"/>
      <w:r w:rsidRPr="00FA422A">
        <w:rPr>
          <w:rFonts w:cstheme="minorHAnsi"/>
          <w:i/>
          <w:iCs/>
          <w:sz w:val="20"/>
          <w:szCs w:val="20"/>
        </w:rPr>
        <w:t xml:space="preserve"> Surg J</w:t>
      </w:r>
      <w:r w:rsidRPr="00FA422A">
        <w:rPr>
          <w:rFonts w:cstheme="minorHAnsi"/>
          <w:sz w:val="20"/>
          <w:szCs w:val="20"/>
        </w:rPr>
        <w:t>. 2019;39(5):NP106-NP112. doi:10.1093/</w:t>
      </w:r>
      <w:proofErr w:type="spellStart"/>
      <w:r w:rsidRPr="00FA422A">
        <w:rPr>
          <w:rFonts w:cstheme="minorHAnsi"/>
          <w:sz w:val="20"/>
          <w:szCs w:val="20"/>
        </w:rPr>
        <w:t>asj</w:t>
      </w:r>
      <w:proofErr w:type="spellEnd"/>
      <w:r w:rsidRPr="00FA422A">
        <w:rPr>
          <w:rFonts w:cstheme="minorHAnsi"/>
          <w:sz w:val="20"/>
          <w:szCs w:val="20"/>
        </w:rPr>
        <w:t>/sjy166</w:t>
      </w:r>
    </w:p>
    <w:p w14:paraId="462C557E" w14:textId="77777777" w:rsidR="00AD4B0B" w:rsidRPr="00FA422A" w:rsidRDefault="00AD4B0B" w:rsidP="00FA422A">
      <w:pPr>
        <w:spacing w:before="120"/>
        <w:rPr>
          <w:rFonts w:cstheme="minorHAnsi"/>
          <w:sz w:val="20"/>
          <w:szCs w:val="20"/>
        </w:rPr>
      </w:pPr>
      <w:r w:rsidRPr="00FA422A">
        <w:rPr>
          <w:rFonts w:eastAsia="Times New Roman" w:cstheme="minorHAnsi"/>
          <w:color w:val="212121"/>
          <w:sz w:val="20"/>
          <w:szCs w:val="20"/>
          <w:shd w:val="clear" w:color="auto" w:fill="FFFFFF"/>
        </w:rPr>
        <w:t>Hancock AB, Garabedian LM. Transgender voice and communication treatment: a retrospective chart review of 25 cases. </w:t>
      </w:r>
      <w:r w:rsidRPr="00FA422A">
        <w:rPr>
          <w:rFonts w:eastAsia="Times New Roman" w:cstheme="minorHAnsi"/>
          <w:i/>
          <w:iCs/>
          <w:color w:val="212121"/>
          <w:sz w:val="20"/>
          <w:szCs w:val="20"/>
          <w:shd w:val="clear" w:color="auto" w:fill="FFFFFF"/>
        </w:rPr>
        <w:t xml:space="preserve">Int J Lang </w:t>
      </w:r>
      <w:proofErr w:type="spellStart"/>
      <w:r w:rsidRPr="00FA422A">
        <w:rPr>
          <w:rFonts w:eastAsia="Times New Roman" w:cstheme="minorHAnsi"/>
          <w:i/>
          <w:iCs/>
          <w:color w:val="212121"/>
          <w:sz w:val="20"/>
          <w:szCs w:val="20"/>
          <w:shd w:val="clear" w:color="auto" w:fill="FFFFFF"/>
        </w:rPr>
        <w:t>Commun</w:t>
      </w:r>
      <w:proofErr w:type="spellEnd"/>
      <w:r w:rsidRPr="00FA422A">
        <w:rPr>
          <w:rFonts w:eastAsia="Times New Roman" w:cstheme="minorHAnsi"/>
          <w:i/>
          <w:iCs/>
          <w:color w:val="212121"/>
          <w:sz w:val="20"/>
          <w:szCs w:val="20"/>
          <w:shd w:val="clear" w:color="auto" w:fill="FFFFFF"/>
        </w:rPr>
        <w:t xml:space="preserve"> </w:t>
      </w:r>
      <w:proofErr w:type="spellStart"/>
      <w:r w:rsidRPr="00FA422A">
        <w:rPr>
          <w:rFonts w:eastAsia="Times New Roman" w:cstheme="minorHAnsi"/>
          <w:i/>
          <w:iCs/>
          <w:color w:val="212121"/>
          <w:sz w:val="20"/>
          <w:szCs w:val="20"/>
          <w:shd w:val="clear" w:color="auto" w:fill="FFFFFF"/>
        </w:rPr>
        <w:t>Disord</w:t>
      </w:r>
      <w:proofErr w:type="spellEnd"/>
      <w:r w:rsidRPr="00FA422A">
        <w:rPr>
          <w:rFonts w:eastAsia="Times New Roman" w:cstheme="minorHAnsi"/>
          <w:color w:val="212121"/>
          <w:sz w:val="20"/>
          <w:szCs w:val="20"/>
          <w:shd w:val="clear" w:color="auto" w:fill="FFFFFF"/>
        </w:rPr>
        <w:t>. 2013;48(1):54-65. doi:10.1111/j.1460-6984.2012.00185.</w:t>
      </w:r>
    </w:p>
    <w:p w14:paraId="2DD8ACA6" w14:textId="77777777" w:rsidR="00AD4B0B" w:rsidRPr="00FA422A" w:rsidRDefault="00AD4B0B" w:rsidP="00FA422A">
      <w:pPr>
        <w:spacing w:before="120"/>
        <w:rPr>
          <w:sz w:val="20"/>
          <w:szCs w:val="20"/>
        </w:rPr>
      </w:pPr>
      <w:r w:rsidRPr="00FA422A">
        <w:rPr>
          <w:sz w:val="20"/>
          <w:szCs w:val="20"/>
        </w:rPr>
        <w:t>Hembree, W. C., Cohen-</w:t>
      </w:r>
      <w:proofErr w:type="spellStart"/>
      <w:r w:rsidRPr="00FA422A">
        <w:rPr>
          <w:sz w:val="20"/>
          <w:szCs w:val="20"/>
        </w:rPr>
        <w:t>Kettenis</w:t>
      </w:r>
      <w:proofErr w:type="spellEnd"/>
      <w:r w:rsidRPr="00FA422A">
        <w:rPr>
          <w:sz w:val="20"/>
          <w:szCs w:val="20"/>
        </w:rPr>
        <w:t xml:space="preserve">, P. T., </w:t>
      </w:r>
      <w:proofErr w:type="spellStart"/>
      <w:r w:rsidRPr="00FA422A">
        <w:rPr>
          <w:sz w:val="20"/>
          <w:szCs w:val="20"/>
        </w:rPr>
        <w:t>Gooren</w:t>
      </w:r>
      <w:proofErr w:type="spellEnd"/>
      <w:r w:rsidRPr="00FA422A">
        <w:rPr>
          <w:sz w:val="20"/>
          <w:szCs w:val="20"/>
        </w:rPr>
        <w:t xml:space="preserve">, L., </w:t>
      </w:r>
      <w:proofErr w:type="spellStart"/>
      <w:r w:rsidRPr="00FA422A">
        <w:rPr>
          <w:sz w:val="20"/>
          <w:szCs w:val="20"/>
        </w:rPr>
        <w:t>Hannema</w:t>
      </w:r>
      <w:proofErr w:type="spellEnd"/>
      <w:r w:rsidRPr="00FA422A">
        <w:rPr>
          <w:sz w:val="20"/>
          <w:szCs w:val="20"/>
        </w:rPr>
        <w:t xml:space="preserve">, S. E., Meyer, W. J., Murad, M. H., … </w:t>
      </w:r>
      <w:proofErr w:type="spellStart"/>
      <w:r w:rsidRPr="00FA422A">
        <w:rPr>
          <w:sz w:val="20"/>
          <w:szCs w:val="20"/>
        </w:rPr>
        <w:t>T’Sjoen</w:t>
      </w:r>
      <w:proofErr w:type="spellEnd"/>
      <w:r w:rsidRPr="00FA422A">
        <w:rPr>
          <w:sz w:val="20"/>
          <w:szCs w:val="20"/>
        </w:rPr>
        <w:t>, G. G. (2017). </w:t>
      </w:r>
      <w:hyperlink r:id="rId29" w:history="1">
        <w:r w:rsidRPr="00FA422A">
          <w:rPr>
            <w:rStyle w:val="Hyperlink"/>
            <w:sz w:val="20"/>
            <w:szCs w:val="20"/>
          </w:rPr>
          <w:t>Endocrine Treatment of Gender-Dysphoric/Gender-Incongruent Persons: An Endocrine Society Clinical Practice Guideline.</w:t>
        </w:r>
      </w:hyperlink>
      <w:r w:rsidRPr="00FA422A">
        <w:rPr>
          <w:i/>
          <w:iCs/>
          <w:sz w:val="20"/>
          <w:szCs w:val="20"/>
        </w:rPr>
        <w:t xml:space="preserve"> The Journal of Clinical Endocrinology &amp; Metabolism, 102(11), 3869–3903.</w:t>
      </w:r>
      <w:r w:rsidRPr="00FA422A">
        <w:rPr>
          <w:sz w:val="20"/>
          <w:szCs w:val="20"/>
        </w:rPr>
        <w:t> doi:10.1210/jc.2017-01658</w:t>
      </w:r>
    </w:p>
    <w:p w14:paraId="7C57FF2D" w14:textId="77777777" w:rsidR="00AD4B0B" w:rsidRPr="00FA422A" w:rsidRDefault="00AD4B0B" w:rsidP="00FA422A">
      <w:pPr>
        <w:spacing w:before="120"/>
        <w:rPr>
          <w:sz w:val="20"/>
          <w:szCs w:val="20"/>
        </w:rPr>
      </w:pPr>
      <w:r w:rsidRPr="00FA422A">
        <w:rPr>
          <w:sz w:val="20"/>
          <w:szCs w:val="20"/>
        </w:rPr>
        <w:t xml:space="preserve">Horbach SE, Bouman MB, Smit JM, Özer M, </w:t>
      </w:r>
      <w:proofErr w:type="spellStart"/>
      <w:r w:rsidRPr="00FA422A">
        <w:rPr>
          <w:sz w:val="20"/>
          <w:szCs w:val="20"/>
        </w:rPr>
        <w:t>Buncamper</w:t>
      </w:r>
      <w:proofErr w:type="spellEnd"/>
      <w:r w:rsidRPr="00FA422A">
        <w:rPr>
          <w:sz w:val="20"/>
          <w:szCs w:val="20"/>
        </w:rPr>
        <w:t xml:space="preserve"> ME, Mullender MG. Outcome of Vaginoplasty in Male-to-Female Transgenders: A Systematic Review of Surgical Techniques. J Sex Med. 2015;12(6):1499-1512. doi:10.1111/jsm.12868</w:t>
      </w:r>
    </w:p>
    <w:p w14:paraId="6C642907" w14:textId="10B7F5A9" w:rsidR="00AD4B0B" w:rsidRPr="00FA422A" w:rsidRDefault="00AD4B0B" w:rsidP="00FA422A">
      <w:pPr>
        <w:spacing w:before="120"/>
        <w:rPr>
          <w:sz w:val="20"/>
          <w:szCs w:val="20"/>
        </w:rPr>
      </w:pPr>
      <w:proofErr w:type="spellStart"/>
      <w:r w:rsidRPr="00FA422A">
        <w:rPr>
          <w:sz w:val="20"/>
          <w:szCs w:val="20"/>
        </w:rPr>
        <w:t>Irwig</w:t>
      </w:r>
      <w:proofErr w:type="spellEnd"/>
      <w:r w:rsidRPr="00FA422A">
        <w:rPr>
          <w:sz w:val="20"/>
          <w:szCs w:val="20"/>
        </w:rPr>
        <w:t xml:space="preserve"> MS</w:t>
      </w:r>
      <w:hyperlink r:id="rId30" w:history="1">
        <w:r w:rsidRPr="00FA422A">
          <w:rPr>
            <w:rStyle w:val="Hyperlink"/>
            <w:sz w:val="20"/>
            <w:szCs w:val="20"/>
          </w:rPr>
          <w:t>. Testosterone therapy for transgender men</w:t>
        </w:r>
      </w:hyperlink>
      <w:r w:rsidRPr="00FA422A">
        <w:rPr>
          <w:sz w:val="20"/>
          <w:szCs w:val="20"/>
        </w:rPr>
        <w:t xml:space="preserve"> [published correction appears in Lancet Diabetes Endocrinol. 2017 Apr;5(4):e2]. </w:t>
      </w:r>
      <w:r w:rsidRPr="00FA422A">
        <w:rPr>
          <w:i/>
          <w:iCs/>
          <w:sz w:val="20"/>
          <w:szCs w:val="20"/>
        </w:rPr>
        <w:t>Lancet Diabetes Endocrinol</w:t>
      </w:r>
      <w:r w:rsidRPr="00FA422A">
        <w:rPr>
          <w:sz w:val="20"/>
          <w:szCs w:val="20"/>
        </w:rPr>
        <w:t>. 2017;5(4):301-311. doi:10.1016/S2213-8587(16)00036-X</w:t>
      </w:r>
    </w:p>
    <w:p w14:paraId="5986F1BE" w14:textId="77777777" w:rsidR="00AD4B0B" w:rsidRPr="00FA422A" w:rsidRDefault="00AD4B0B" w:rsidP="00FA422A">
      <w:pPr>
        <w:spacing w:before="120"/>
        <w:rPr>
          <w:sz w:val="20"/>
          <w:szCs w:val="20"/>
        </w:rPr>
      </w:pPr>
      <w:r w:rsidRPr="00FA422A">
        <w:rPr>
          <w:rFonts w:eastAsia="Times New Roman" w:cstheme="minorHAnsi"/>
          <w:sz w:val="20"/>
          <w:szCs w:val="20"/>
        </w:rPr>
        <w:t xml:space="preserve">Madeline B. Deutsch, MD, MPH. </w:t>
      </w:r>
      <w:hyperlink r:id="rId31" w:history="1">
        <w:r w:rsidRPr="00FA422A">
          <w:rPr>
            <w:rStyle w:val="Hyperlink"/>
            <w:rFonts w:eastAsia="Times New Roman" w:cstheme="minorHAnsi"/>
            <w:sz w:val="20"/>
            <w:szCs w:val="20"/>
          </w:rPr>
          <w:t>Guidelines for the Primary and Gender-Affirming Care of Transgender and Gender Nonbinary People</w:t>
        </w:r>
      </w:hyperlink>
      <w:r w:rsidRPr="00FA422A">
        <w:rPr>
          <w:rFonts w:eastAsia="Times New Roman" w:cstheme="minorHAnsi"/>
          <w:sz w:val="20"/>
          <w:szCs w:val="20"/>
        </w:rPr>
        <w:t>. Center of Excellence for Transgender Health Department of Family &amp; Community Medicine University of California, San Francisco 2nd Edition; June 2016.</w:t>
      </w:r>
    </w:p>
    <w:p w14:paraId="28F4FE23" w14:textId="77777777" w:rsidR="00AD4B0B" w:rsidRPr="00FA422A" w:rsidRDefault="00AD4B0B" w:rsidP="00FA422A">
      <w:pPr>
        <w:spacing w:before="120"/>
        <w:rPr>
          <w:sz w:val="20"/>
          <w:szCs w:val="20"/>
        </w:rPr>
      </w:pPr>
      <w:proofErr w:type="spellStart"/>
      <w:r w:rsidRPr="00FA422A">
        <w:rPr>
          <w:sz w:val="20"/>
          <w:szCs w:val="20"/>
        </w:rPr>
        <w:t>Mahfouda</w:t>
      </w:r>
      <w:proofErr w:type="spellEnd"/>
      <w:r w:rsidRPr="00FA422A">
        <w:rPr>
          <w:sz w:val="20"/>
          <w:szCs w:val="20"/>
        </w:rPr>
        <w:t xml:space="preserve"> S, Moore JK, </w:t>
      </w:r>
      <w:proofErr w:type="spellStart"/>
      <w:r w:rsidRPr="00FA422A">
        <w:rPr>
          <w:sz w:val="20"/>
          <w:szCs w:val="20"/>
        </w:rPr>
        <w:t>Siafarikas</w:t>
      </w:r>
      <w:proofErr w:type="spellEnd"/>
      <w:r w:rsidRPr="00FA422A">
        <w:rPr>
          <w:sz w:val="20"/>
          <w:szCs w:val="20"/>
        </w:rPr>
        <w:t xml:space="preserve"> A, et al. </w:t>
      </w:r>
      <w:hyperlink r:id="rId32" w:history="1">
        <w:r w:rsidRPr="00FA422A">
          <w:rPr>
            <w:rStyle w:val="Hyperlink"/>
            <w:sz w:val="20"/>
            <w:szCs w:val="20"/>
          </w:rPr>
          <w:t>Gender-affirming hormones and surgery in transgender children and adolescents</w:t>
        </w:r>
      </w:hyperlink>
      <w:r w:rsidRPr="00FA422A">
        <w:rPr>
          <w:sz w:val="20"/>
          <w:szCs w:val="20"/>
        </w:rPr>
        <w:t>. </w:t>
      </w:r>
      <w:r w:rsidRPr="00FA422A">
        <w:rPr>
          <w:i/>
          <w:iCs/>
          <w:sz w:val="20"/>
          <w:szCs w:val="20"/>
        </w:rPr>
        <w:t>Lancet Diabetes Endocrinol</w:t>
      </w:r>
      <w:r w:rsidRPr="00FA422A">
        <w:rPr>
          <w:sz w:val="20"/>
          <w:szCs w:val="20"/>
        </w:rPr>
        <w:t>. 2019;7(6):484-498. doi:10.1016/S2213-8587(18)30305-X</w:t>
      </w:r>
    </w:p>
    <w:p w14:paraId="59C63EB5" w14:textId="77777777" w:rsidR="00AD4B0B" w:rsidRPr="00FA422A" w:rsidRDefault="00AD4B0B" w:rsidP="00FA422A">
      <w:pPr>
        <w:spacing w:before="120"/>
        <w:rPr>
          <w:sz w:val="20"/>
          <w:szCs w:val="20"/>
        </w:rPr>
      </w:pPr>
      <w:r w:rsidRPr="00FA422A">
        <w:rPr>
          <w:sz w:val="20"/>
          <w:szCs w:val="20"/>
        </w:rPr>
        <w:lastRenderedPageBreak/>
        <w:t xml:space="preserve">Morrison S, Vyas K, </w:t>
      </w:r>
      <w:proofErr w:type="spellStart"/>
      <w:r w:rsidRPr="00FA422A">
        <w:rPr>
          <w:sz w:val="20"/>
          <w:szCs w:val="20"/>
        </w:rPr>
        <w:t>Motakef</w:t>
      </w:r>
      <w:proofErr w:type="spellEnd"/>
      <w:r w:rsidRPr="00FA422A">
        <w:rPr>
          <w:sz w:val="20"/>
          <w:szCs w:val="20"/>
        </w:rPr>
        <w:t xml:space="preserve"> S, et al. </w:t>
      </w:r>
      <w:hyperlink r:id="rId33" w:history="1">
        <w:r w:rsidRPr="00FA422A">
          <w:rPr>
            <w:rStyle w:val="Hyperlink"/>
            <w:sz w:val="20"/>
            <w:szCs w:val="20"/>
          </w:rPr>
          <w:t>Facial feminization: systematic review of literature. Plastic and reconstructive Surgery</w:t>
        </w:r>
      </w:hyperlink>
      <w:r w:rsidRPr="00FA422A">
        <w:rPr>
          <w:sz w:val="20"/>
          <w:szCs w:val="20"/>
        </w:rPr>
        <w:t>. 2016; 136 (6): 1759-1770</w:t>
      </w:r>
    </w:p>
    <w:p w14:paraId="25609639" w14:textId="77777777" w:rsidR="00AD4B0B" w:rsidRPr="00FA422A" w:rsidRDefault="00AD4B0B" w:rsidP="00FA422A">
      <w:pPr>
        <w:spacing w:before="120"/>
        <w:rPr>
          <w:rFonts w:cstheme="minorHAnsi"/>
          <w:sz w:val="20"/>
          <w:szCs w:val="20"/>
        </w:rPr>
      </w:pPr>
      <w:r w:rsidRPr="00FA422A">
        <w:rPr>
          <w:rFonts w:cstheme="minorHAnsi"/>
          <w:color w:val="212121"/>
          <w:sz w:val="20"/>
          <w:szCs w:val="20"/>
          <w:shd w:val="clear" w:color="auto" w:fill="FFFFFF"/>
        </w:rPr>
        <w:t xml:space="preserve">Morrison SD, </w:t>
      </w:r>
      <w:proofErr w:type="spellStart"/>
      <w:r w:rsidRPr="00FA422A">
        <w:rPr>
          <w:rFonts w:cstheme="minorHAnsi"/>
          <w:color w:val="212121"/>
          <w:sz w:val="20"/>
          <w:szCs w:val="20"/>
          <w:shd w:val="clear" w:color="auto" w:fill="FFFFFF"/>
        </w:rPr>
        <w:t>Capitán</w:t>
      </w:r>
      <w:proofErr w:type="spellEnd"/>
      <w:r w:rsidRPr="00FA422A">
        <w:rPr>
          <w:rFonts w:cstheme="minorHAnsi"/>
          <w:color w:val="212121"/>
          <w:sz w:val="20"/>
          <w:szCs w:val="20"/>
          <w:shd w:val="clear" w:color="auto" w:fill="FFFFFF"/>
        </w:rPr>
        <w:t xml:space="preserve">-Cañadas F, et al. </w:t>
      </w:r>
      <w:hyperlink r:id="rId34" w:history="1">
        <w:r w:rsidRPr="00FA422A">
          <w:rPr>
            <w:rStyle w:val="Hyperlink"/>
            <w:rFonts w:cstheme="minorHAnsi"/>
            <w:sz w:val="20"/>
            <w:szCs w:val="20"/>
          </w:rPr>
          <w:t>Prospective Quality-of-Life Outcomes after Facial Feminization Surgery: An International Multicenter Study.</w:t>
        </w:r>
      </w:hyperlink>
      <w:r w:rsidRPr="00FA422A">
        <w:rPr>
          <w:rFonts w:cstheme="minorHAnsi"/>
          <w:color w:val="212121"/>
          <w:sz w:val="20"/>
          <w:szCs w:val="20"/>
          <w:shd w:val="clear" w:color="auto" w:fill="FFFFFF"/>
        </w:rPr>
        <w:t xml:space="preserve"> </w:t>
      </w:r>
      <w:proofErr w:type="spellStart"/>
      <w:r w:rsidRPr="00FA422A">
        <w:rPr>
          <w:rFonts w:cstheme="minorHAnsi"/>
          <w:color w:val="212121"/>
          <w:sz w:val="20"/>
          <w:szCs w:val="20"/>
          <w:shd w:val="clear" w:color="auto" w:fill="FFFFFF"/>
        </w:rPr>
        <w:t>Plast</w:t>
      </w:r>
      <w:proofErr w:type="spellEnd"/>
      <w:r w:rsidRPr="00FA422A">
        <w:rPr>
          <w:rFonts w:cstheme="minorHAnsi"/>
          <w:color w:val="212121"/>
          <w:sz w:val="20"/>
          <w:szCs w:val="20"/>
          <w:shd w:val="clear" w:color="auto" w:fill="FFFFFF"/>
        </w:rPr>
        <w:t xml:space="preserve"> </w:t>
      </w:r>
      <w:proofErr w:type="spellStart"/>
      <w:r w:rsidRPr="00FA422A">
        <w:rPr>
          <w:rFonts w:cstheme="minorHAnsi"/>
          <w:color w:val="212121"/>
          <w:sz w:val="20"/>
          <w:szCs w:val="20"/>
          <w:shd w:val="clear" w:color="auto" w:fill="FFFFFF"/>
        </w:rPr>
        <w:t>Reconstr</w:t>
      </w:r>
      <w:proofErr w:type="spellEnd"/>
      <w:r w:rsidRPr="00FA422A">
        <w:rPr>
          <w:rFonts w:cstheme="minorHAnsi"/>
          <w:color w:val="212121"/>
          <w:sz w:val="20"/>
          <w:szCs w:val="20"/>
          <w:shd w:val="clear" w:color="auto" w:fill="FFFFFF"/>
        </w:rPr>
        <w:t xml:space="preserve"> Surg. 2020 Jun;145(6):1499-1509. </w:t>
      </w:r>
      <w:proofErr w:type="spellStart"/>
      <w:r w:rsidRPr="00FA422A">
        <w:rPr>
          <w:rFonts w:cstheme="minorHAnsi"/>
          <w:color w:val="212121"/>
          <w:sz w:val="20"/>
          <w:szCs w:val="20"/>
          <w:shd w:val="clear" w:color="auto" w:fill="FFFFFF"/>
        </w:rPr>
        <w:t>doi</w:t>
      </w:r>
      <w:proofErr w:type="spellEnd"/>
      <w:r w:rsidRPr="00FA422A">
        <w:rPr>
          <w:rFonts w:cstheme="minorHAnsi"/>
          <w:color w:val="212121"/>
          <w:sz w:val="20"/>
          <w:szCs w:val="20"/>
          <w:shd w:val="clear" w:color="auto" w:fill="FFFFFF"/>
        </w:rPr>
        <w:t>: 10.1097/PRS.0000000000006837. PMID: 32459779.</w:t>
      </w:r>
    </w:p>
    <w:p w14:paraId="056FD4D7" w14:textId="77777777" w:rsidR="00AD4B0B" w:rsidRPr="00FA422A" w:rsidRDefault="00AD4B0B" w:rsidP="00FA422A">
      <w:pPr>
        <w:spacing w:before="120"/>
        <w:rPr>
          <w:rFonts w:cstheme="minorHAnsi"/>
          <w:sz w:val="20"/>
          <w:szCs w:val="20"/>
        </w:rPr>
      </w:pPr>
      <w:r w:rsidRPr="00FA422A">
        <w:rPr>
          <w:rFonts w:cstheme="minorHAnsi"/>
          <w:color w:val="212121"/>
          <w:sz w:val="20"/>
          <w:szCs w:val="20"/>
          <w:shd w:val="clear" w:color="auto" w:fill="FFFFFF"/>
        </w:rPr>
        <w:t xml:space="preserve">Morrison SD, Chen ML, Crane CN. </w:t>
      </w:r>
      <w:hyperlink r:id="rId35" w:history="1">
        <w:r w:rsidRPr="00FA422A">
          <w:rPr>
            <w:rStyle w:val="Hyperlink"/>
            <w:rFonts w:cstheme="minorHAnsi"/>
            <w:sz w:val="20"/>
            <w:szCs w:val="20"/>
          </w:rPr>
          <w:t>An overview of female-to-male gender-confirming surgery</w:t>
        </w:r>
      </w:hyperlink>
      <w:r w:rsidRPr="00FA422A">
        <w:rPr>
          <w:rFonts w:cstheme="minorHAnsi"/>
          <w:color w:val="212121"/>
          <w:sz w:val="20"/>
          <w:szCs w:val="20"/>
          <w:shd w:val="clear" w:color="auto" w:fill="FFFFFF"/>
        </w:rPr>
        <w:t>. </w:t>
      </w:r>
      <w:r w:rsidRPr="00FA422A">
        <w:rPr>
          <w:rFonts w:cstheme="minorHAnsi"/>
          <w:i/>
          <w:iCs/>
          <w:color w:val="212121"/>
          <w:sz w:val="20"/>
          <w:szCs w:val="20"/>
          <w:shd w:val="clear" w:color="auto" w:fill="FFFFFF"/>
        </w:rPr>
        <w:t>Nat Rev Urol</w:t>
      </w:r>
      <w:r w:rsidRPr="00FA422A">
        <w:rPr>
          <w:rFonts w:cstheme="minorHAnsi"/>
          <w:color w:val="212121"/>
          <w:sz w:val="20"/>
          <w:szCs w:val="20"/>
          <w:shd w:val="clear" w:color="auto" w:fill="FFFFFF"/>
        </w:rPr>
        <w:t>. 2017;14(8):486-500. doi:10.1038/nrurol.2017.64</w:t>
      </w:r>
    </w:p>
    <w:p w14:paraId="2E44DE33" w14:textId="77777777" w:rsidR="00AD4B0B" w:rsidRPr="00FA422A" w:rsidRDefault="00AD4B0B" w:rsidP="00FA422A">
      <w:pPr>
        <w:spacing w:before="120"/>
        <w:rPr>
          <w:rFonts w:cstheme="minorHAnsi"/>
          <w:sz w:val="20"/>
          <w:szCs w:val="20"/>
        </w:rPr>
      </w:pPr>
      <w:r w:rsidRPr="00FA422A">
        <w:rPr>
          <w:rFonts w:cstheme="minorHAnsi"/>
          <w:sz w:val="20"/>
          <w:szCs w:val="20"/>
        </w:rPr>
        <w:t>Pasternak K, Francis DO. An update on treatment of voice-gender incongruence by otolaryngologists and speech-language pathologists. </w:t>
      </w:r>
      <w:r w:rsidRPr="00FA422A">
        <w:rPr>
          <w:rFonts w:cstheme="minorHAnsi"/>
          <w:i/>
          <w:iCs/>
          <w:sz w:val="20"/>
          <w:szCs w:val="20"/>
        </w:rPr>
        <w:t xml:space="preserve">Curr </w:t>
      </w:r>
      <w:proofErr w:type="spellStart"/>
      <w:r w:rsidRPr="00FA422A">
        <w:rPr>
          <w:rFonts w:cstheme="minorHAnsi"/>
          <w:i/>
          <w:iCs/>
          <w:sz w:val="20"/>
          <w:szCs w:val="20"/>
        </w:rPr>
        <w:t>Opin</w:t>
      </w:r>
      <w:proofErr w:type="spellEnd"/>
      <w:r w:rsidRPr="00FA422A">
        <w:rPr>
          <w:rFonts w:cstheme="minorHAnsi"/>
          <w:i/>
          <w:iCs/>
          <w:sz w:val="20"/>
          <w:szCs w:val="20"/>
        </w:rPr>
        <w:t xml:space="preserve"> </w:t>
      </w:r>
      <w:proofErr w:type="spellStart"/>
      <w:r w:rsidRPr="00FA422A">
        <w:rPr>
          <w:rFonts w:cstheme="minorHAnsi"/>
          <w:i/>
          <w:iCs/>
          <w:sz w:val="20"/>
          <w:szCs w:val="20"/>
        </w:rPr>
        <w:t>Otolaryngol</w:t>
      </w:r>
      <w:proofErr w:type="spellEnd"/>
      <w:r w:rsidRPr="00FA422A">
        <w:rPr>
          <w:rFonts w:cstheme="minorHAnsi"/>
          <w:i/>
          <w:iCs/>
          <w:sz w:val="20"/>
          <w:szCs w:val="20"/>
        </w:rPr>
        <w:t xml:space="preserve"> Head Neck Surg</w:t>
      </w:r>
      <w:r w:rsidRPr="00FA422A">
        <w:rPr>
          <w:rFonts w:cstheme="minorHAnsi"/>
          <w:sz w:val="20"/>
          <w:szCs w:val="20"/>
        </w:rPr>
        <w:t>. 2019;27(6):475-481. doi:10.1097/MOO.0000000000000582</w:t>
      </w:r>
    </w:p>
    <w:p w14:paraId="59549132" w14:textId="77777777" w:rsidR="00AD4B0B" w:rsidRPr="00FA422A" w:rsidRDefault="00AD4B0B" w:rsidP="00FA422A">
      <w:pPr>
        <w:spacing w:before="120"/>
        <w:rPr>
          <w:sz w:val="20"/>
          <w:szCs w:val="20"/>
        </w:rPr>
      </w:pPr>
      <w:r w:rsidRPr="00FA422A">
        <w:rPr>
          <w:sz w:val="20"/>
          <w:szCs w:val="20"/>
        </w:rPr>
        <w:t xml:space="preserve">Seal LJ, </w:t>
      </w:r>
      <w:proofErr w:type="spellStart"/>
      <w:r w:rsidRPr="00FA422A">
        <w:rPr>
          <w:sz w:val="20"/>
          <w:szCs w:val="20"/>
        </w:rPr>
        <w:t>Granklin</w:t>
      </w:r>
      <w:proofErr w:type="spellEnd"/>
      <w:r w:rsidRPr="00FA422A">
        <w:rPr>
          <w:sz w:val="20"/>
          <w:szCs w:val="20"/>
        </w:rPr>
        <w:t xml:space="preserve"> S, Richards C, et al. </w:t>
      </w:r>
      <w:hyperlink r:id="rId36" w:history="1">
        <w:r w:rsidRPr="00FA422A">
          <w:rPr>
            <w:rStyle w:val="Hyperlink"/>
            <w:sz w:val="20"/>
            <w:szCs w:val="20"/>
          </w:rPr>
          <w:t>Predictive Markers for Mammoplasty and a Comparison of Side Effect Profiles in Transwomen Taking Various Hormonal Regimens</w:t>
        </w:r>
      </w:hyperlink>
      <w:r w:rsidRPr="00FA422A">
        <w:rPr>
          <w:sz w:val="20"/>
          <w:szCs w:val="20"/>
        </w:rPr>
        <w:t xml:space="preserve">. </w:t>
      </w:r>
      <w:r w:rsidRPr="00FA422A">
        <w:rPr>
          <w:rStyle w:val="Emphasis"/>
          <w:sz w:val="20"/>
          <w:szCs w:val="20"/>
        </w:rPr>
        <w:t xml:space="preserve">J Clin Endocrinol </w:t>
      </w:r>
      <w:proofErr w:type="spellStart"/>
      <w:r w:rsidRPr="00FA422A">
        <w:rPr>
          <w:rStyle w:val="Emphasis"/>
          <w:sz w:val="20"/>
          <w:szCs w:val="20"/>
        </w:rPr>
        <w:t>Metab</w:t>
      </w:r>
      <w:proofErr w:type="spellEnd"/>
      <w:r w:rsidRPr="00FA422A">
        <w:rPr>
          <w:rStyle w:val="Emphasis"/>
          <w:sz w:val="20"/>
          <w:szCs w:val="20"/>
        </w:rPr>
        <w:t>.</w:t>
      </w:r>
      <w:r w:rsidRPr="00FA422A">
        <w:rPr>
          <w:sz w:val="20"/>
          <w:szCs w:val="20"/>
        </w:rPr>
        <w:t xml:space="preserve"> 2012; 97(12): 4422-8.</w:t>
      </w:r>
    </w:p>
    <w:p w14:paraId="4830B33A" w14:textId="0C9F60E3" w:rsidR="00AD4B0B" w:rsidRPr="00FA422A" w:rsidRDefault="00AD4B0B" w:rsidP="00FA422A">
      <w:pPr>
        <w:spacing w:before="120"/>
        <w:rPr>
          <w:sz w:val="20"/>
          <w:szCs w:val="20"/>
        </w:rPr>
      </w:pPr>
      <w:proofErr w:type="spellStart"/>
      <w:r w:rsidRPr="00FA422A">
        <w:rPr>
          <w:rFonts w:cstheme="minorHAnsi"/>
          <w:color w:val="212121"/>
          <w:sz w:val="20"/>
          <w:szCs w:val="20"/>
          <w:shd w:val="clear" w:color="auto" w:fill="FFFFFF"/>
        </w:rPr>
        <w:t>Tangpricha</w:t>
      </w:r>
      <w:proofErr w:type="spellEnd"/>
      <w:r w:rsidRPr="00FA422A">
        <w:rPr>
          <w:rFonts w:cstheme="minorHAnsi"/>
          <w:color w:val="212121"/>
          <w:sz w:val="20"/>
          <w:szCs w:val="20"/>
          <w:shd w:val="clear" w:color="auto" w:fill="FFFFFF"/>
        </w:rPr>
        <w:t xml:space="preserve"> V, den </w:t>
      </w:r>
      <w:proofErr w:type="spellStart"/>
      <w:r w:rsidRPr="00FA422A">
        <w:rPr>
          <w:rFonts w:cstheme="minorHAnsi"/>
          <w:color w:val="212121"/>
          <w:sz w:val="20"/>
          <w:szCs w:val="20"/>
          <w:shd w:val="clear" w:color="auto" w:fill="FFFFFF"/>
        </w:rPr>
        <w:t>Heijer</w:t>
      </w:r>
      <w:proofErr w:type="spellEnd"/>
      <w:r w:rsidRPr="00FA422A">
        <w:rPr>
          <w:rFonts w:cstheme="minorHAnsi"/>
          <w:color w:val="212121"/>
          <w:sz w:val="20"/>
          <w:szCs w:val="20"/>
          <w:shd w:val="clear" w:color="auto" w:fill="FFFFFF"/>
        </w:rPr>
        <w:t xml:space="preserve"> M. </w:t>
      </w:r>
      <w:hyperlink r:id="rId37" w:history="1">
        <w:proofErr w:type="spellStart"/>
        <w:r w:rsidRPr="00FA422A">
          <w:rPr>
            <w:rStyle w:val="Hyperlink"/>
            <w:rFonts w:cstheme="minorHAnsi"/>
            <w:sz w:val="20"/>
            <w:szCs w:val="20"/>
          </w:rPr>
          <w:t>Oestrogen</w:t>
        </w:r>
        <w:proofErr w:type="spellEnd"/>
        <w:r w:rsidRPr="00FA422A">
          <w:rPr>
            <w:rStyle w:val="Hyperlink"/>
            <w:rFonts w:cstheme="minorHAnsi"/>
            <w:sz w:val="20"/>
            <w:szCs w:val="20"/>
          </w:rPr>
          <w:t xml:space="preserve"> and anti-androgen therapy for transgender women.</w:t>
        </w:r>
      </w:hyperlink>
      <w:r w:rsidRPr="00FA422A">
        <w:rPr>
          <w:rFonts w:cstheme="minorHAnsi"/>
          <w:color w:val="212121"/>
          <w:sz w:val="20"/>
          <w:szCs w:val="20"/>
          <w:shd w:val="clear" w:color="auto" w:fill="FFFFFF"/>
        </w:rPr>
        <w:t> </w:t>
      </w:r>
      <w:r w:rsidRPr="00FA422A">
        <w:rPr>
          <w:rFonts w:cstheme="minorHAnsi"/>
          <w:i/>
          <w:iCs/>
          <w:color w:val="212121"/>
          <w:sz w:val="20"/>
          <w:szCs w:val="20"/>
          <w:shd w:val="clear" w:color="auto" w:fill="FFFFFF"/>
        </w:rPr>
        <w:t>Lancet Diabetes Endocrinol</w:t>
      </w:r>
      <w:r w:rsidRPr="00FA422A">
        <w:rPr>
          <w:rFonts w:cstheme="minorHAnsi"/>
          <w:color w:val="212121"/>
          <w:sz w:val="20"/>
          <w:szCs w:val="20"/>
          <w:shd w:val="clear" w:color="auto" w:fill="FFFFFF"/>
        </w:rPr>
        <w:t>. 2017;5(4):291-300. doi:10.1016/S2213-8587(16)30319-9</w:t>
      </w:r>
    </w:p>
    <w:p w14:paraId="535162B5" w14:textId="503B3FCA" w:rsidR="00AD4B0B" w:rsidRPr="00FA422A" w:rsidRDefault="00000000" w:rsidP="00FA422A">
      <w:pPr>
        <w:spacing w:before="120"/>
        <w:rPr>
          <w:sz w:val="20"/>
          <w:szCs w:val="20"/>
        </w:rPr>
      </w:pPr>
      <w:hyperlink r:id="rId38" w:history="1">
        <w:r w:rsidR="00AD4B0B" w:rsidRPr="00B00AAF">
          <w:rPr>
            <w:rStyle w:val="Hyperlink"/>
            <w:sz w:val="20"/>
            <w:szCs w:val="20"/>
          </w:rPr>
          <w:t>The World Professional Association for Transgender Health (WPATH). Standards of Care for the Health of Transsexual, Transgender, and Gender-Nonconforming People</w:t>
        </w:r>
      </w:hyperlink>
      <w:r w:rsidR="00AD4B0B" w:rsidRPr="00FA422A">
        <w:rPr>
          <w:sz w:val="20"/>
          <w:szCs w:val="20"/>
        </w:rPr>
        <w:t xml:space="preserve">. </w:t>
      </w:r>
      <w:hyperlink r:id="rId39" w:history="1">
        <w:r w:rsidR="009F7C5A" w:rsidRPr="009F7C5A">
          <w:rPr>
            <w:rStyle w:val="Hyperlink"/>
            <w:sz w:val="20"/>
            <w:szCs w:val="20"/>
          </w:rPr>
          <w:t>8</w:t>
        </w:r>
        <w:r w:rsidR="00AD4B0B" w:rsidRPr="009F7C5A">
          <w:rPr>
            <w:rStyle w:val="Hyperlink"/>
            <w:sz w:val="20"/>
            <w:szCs w:val="20"/>
          </w:rPr>
          <w:t>th Version.</w:t>
        </w:r>
      </w:hyperlink>
      <w:r w:rsidR="00AD4B0B" w:rsidRPr="00FA422A">
        <w:rPr>
          <w:sz w:val="20"/>
          <w:szCs w:val="20"/>
        </w:rPr>
        <w:t xml:space="preserve"> </w:t>
      </w:r>
    </w:p>
    <w:p w14:paraId="565DACBC" w14:textId="0A936333" w:rsidR="00AD4B0B" w:rsidRPr="00FA422A" w:rsidRDefault="00AD4B0B" w:rsidP="00FA422A">
      <w:pPr>
        <w:spacing w:before="120"/>
        <w:rPr>
          <w:sz w:val="20"/>
          <w:szCs w:val="20"/>
        </w:rPr>
      </w:pPr>
      <w:proofErr w:type="spellStart"/>
      <w:r w:rsidRPr="00FA422A">
        <w:rPr>
          <w:rFonts w:cstheme="minorHAnsi"/>
          <w:color w:val="212121"/>
          <w:sz w:val="20"/>
          <w:szCs w:val="20"/>
          <w:shd w:val="clear" w:color="auto" w:fill="FFFFFF"/>
        </w:rPr>
        <w:t>T'Sjoen</w:t>
      </w:r>
      <w:proofErr w:type="spellEnd"/>
      <w:r w:rsidRPr="00FA422A">
        <w:rPr>
          <w:rFonts w:cstheme="minorHAnsi"/>
          <w:color w:val="212121"/>
          <w:sz w:val="20"/>
          <w:szCs w:val="20"/>
          <w:shd w:val="clear" w:color="auto" w:fill="FFFFFF"/>
        </w:rPr>
        <w:t xml:space="preserve"> G, </w:t>
      </w:r>
      <w:proofErr w:type="spellStart"/>
      <w:r w:rsidRPr="00FA422A">
        <w:rPr>
          <w:rFonts w:cstheme="minorHAnsi"/>
          <w:color w:val="212121"/>
          <w:sz w:val="20"/>
          <w:szCs w:val="20"/>
          <w:shd w:val="clear" w:color="auto" w:fill="FFFFFF"/>
        </w:rPr>
        <w:t>Arcelus</w:t>
      </w:r>
      <w:proofErr w:type="spellEnd"/>
      <w:r w:rsidRPr="00FA422A">
        <w:rPr>
          <w:rFonts w:cstheme="minorHAnsi"/>
          <w:color w:val="212121"/>
          <w:sz w:val="20"/>
          <w:szCs w:val="20"/>
          <w:shd w:val="clear" w:color="auto" w:fill="FFFFFF"/>
        </w:rPr>
        <w:t xml:space="preserve"> J, </w:t>
      </w:r>
      <w:proofErr w:type="spellStart"/>
      <w:r w:rsidRPr="00FA422A">
        <w:rPr>
          <w:rFonts w:cstheme="minorHAnsi"/>
          <w:color w:val="212121"/>
          <w:sz w:val="20"/>
          <w:szCs w:val="20"/>
          <w:shd w:val="clear" w:color="auto" w:fill="FFFFFF"/>
        </w:rPr>
        <w:t>Gooren</w:t>
      </w:r>
      <w:proofErr w:type="spellEnd"/>
      <w:r w:rsidRPr="00FA422A">
        <w:rPr>
          <w:rFonts w:cstheme="minorHAnsi"/>
          <w:color w:val="212121"/>
          <w:sz w:val="20"/>
          <w:szCs w:val="20"/>
          <w:shd w:val="clear" w:color="auto" w:fill="FFFFFF"/>
        </w:rPr>
        <w:t xml:space="preserve"> L, Klink DT, </w:t>
      </w:r>
      <w:proofErr w:type="spellStart"/>
      <w:r w:rsidRPr="00FA422A">
        <w:rPr>
          <w:rFonts w:cstheme="minorHAnsi"/>
          <w:color w:val="212121"/>
          <w:sz w:val="20"/>
          <w:szCs w:val="20"/>
          <w:shd w:val="clear" w:color="auto" w:fill="FFFFFF"/>
        </w:rPr>
        <w:t>Tangpricha</w:t>
      </w:r>
      <w:proofErr w:type="spellEnd"/>
      <w:r w:rsidRPr="00FA422A">
        <w:rPr>
          <w:rFonts w:cstheme="minorHAnsi"/>
          <w:color w:val="212121"/>
          <w:sz w:val="20"/>
          <w:szCs w:val="20"/>
          <w:shd w:val="clear" w:color="auto" w:fill="FFFFFF"/>
        </w:rPr>
        <w:t xml:space="preserve"> V. </w:t>
      </w:r>
      <w:hyperlink r:id="rId40" w:history="1">
        <w:r w:rsidRPr="00FA422A">
          <w:rPr>
            <w:rStyle w:val="Hyperlink"/>
            <w:rFonts w:cstheme="minorHAnsi"/>
            <w:sz w:val="20"/>
            <w:szCs w:val="20"/>
          </w:rPr>
          <w:t>Endocrinology of Transgender Medicine.</w:t>
        </w:r>
      </w:hyperlink>
      <w:r w:rsidRPr="00FA422A">
        <w:rPr>
          <w:rFonts w:cstheme="minorHAnsi"/>
          <w:color w:val="212121"/>
          <w:sz w:val="20"/>
          <w:szCs w:val="20"/>
          <w:shd w:val="clear" w:color="auto" w:fill="FFFFFF"/>
        </w:rPr>
        <w:t> </w:t>
      </w:r>
      <w:proofErr w:type="spellStart"/>
      <w:r w:rsidRPr="00FA422A">
        <w:rPr>
          <w:rFonts w:cstheme="minorHAnsi"/>
          <w:i/>
          <w:iCs/>
          <w:color w:val="212121"/>
          <w:sz w:val="20"/>
          <w:szCs w:val="20"/>
          <w:shd w:val="clear" w:color="auto" w:fill="FFFFFF"/>
        </w:rPr>
        <w:t>Endocr</w:t>
      </w:r>
      <w:proofErr w:type="spellEnd"/>
      <w:r w:rsidRPr="00FA422A">
        <w:rPr>
          <w:rFonts w:cstheme="minorHAnsi"/>
          <w:i/>
          <w:iCs/>
          <w:color w:val="212121"/>
          <w:sz w:val="20"/>
          <w:szCs w:val="20"/>
          <w:shd w:val="clear" w:color="auto" w:fill="FFFFFF"/>
        </w:rPr>
        <w:t xml:space="preserve"> Rev</w:t>
      </w:r>
      <w:r w:rsidRPr="00FA422A">
        <w:rPr>
          <w:rFonts w:cstheme="minorHAnsi"/>
          <w:color w:val="212121"/>
          <w:sz w:val="20"/>
          <w:szCs w:val="20"/>
          <w:shd w:val="clear" w:color="auto" w:fill="FFFFFF"/>
        </w:rPr>
        <w:t>. 2019;40(1):97-117. doi:10.1210/er.2018-00011</w:t>
      </w:r>
    </w:p>
    <w:p w14:paraId="5CD259F6" w14:textId="77777777" w:rsidR="00AD4B0B" w:rsidRPr="00FA422A" w:rsidRDefault="00AD4B0B" w:rsidP="00FA422A">
      <w:pPr>
        <w:spacing w:before="120"/>
        <w:rPr>
          <w:sz w:val="20"/>
          <w:szCs w:val="20"/>
        </w:rPr>
      </w:pPr>
      <w:proofErr w:type="spellStart"/>
      <w:r w:rsidRPr="00FA422A">
        <w:rPr>
          <w:sz w:val="20"/>
          <w:szCs w:val="20"/>
        </w:rPr>
        <w:t>Wierckx</w:t>
      </w:r>
      <w:proofErr w:type="spellEnd"/>
      <w:r w:rsidRPr="00FA422A">
        <w:rPr>
          <w:sz w:val="20"/>
          <w:szCs w:val="20"/>
        </w:rPr>
        <w:t xml:space="preserve"> K, </w:t>
      </w:r>
      <w:proofErr w:type="spellStart"/>
      <w:r w:rsidRPr="00FA422A">
        <w:rPr>
          <w:sz w:val="20"/>
          <w:szCs w:val="20"/>
        </w:rPr>
        <w:t>Gooren</w:t>
      </w:r>
      <w:proofErr w:type="spellEnd"/>
      <w:r w:rsidRPr="00FA422A">
        <w:rPr>
          <w:sz w:val="20"/>
          <w:szCs w:val="20"/>
        </w:rPr>
        <w:t xml:space="preserve"> L, </w:t>
      </w:r>
      <w:proofErr w:type="spellStart"/>
      <w:r w:rsidRPr="00FA422A">
        <w:rPr>
          <w:sz w:val="20"/>
          <w:szCs w:val="20"/>
        </w:rPr>
        <w:t>T’sjoen</w:t>
      </w:r>
      <w:proofErr w:type="spellEnd"/>
      <w:r w:rsidRPr="00FA422A">
        <w:rPr>
          <w:sz w:val="20"/>
          <w:szCs w:val="20"/>
        </w:rPr>
        <w:t xml:space="preserve"> G. </w:t>
      </w:r>
      <w:hyperlink r:id="rId41" w:history="1">
        <w:r w:rsidRPr="00FA422A">
          <w:rPr>
            <w:rStyle w:val="Hyperlink"/>
            <w:sz w:val="20"/>
            <w:szCs w:val="20"/>
          </w:rPr>
          <w:t>Clinical Review: Breast Development in Trans Women Receiving Cross-Sex Hormones</w:t>
        </w:r>
      </w:hyperlink>
      <w:r w:rsidRPr="00FA422A">
        <w:rPr>
          <w:sz w:val="20"/>
          <w:szCs w:val="20"/>
        </w:rPr>
        <w:t xml:space="preserve">. J Sex Med. 2014 Mar 12. </w:t>
      </w:r>
      <w:proofErr w:type="spellStart"/>
      <w:r w:rsidRPr="00FA422A">
        <w:rPr>
          <w:sz w:val="20"/>
          <w:szCs w:val="20"/>
        </w:rPr>
        <w:t>doi</w:t>
      </w:r>
      <w:proofErr w:type="spellEnd"/>
      <w:r w:rsidRPr="00FA422A">
        <w:rPr>
          <w:sz w:val="20"/>
          <w:szCs w:val="20"/>
        </w:rPr>
        <w:t>: 10.1111/jsm.12487.</w:t>
      </w:r>
    </w:p>
    <w:p w14:paraId="1842AB11" w14:textId="77777777" w:rsidR="00165A48" w:rsidRDefault="00165A48" w:rsidP="00EC6D36"/>
    <w:p w14:paraId="47527EB2" w14:textId="68AB8CBA" w:rsidR="00EC6D36" w:rsidRDefault="00EC6D36" w:rsidP="00EC6D36">
      <w:r>
        <w:t xml:space="preserve">These Guidelines are based on review of the medical literature and current practice in the treatment of gender dysphoria. MassHealth reserves the right to review and update the contents of these Guidelines and cited references as new clinical evidence and medical technology emerge. </w:t>
      </w:r>
    </w:p>
    <w:p w14:paraId="42D34DB4" w14:textId="22D1BF60" w:rsidR="00EC6D36" w:rsidRDefault="00EC6D36" w:rsidP="00EC6D36">
      <w:r>
        <w:t xml:space="preserve">This document was prepared for medical professionals to assist them in submitting documentation supporting the medical necessity of the proposed treatment, products, or services. Some language used in this communication may be unfamiliar to other readers; such readers are encouraged to contact their health care provider for guidance or explanation. </w:t>
      </w:r>
    </w:p>
    <w:p w14:paraId="5332A093" w14:textId="02D1970E" w:rsidR="006D212E" w:rsidRPr="006D212E" w:rsidRDefault="006D212E" w:rsidP="006D212E">
      <w:r w:rsidRPr="006D212E">
        <w:t xml:space="preserve">Policy Revision Effective Date: </w:t>
      </w:r>
      <w:r w:rsidR="00C7420B">
        <w:t>June 18, 2024</w:t>
      </w:r>
    </w:p>
    <w:p w14:paraId="590C5B50" w14:textId="7322BF46" w:rsidR="00F910BA" w:rsidRPr="008E596A" w:rsidRDefault="00F910BA" w:rsidP="00F910BA">
      <w:pPr>
        <w:tabs>
          <w:tab w:val="left" w:pos="3874"/>
          <w:tab w:val="right" w:leader="underscore" w:pos="7920"/>
          <w:tab w:val="left" w:pos="8100"/>
        </w:tabs>
        <w:spacing w:after="0"/>
        <w:ind w:left="4320" w:hanging="4320"/>
        <w:rPr>
          <w:rFonts w:ascii="Calibri" w:hAnsi="Calibri"/>
        </w:rPr>
      </w:pPr>
      <w:r>
        <w:rPr>
          <w:rFonts w:ascii="Calibri" w:hAnsi="Calibri"/>
        </w:rPr>
        <w:tab/>
      </w:r>
      <w:r>
        <w:rPr>
          <w:rFonts w:ascii="Calibri" w:hAnsi="Calibri"/>
        </w:rPr>
        <w:tab/>
      </w:r>
      <w:r w:rsidRPr="008E596A">
        <w:rPr>
          <w:rFonts w:ascii="Calibri" w:hAnsi="Calibri"/>
        </w:rPr>
        <w:t>Approved by:</w:t>
      </w:r>
      <w:r>
        <w:rPr>
          <w:rFonts w:ascii="Calibri" w:hAnsi="Calibri"/>
        </w:rPr>
        <w:t xml:space="preserve"> [Signature of Jatin Dave]</w:t>
      </w:r>
    </w:p>
    <w:p w14:paraId="4A17FF9A" w14:textId="77777777" w:rsidR="00F910BA" w:rsidRPr="008E596A" w:rsidRDefault="00F910BA" w:rsidP="00F910BA">
      <w:pPr>
        <w:tabs>
          <w:tab w:val="left" w:pos="3874"/>
          <w:tab w:val="right" w:leader="underscore" w:pos="7920"/>
          <w:tab w:val="left" w:pos="8100"/>
        </w:tabs>
        <w:spacing w:after="0"/>
        <w:ind w:left="4320" w:hanging="4320"/>
        <w:rPr>
          <w:rFonts w:ascii="Calibri" w:hAnsi="Calibri"/>
        </w:rPr>
      </w:pPr>
      <w:r>
        <w:rPr>
          <w:rFonts w:ascii="Calibri" w:hAnsi="Calibri"/>
        </w:rPr>
        <w:tab/>
      </w:r>
      <w:r>
        <w:rPr>
          <w:rFonts w:ascii="Calibri" w:hAnsi="Calibri"/>
        </w:rPr>
        <w:tab/>
      </w:r>
      <w:r w:rsidRPr="008E596A">
        <w:rPr>
          <w:rFonts w:ascii="Calibri" w:hAnsi="Calibri"/>
        </w:rPr>
        <w:t>Jatin K. Dave MD, MPH</w:t>
      </w:r>
    </w:p>
    <w:p w14:paraId="15B5943C" w14:textId="77777777" w:rsidR="00F910BA" w:rsidRPr="008E596A" w:rsidRDefault="00F910BA" w:rsidP="00F910BA">
      <w:pPr>
        <w:tabs>
          <w:tab w:val="left" w:pos="3874"/>
        </w:tabs>
        <w:spacing w:after="0"/>
      </w:pPr>
      <w:r>
        <w:rPr>
          <w:rFonts w:ascii="Calibri" w:eastAsia="SimSun" w:hAnsi="Calibri"/>
          <w:lang w:eastAsia="zh-CN"/>
        </w:rPr>
        <w:tab/>
      </w:r>
      <w:r>
        <w:rPr>
          <w:rFonts w:ascii="Calibri" w:eastAsia="SimSun" w:hAnsi="Calibri"/>
          <w:lang w:eastAsia="zh-CN"/>
        </w:rPr>
        <w:tab/>
      </w:r>
      <w:r w:rsidRPr="008E596A">
        <w:rPr>
          <w:rFonts w:ascii="Calibri" w:eastAsia="SimSun" w:hAnsi="Calibri"/>
          <w:lang w:eastAsia="zh-CN"/>
        </w:rPr>
        <w:t xml:space="preserve">Chief Medical Officer, MassHealth </w:t>
      </w:r>
    </w:p>
    <w:p w14:paraId="64447912" w14:textId="01A83C7B" w:rsidR="006D212E" w:rsidRPr="006D212E" w:rsidRDefault="006D212E" w:rsidP="006D212E"/>
    <w:p w14:paraId="361889C1" w14:textId="0A53F705" w:rsidR="561D4671" w:rsidRPr="0031764D" w:rsidRDefault="006D212E" w:rsidP="0031764D">
      <w:pPr>
        <w:rPr>
          <w:rFonts w:asciiTheme="majorHAnsi" w:eastAsiaTheme="majorEastAsia" w:hAnsiTheme="majorHAnsi" w:cstheme="majorBidi"/>
          <w:b/>
          <w:bCs/>
          <w:color w:val="365F91" w:themeColor="accent1" w:themeShade="BF"/>
          <w:sz w:val="28"/>
          <w:szCs w:val="28"/>
        </w:rPr>
      </w:pPr>
      <w:r w:rsidRPr="006D212E">
        <w:t xml:space="preserve">Policy Effective Date </w:t>
      </w:r>
      <w:r>
        <w:t>September 1, 2021</w:t>
      </w:r>
    </w:p>
    <w:sectPr w:rsidR="561D4671" w:rsidRPr="0031764D" w:rsidSect="008A2C33">
      <w:footerReference w:type="default" r:id="rId42"/>
      <w:footerReference w:type="first" r:id="rId4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A321A" w14:textId="77777777" w:rsidR="00F07355" w:rsidRDefault="00F07355" w:rsidP="005E63AE">
      <w:pPr>
        <w:spacing w:after="0" w:line="240" w:lineRule="auto"/>
      </w:pPr>
      <w:r>
        <w:separator/>
      </w:r>
    </w:p>
  </w:endnote>
  <w:endnote w:type="continuationSeparator" w:id="0">
    <w:p w14:paraId="1471BB0E" w14:textId="77777777" w:rsidR="00F07355" w:rsidRDefault="00F07355" w:rsidP="005E63AE">
      <w:pPr>
        <w:spacing w:after="0" w:line="240" w:lineRule="auto"/>
      </w:pPr>
      <w:r>
        <w:continuationSeparator/>
      </w:r>
    </w:p>
  </w:endnote>
  <w:endnote w:type="continuationNotice" w:id="1">
    <w:p w14:paraId="2B8430B8" w14:textId="77777777" w:rsidR="00F07355" w:rsidRDefault="00F073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22CB9" w14:textId="77777777" w:rsidR="005A1C36" w:rsidRDefault="005A1C36">
    <w:pPr>
      <w:pStyle w:val="Footer"/>
    </w:pPr>
    <w:r>
      <w:tab/>
      <w:t xml:space="preserve">Page </w:t>
    </w:r>
    <w:r>
      <w:fldChar w:fldCharType="begin"/>
    </w:r>
    <w:r>
      <w:instrText xml:space="preserve"> PAGE   \* MERGEFORMAT </w:instrText>
    </w:r>
    <w:r>
      <w:fldChar w:fldCharType="separate"/>
    </w:r>
    <w:r w:rsidR="005D79F4">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F0302" w14:textId="373D4FBA" w:rsidR="005A1C36" w:rsidRDefault="00B2766F">
    <w:pPr>
      <w:pStyle w:val="Footer"/>
    </w:pPr>
    <w:r>
      <w:rPr>
        <w:rFonts w:ascii="Tahoma" w:hAnsi="Tahoma" w:cs="Tahoma"/>
        <w:sz w:val="20"/>
      </w:rPr>
      <w:t>MNG-GAS-</w:t>
    </w:r>
    <w:r w:rsidR="006C2501">
      <w:rPr>
        <w:rFonts w:ascii="Tahoma" w:hAnsi="Tahoma" w:cs="Tahoma"/>
        <w:sz w:val="20"/>
      </w:rPr>
      <w:t>0</w:t>
    </w:r>
    <w:r w:rsidR="009D2D34">
      <w:rPr>
        <w:rFonts w:ascii="Tahoma" w:hAnsi="Tahoma" w:cs="Tahoma"/>
        <w:sz w:val="20"/>
      </w:rPr>
      <w:t>6</w:t>
    </w:r>
    <w:r w:rsidR="006C2501">
      <w:rPr>
        <w:rFonts w:ascii="Tahoma" w:hAnsi="Tahoma" w:cs="Tahoma"/>
        <w:sz w:val="20"/>
      </w:rPr>
      <w:t>24</w:t>
    </w:r>
    <w:r w:rsidR="005A1C36">
      <w:tab/>
      <w:t xml:space="preserve">Page </w:t>
    </w:r>
    <w:r w:rsidR="005A1C36">
      <w:fldChar w:fldCharType="begin"/>
    </w:r>
    <w:r w:rsidR="005A1C36">
      <w:instrText xml:space="preserve"> PAGE   \* MERGEFORMAT </w:instrText>
    </w:r>
    <w:r w:rsidR="005A1C36">
      <w:fldChar w:fldCharType="separate"/>
    </w:r>
    <w:r w:rsidR="005D79F4">
      <w:rPr>
        <w:noProof/>
      </w:rPr>
      <w:t>1</w:t>
    </w:r>
    <w:r w:rsidR="005A1C3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83A3B" w14:textId="77777777" w:rsidR="00F07355" w:rsidRDefault="00F07355" w:rsidP="005E63AE">
      <w:pPr>
        <w:spacing w:after="0" w:line="240" w:lineRule="auto"/>
      </w:pPr>
      <w:r>
        <w:separator/>
      </w:r>
    </w:p>
  </w:footnote>
  <w:footnote w:type="continuationSeparator" w:id="0">
    <w:p w14:paraId="73BFC8DF" w14:textId="77777777" w:rsidR="00F07355" w:rsidRDefault="00F07355" w:rsidP="005E63AE">
      <w:pPr>
        <w:spacing w:after="0" w:line="240" w:lineRule="auto"/>
      </w:pPr>
      <w:r>
        <w:continuationSeparator/>
      </w:r>
    </w:p>
  </w:footnote>
  <w:footnote w:type="continuationNotice" w:id="1">
    <w:p w14:paraId="0D66A0CD" w14:textId="77777777" w:rsidR="00F07355" w:rsidRDefault="00F07355">
      <w:pPr>
        <w:spacing w:after="0" w:line="240" w:lineRule="auto"/>
      </w:pPr>
    </w:p>
  </w:footnote>
  <w:footnote w:id="2">
    <w:p w14:paraId="6C0751AE" w14:textId="5EE802D9" w:rsidR="002F085A" w:rsidRDefault="002F085A">
      <w:pPr>
        <w:pStyle w:val="FootnoteText"/>
      </w:pPr>
      <w:r>
        <w:rPr>
          <w:rStyle w:val="FootnoteReference"/>
        </w:rPr>
        <w:footnoteRef/>
      </w:r>
      <w:r>
        <w:t xml:space="preserve"> Providers must either be licensed by the relevant licensing board to practice in the Commonwealth of Massachusetts or practicing under the supervision of such an independently licensed </w:t>
      </w:r>
      <w:r w:rsidR="00BC2164">
        <w:t>behavioral</w:t>
      </w:r>
      <w:r>
        <w:t xml:space="preserve"> health professional.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3E02"/>
    <w:multiLevelType w:val="hybridMultilevel"/>
    <w:tmpl w:val="BF32637E"/>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52FCC"/>
    <w:multiLevelType w:val="hybridMultilevel"/>
    <w:tmpl w:val="9EAE0D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06667B"/>
    <w:multiLevelType w:val="hybridMultilevel"/>
    <w:tmpl w:val="9B9ACC56"/>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B2CD6"/>
    <w:multiLevelType w:val="hybridMultilevel"/>
    <w:tmpl w:val="AEACA5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C93505"/>
    <w:multiLevelType w:val="hybridMultilevel"/>
    <w:tmpl w:val="FB64C4C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E87207"/>
    <w:multiLevelType w:val="hybridMultilevel"/>
    <w:tmpl w:val="A95248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6D56A4"/>
    <w:multiLevelType w:val="hybridMultilevel"/>
    <w:tmpl w:val="42BE03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662AA5"/>
    <w:multiLevelType w:val="hybridMultilevel"/>
    <w:tmpl w:val="A030D4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270F7D"/>
    <w:multiLevelType w:val="hybridMultilevel"/>
    <w:tmpl w:val="3E5E23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142CB"/>
    <w:multiLevelType w:val="hybridMultilevel"/>
    <w:tmpl w:val="515460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B5807D0"/>
    <w:multiLevelType w:val="hybridMultilevel"/>
    <w:tmpl w:val="B9C2E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B0EA5"/>
    <w:multiLevelType w:val="hybridMultilevel"/>
    <w:tmpl w:val="16D8D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FA5593"/>
    <w:multiLevelType w:val="hybridMultilevel"/>
    <w:tmpl w:val="6CA21FCA"/>
    <w:lvl w:ilvl="0" w:tplc="D1ECE7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CE2EC1"/>
    <w:multiLevelType w:val="hybridMultilevel"/>
    <w:tmpl w:val="99C49C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180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6F3D2C"/>
    <w:multiLevelType w:val="hybridMultilevel"/>
    <w:tmpl w:val="E6BC80A6"/>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82BC8"/>
    <w:multiLevelType w:val="hybridMultilevel"/>
    <w:tmpl w:val="BD6C66C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ACD7CFF"/>
    <w:multiLevelType w:val="hybridMultilevel"/>
    <w:tmpl w:val="0BE4AC6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C5413E9"/>
    <w:multiLevelType w:val="hybridMultilevel"/>
    <w:tmpl w:val="0A3A8E9E"/>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57CB7"/>
    <w:multiLevelType w:val="hybridMultilevel"/>
    <w:tmpl w:val="E95AAAC8"/>
    <w:lvl w:ilvl="0" w:tplc="04090015">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F">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B71F86"/>
    <w:multiLevelType w:val="hybridMultilevel"/>
    <w:tmpl w:val="DC3A2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FE16FA"/>
    <w:multiLevelType w:val="hybridMultilevel"/>
    <w:tmpl w:val="7242B7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B7645A9"/>
    <w:multiLevelType w:val="hybridMultilevel"/>
    <w:tmpl w:val="64E8A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40D51"/>
    <w:multiLevelType w:val="hybridMultilevel"/>
    <w:tmpl w:val="3528C0CE"/>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695D55"/>
    <w:multiLevelType w:val="hybridMultilevel"/>
    <w:tmpl w:val="96E8A8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602A61"/>
    <w:multiLevelType w:val="hybridMultilevel"/>
    <w:tmpl w:val="BA0607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180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817675"/>
    <w:multiLevelType w:val="hybridMultilevel"/>
    <w:tmpl w:val="68B8B1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5694630"/>
    <w:multiLevelType w:val="hybridMultilevel"/>
    <w:tmpl w:val="B7D4B482"/>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9F29BE"/>
    <w:multiLevelType w:val="hybridMultilevel"/>
    <w:tmpl w:val="53B24588"/>
    <w:lvl w:ilvl="0" w:tplc="D9065B9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F4619E0"/>
    <w:multiLevelType w:val="hybridMultilevel"/>
    <w:tmpl w:val="9D0AE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AF502B"/>
    <w:multiLevelType w:val="hybridMultilevel"/>
    <w:tmpl w:val="55867B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0" w15:restartNumberingAfterBreak="0">
    <w:nsid w:val="70C32737"/>
    <w:multiLevelType w:val="hybridMultilevel"/>
    <w:tmpl w:val="94CAA37E"/>
    <w:lvl w:ilvl="0" w:tplc="F970D34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232DD6"/>
    <w:multiLevelType w:val="hybridMultilevel"/>
    <w:tmpl w:val="453808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06543620">
    <w:abstractNumId w:val="12"/>
  </w:num>
  <w:num w:numId="2" w16cid:durableId="563223372">
    <w:abstractNumId w:val="11"/>
  </w:num>
  <w:num w:numId="3" w16cid:durableId="1377924534">
    <w:abstractNumId w:val="30"/>
  </w:num>
  <w:num w:numId="4" w16cid:durableId="2106149634">
    <w:abstractNumId w:val="6"/>
  </w:num>
  <w:num w:numId="5" w16cid:durableId="1278415054">
    <w:abstractNumId w:val="18"/>
  </w:num>
  <w:num w:numId="6" w16cid:durableId="453868877">
    <w:abstractNumId w:val="8"/>
  </w:num>
  <w:num w:numId="7" w16cid:durableId="647587211">
    <w:abstractNumId w:val="15"/>
  </w:num>
  <w:num w:numId="8" w16cid:durableId="2033729037">
    <w:abstractNumId w:val="23"/>
  </w:num>
  <w:num w:numId="9" w16cid:durableId="303047338">
    <w:abstractNumId w:val="19"/>
  </w:num>
  <w:num w:numId="10" w16cid:durableId="933126752">
    <w:abstractNumId w:val="0"/>
  </w:num>
  <w:num w:numId="11" w16cid:durableId="35280346">
    <w:abstractNumId w:val="5"/>
  </w:num>
  <w:num w:numId="12" w16cid:durableId="144132952">
    <w:abstractNumId w:val="14"/>
  </w:num>
  <w:num w:numId="13" w16cid:durableId="496532543">
    <w:abstractNumId w:val="2"/>
  </w:num>
  <w:num w:numId="14" w16cid:durableId="945581039">
    <w:abstractNumId w:val="10"/>
  </w:num>
  <w:num w:numId="15" w16cid:durableId="444539031">
    <w:abstractNumId w:val="20"/>
  </w:num>
  <w:num w:numId="16" w16cid:durableId="708724557">
    <w:abstractNumId w:val="28"/>
  </w:num>
  <w:num w:numId="17" w16cid:durableId="384646940">
    <w:abstractNumId w:val="17"/>
  </w:num>
  <w:num w:numId="18" w16cid:durableId="196937742">
    <w:abstractNumId w:val="27"/>
  </w:num>
  <w:num w:numId="19" w16cid:durableId="518082072">
    <w:abstractNumId w:val="22"/>
  </w:num>
  <w:num w:numId="20" w16cid:durableId="1219587706">
    <w:abstractNumId w:val="26"/>
  </w:num>
  <w:num w:numId="21" w16cid:durableId="1373381750">
    <w:abstractNumId w:val="29"/>
  </w:num>
  <w:num w:numId="22" w16cid:durableId="1504975099">
    <w:abstractNumId w:val="7"/>
  </w:num>
  <w:num w:numId="23" w16cid:durableId="1217934047">
    <w:abstractNumId w:val="4"/>
  </w:num>
  <w:num w:numId="24" w16cid:durableId="175313919">
    <w:abstractNumId w:val="3"/>
  </w:num>
  <w:num w:numId="25" w16cid:durableId="1783956980">
    <w:abstractNumId w:val="1"/>
  </w:num>
  <w:num w:numId="26" w16cid:durableId="897130697">
    <w:abstractNumId w:val="9"/>
  </w:num>
  <w:num w:numId="27" w16cid:durableId="1694376829">
    <w:abstractNumId w:val="31"/>
  </w:num>
  <w:num w:numId="28" w16cid:durableId="661465563">
    <w:abstractNumId w:val="25"/>
  </w:num>
  <w:num w:numId="29" w16cid:durableId="1800607303">
    <w:abstractNumId w:val="13"/>
  </w:num>
  <w:num w:numId="30" w16cid:durableId="161118178">
    <w:abstractNumId w:val="24"/>
  </w:num>
  <w:num w:numId="31" w16cid:durableId="168570113">
    <w:abstractNumId w:val="21"/>
  </w:num>
  <w:num w:numId="32" w16cid:durableId="5553607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D36"/>
    <w:rsid w:val="00011639"/>
    <w:rsid w:val="00021F6B"/>
    <w:rsid w:val="000250C0"/>
    <w:rsid w:val="00035749"/>
    <w:rsid w:val="00036770"/>
    <w:rsid w:val="00041A8C"/>
    <w:rsid w:val="00042030"/>
    <w:rsid w:val="00043148"/>
    <w:rsid w:val="00043167"/>
    <w:rsid w:val="0004537F"/>
    <w:rsid w:val="000465D7"/>
    <w:rsid w:val="00053F0F"/>
    <w:rsid w:val="00054755"/>
    <w:rsid w:val="00065EAC"/>
    <w:rsid w:val="00066CFF"/>
    <w:rsid w:val="000720B4"/>
    <w:rsid w:val="000723F3"/>
    <w:rsid w:val="00074318"/>
    <w:rsid w:val="00095EE5"/>
    <w:rsid w:val="000A07B6"/>
    <w:rsid w:val="000A1C5E"/>
    <w:rsid w:val="000A54E2"/>
    <w:rsid w:val="000A5DC5"/>
    <w:rsid w:val="000A66BD"/>
    <w:rsid w:val="000A6B26"/>
    <w:rsid w:val="000B1FFD"/>
    <w:rsid w:val="000C3F41"/>
    <w:rsid w:val="000E38DD"/>
    <w:rsid w:val="00101CC6"/>
    <w:rsid w:val="00107537"/>
    <w:rsid w:val="00111D43"/>
    <w:rsid w:val="0011642F"/>
    <w:rsid w:val="001213A8"/>
    <w:rsid w:val="00124D22"/>
    <w:rsid w:val="00127C29"/>
    <w:rsid w:val="00147AA9"/>
    <w:rsid w:val="00152448"/>
    <w:rsid w:val="00155285"/>
    <w:rsid w:val="0016462F"/>
    <w:rsid w:val="00165A48"/>
    <w:rsid w:val="00165C35"/>
    <w:rsid w:val="00167503"/>
    <w:rsid w:val="00173D6F"/>
    <w:rsid w:val="00185A3D"/>
    <w:rsid w:val="0019624B"/>
    <w:rsid w:val="001975AE"/>
    <w:rsid w:val="001A3F47"/>
    <w:rsid w:val="001A46DD"/>
    <w:rsid w:val="001B25D6"/>
    <w:rsid w:val="001B35C5"/>
    <w:rsid w:val="001B3FAF"/>
    <w:rsid w:val="001B5679"/>
    <w:rsid w:val="001C22E5"/>
    <w:rsid w:val="001C79F8"/>
    <w:rsid w:val="001D26AE"/>
    <w:rsid w:val="001D6778"/>
    <w:rsid w:val="001E1495"/>
    <w:rsid w:val="001E2CAA"/>
    <w:rsid w:val="001E4DB2"/>
    <w:rsid w:val="001F17F6"/>
    <w:rsid w:val="001F2C63"/>
    <w:rsid w:val="001F3378"/>
    <w:rsid w:val="001F3489"/>
    <w:rsid w:val="00202AEC"/>
    <w:rsid w:val="00205DE8"/>
    <w:rsid w:val="00221FC1"/>
    <w:rsid w:val="00226299"/>
    <w:rsid w:val="00235564"/>
    <w:rsid w:val="00236386"/>
    <w:rsid w:val="0023707D"/>
    <w:rsid w:val="00237C46"/>
    <w:rsid w:val="002401C6"/>
    <w:rsid w:val="00244768"/>
    <w:rsid w:val="00246D4A"/>
    <w:rsid w:val="002507E5"/>
    <w:rsid w:val="00251F0C"/>
    <w:rsid w:val="00262F70"/>
    <w:rsid w:val="00264ED9"/>
    <w:rsid w:val="00267B56"/>
    <w:rsid w:val="00272F43"/>
    <w:rsid w:val="00281949"/>
    <w:rsid w:val="00281AF9"/>
    <w:rsid w:val="00282915"/>
    <w:rsid w:val="002904A2"/>
    <w:rsid w:val="0029057C"/>
    <w:rsid w:val="002922E0"/>
    <w:rsid w:val="002A0FBB"/>
    <w:rsid w:val="002A10DE"/>
    <w:rsid w:val="002A572A"/>
    <w:rsid w:val="002A737E"/>
    <w:rsid w:val="002C0393"/>
    <w:rsid w:val="002C66B5"/>
    <w:rsid w:val="002D1213"/>
    <w:rsid w:val="002D338B"/>
    <w:rsid w:val="002D5619"/>
    <w:rsid w:val="002E19C9"/>
    <w:rsid w:val="002F07FE"/>
    <w:rsid w:val="002F085A"/>
    <w:rsid w:val="002F7BBA"/>
    <w:rsid w:val="00315009"/>
    <w:rsid w:val="00316E4D"/>
    <w:rsid w:val="0031764D"/>
    <w:rsid w:val="00322B58"/>
    <w:rsid w:val="00323411"/>
    <w:rsid w:val="003325E7"/>
    <w:rsid w:val="00335D33"/>
    <w:rsid w:val="003463D3"/>
    <w:rsid w:val="00346A6D"/>
    <w:rsid w:val="003529BA"/>
    <w:rsid w:val="00374547"/>
    <w:rsid w:val="0037456B"/>
    <w:rsid w:val="00382E02"/>
    <w:rsid w:val="00391CF9"/>
    <w:rsid w:val="003929BF"/>
    <w:rsid w:val="003936C1"/>
    <w:rsid w:val="0039708B"/>
    <w:rsid w:val="003A19D2"/>
    <w:rsid w:val="003C06FF"/>
    <w:rsid w:val="003C32FD"/>
    <w:rsid w:val="003E4113"/>
    <w:rsid w:val="003E7AAC"/>
    <w:rsid w:val="003F31BD"/>
    <w:rsid w:val="00400094"/>
    <w:rsid w:val="004030FD"/>
    <w:rsid w:val="00405B6D"/>
    <w:rsid w:val="00413121"/>
    <w:rsid w:val="00415635"/>
    <w:rsid w:val="00415886"/>
    <w:rsid w:val="00415E94"/>
    <w:rsid w:val="0042149E"/>
    <w:rsid w:val="00425629"/>
    <w:rsid w:val="00427630"/>
    <w:rsid w:val="00433B93"/>
    <w:rsid w:val="00434027"/>
    <w:rsid w:val="00436A10"/>
    <w:rsid w:val="00436B40"/>
    <w:rsid w:val="00441147"/>
    <w:rsid w:val="004529A8"/>
    <w:rsid w:val="00455B32"/>
    <w:rsid w:val="00472CCF"/>
    <w:rsid w:val="004741A6"/>
    <w:rsid w:val="00477173"/>
    <w:rsid w:val="00483004"/>
    <w:rsid w:val="00486ABE"/>
    <w:rsid w:val="004903E0"/>
    <w:rsid w:val="004A586A"/>
    <w:rsid w:val="004A5C5E"/>
    <w:rsid w:val="004A71AA"/>
    <w:rsid w:val="004B3072"/>
    <w:rsid w:val="004C307B"/>
    <w:rsid w:val="004C6C2F"/>
    <w:rsid w:val="004E6B27"/>
    <w:rsid w:val="004E708A"/>
    <w:rsid w:val="004F0CFF"/>
    <w:rsid w:val="005076C5"/>
    <w:rsid w:val="0052412D"/>
    <w:rsid w:val="00526398"/>
    <w:rsid w:val="00536815"/>
    <w:rsid w:val="005446BF"/>
    <w:rsid w:val="00550CDD"/>
    <w:rsid w:val="00552A1A"/>
    <w:rsid w:val="0055623C"/>
    <w:rsid w:val="00557D18"/>
    <w:rsid w:val="00573564"/>
    <w:rsid w:val="00574638"/>
    <w:rsid w:val="00575FF5"/>
    <w:rsid w:val="00581C25"/>
    <w:rsid w:val="00586A4B"/>
    <w:rsid w:val="00594D00"/>
    <w:rsid w:val="005A1C36"/>
    <w:rsid w:val="005A2334"/>
    <w:rsid w:val="005A4126"/>
    <w:rsid w:val="005A7D48"/>
    <w:rsid w:val="005B19CC"/>
    <w:rsid w:val="005B3642"/>
    <w:rsid w:val="005B4C3E"/>
    <w:rsid w:val="005B7175"/>
    <w:rsid w:val="005C3027"/>
    <w:rsid w:val="005C3079"/>
    <w:rsid w:val="005D116D"/>
    <w:rsid w:val="005D55A4"/>
    <w:rsid w:val="005D79F4"/>
    <w:rsid w:val="005E63AE"/>
    <w:rsid w:val="006021B4"/>
    <w:rsid w:val="00603512"/>
    <w:rsid w:val="00603E63"/>
    <w:rsid w:val="006201AB"/>
    <w:rsid w:val="00621C12"/>
    <w:rsid w:val="00621E78"/>
    <w:rsid w:val="0062489E"/>
    <w:rsid w:val="006308D6"/>
    <w:rsid w:val="00633477"/>
    <w:rsid w:val="006422D8"/>
    <w:rsid w:val="00675ACA"/>
    <w:rsid w:val="00675D4A"/>
    <w:rsid w:val="00676A3D"/>
    <w:rsid w:val="00680D4D"/>
    <w:rsid w:val="00684663"/>
    <w:rsid w:val="006859DA"/>
    <w:rsid w:val="0069256A"/>
    <w:rsid w:val="006B1115"/>
    <w:rsid w:val="006B3FE5"/>
    <w:rsid w:val="006B4B20"/>
    <w:rsid w:val="006B5A84"/>
    <w:rsid w:val="006C2501"/>
    <w:rsid w:val="006C2F8C"/>
    <w:rsid w:val="006C5BA5"/>
    <w:rsid w:val="006C739F"/>
    <w:rsid w:val="006D212E"/>
    <w:rsid w:val="006D3374"/>
    <w:rsid w:val="006D5BA8"/>
    <w:rsid w:val="006E3068"/>
    <w:rsid w:val="006E3C09"/>
    <w:rsid w:val="006F32BB"/>
    <w:rsid w:val="006F37CC"/>
    <w:rsid w:val="00712558"/>
    <w:rsid w:val="007264C9"/>
    <w:rsid w:val="00727515"/>
    <w:rsid w:val="00727B51"/>
    <w:rsid w:val="00733DE4"/>
    <w:rsid w:val="00735014"/>
    <w:rsid w:val="0074022A"/>
    <w:rsid w:val="00740EE3"/>
    <w:rsid w:val="00744728"/>
    <w:rsid w:val="00746275"/>
    <w:rsid w:val="007501EF"/>
    <w:rsid w:val="0075651E"/>
    <w:rsid w:val="00761C77"/>
    <w:rsid w:val="007900C4"/>
    <w:rsid w:val="0079273E"/>
    <w:rsid w:val="007A6D47"/>
    <w:rsid w:val="007B4355"/>
    <w:rsid w:val="007B47DE"/>
    <w:rsid w:val="007B5730"/>
    <w:rsid w:val="007B586C"/>
    <w:rsid w:val="007B77DE"/>
    <w:rsid w:val="007E11BD"/>
    <w:rsid w:val="007E1C4C"/>
    <w:rsid w:val="007E3CBD"/>
    <w:rsid w:val="007E43D1"/>
    <w:rsid w:val="007E49B2"/>
    <w:rsid w:val="007E56EC"/>
    <w:rsid w:val="007F5916"/>
    <w:rsid w:val="0080573B"/>
    <w:rsid w:val="008160E5"/>
    <w:rsid w:val="00816F11"/>
    <w:rsid w:val="008174F9"/>
    <w:rsid w:val="008307B7"/>
    <w:rsid w:val="00831306"/>
    <w:rsid w:val="00855CA6"/>
    <w:rsid w:val="00864889"/>
    <w:rsid w:val="00872480"/>
    <w:rsid w:val="008768C6"/>
    <w:rsid w:val="00880511"/>
    <w:rsid w:val="00887732"/>
    <w:rsid w:val="008953D8"/>
    <w:rsid w:val="008A2C33"/>
    <w:rsid w:val="008A59C3"/>
    <w:rsid w:val="008B69D9"/>
    <w:rsid w:val="008D0248"/>
    <w:rsid w:val="008D1FDD"/>
    <w:rsid w:val="008D2119"/>
    <w:rsid w:val="008D4B53"/>
    <w:rsid w:val="008D738B"/>
    <w:rsid w:val="008E2DE3"/>
    <w:rsid w:val="008F318A"/>
    <w:rsid w:val="009010FE"/>
    <w:rsid w:val="009020BD"/>
    <w:rsid w:val="00906368"/>
    <w:rsid w:val="00920A5A"/>
    <w:rsid w:val="00921488"/>
    <w:rsid w:val="00934D9B"/>
    <w:rsid w:val="00942DC8"/>
    <w:rsid w:val="00953D52"/>
    <w:rsid w:val="00953DFA"/>
    <w:rsid w:val="00954FA9"/>
    <w:rsid w:val="00960B4B"/>
    <w:rsid w:val="00965FB0"/>
    <w:rsid w:val="0097694A"/>
    <w:rsid w:val="00992D48"/>
    <w:rsid w:val="0099713B"/>
    <w:rsid w:val="009A07C0"/>
    <w:rsid w:val="009A0EB8"/>
    <w:rsid w:val="009A1D63"/>
    <w:rsid w:val="009B6FFD"/>
    <w:rsid w:val="009C1420"/>
    <w:rsid w:val="009D2D34"/>
    <w:rsid w:val="009D6EDE"/>
    <w:rsid w:val="009E26E1"/>
    <w:rsid w:val="009E4F11"/>
    <w:rsid w:val="009F7C5A"/>
    <w:rsid w:val="009F7DD2"/>
    <w:rsid w:val="00A00188"/>
    <w:rsid w:val="00A05A01"/>
    <w:rsid w:val="00A25582"/>
    <w:rsid w:val="00A4779B"/>
    <w:rsid w:val="00A50CA6"/>
    <w:rsid w:val="00A5761D"/>
    <w:rsid w:val="00A62B0A"/>
    <w:rsid w:val="00A66945"/>
    <w:rsid w:val="00A673D0"/>
    <w:rsid w:val="00A91430"/>
    <w:rsid w:val="00A91559"/>
    <w:rsid w:val="00A91C81"/>
    <w:rsid w:val="00AA0D3F"/>
    <w:rsid w:val="00AA4247"/>
    <w:rsid w:val="00AA7683"/>
    <w:rsid w:val="00AB4CCF"/>
    <w:rsid w:val="00AC7A3C"/>
    <w:rsid w:val="00AD4521"/>
    <w:rsid w:val="00AD4B0B"/>
    <w:rsid w:val="00AE24D5"/>
    <w:rsid w:val="00AE3944"/>
    <w:rsid w:val="00AF3129"/>
    <w:rsid w:val="00AF3CCF"/>
    <w:rsid w:val="00B00AAF"/>
    <w:rsid w:val="00B01774"/>
    <w:rsid w:val="00B172F7"/>
    <w:rsid w:val="00B2766F"/>
    <w:rsid w:val="00B34C6F"/>
    <w:rsid w:val="00B37AA2"/>
    <w:rsid w:val="00B41962"/>
    <w:rsid w:val="00B53307"/>
    <w:rsid w:val="00B57110"/>
    <w:rsid w:val="00B64349"/>
    <w:rsid w:val="00B715FC"/>
    <w:rsid w:val="00B77B2C"/>
    <w:rsid w:val="00B84B89"/>
    <w:rsid w:val="00B86087"/>
    <w:rsid w:val="00B9355A"/>
    <w:rsid w:val="00BA28B2"/>
    <w:rsid w:val="00BA71E6"/>
    <w:rsid w:val="00BB1645"/>
    <w:rsid w:val="00BB4DD1"/>
    <w:rsid w:val="00BB6A7B"/>
    <w:rsid w:val="00BC2164"/>
    <w:rsid w:val="00BD0CA9"/>
    <w:rsid w:val="00BD6D04"/>
    <w:rsid w:val="00BD7476"/>
    <w:rsid w:val="00C07B1B"/>
    <w:rsid w:val="00C1027C"/>
    <w:rsid w:val="00C215CF"/>
    <w:rsid w:val="00C22B9F"/>
    <w:rsid w:val="00C22C31"/>
    <w:rsid w:val="00C236D1"/>
    <w:rsid w:val="00C247B0"/>
    <w:rsid w:val="00C27EBA"/>
    <w:rsid w:val="00C31AD5"/>
    <w:rsid w:val="00C400BC"/>
    <w:rsid w:val="00C45F33"/>
    <w:rsid w:val="00C53522"/>
    <w:rsid w:val="00C62034"/>
    <w:rsid w:val="00C7420B"/>
    <w:rsid w:val="00C773EC"/>
    <w:rsid w:val="00C855FA"/>
    <w:rsid w:val="00CA15AF"/>
    <w:rsid w:val="00CD5331"/>
    <w:rsid w:val="00CD601C"/>
    <w:rsid w:val="00CE3EAB"/>
    <w:rsid w:val="00CF2FEF"/>
    <w:rsid w:val="00CF5791"/>
    <w:rsid w:val="00D0397D"/>
    <w:rsid w:val="00D13E6F"/>
    <w:rsid w:val="00D16DD7"/>
    <w:rsid w:val="00D23B99"/>
    <w:rsid w:val="00D45D14"/>
    <w:rsid w:val="00D54E9C"/>
    <w:rsid w:val="00D61118"/>
    <w:rsid w:val="00D65EAF"/>
    <w:rsid w:val="00D66DD8"/>
    <w:rsid w:val="00D717D6"/>
    <w:rsid w:val="00D71CFD"/>
    <w:rsid w:val="00D779AA"/>
    <w:rsid w:val="00D8080B"/>
    <w:rsid w:val="00D81AF3"/>
    <w:rsid w:val="00D83FD7"/>
    <w:rsid w:val="00D874FA"/>
    <w:rsid w:val="00D91FBE"/>
    <w:rsid w:val="00D95150"/>
    <w:rsid w:val="00DA4833"/>
    <w:rsid w:val="00DB02CF"/>
    <w:rsid w:val="00DB4EE6"/>
    <w:rsid w:val="00DC3E25"/>
    <w:rsid w:val="00DE6FA1"/>
    <w:rsid w:val="00DF769D"/>
    <w:rsid w:val="00E001FD"/>
    <w:rsid w:val="00E00CD9"/>
    <w:rsid w:val="00E072F1"/>
    <w:rsid w:val="00E1734A"/>
    <w:rsid w:val="00E1734D"/>
    <w:rsid w:val="00E178BD"/>
    <w:rsid w:val="00E20AB0"/>
    <w:rsid w:val="00E213A1"/>
    <w:rsid w:val="00E22B33"/>
    <w:rsid w:val="00E234AB"/>
    <w:rsid w:val="00E36110"/>
    <w:rsid w:val="00E4629B"/>
    <w:rsid w:val="00E46C55"/>
    <w:rsid w:val="00E50D14"/>
    <w:rsid w:val="00E51599"/>
    <w:rsid w:val="00E529EF"/>
    <w:rsid w:val="00E567F7"/>
    <w:rsid w:val="00E71F88"/>
    <w:rsid w:val="00E91B78"/>
    <w:rsid w:val="00EA2C5C"/>
    <w:rsid w:val="00EB7EB1"/>
    <w:rsid w:val="00EC5867"/>
    <w:rsid w:val="00EC6D36"/>
    <w:rsid w:val="00ED1C8C"/>
    <w:rsid w:val="00ED78DC"/>
    <w:rsid w:val="00EE03B4"/>
    <w:rsid w:val="00EE5D98"/>
    <w:rsid w:val="00EF783D"/>
    <w:rsid w:val="00F00533"/>
    <w:rsid w:val="00F07355"/>
    <w:rsid w:val="00F26967"/>
    <w:rsid w:val="00F32867"/>
    <w:rsid w:val="00F43EA5"/>
    <w:rsid w:val="00F47D55"/>
    <w:rsid w:val="00F517DB"/>
    <w:rsid w:val="00F5658E"/>
    <w:rsid w:val="00F62419"/>
    <w:rsid w:val="00F6380B"/>
    <w:rsid w:val="00F64016"/>
    <w:rsid w:val="00F67D28"/>
    <w:rsid w:val="00F7384C"/>
    <w:rsid w:val="00F80299"/>
    <w:rsid w:val="00F816B2"/>
    <w:rsid w:val="00F853AF"/>
    <w:rsid w:val="00F85CC4"/>
    <w:rsid w:val="00F910BA"/>
    <w:rsid w:val="00F94A14"/>
    <w:rsid w:val="00FA3863"/>
    <w:rsid w:val="00FA422A"/>
    <w:rsid w:val="00FA7F1D"/>
    <w:rsid w:val="00FC14F1"/>
    <w:rsid w:val="00FC1833"/>
    <w:rsid w:val="00FC20B8"/>
    <w:rsid w:val="00FD0B7E"/>
    <w:rsid w:val="00FD21B1"/>
    <w:rsid w:val="00FD4B6E"/>
    <w:rsid w:val="00FF1BF9"/>
    <w:rsid w:val="00FF3504"/>
    <w:rsid w:val="00FF422B"/>
    <w:rsid w:val="02854E99"/>
    <w:rsid w:val="03CE371E"/>
    <w:rsid w:val="0482B553"/>
    <w:rsid w:val="05404915"/>
    <w:rsid w:val="068A32E3"/>
    <w:rsid w:val="06950C70"/>
    <w:rsid w:val="0727A46D"/>
    <w:rsid w:val="072A2D7F"/>
    <w:rsid w:val="073FDC65"/>
    <w:rsid w:val="0848298E"/>
    <w:rsid w:val="0A60BBC9"/>
    <w:rsid w:val="0BED414E"/>
    <w:rsid w:val="0C35EE08"/>
    <w:rsid w:val="0C43D6F8"/>
    <w:rsid w:val="0CB0ABE4"/>
    <w:rsid w:val="0CE0D1D0"/>
    <w:rsid w:val="0DF39D01"/>
    <w:rsid w:val="0EA01E55"/>
    <w:rsid w:val="10A95B8B"/>
    <w:rsid w:val="12B11EC8"/>
    <w:rsid w:val="1321C080"/>
    <w:rsid w:val="13EC65AC"/>
    <w:rsid w:val="14B64DA3"/>
    <w:rsid w:val="151379CA"/>
    <w:rsid w:val="153AF8F8"/>
    <w:rsid w:val="15638DB3"/>
    <w:rsid w:val="15A63270"/>
    <w:rsid w:val="15BB365E"/>
    <w:rsid w:val="16C650D5"/>
    <w:rsid w:val="170BE078"/>
    <w:rsid w:val="179EF32D"/>
    <w:rsid w:val="1BC48B0F"/>
    <w:rsid w:val="1BF5A900"/>
    <w:rsid w:val="1CBA88C0"/>
    <w:rsid w:val="1E9755CD"/>
    <w:rsid w:val="1F566302"/>
    <w:rsid w:val="1F8E43A3"/>
    <w:rsid w:val="2079DBA7"/>
    <w:rsid w:val="2410ABC8"/>
    <w:rsid w:val="25AF9122"/>
    <w:rsid w:val="25C3D587"/>
    <w:rsid w:val="25D00E92"/>
    <w:rsid w:val="26E66AAA"/>
    <w:rsid w:val="27484C8A"/>
    <w:rsid w:val="27AB33B1"/>
    <w:rsid w:val="280CEA48"/>
    <w:rsid w:val="28E41CEB"/>
    <w:rsid w:val="29359641"/>
    <w:rsid w:val="298E56EB"/>
    <w:rsid w:val="2A19B7F5"/>
    <w:rsid w:val="2ADCDDA8"/>
    <w:rsid w:val="2BDE31D5"/>
    <w:rsid w:val="2C1BBDAD"/>
    <w:rsid w:val="2C964B33"/>
    <w:rsid w:val="2CA362A3"/>
    <w:rsid w:val="2D1B3642"/>
    <w:rsid w:val="2D5097BE"/>
    <w:rsid w:val="2D977F19"/>
    <w:rsid w:val="2DA84B75"/>
    <w:rsid w:val="2EEBC283"/>
    <w:rsid w:val="2F09A1CA"/>
    <w:rsid w:val="2FAA84B6"/>
    <w:rsid w:val="32066A51"/>
    <w:rsid w:val="32F06A34"/>
    <w:rsid w:val="336F746D"/>
    <w:rsid w:val="339CC02D"/>
    <w:rsid w:val="34A0A732"/>
    <w:rsid w:val="34EB9E7A"/>
    <w:rsid w:val="36049929"/>
    <w:rsid w:val="36111B1A"/>
    <w:rsid w:val="3755C471"/>
    <w:rsid w:val="3770FDA9"/>
    <w:rsid w:val="37EE46A7"/>
    <w:rsid w:val="38E27682"/>
    <w:rsid w:val="396CB6CE"/>
    <w:rsid w:val="39D39308"/>
    <w:rsid w:val="3AD34D50"/>
    <w:rsid w:val="3AFEE7AC"/>
    <w:rsid w:val="3B2C6209"/>
    <w:rsid w:val="3B4C36DE"/>
    <w:rsid w:val="3CECF160"/>
    <w:rsid w:val="3CF805F0"/>
    <w:rsid w:val="3D300E76"/>
    <w:rsid w:val="3DF2E9AC"/>
    <w:rsid w:val="3E88C1C1"/>
    <w:rsid w:val="3EFBEE7E"/>
    <w:rsid w:val="3F5D34F8"/>
    <w:rsid w:val="40A40BF9"/>
    <w:rsid w:val="4285F070"/>
    <w:rsid w:val="4335C62D"/>
    <w:rsid w:val="45668EEB"/>
    <w:rsid w:val="458D05D7"/>
    <w:rsid w:val="461F0577"/>
    <w:rsid w:val="46F6ECAB"/>
    <w:rsid w:val="484B09EE"/>
    <w:rsid w:val="48D78190"/>
    <w:rsid w:val="48E22EB1"/>
    <w:rsid w:val="492366FA"/>
    <w:rsid w:val="499D5135"/>
    <w:rsid w:val="49D4F6B6"/>
    <w:rsid w:val="4A6EBA1B"/>
    <w:rsid w:val="4B948357"/>
    <w:rsid w:val="4CEBB3D3"/>
    <w:rsid w:val="4E119E71"/>
    <w:rsid w:val="4E7A5C50"/>
    <w:rsid w:val="4F0B35E9"/>
    <w:rsid w:val="4FA146D0"/>
    <w:rsid w:val="50A98034"/>
    <w:rsid w:val="50D04622"/>
    <w:rsid w:val="516E1C55"/>
    <w:rsid w:val="51B2F535"/>
    <w:rsid w:val="52FC2B7F"/>
    <w:rsid w:val="535B32D4"/>
    <w:rsid w:val="53BFDB9E"/>
    <w:rsid w:val="5413E3EA"/>
    <w:rsid w:val="54D08B11"/>
    <w:rsid w:val="55B78ACA"/>
    <w:rsid w:val="55C2B58A"/>
    <w:rsid w:val="56032F57"/>
    <w:rsid w:val="561D4671"/>
    <w:rsid w:val="5736ED21"/>
    <w:rsid w:val="57B810B5"/>
    <w:rsid w:val="58D0A419"/>
    <w:rsid w:val="590ED873"/>
    <w:rsid w:val="598CD340"/>
    <w:rsid w:val="59E79F7F"/>
    <w:rsid w:val="5C0EB582"/>
    <w:rsid w:val="5C79190C"/>
    <w:rsid w:val="5D5C2143"/>
    <w:rsid w:val="5E0F3971"/>
    <w:rsid w:val="5E25FACF"/>
    <w:rsid w:val="5F24A0E1"/>
    <w:rsid w:val="5FAB09D2"/>
    <w:rsid w:val="5FD1AE01"/>
    <w:rsid w:val="602904F7"/>
    <w:rsid w:val="606155D7"/>
    <w:rsid w:val="618AAD20"/>
    <w:rsid w:val="629B6627"/>
    <w:rsid w:val="62A13756"/>
    <w:rsid w:val="62FEC057"/>
    <w:rsid w:val="633FC5DE"/>
    <w:rsid w:val="641B7AF8"/>
    <w:rsid w:val="643D07B7"/>
    <w:rsid w:val="64C9C25B"/>
    <w:rsid w:val="64DB963F"/>
    <w:rsid w:val="65679D07"/>
    <w:rsid w:val="657F8900"/>
    <w:rsid w:val="658F8B0B"/>
    <w:rsid w:val="65A8FC83"/>
    <w:rsid w:val="65B2015B"/>
    <w:rsid w:val="672FB46F"/>
    <w:rsid w:val="67616B0D"/>
    <w:rsid w:val="67B87078"/>
    <w:rsid w:val="67DAB0BA"/>
    <w:rsid w:val="6901FC8B"/>
    <w:rsid w:val="694CEACB"/>
    <w:rsid w:val="697726C1"/>
    <w:rsid w:val="69EB14AC"/>
    <w:rsid w:val="6A08DCE5"/>
    <w:rsid w:val="6A1F342F"/>
    <w:rsid w:val="6ADEB680"/>
    <w:rsid w:val="6B4906C3"/>
    <w:rsid w:val="6B4D70D5"/>
    <w:rsid w:val="6ED77682"/>
    <w:rsid w:val="6F350C8B"/>
    <w:rsid w:val="6FC400B2"/>
    <w:rsid w:val="7007B99B"/>
    <w:rsid w:val="717BACE1"/>
    <w:rsid w:val="71993635"/>
    <w:rsid w:val="729B31D9"/>
    <w:rsid w:val="737C8C18"/>
    <w:rsid w:val="73AE2627"/>
    <w:rsid w:val="73D1E46B"/>
    <w:rsid w:val="74AC5BA7"/>
    <w:rsid w:val="74B7AF95"/>
    <w:rsid w:val="7646A1F1"/>
    <w:rsid w:val="766FB2DB"/>
    <w:rsid w:val="76BEF5D8"/>
    <w:rsid w:val="7716B483"/>
    <w:rsid w:val="774AFDB3"/>
    <w:rsid w:val="77712D0A"/>
    <w:rsid w:val="783839C6"/>
    <w:rsid w:val="79616083"/>
    <w:rsid w:val="79D4C7D1"/>
    <w:rsid w:val="7AA8CDCC"/>
    <w:rsid w:val="7ACEE3BB"/>
    <w:rsid w:val="7AFCC7D0"/>
    <w:rsid w:val="7B4A6C42"/>
    <w:rsid w:val="7BB5EAF2"/>
    <w:rsid w:val="7C693300"/>
    <w:rsid w:val="7E346892"/>
    <w:rsid w:val="7EC16A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0DF1E"/>
  <w15:docId w15:val="{B0132EFC-309F-494E-86F6-64883EA8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18A"/>
  </w:style>
  <w:style w:type="paragraph" w:styleId="Heading1">
    <w:name w:val="heading 1"/>
    <w:basedOn w:val="Normal"/>
    <w:next w:val="Normal"/>
    <w:link w:val="Heading1Char"/>
    <w:uiPriority w:val="9"/>
    <w:qFormat/>
    <w:rsid w:val="008F318A"/>
    <w:pPr>
      <w:keepNext/>
      <w:keepLines/>
      <w:spacing w:before="480" w:after="0"/>
      <w:outlineLvl w:val="0"/>
    </w:pPr>
    <w:rPr>
      <w:rFonts w:asciiTheme="majorHAnsi" w:eastAsiaTheme="majorEastAsia" w:hAnsiTheme="majorHAnsi" w:cstheme="majorBidi"/>
      <w:color w:val="365F91" w:themeColor="accent1" w:themeShade="BF"/>
      <w:sz w:val="52"/>
      <w:szCs w:val="52"/>
    </w:rPr>
  </w:style>
  <w:style w:type="paragraph" w:styleId="Heading2">
    <w:name w:val="heading 2"/>
    <w:basedOn w:val="Normal"/>
    <w:next w:val="Normal"/>
    <w:link w:val="Heading2Char"/>
    <w:uiPriority w:val="9"/>
    <w:unhideWhenUsed/>
    <w:qFormat/>
    <w:rsid w:val="008953D8"/>
    <w:pPr>
      <w:keepNext/>
      <w:keepLines/>
      <w:spacing w:before="480" w:after="0"/>
      <w:outlineLvl w:val="1"/>
    </w:pPr>
    <w:rPr>
      <w:rFonts w:asciiTheme="majorHAnsi" w:eastAsiaTheme="majorEastAsia" w:hAnsiTheme="majorHAnsi" w:cstheme="majorBidi"/>
      <w:b/>
      <w:bCs/>
      <w:color w:val="1F497D" w:themeColor="text2"/>
      <w:sz w:val="28"/>
      <w:szCs w:val="28"/>
    </w:rPr>
  </w:style>
  <w:style w:type="paragraph" w:styleId="Heading3">
    <w:name w:val="heading 3"/>
    <w:basedOn w:val="Normal"/>
    <w:next w:val="Normal"/>
    <w:link w:val="Heading3Char"/>
    <w:uiPriority w:val="9"/>
    <w:unhideWhenUsed/>
    <w:qFormat/>
    <w:rsid w:val="008F318A"/>
    <w:pPr>
      <w:spacing w:line="240" w:lineRule="atLeast"/>
      <w:contextualSpacing/>
      <w:outlineLvl w:val="2"/>
    </w:pPr>
    <w:rPr>
      <w:rFonts w:asciiTheme="majorHAnsi" w:hAnsiTheme="majorHAnsi"/>
      <w:b/>
      <w:bCs/>
      <w:color w:val="1F497D" w:themeColor="text2"/>
      <w:sz w:val="26"/>
      <w:szCs w:val="26"/>
    </w:rPr>
  </w:style>
  <w:style w:type="paragraph" w:styleId="Heading4">
    <w:name w:val="heading 4"/>
    <w:basedOn w:val="Normal"/>
    <w:next w:val="Normal"/>
    <w:link w:val="Heading4Char"/>
    <w:uiPriority w:val="9"/>
    <w:unhideWhenUsed/>
    <w:qFormat/>
    <w:rsid w:val="00BB164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18A"/>
    <w:rPr>
      <w:rFonts w:asciiTheme="majorHAnsi" w:eastAsiaTheme="majorEastAsia" w:hAnsiTheme="majorHAnsi" w:cstheme="majorBidi"/>
      <w:color w:val="365F91" w:themeColor="accent1" w:themeShade="BF"/>
      <w:sz w:val="52"/>
      <w:szCs w:val="52"/>
    </w:rPr>
  </w:style>
  <w:style w:type="character" w:customStyle="1" w:styleId="Heading2Char">
    <w:name w:val="Heading 2 Char"/>
    <w:basedOn w:val="DefaultParagraphFont"/>
    <w:link w:val="Heading2"/>
    <w:uiPriority w:val="9"/>
    <w:rsid w:val="008953D8"/>
    <w:rPr>
      <w:rFonts w:asciiTheme="majorHAnsi" w:eastAsiaTheme="majorEastAsia" w:hAnsiTheme="majorHAnsi" w:cstheme="majorBidi"/>
      <w:b/>
      <w:bCs/>
      <w:color w:val="1F497D" w:themeColor="text2"/>
      <w:sz w:val="28"/>
      <w:szCs w:val="28"/>
    </w:rPr>
  </w:style>
  <w:style w:type="paragraph" w:styleId="Title">
    <w:name w:val="Title"/>
    <w:basedOn w:val="Normal"/>
    <w:next w:val="Normal"/>
    <w:link w:val="TitleChar"/>
    <w:uiPriority w:val="10"/>
    <w:qFormat/>
    <w:rsid w:val="00EC6D3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6D3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5E6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3AE"/>
  </w:style>
  <w:style w:type="paragraph" w:styleId="Footer">
    <w:name w:val="footer"/>
    <w:basedOn w:val="Normal"/>
    <w:link w:val="FooterChar"/>
    <w:uiPriority w:val="99"/>
    <w:unhideWhenUsed/>
    <w:rsid w:val="005E6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3AE"/>
  </w:style>
  <w:style w:type="character" w:styleId="Hyperlink">
    <w:name w:val="Hyperlink"/>
    <w:basedOn w:val="DefaultParagraphFont"/>
    <w:uiPriority w:val="99"/>
    <w:unhideWhenUsed/>
    <w:rsid w:val="001C79F8"/>
    <w:rPr>
      <w:color w:val="0000FF" w:themeColor="hyperlink"/>
      <w:u w:val="single"/>
    </w:rPr>
  </w:style>
  <w:style w:type="character" w:styleId="Emphasis">
    <w:name w:val="Emphasis"/>
    <w:basedOn w:val="DefaultParagraphFont"/>
    <w:uiPriority w:val="20"/>
    <w:qFormat/>
    <w:rsid w:val="001F3378"/>
    <w:rPr>
      <w:i/>
      <w:iCs/>
    </w:rPr>
  </w:style>
  <w:style w:type="character" w:styleId="Strong">
    <w:name w:val="Strong"/>
    <w:basedOn w:val="DefaultParagraphFont"/>
    <w:uiPriority w:val="22"/>
    <w:qFormat/>
    <w:rsid w:val="008953D8"/>
    <w:rPr>
      <w:rFonts w:asciiTheme="minorHAnsi" w:hAnsiTheme="minorHAnsi" w:cstheme="minorHAnsi"/>
      <w:color w:val="auto"/>
      <w:sz w:val="22"/>
      <w:szCs w:val="22"/>
    </w:rPr>
  </w:style>
  <w:style w:type="character" w:styleId="CommentReference">
    <w:name w:val="annotation reference"/>
    <w:basedOn w:val="DefaultParagraphFont"/>
    <w:uiPriority w:val="99"/>
    <w:semiHidden/>
    <w:unhideWhenUsed/>
    <w:rsid w:val="0080573B"/>
    <w:rPr>
      <w:sz w:val="16"/>
      <w:szCs w:val="16"/>
    </w:rPr>
  </w:style>
  <w:style w:type="paragraph" w:styleId="CommentText">
    <w:name w:val="annotation text"/>
    <w:basedOn w:val="Normal"/>
    <w:link w:val="CommentTextChar"/>
    <w:uiPriority w:val="99"/>
    <w:unhideWhenUsed/>
    <w:rsid w:val="0080573B"/>
    <w:pPr>
      <w:spacing w:line="240" w:lineRule="auto"/>
    </w:pPr>
    <w:rPr>
      <w:sz w:val="20"/>
      <w:szCs w:val="20"/>
    </w:rPr>
  </w:style>
  <w:style w:type="character" w:customStyle="1" w:styleId="CommentTextChar">
    <w:name w:val="Comment Text Char"/>
    <w:basedOn w:val="DefaultParagraphFont"/>
    <w:link w:val="CommentText"/>
    <w:uiPriority w:val="99"/>
    <w:rsid w:val="0080573B"/>
    <w:rPr>
      <w:sz w:val="20"/>
      <w:szCs w:val="20"/>
    </w:rPr>
  </w:style>
  <w:style w:type="paragraph" w:styleId="CommentSubject">
    <w:name w:val="annotation subject"/>
    <w:basedOn w:val="CommentText"/>
    <w:next w:val="CommentText"/>
    <w:link w:val="CommentSubjectChar"/>
    <w:uiPriority w:val="99"/>
    <w:semiHidden/>
    <w:unhideWhenUsed/>
    <w:rsid w:val="0080573B"/>
    <w:rPr>
      <w:b/>
      <w:bCs/>
    </w:rPr>
  </w:style>
  <w:style w:type="character" w:customStyle="1" w:styleId="CommentSubjectChar">
    <w:name w:val="Comment Subject Char"/>
    <w:basedOn w:val="CommentTextChar"/>
    <w:link w:val="CommentSubject"/>
    <w:uiPriority w:val="99"/>
    <w:semiHidden/>
    <w:rsid w:val="0080573B"/>
    <w:rPr>
      <w:b/>
      <w:bCs/>
      <w:sz w:val="20"/>
      <w:szCs w:val="20"/>
    </w:rPr>
  </w:style>
  <w:style w:type="paragraph" w:styleId="BalloonText">
    <w:name w:val="Balloon Text"/>
    <w:basedOn w:val="Normal"/>
    <w:link w:val="BalloonTextChar"/>
    <w:uiPriority w:val="99"/>
    <w:semiHidden/>
    <w:unhideWhenUsed/>
    <w:rsid w:val="00805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73B"/>
    <w:rPr>
      <w:rFonts w:ascii="Segoe UI" w:hAnsi="Segoe UI" w:cs="Segoe UI"/>
      <w:sz w:val="18"/>
      <w:szCs w:val="18"/>
    </w:rPr>
  </w:style>
  <w:style w:type="paragraph" w:styleId="ListParagraph">
    <w:name w:val="List Paragraph"/>
    <w:basedOn w:val="Normal"/>
    <w:uiPriority w:val="34"/>
    <w:qFormat/>
    <w:rsid w:val="00A5761D"/>
    <w:pPr>
      <w:ind w:left="720"/>
      <w:contextualSpacing/>
    </w:pPr>
  </w:style>
  <w:style w:type="character" w:styleId="FollowedHyperlink">
    <w:name w:val="FollowedHyperlink"/>
    <w:basedOn w:val="DefaultParagraphFont"/>
    <w:uiPriority w:val="99"/>
    <w:semiHidden/>
    <w:unhideWhenUsed/>
    <w:rsid w:val="00BB4DD1"/>
    <w:rPr>
      <w:color w:val="800080" w:themeColor="followedHyperlink"/>
      <w:u w:val="single"/>
    </w:rPr>
  </w:style>
  <w:style w:type="character" w:customStyle="1" w:styleId="UnresolvedMention1">
    <w:name w:val="Unresolved Mention1"/>
    <w:basedOn w:val="DefaultParagraphFont"/>
    <w:uiPriority w:val="99"/>
    <w:semiHidden/>
    <w:unhideWhenUsed/>
    <w:rsid w:val="00DC3E25"/>
    <w:rPr>
      <w:color w:val="605E5C"/>
      <w:shd w:val="clear" w:color="auto" w:fill="E1DFDD"/>
    </w:rPr>
  </w:style>
  <w:style w:type="character" w:customStyle="1" w:styleId="Heading3Char">
    <w:name w:val="Heading 3 Char"/>
    <w:basedOn w:val="DefaultParagraphFont"/>
    <w:link w:val="Heading3"/>
    <w:uiPriority w:val="9"/>
    <w:rsid w:val="008F318A"/>
    <w:rPr>
      <w:rFonts w:asciiTheme="majorHAnsi" w:hAnsiTheme="majorHAnsi"/>
      <w:b/>
      <w:bCs/>
      <w:color w:val="1F497D" w:themeColor="text2"/>
      <w:sz w:val="26"/>
      <w:szCs w:val="26"/>
    </w:rPr>
  </w:style>
  <w:style w:type="character" w:customStyle="1" w:styleId="Heading4Char">
    <w:name w:val="Heading 4 Char"/>
    <w:basedOn w:val="DefaultParagraphFont"/>
    <w:link w:val="Heading4"/>
    <w:uiPriority w:val="9"/>
    <w:rsid w:val="00BB1645"/>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7E11BD"/>
    <w:pPr>
      <w:spacing w:after="0" w:line="240" w:lineRule="auto"/>
    </w:pPr>
  </w:style>
  <w:style w:type="character" w:customStyle="1" w:styleId="UnresolvedMention2">
    <w:name w:val="Unresolved Mention2"/>
    <w:basedOn w:val="DefaultParagraphFont"/>
    <w:uiPriority w:val="99"/>
    <w:semiHidden/>
    <w:unhideWhenUsed/>
    <w:rsid w:val="00FF422B"/>
    <w:rPr>
      <w:color w:val="605E5C"/>
      <w:shd w:val="clear" w:color="auto" w:fill="E1DFDD"/>
    </w:rPr>
  </w:style>
  <w:style w:type="paragraph" w:styleId="FootnoteText">
    <w:name w:val="footnote text"/>
    <w:basedOn w:val="Normal"/>
    <w:link w:val="FootnoteTextChar"/>
    <w:uiPriority w:val="99"/>
    <w:semiHidden/>
    <w:unhideWhenUsed/>
    <w:rsid w:val="002F08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085A"/>
    <w:rPr>
      <w:sz w:val="20"/>
      <w:szCs w:val="20"/>
    </w:rPr>
  </w:style>
  <w:style w:type="character" w:styleId="FootnoteReference">
    <w:name w:val="footnote reference"/>
    <w:basedOn w:val="DefaultParagraphFont"/>
    <w:uiPriority w:val="99"/>
    <w:semiHidden/>
    <w:unhideWhenUsed/>
    <w:rsid w:val="002F085A"/>
    <w:rPr>
      <w:vertAlign w:val="superscript"/>
    </w:rPr>
  </w:style>
  <w:style w:type="character" w:styleId="SubtleEmphasis">
    <w:name w:val="Subtle Emphasis"/>
    <w:basedOn w:val="DefaultParagraphFont"/>
    <w:uiPriority w:val="19"/>
    <w:qFormat/>
    <w:rsid w:val="001E2CAA"/>
    <w:rPr>
      <w:i/>
      <w:iCs/>
      <w:color w:val="404040" w:themeColor="text1" w:themeTint="BF"/>
    </w:rPr>
  </w:style>
  <w:style w:type="character" w:styleId="UnresolvedMention">
    <w:name w:val="Unresolved Mention"/>
    <w:basedOn w:val="DefaultParagraphFont"/>
    <w:uiPriority w:val="99"/>
    <w:semiHidden/>
    <w:unhideWhenUsed/>
    <w:rsid w:val="00FA4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11340">
      <w:bodyDiv w:val="1"/>
      <w:marLeft w:val="0"/>
      <w:marRight w:val="0"/>
      <w:marTop w:val="0"/>
      <w:marBottom w:val="0"/>
      <w:divBdr>
        <w:top w:val="none" w:sz="0" w:space="0" w:color="auto"/>
        <w:left w:val="none" w:sz="0" w:space="0" w:color="auto"/>
        <w:bottom w:val="none" w:sz="0" w:space="0" w:color="auto"/>
        <w:right w:val="none" w:sz="0" w:space="0" w:color="auto"/>
      </w:divBdr>
    </w:div>
    <w:div w:id="403531531">
      <w:bodyDiv w:val="1"/>
      <w:marLeft w:val="0"/>
      <w:marRight w:val="0"/>
      <w:marTop w:val="0"/>
      <w:marBottom w:val="0"/>
      <w:divBdr>
        <w:top w:val="none" w:sz="0" w:space="0" w:color="auto"/>
        <w:left w:val="none" w:sz="0" w:space="0" w:color="auto"/>
        <w:bottom w:val="none" w:sz="0" w:space="0" w:color="auto"/>
        <w:right w:val="none" w:sz="0" w:space="0" w:color="auto"/>
      </w:divBdr>
    </w:div>
    <w:div w:id="736783748">
      <w:bodyDiv w:val="1"/>
      <w:marLeft w:val="0"/>
      <w:marRight w:val="0"/>
      <w:marTop w:val="0"/>
      <w:marBottom w:val="0"/>
      <w:divBdr>
        <w:top w:val="none" w:sz="0" w:space="0" w:color="auto"/>
        <w:left w:val="none" w:sz="0" w:space="0" w:color="auto"/>
        <w:bottom w:val="none" w:sz="0" w:space="0" w:color="auto"/>
        <w:right w:val="none" w:sz="0" w:space="0" w:color="auto"/>
      </w:divBdr>
    </w:div>
    <w:div w:id="1023751830">
      <w:bodyDiv w:val="1"/>
      <w:marLeft w:val="0"/>
      <w:marRight w:val="0"/>
      <w:marTop w:val="0"/>
      <w:marBottom w:val="0"/>
      <w:divBdr>
        <w:top w:val="none" w:sz="0" w:space="0" w:color="auto"/>
        <w:left w:val="none" w:sz="0" w:space="0" w:color="auto"/>
        <w:bottom w:val="none" w:sz="0" w:space="0" w:color="auto"/>
        <w:right w:val="none" w:sz="0" w:space="0" w:color="auto"/>
      </w:divBdr>
    </w:div>
    <w:div w:id="1905680037">
      <w:bodyDiv w:val="1"/>
      <w:marLeft w:val="0"/>
      <w:marRight w:val="0"/>
      <w:marTop w:val="0"/>
      <w:marBottom w:val="0"/>
      <w:divBdr>
        <w:top w:val="none" w:sz="0" w:space="0" w:color="auto"/>
        <w:left w:val="none" w:sz="0" w:space="0" w:color="auto"/>
        <w:bottom w:val="none" w:sz="0" w:space="0" w:color="auto"/>
        <w:right w:val="none" w:sz="0" w:space="0" w:color="auto"/>
      </w:divBdr>
    </w:div>
    <w:div w:id="202774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regulations/130-CMR-410000-outpatient-hospital-services" TargetMode="External"/><Relationship Id="rId18" Type="http://schemas.openxmlformats.org/officeDocument/2006/relationships/hyperlink" Target="https://www.mass.gov/regulations/130-CMR-433000-physician-services" TargetMode="External"/><Relationship Id="rId26" Type="http://schemas.openxmlformats.org/officeDocument/2006/relationships/hyperlink" Target="https://www.ncbi.nlm.nih.gov/pubmed/22736225" TargetMode="External"/><Relationship Id="rId39" Type="http://schemas.openxmlformats.org/officeDocument/2006/relationships/hyperlink" Target="https://www.wpath.org/soc8" TargetMode="External"/><Relationship Id="rId21" Type="http://schemas.openxmlformats.org/officeDocument/2006/relationships/hyperlink" Target="https://www.mass.gov/guides/masshealth-guidelines-for-medical-necessity-determination-for-hair-removal" TargetMode="External"/><Relationship Id="rId34" Type="http://schemas.openxmlformats.org/officeDocument/2006/relationships/hyperlink" Target="https://pubmed.ncbi.nlm.nih.gov/32459779/"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guides/physician-phy-manual" TargetMode="External"/><Relationship Id="rId29" Type="http://schemas.openxmlformats.org/officeDocument/2006/relationships/hyperlink" Target="https://academic.oup.com/jcem/article/102/11/3869/415755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regulations/130-CMR-415000-acute-inpatient-hospital-services" TargetMode="External"/><Relationship Id="rId24" Type="http://schemas.openxmlformats.org/officeDocument/2006/relationships/hyperlink" Target="https://www.mass.gov/doc/all-provider-bulletin-369-electronic-submission-of-prior-authorization-requests-corrected/download" TargetMode="External"/><Relationship Id="rId32" Type="http://schemas.openxmlformats.org/officeDocument/2006/relationships/hyperlink" Target="https://pubmed.ncbi.nlm.nih.gov/30528161/" TargetMode="External"/><Relationship Id="rId37" Type="http://schemas.openxmlformats.org/officeDocument/2006/relationships/hyperlink" Target="https://www.ncbi.nlm.nih.gov/pmc/articles/PMC5366074/" TargetMode="External"/><Relationship Id="rId40" Type="http://schemas.openxmlformats.org/officeDocument/2006/relationships/hyperlink" Target="https://pubmed.ncbi.nlm.nih.gov/30307546/"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doc/acute-outpatient-hospital-aoh-subchapter-6-0/download" TargetMode="External"/><Relationship Id="rId23" Type="http://schemas.openxmlformats.org/officeDocument/2006/relationships/hyperlink" Target="file:///\\ehs.govt.state.ma.us\DFS\EHS\Boston_600_Washington_St\File%20Services\Masshealthops\Publications\Joe%20Luca\joe's%20work%20folders\joe's%20work%20folders\new%20projects\www.mass.gov\lists\masshealth-provider-forms-used-by-multiple-provider-types" TargetMode="External"/><Relationship Id="rId28" Type="http://schemas.openxmlformats.org/officeDocument/2006/relationships/hyperlink" Target="https://pubmed.ncbi.nlm.nih.gov/30007346/" TargetMode="External"/><Relationship Id="rId36" Type="http://schemas.openxmlformats.org/officeDocument/2006/relationships/hyperlink" Target="https://www.ncbi.nlm.nih.gov/pubmed/23055547" TargetMode="External"/><Relationship Id="rId10" Type="http://schemas.openxmlformats.org/officeDocument/2006/relationships/endnotes" Target="endnotes.xml"/><Relationship Id="rId19" Type="http://schemas.openxmlformats.org/officeDocument/2006/relationships/hyperlink" Target="https://www.mass.gov/regulations/130-CMR-410000-outpatient-hospital-services" TargetMode="External"/><Relationship Id="rId31" Type="http://schemas.openxmlformats.org/officeDocument/2006/relationships/hyperlink" Target="https://transcare.ucsf.edu/guideline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regulations/130-CMR-450000-administrative-and-billing-regulations" TargetMode="External"/><Relationship Id="rId22" Type="http://schemas.openxmlformats.org/officeDocument/2006/relationships/hyperlink" Target="https://www.mass.gov/guides/masshealth-guidelines-for-medical-necessity-determination-for-excision-of-excessive-skin-and-subcutaneous-tissue" TargetMode="External"/><Relationship Id="rId27" Type="http://schemas.openxmlformats.org/officeDocument/2006/relationships/hyperlink" Target="https://pubmed.ncbi.nlm.nih.gov/28574859/" TargetMode="External"/><Relationship Id="rId30" Type="http://schemas.openxmlformats.org/officeDocument/2006/relationships/hyperlink" Target="https://pubmed.ncbi.nlm.nih.gov/27084565/" TargetMode="External"/><Relationship Id="rId35" Type="http://schemas.openxmlformats.org/officeDocument/2006/relationships/hyperlink" Target="https://pubmed.ncbi.nlm.nih.gov/28508877/"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ass.gov/regulations/130-CMR-433000-physician-services" TargetMode="External"/><Relationship Id="rId17" Type="http://schemas.openxmlformats.org/officeDocument/2006/relationships/hyperlink" Target="https://www.mass.gov/regulations/130-CMR-415000-acute-inpatient-hospital-services" TargetMode="External"/><Relationship Id="rId25" Type="http://schemas.openxmlformats.org/officeDocument/2006/relationships/hyperlink" Target="https://www.mass.gov/prior-authorization-for-masshealth-providers" TargetMode="External"/><Relationship Id="rId33" Type="http://schemas.openxmlformats.org/officeDocument/2006/relationships/hyperlink" Target="https://www.ncbi.nlm.nih.gov/pubmed/27219232" TargetMode="External"/><Relationship Id="rId38" Type="http://schemas.openxmlformats.org/officeDocument/2006/relationships/hyperlink" Target="https://www.tandfonline.com/doi/pdf/10.1080/26895269.2022.2100644" TargetMode="External"/><Relationship Id="rId20" Type="http://schemas.openxmlformats.org/officeDocument/2006/relationships/hyperlink" Target="https://www.mass.gov/regulations/130-CMR-450000-administrative-and-billing-regulations" TargetMode="External"/><Relationship Id="rId41" Type="http://schemas.openxmlformats.org/officeDocument/2006/relationships/hyperlink" Target="https://www.ncbi.nlm.nih.gov/pubmed/24618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4" ma:contentTypeDescription="Create a new document." ma:contentTypeScope="" ma:versionID="075100ff983271f799fb86594fce9c9a">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3d17056ec1fb28e6f9cf38489339d540"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8501fd-0dfa-42b5-a723-a0ee6a9bfe9b}"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99340-b9cf-4458-9368-33036c1b4dc9">
      <Terms xmlns="http://schemas.microsoft.com/office/infopath/2007/PartnerControls"/>
    </lcf76f155ced4ddcb4097134ff3c332f>
    <TaxCatchAll xmlns="a2187807-d16b-4f26-8c23-1ecdc31f3e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CA6AE1-AAC0-4EC8-A63C-FD953543C1A3}">
  <ds:schemaRefs>
    <ds:schemaRef ds:uri="http://schemas.openxmlformats.org/officeDocument/2006/bibliography"/>
  </ds:schemaRefs>
</ds:datastoreItem>
</file>

<file path=customXml/itemProps2.xml><?xml version="1.0" encoding="utf-8"?>
<ds:datastoreItem xmlns:ds="http://schemas.openxmlformats.org/officeDocument/2006/customXml" ds:itemID="{A38B2E1B-2FA4-4A1A-97C7-DA62EE9DC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D41B56-9005-4988-B81D-301AE9EC1325}">
  <ds:schemaRefs>
    <ds:schemaRef ds:uri="http://schemas.microsoft.com/office/2006/metadata/properties"/>
    <ds:schemaRef ds:uri="http://schemas.microsoft.com/office/infopath/2007/PartnerControls"/>
    <ds:schemaRef ds:uri="79499340-b9cf-4458-9368-33036c1b4dc9"/>
    <ds:schemaRef ds:uri="a2187807-d16b-4f26-8c23-1ecdc31f3e2b"/>
  </ds:schemaRefs>
</ds:datastoreItem>
</file>

<file path=customXml/itemProps4.xml><?xml version="1.0" encoding="utf-8"?>
<ds:datastoreItem xmlns:ds="http://schemas.openxmlformats.org/officeDocument/2006/customXml" ds:itemID="{927953D7-ACE7-4A24-B4AA-16913F96A9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Colella-Yantosca</dc:creator>
  <cp:keywords/>
  <cp:lastModifiedBy>Luca, Joseph (EHS)</cp:lastModifiedBy>
  <cp:revision>2</cp:revision>
  <dcterms:created xsi:type="dcterms:W3CDTF">2024-06-18T19:54:00Z</dcterms:created>
  <dcterms:modified xsi:type="dcterms:W3CDTF">2024-06-18T19:54:00Z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y fmtid="{D5CDD505-2E9C-101B-9397-08002B2CF9AE}" pid="3" name="MediaServiceImageTags">
    <vt:lpwstr/>
  </property>
</Properties>
</file>