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7C1" w:rsidRDefault="008627C1" w:rsidP="008627C1">
      <w:pPr>
        <w:spacing w:line="480" w:lineRule="auto"/>
        <w:jc w:val="center"/>
        <w:rPr>
          <w:rFonts w:ascii="Courier New" w:hAnsi="Courier New"/>
          <w:b/>
          <w:bCs/>
          <w:sz w:val="24"/>
        </w:rPr>
      </w:pPr>
      <w:r>
        <w:rPr>
          <w:rFonts w:ascii="Courier New" w:hAnsi="Courier New"/>
          <w:b/>
          <w:bCs/>
          <w:sz w:val="24"/>
        </w:rPr>
        <w:t>COMMONWEALTH OF MASSACHUSETTS</w:t>
      </w:r>
    </w:p>
    <w:p w:rsidR="008627C1" w:rsidRDefault="008627C1" w:rsidP="003A1299">
      <w:pPr>
        <w:spacing w:line="480" w:lineRule="auto"/>
        <w:jc w:val="center"/>
        <w:rPr>
          <w:rFonts w:ascii="Courier New" w:hAnsi="Courier New"/>
          <w:b/>
          <w:bCs/>
          <w:sz w:val="24"/>
        </w:rPr>
      </w:pPr>
      <w:r>
        <w:rPr>
          <w:rFonts w:ascii="Courier New" w:hAnsi="Courier New"/>
          <w:b/>
          <w:bCs/>
          <w:sz w:val="24"/>
        </w:rPr>
        <w:t>APPELLATE TAX BOARD</w:t>
      </w:r>
    </w:p>
    <w:p w:rsidR="003A1299" w:rsidRDefault="003A1299" w:rsidP="003A1299">
      <w:pPr>
        <w:jc w:val="center"/>
        <w:rPr>
          <w:rFonts w:ascii="Courier New" w:hAnsi="Courier New"/>
          <w:b/>
          <w:bCs/>
          <w:sz w:val="24"/>
        </w:rPr>
      </w:pPr>
    </w:p>
    <w:p w:rsidR="003A1299" w:rsidRDefault="003A1299" w:rsidP="003A1299">
      <w:pPr>
        <w:jc w:val="center"/>
        <w:rPr>
          <w:rFonts w:ascii="Courier New" w:hAnsi="Courier New"/>
          <w:b/>
          <w:bCs/>
          <w:sz w:val="24"/>
        </w:rPr>
      </w:pPr>
    </w:p>
    <w:p w:rsidR="008627C1" w:rsidRDefault="003A1299" w:rsidP="008627C1">
      <w:pPr>
        <w:spacing w:line="276" w:lineRule="auto"/>
        <w:rPr>
          <w:rFonts w:ascii="Courier New" w:hAnsi="Courier New"/>
          <w:b/>
          <w:bCs/>
          <w:sz w:val="24"/>
        </w:rPr>
      </w:pPr>
      <w:r>
        <w:rPr>
          <w:rFonts w:ascii="Courier New" w:hAnsi="Courier New"/>
          <w:b/>
          <w:bCs/>
          <w:sz w:val="24"/>
        </w:rPr>
        <w:t>GENENTECH, INC.</w:t>
      </w:r>
      <w:r>
        <w:rPr>
          <w:rFonts w:ascii="Courier New" w:hAnsi="Courier New"/>
          <w:b/>
          <w:bCs/>
          <w:sz w:val="24"/>
        </w:rPr>
        <w:tab/>
      </w:r>
      <w:r>
        <w:rPr>
          <w:rFonts w:ascii="Courier New" w:hAnsi="Courier New"/>
          <w:b/>
          <w:bCs/>
          <w:sz w:val="24"/>
        </w:rPr>
        <w:tab/>
        <w:t>    </w:t>
      </w:r>
      <w:r w:rsidR="008627C1">
        <w:rPr>
          <w:rFonts w:ascii="Courier New" w:hAnsi="Courier New"/>
          <w:b/>
          <w:bCs/>
          <w:sz w:val="24"/>
        </w:rPr>
        <w:t xml:space="preserve">v. </w:t>
      </w:r>
      <w:r w:rsidR="008627C1">
        <w:rPr>
          <w:rFonts w:ascii="Courier New" w:hAnsi="Courier New"/>
          <w:b/>
          <w:bCs/>
          <w:sz w:val="24"/>
        </w:rPr>
        <w:tab/>
      </w:r>
      <w:r w:rsidR="001B7825">
        <w:rPr>
          <w:rFonts w:ascii="Courier New" w:hAnsi="Courier New"/>
          <w:b/>
          <w:bCs/>
          <w:sz w:val="24"/>
        </w:rPr>
        <w:t> </w:t>
      </w:r>
      <w:r w:rsidR="008627C1">
        <w:rPr>
          <w:rFonts w:ascii="Courier New" w:hAnsi="Courier New"/>
          <w:b/>
          <w:bCs/>
          <w:sz w:val="24"/>
        </w:rPr>
        <w:t>COMMISSIONER OF REVENUE</w:t>
      </w:r>
    </w:p>
    <w:p w:rsidR="003A1299" w:rsidRDefault="003A1299" w:rsidP="008627C1">
      <w:pPr>
        <w:spacing w:line="276" w:lineRule="auto"/>
        <w:rPr>
          <w:rFonts w:ascii="Courier New" w:hAnsi="Courier New"/>
          <w:b/>
          <w:bCs/>
          <w:sz w:val="24"/>
        </w:rPr>
      </w:pPr>
    </w:p>
    <w:p w:rsidR="008627C1" w:rsidRDefault="008627C1" w:rsidP="008627C1">
      <w:pPr>
        <w:rPr>
          <w:rFonts w:ascii="Courier New" w:hAnsi="Courier New"/>
          <w:sz w:val="24"/>
        </w:rPr>
      </w:pPr>
    </w:p>
    <w:p w:rsidR="00143E8A" w:rsidRDefault="008627C1" w:rsidP="005B6F7A">
      <w:pPr>
        <w:rPr>
          <w:rFonts w:ascii="Courier New" w:hAnsi="Courier New"/>
          <w:sz w:val="24"/>
        </w:rPr>
      </w:pPr>
      <w:r>
        <w:rPr>
          <w:rFonts w:ascii="Courier New" w:hAnsi="Courier New"/>
          <w:sz w:val="24"/>
        </w:rPr>
        <w:t>Docket Nos.</w:t>
      </w:r>
      <w:r w:rsidR="00D4018F">
        <w:rPr>
          <w:rFonts w:ascii="Courier New" w:hAnsi="Courier New"/>
          <w:sz w:val="24"/>
        </w:rPr>
        <w:t>:</w:t>
      </w:r>
      <w:r w:rsidR="003A1299">
        <w:rPr>
          <w:rFonts w:ascii="Courier New" w:hAnsi="Courier New"/>
          <w:sz w:val="24"/>
        </w:rPr>
        <w:t> </w:t>
      </w:r>
      <w:r w:rsidR="001B7825">
        <w:rPr>
          <w:rFonts w:ascii="Courier New" w:hAnsi="Courier New"/>
          <w:sz w:val="24"/>
        </w:rPr>
        <w:t>C282905, C293424</w:t>
      </w:r>
      <w:r>
        <w:rPr>
          <w:rFonts w:ascii="Courier New" w:hAnsi="Courier New"/>
          <w:sz w:val="24"/>
        </w:rPr>
        <w:t>,</w:t>
      </w:r>
      <w:r>
        <w:rPr>
          <w:rFonts w:ascii="Courier New" w:hAnsi="Courier New"/>
          <w:sz w:val="24"/>
        </w:rPr>
        <w:tab/>
      </w:r>
    </w:p>
    <w:p w:rsidR="005B6F7A" w:rsidRDefault="005B6F7A" w:rsidP="005B6F7A">
      <w:pPr>
        <w:rPr>
          <w:rFonts w:ascii="Courier New" w:hAnsi="Courier New"/>
          <w:sz w:val="24"/>
        </w:rPr>
      </w:pPr>
      <w:r>
        <w:rPr>
          <w:rFonts w:ascii="Courier New" w:hAnsi="Courier New"/>
          <w:sz w:val="24"/>
        </w:rPr>
        <w:t>             C298502 &amp; C</w:t>
      </w:r>
      <w:r w:rsidR="001B7825">
        <w:rPr>
          <w:rFonts w:ascii="Courier New" w:hAnsi="Courier New"/>
          <w:sz w:val="24"/>
        </w:rPr>
        <w:t xml:space="preserve">298891 </w:t>
      </w:r>
      <w:r>
        <w:rPr>
          <w:rFonts w:ascii="Courier New" w:hAnsi="Courier New"/>
          <w:sz w:val="24"/>
        </w:rPr>
        <w:t>     Promulgated:</w:t>
      </w:r>
    </w:p>
    <w:p w:rsidR="00D4018F" w:rsidRDefault="005B6F7A" w:rsidP="008627C1">
      <w:pPr>
        <w:rPr>
          <w:rFonts w:ascii="Courier New" w:hAnsi="Courier New"/>
          <w:sz w:val="24"/>
        </w:rPr>
      </w:pPr>
      <w:r>
        <w:rPr>
          <w:rFonts w:ascii="Courier New" w:hAnsi="Courier New"/>
          <w:sz w:val="24"/>
        </w:rPr>
        <w:t>             </w:t>
      </w:r>
      <w:r w:rsidR="00143E8A">
        <w:rPr>
          <w:rFonts w:ascii="Courier New" w:hAnsi="Courier New"/>
          <w:sz w:val="24"/>
        </w:rPr>
        <w:t xml:space="preserve">                       November 17, </w:t>
      </w:r>
      <w:r>
        <w:rPr>
          <w:rFonts w:ascii="Courier New" w:hAnsi="Courier New"/>
          <w:sz w:val="24"/>
        </w:rPr>
        <w:t>2014</w:t>
      </w:r>
    </w:p>
    <w:p w:rsidR="00D4018F" w:rsidRDefault="00D4018F" w:rsidP="008627C1">
      <w:pPr>
        <w:rPr>
          <w:rFonts w:ascii="Courier New" w:hAnsi="Courier New"/>
          <w:sz w:val="24"/>
        </w:rPr>
      </w:pPr>
    </w:p>
    <w:p w:rsidR="008627C1" w:rsidRDefault="001B7825" w:rsidP="008627C1">
      <w:pPr>
        <w:rPr>
          <w:rFonts w:ascii="Courier New" w:hAnsi="Courier New"/>
          <w:sz w:val="24"/>
        </w:rPr>
      </w:pPr>
      <w:r>
        <w:rPr>
          <w:rFonts w:ascii="Courier New" w:hAnsi="Courier New"/>
          <w:sz w:val="24"/>
        </w:rPr>
        <w:t> </w:t>
      </w:r>
      <w:r w:rsidR="008627C1">
        <w:rPr>
          <w:rFonts w:ascii="Courier New" w:hAnsi="Courier New"/>
          <w:sz w:val="24"/>
        </w:rPr>
        <w:tab/>
      </w:r>
      <w:r w:rsidR="008627C1">
        <w:rPr>
          <w:rFonts w:ascii="Courier New" w:hAnsi="Courier New"/>
          <w:sz w:val="24"/>
        </w:rPr>
        <w:tab/>
      </w:r>
      <w:r w:rsidR="008627C1">
        <w:rPr>
          <w:rFonts w:ascii="Courier New" w:hAnsi="Courier New"/>
          <w:sz w:val="24"/>
        </w:rPr>
        <w:tab/>
        <w:t xml:space="preserve"> </w:t>
      </w:r>
      <w:r w:rsidR="008627C1">
        <w:rPr>
          <w:rFonts w:ascii="Courier New" w:hAnsi="Courier New"/>
          <w:sz w:val="24"/>
        </w:rPr>
        <w:tab/>
      </w:r>
      <w:r w:rsidR="008627C1">
        <w:rPr>
          <w:rFonts w:ascii="Courier New" w:hAnsi="Courier New"/>
          <w:sz w:val="24"/>
        </w:rPr>
        <w:tab/>
      </w:r>
      <w:r w:rsidR="008627C1">
        <w:rPr>
          <w:rFonts w:ascii="Courier New" w:hAnsi="Courier New"/>
          <w:sz w:val="24"/>
        </w:rPr>
        <w:tab/>
      </w:r>
    </w:p>
    <w:p w:rsidR="008627C1" w:rsidRDefault="008627C1" w:rsidP="001B7825">
      <w:r>
        <w:rPr>
          <w:rFonts w:ascii="Courier New" w:hAnsi="Courier New"/>
          <w:sz w:val="24"/>
        </w:rPr>
        <w:tab/>
      </w:r>
    </w:p>
    <w:p w:rsidR="008627C1" w:rsidRDefault="008627C1" w:rsidP="008627C1">
      <w:pPr>
        <w:pStyle w:val="BodyText"/>
      </w:pPr>
      <w:r>
        <w:tab/>
        <w:t xml:space="preserve">These are appeals filed under formal procedure pursuant to G.L. c. 62C, § 39 and G.L. c. 58A, § 7, from the refusal of the Commissioner of Revenue </w:t>
      </w:r>
      <w:r w:rsidRPr="001F466E">
        <w:t xml:space="preserve">to abate </w:t>
      </w:r>
      <w:r>
        <w:t>corporate excise</w:t>
      </w:r>
      <w:r w:rsidRPr="001F466E">
        <w:t xml:space="preserve"> for the </w:t>
      </w:r>
      <w:r>
        <w:t>tax years ended December 31, 1998 through December 31, 2004 (“periods at issue”).</w:t>
      </w:r>
      <w:r>
        <w:tab/>
      </w:r>
    </w:p>
    <w:p w:rsidR="008627C1" w:rsidRDefault="008627C1" w:rsidP="008627C1">
      <w:pPr>
        <w:pStyle w:val="BodyText"/>
        <w:ind w:firstLine="720"/>
      </w:pPr>
      <w:r>
        <w:t xml:space="preserve">Chairman Hammond heard the appellant’s motion for summary judgment and the appellee’s motion for partial summary judgment, as well </w:t>
      </w:r>
      <w:r w:rsidR="00425959">
        <w:t xml:space="preserve">as </w:t>
      </w:r>
      <w:r w:rsidR="00E74DDD">
        <w:t>an</w:t>
      </w:r>
      <w:r>
        <w:t xml:space="preserve"> issue not decided by summary judgment, and was joined in issuing Decisions for the appellee on her motion for partial summary judgment and </w:t>
      </w:r>
      <w:r w:rsidR="00425959">
        <w:t xml:space="preserve">the </w:t>
      </w:r>
      <w:r>
        <w:t>remaining issue in these appeals by Commissioners Scharaffa, Rose, Chmielinski, and Good.</w:t>
      </w:r>
    </w:p>
    <w:p w:rsidR="008627C1" w:rsidRDefault="008627C1" w:rsidP="008627C1">
      <w:pPr>
        <w:spacing w:line="480" w:lineRule="auto"/>
        <w:jc w:val="both"/>
        <w:rPr>
          <w:rFonts w:ascii="Courier New" w:hAnsi="Courier New" w:cs="Courier New"/>
          <w:sz w:val="24"/>
          <w:szCs w:val="24"/>
        </w:rPr>
      </w:pPr>
      <w:r w:rsidRPr="00591C89">
        <w:rPr>
          <w:rFonts w:ascii="Courier New" w:hAnsi="Courier New" w:cs="Courier New"/>
          <w:sz w:val="24"/>
          <w:szCs w:val="24"/>
        </w:rPr>
        <w:tab/>
        <w:t xml:space="preserve">These findings of fact and report are made at the request </w:t>
      </w:r>
      <w:r w:rsidRPr="00C46C70">
        <w:rPr>
          <w:rFonts w:ascii="Courier New" w:hAnsi="Courier New" w:cs="Courier New"/>
          <w:sz w:val="24"/>
          <w:szCs w:val="24"/>
        </w:rPr>
        <w:t xml:space="preserve">of </w:t>
      </w:r>
      <w:r>
        <w:rPr>
          <w:rFonts w:ascii="Courier New" w:hAnsi="Courier New" w:cs="Courier New"/>
          <w:sz w:val="24"/>
          <w:szCs w:val="24"/>
        </w:rPr>
        <w:t xml:space="preserve">both </w:t>
      </w:r>
      <w:r w:rsidRPr="00C46C70">
        <w:rPr>
          <w:rFonts w:ascii="Courier New" w:hAnsi="Courier New" w:cs="Courier New"/>
          <w:sz w:val="24"/>
          <w:szCs w:val="24"/>
        </w:rPr>
        <w:t xml:space="preserve">the </w:t>
      </w:r>
      <w:r>
        <w:rPr>
          <w:rFonts w:ascii="Courier New" w:hAnsi="Courier New" w:cs="Courier New"/>
          <w:sz w:val="24"/>
          <w:szCs w:val="24"/>
        </w:rPr>
        <w:t xml:space="preserve">appellee and </w:t>
      </w:r>
      <w:r w:rsidRPr="00CB5A2C">
        <w:rPr>
          <w:rFonts w:ascii="Courier New" w:hAnsi="Courier New" w:cs="Courier New"/>
          <w:sz w:val="24"/>
          <w:szCs w:val="24"/>
        </w:rPr>
        <w:t>appellant</w:t>
      </w:r>
      <w:r w:rsidRPr="00591C89">
        <w:rPr>
          <w:rFonts w:ascii="Courier New" w:hAnsi="Courier New" w:cs="Courier New"/>
          <w:sz w:val="24"/>
          <w:szCs w:val="24"/>
        </w:rPr>
        <w:t xml:space="preserve"> pursuant to </w:t>
      </w:r>
      <w:r>
        <w:rPr>
          <w:rFonts w:ascii="Courier New" w:hAnsi="Courier New" w:cs="Courier New"/>
          <w:sz w:val="24"/>
          <w:szCs w:val="24"/>
        </w:rPr>
        <w:t xml:space="preserve"> </w:t>
      </w:r>
      <w:r w:rsidRPr="00591C89">
        <w:rPr>
          <w:rFonts w:ascii="Courier New" w:hAnsi="Courier New" w:cs="Courier New"/>
          <w:sz w:val="24"/>
          <w:szCs w:val="24"/>
        </w:rPr>
        <w:t>G.L. c. 58A, § 13 and 831 CMR 1.3</w:t>
      </w:r>
      <w:r>
        <w:rPr>
          <w:rFonts w:ascii="Courier New" w:hAnsi="Courier New" w:cs="Courier New"/>
          <w:sz w:val="24"/>
          <w:szCs w:val="24"/>
        </w:rPr>
        <w:t>2.</w:t>
      </w:r>
    </w:p>
    <w:p w:rsidR="008627C1" w:rsidRDefault="008627C1" w:rsidP="008627C1">
      <w:pPr>
        <w:spacing w:line="480" w:lineRule="auto"/>
        <w:jc w:val="both"/>
        <w:rPr>
          <w:rFonts w:ascii="Courier New" w:hAnsi="Courier New" w:cs="Courier New"/>
          <w:sz w:val="24"/>
          <w:szCs w:val="24"/>
        </w:rPr>
      </w:pPr>
    </w:p>
    <w:p w:rsidR="008627C1" w:rsidRDefault="008627C1" w:rsidP="008627C1">
      <w:pPr>
        <w:jc w:val="both"/>
        <w:rPr>
          <w:rFonts w:ascii="Courier New" w:hAnsi="Courier New" w:cs="Courier New"/>
          <w:sz w:val="24"/>
          <w:szCs w:val="24"/>
        </w:rPr>
      </w:pPr>
      <w:r>
        <w:rPr>
          <w:rFonts w:ascii="Courier New" w:hAnsi="Courier New" w:cs="Courier New"/>
          <w:sz w:val="24"/>
          <w:szCs w:val="24"/>
        </w:rPr>
        <w:lastRenderedPageBreak/>
        <w:tab/>
      </w:r>
      <w:r>
        <w:rPr>
          <w:rFonts w:ascii="Courier New" w:hAnsi="Courier New" w:cs="Courier New"/>
          <w:i/>
          <w:sz w:val="24"/>
          <w:szCs w:val="24"/>
        </w:rPr>
        <w:t>Charles J. Moll III</w:t>
      </w:r>
      <w:r>
        <w:rPr>
          <w:rFonts w:ascii="Courier New" w:hAnsi="Courier New" w:cs="Courier New"/>
          <w:sz w:val="24"/>
          <w:szCs w:val="24"/>
        </w:rPr>
        <w:t xml:space="preserve">, Esq., </w:t>
      </w:r>
      <w:r>
        <w:rPr>
          <w:rFonts w:ascii="Courier New" w:hAnsi="Courier New" w:cs="Courier New"/>
          <w:i/>
          <w:sz w:val="24"/>
          <w:szCs w:val="24"/>
        </w:rPr>
        <w:t>Alan V. Lindquist</w:t>
      </w:r>
      <w:r>
        <w:rPr>
          <w:rFonts w:ascii="Courier New" w:hAnsi="Courier New" w:cs="Courier New"/>
          <w:sz w:val="24"/>
          <w:szCs w:val="24"/>
        </w:rPr>
        <w:t>, Esq.</w:t>
      </w:r>
      <w:r w:rsidR="00E74DDD">
        <w:rPr>
          <w:rFonts w:ascii="Courier New" w:hAnsi="Courier New" w:cs="Courier New"/>
          <w:sz w:val="24"/>
          <w:szCs w:val="24"/>
        </w:rPr>
        <w:t>,</w:t>
      </w:r>
      <w:r w:rsidR="00E74DDD" w:rsidRPr="00E74DDD">
        <w:rPr>
          <w:rFonts w:ascii="Courier New" w:hAnsi="Courier New" w:cs="Courier New"/>
          <w:i/>
          <w:sz w:val="24"/>
          <w:szCs w:val="24"/>
        </w:rPr>
        <w:t xml:space="preserve"> </w:t>
      </w:r>
      <w:r w:rsidR="00E74DDD" w:rsidRPr="005B0E7A">
        <w:rPr>
          <w:rFonts w:ascii="Courier New" w:hAnsi="Courier New" w:cs="Courier New"/>
          <w:i/>
          <w:sz w:val="24"/>
          <w:szCs w:val="24"/>
        </w:rPr>
        <w:t xml:space="preserve">Philip S. Olsen, Esq., and Jennifer B. Green, Esq. </w:t>
      </w:r>
      <w:r>
        <w:rPr>
          <w:rFonts w:ascii="Courier New" w:hAnsi="Courier New" w:cs="Courier New"/>
          <w:sz w:val="24"/>
          <w:szCs w:val="24"/>
        </w:rPr>
        <w:t>for the appellant.</w:t>
      </w:r>
    </w:p>
    <w:p w:rsidR="008627C1" w:rsidRDefault="008627C1" w:rsidP="008627C1">
      <w:pPr>
        <w:jc w:val="both"/>
        <w:rPr>
          <w:rFonts w:ascii="Courier New" w:hAnsi="Courier New" w:cs="Courier New"/>
          <w:sz w:val="24"/>
          <w:szCs w:val="24"/>
        </w:rPr>
      </w:pPr>
    </w:p>
    <w:p w:rsidR="008627C1" w:rsidRDefault="008627C1" w:rsidP="008627C1">
      <w:pPr>
        <w:spacing w:line="276" w:lineRule="auto"/>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i/>
          <w:sz w:val="24"/>
          <w:szCs w:val="24"/>
        </w:rPr>
        <w:t xml:space="preserve">Brett M. Goldberg, </w:t>
      </w:r>
      <w:r>
        <w:rPr>
          <w:rFonts w:ascii="Courier New" w:hAnsi="Courier New" w:cs="Courier New"/>
          <w:sz w:val="24"/>
          <w:szCs w:val="24"/>
        </w:rPr>
        <w:t xml:space="preserve">Esq. and </w:t>
      </w:r>
      <w:r>
        <w:rPr>
          <w:rFonts w:ascii="Courier New" w:hAnsi="Courier New" w:cs="Courier New"/>
          <w:i/>
          <w:sz w:val="24"/>
          <w:szCs w:val="24"/>
        </w:rPr>
        <w:t xml:space="preserve">Matthew F. Cammarata, </w:t>
      </w:r>
      <w:r>
        <w:rPr>
          <w:rFonts w:ascii="Courier New" w:hAnsi="Courier New" w:cs="Courier New"/>
          <w:sz w:val="24"/>
          <w:szCs w:val="24"/>
        </w:rPr>
        <w:t>Esq. for the appellee.</w:t>
      </w:r>
    </w:p>
    <w:p w:rsidR="008627C1" w:rsidRDefault="008627C1" w:rsidP="008627C1">
      <w:pPr>
        <w:spacing w:line="276" w:lineRule="auto"/>
        <w:jc w:val="both"/>
        <w:rPr>
          <w:rFonts w:ascii="Courier New" w:hAnsi="Courier New" w:cs="Courier New"/>
          <w:sz w:val="24"/>
          <w:szCs w:val="24"/>
        </w:rPr>
      </w:pPr>
    </w:p>
    <w:p w:rsidR="008627C1" w:rsidRDefault="008627C1" w:rsidP="008627C1">
      <w:pPr>
        <w:spacing w:line="360" w:lineRule="auto"/>
        <w:jc w:val="center"/>
        <w:rPr>
          <w:rFonts w:ascii="Courier New" w:hAnsi="Courier New" w:cs="Courier New"/>
          <w:b/>
          <w:sz w:val="24"/>
          <w:szCs w:val="24"/>
        </w:rPr>
      </w:pPr>
    </w:p>
    <w:p w:rsidR="008627C1" w:rsidRDefault="008627C1" w:rsidP="008627C1">
      <w:pPr>
        <w:spacing w:line="360" w:lineRule="auto"/>
        <w:jc w:val="center"/>
        <w:rPr>
          <w:rFonts w:ascii="Courier New" w:hAnsi="Courier New" w:cs="Courier New"/>
          <w:b/>
          <w:sz w:val="24"/>
          <w:szCs w:val="24"/>
        </w:rPr>
      </w:pPr>
      <w:r>
        <w:rPr>
          <w:rFonts w:ascii="Courier New" w:hAnsi="Courier New" w:cs="Courier New"/>
          <w:b/>
          <w:sz w:val="24"/>
          <w:szCs w:val="24"/>
        </w:rPr>
        <w:t>FINDINGS OF FACT AND REPORT</w:t>
      </w:r>
    </w:p>
    <w:p w:rsidR="008627C1" w:rsidRDefault="008627C1" w:rsidP="008627C1">
      <w:pPr>
        <w:spacing w:line="480" w:lineRule="auto"/>
        <w:jc w:val="both"/>
        <w:rPr>
          <w:rFonts w:ascii="Courier New" w:hAnsi="Courier New" w:cs="Courier New"/>
          <w:sz w:val="24"/>
          <w:szCs w:val="24"/>
        </w:rPr>
      </w:pPr>
      <w:r>
        <w:rPr>
          <w:rFonts w:ascii="Courier New" w:hAnsi="Courier New" w:cs="Courier New"/>
          <w:b/>
          <w:sz w:val="24"/>
          <w:szCs w:val="24"/>
        </w:rPr>
        <w:tab/>
      </w:r>
      <w:r w:rsidRPr="001F466E">
        <w:rPr>
          <w:rFonts w:ascii="Courier New" w:hAnsi="Courier New" w:cs="Courier New"/>
          <w:sz w:val="24"/>
          <w:szCs w:val="24"/>
        </w:rPr>
        <w:t xml:space="preserve">Based on </w:t>
      </w:r>
      <w:r>
        <w:rPr>
          <w:rFonts w:ascii="Courier New" w:hAnsi="Courier New" w:cs="Courier New"/>
          <w:sz w:val="24"/>
          <w:szCs w:val="24"/>
        </w:rPr>
        <w:t xml:space="preserve">an agreed statement of facts and supporting documents as well as </w:t>
      </w:r>
      <w:r w:rsidRPr="001F466E">
        <w:rPr>
          <w:rFonts w:ascii="Courier New" w:hAnsi="Courier New" w:cs="Courier New"/>
          <w:sz w:val="24"/>
          <w:szCs w:val="24"/>
        </w:rPr>
        <w:t>exhibits and testimony offered into evidence at the hearing of th</w:t>
      </w:r>
      <w:r>
        <w:rPr>
          <w:rFonts w:ascii="Courier New" w:hAnsi="Courier New" w:cs="Courier New"/>
          <w:sz w:val="24"/>
          <w:szCs w:val="24"/>
        </w:rPr>
        <w:t>ese</w:t>
      </w:r>
      <w:r w:rsidRPr="001F466E">
        <w:rPr>
          <w:rFonts w:ascii="Courier New" w:hAnsi="Courier New" w:cs="Courier New"/>
          <w:sz w:val="24"/>
          <w:szCs w:val="24"/>
        </w:rPr>
        <w:t xml:space="preserve"> appeal</w:t>
      </w:r>
      <w:r>
        <w:rPr>
          <w:rFonts w:ascii="Courier New" w:hAnsi="Courier New" w:cs="Courier New"/>
          <w:sz w:val="24"/>
          <w:szCs w:val="24"/>
        </w:rPr>
        <w:t xml:space="preserve">s, </w:t>
      </w:r>
      <w:r w:rsidRPr="001F466E">
        <w:rPr>
          <w:rFonts w:ascii="Courier New" w:hAnsi="Courier New" w:cs="Courier New"/>
          <w:sz w:val="24"/>
          <w:szCs w:val="24"/>
        </w:rPr>
        <w:t>the Appellate Tax Board (“Board”) made the following findings of fact.</w:t>
      </w:r>
      <w:r>
        <w:rPr>
          <w:rFonts w:ascii="Courier New" w:hAnsi="Courier New" w:cs="Courier New"/>
          <w:sz w:val="24"/>
          <w:szCs w:val="24"/>
        </w:rPr>
        <w:t xml:space="preserve">  </w:t>
      </w:r>
    </w:p>
    <w:p w:rsidR="008627C1" w:rsidRPr="00514594" w:rsidRDefault="008627C1" w:rsidP="008627C1">
      <w:pPr>
        <w:pStyle w:val="ListParagraph"/>
        <w:numPr>
          <w:ilvl w:val="0"/>
          <w:numId w:val="11"/>
        </w:numPr>
        <w:spacing w:line="480" w:lineRule="auto"/>
        <w:jc w:val="both"/>
        <w:rPr>
          <w:rFonts w:ascii="Courier New" w:hAnsi="Courier New" w:cs="Courier New"/>
          <w:b/>
          <w:sz w:val="24"/>
          <w:szCs w:val="24"/>
        </w:rPr>
      </w:pPr>
      <w:r>
        <w:rPr>
          <w:rFonts w:ascii="Courier New" w:hAnsi="Courier New" w:cs="Courier New"/>
          <w:b/>
          <w:sz w:val="24"/>
          <w:szCs w:val="24"/>
        </w:rPr>
        <w:t>Introduction</w:t>
      </w:r>
    </w:p>
    <w:p w:rsidR="008627C1" w:rsidRDefault="008627C1" w:rsidP="008627C1">
      <w:pPr>
        <w:spacing w:line="480" w:lineRule="auto"/>
        <w:jc w:val="both"/>
        <w:rPr>
          <w:rFonts w:ascii="Courier New" w:hAnsi="Courier New" w:cs="Courier New"/>
          <w:sz w:val="24"/>
          <w:szCs w:val="24"/>
        </w:rPr>
      </w:pPr>
      <w:r>
        <w:rPr>
          <w:rFonts w:ascii="Courier New" w:hAnsi="Courier New" w:cs="Courier New"/>
          <w:sz w:val="24"/>
          <w:szCs w:val="24"/>
        </w:rPr>
        <w:tab/>
        <w:t>Genentech, Inc. (“Genentech” or the “appellant”) is a biotechnology company, organized in Delaware in 1976. Headquartered in South San Francisco, California, t</w:t>
      </w:r>
      <w:r w:rsidRPr="00534AD8">
        <w:rPr>
          <w:rFonts w:ascii="Courier New" w:hAnsi="Courier New" w:cs="Courier New"/>
          <w:sz w:val="24"/>
          <w:szCs w:val="24"/>
        </w:rPr>
        <w:t xml:space="preserve">he </w:t>
      </w:r>
      <w:r>
        <w:rPr>
          <w:rFonts w:ascii="Courier New" w:hAnsi="Courier New" w:cs="Courier New"/>
          <w:sz w:val="24"/>
          <w:szCs w:val="24"/>
        </w:rPr>
        <w:t xml:space="preserve">appellant </w:t>
      </w:r>
      <w:r w:rsidRPr="00534AD8">
        <w:rPr>
          <w:rFonts w:ascii="Courier New" w:hAnsi="Courier New" w:cs="Courier New"/>
          <w:sz w:val="24"/>
          <w:szCs w:val="24"/>
        </w:rPr>
        <w:t xml:space="preserve">is </w:t>
      </w:r>
      <w:r>
        <w:rPr>
          <w:rFonts w:ascii="Courier New" w:hAnsi="Courier New" w:cs="Courier New"/>
          <w:sz w:val="24"/>
          <w:szCs w:val="24"/>
        </w:rPr>
        <w:t xml:space="preserve">engaged in </w:t>
      </w:r>
      <w:r w:rsidRPr="00534AD8">
        <w:rPr>
          <w:rFonts w:ascii="Courier New" w:hAnsi="Courier New" w:cs="Courier New"/>
          <w:sz w:val="24"/>
          <w:szCs w:val="24"/>
        </w:rPr>
        <w:t xml:space="preserve">the research, development, production, and sale of </w:t>
      </w:r>
      <w:r>
        <w:rPr>
          <w:rFonts w:ascii="Courier New" w:hAnsi="Courier New" w:cs="Courier New"/>
          <w:sz w:val="24"/>
          <w:szCs w:val="24"/>
        </w:rPr>
        <w:t xml:space="preserve">therapeutic drugs used to treat a variety of conditions. Genentech produces these drugs using </w:t>
      </w:r>
      <w:r w:rsidRPr="00534AD8">
        <w:rPr>
          <w:rFonts w:ascii="Courier New" w:hAnsi="Courier New" w:cs="Courier New"/>
          <w:sz w:val="24"/>
          <w:szCs w:val="24"/>
        </w:rPr>
        <w:t xml:space="preserve">genetically modified </w:t>
      </w:r>
      <w:r>
        <w:rPr>
          <w:rFonts w:ascii="Courier New" w:hAnsi="Courier New" w:cs="Courier New"/>
          <w:sz w:val="24"/>
          <w:szCs w:val="24"/>
        </w:rPr>
        <w:t>bacteria and animal cells</w:t>
      </w:r>
      <w:r w:rsidRPr="00534AD8">
        <w:rPr>
          <w:rFonts w:ascii="Courier New" w:hAnsi="Courier New" w:cs="Courier New"/>
          <w:sz w:val="24"/>
          <w:szCs w:val="24"/>
        </w:rPr>
        <w:t>.</w:t>
      </w:r>
      <w:r>
        <w:rPr>
          <w:rFonts w:ascii="Courier New" w:hAnsi="Courier New" w:cs="Courier New"/>
          <w:sz w:val="24"/>
          <w:szCs w:val="24"/>
        </w:rPr>
        <w:t xml:space="preserve"> While Genentech did not maintain an office open to the public in Massachusetts, it did employ a number of employees resident in the Commonwealth, retained title to bulk inventory during a stage of production at a third-party’s facility in Massachusetts, and retained title to drugs being used as part of clinical trials conducted by third parties in Massachusetts.</w:t>
      </w:r>
    </w:p>
    <w:p w:rsidR="008627C1" w:rsidRDefault="008627C1" w:rsidP="008627C1">
      <w:pPr>
        <w:spacing w:line="480" w:lineRule="auto"/>
        <w:ind w:firstLine="720"/>
        <w:jc w:val="both"/>
        <w:rPr>
          <w:rFonts w:ascii="Courier New" w:hAnsi="Courier New" w:cs="Courier New"/>
          <w:sz w:val="24"/>
          <w:szCs w:val="24"/>
        </w:rPr>
      </w:pPr>
      <w:r>
        <w:rPr>
          <w:rFonts w:ascii="Courier New" w:hAnsi="Courier New" w:cs="Courier New"/>
          <w:sz w:val="24"/>
          <w:szCs w:val="24"/>
        </w:rPr>
        <w:lastRenderedPageBreak/>
        <w:t xml:space="preserve">As discussed further in the following Opinion, pursuant to G.L. c. 63, § 38, Massachusetts imposes different apportionment formulas on corporate taxpayers based on the nature of their business activities. Massachusetts requires corporations which are substantially engaged in manufacturing to apportion their income using a single sales factor and all other corporations (apart from those which fall into certain other categories not relevant to these appeals) to apportion their income using a three-factor apportionment formula based on property, payroll, and sales. For tax years ended December 31, 1998 through December 31, 2003, Genentech filed its Massachusetts corporate excise returns using the three-factor apportionment formula applicable to general business corporations. For the tax year ended December 31, 2004, Genentech originally filed its Massachusetts corporate excise return using the single sales factor apportionment formula applicable to manufacturers, but subsequently filed an Application for Abatement claiming that it was not substantially engaged in manufacturing and thus should have been entitled to apportion its income on the standard three-factor basis. </w:t>
      </w:r>
    </w:p>
    <w:p w:rsidR="008627C1" w:rsidRDefault="008627C1" w:rsidP="008627C1">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The Commissioner made an assessment of additional corporate excise, arguing that Genentech was substantially </w:t>
      </w:r>
      <w:r>
        <w:rPr>
          <w:rFonts w:ascii="Courier New" w:hAnsi="Courier New" w:cs="Courier New"/>
          <w:sz w:val="24"/>
          <w:szCs w:val="24"/>
        </w:rPr>
        <w:lastRenderedPageBreak/>
        <w:t>engaged in manufacturing for all periods at issue and thus required to use a single sales factor apportionment formula. Genentech appealed the assessment on four grounds: (1) despite its history of filing returns in the Commonwealth, pursuant to 15 U.S.C. § 381 (“Public Law 86-272”), a federal law that prevents a state from imposing an income tax on a taxpayer whose sole activity in the state is the solicitation of sales of tangible property, its activities were not sufficient to have created nexus; (2) the production of its drugs was not a manufacturing activity; (3) even if the production were considered manufacturing, it did not rise to the necessary level of “substantial manufacturing” when Genentech’s gross receipts from redemption and maturity of short-term securities were taken into account; and (4) the restriction of investment tax credits (“ITC”) to property placed in service in Massachusetts and research and development credits (“R&amp;D Credits”) to costs incurred in Massachusetts is an unconstitutional discrimination against interstate commerce.</w:t>
      </w:r>
    </w:p>
    <w:p w:rsidR="008627C1" w:rsidRDefault="008627C1" w:rsidP="008627C1">
      <w:pPr>
        <w:rPr>
          <w:rFonts w:ascii="Courier New" w:hAnsi="Courier New" w:cs="Courier New"/>
          <w:sz w:val="24"/>
          <w:szCs w:val="24"/>
        </w:rPr>
      </w:pPr>
      <w:r>
        <w:rPr>
          <w:rFonts w:ascii="Courier New" w:hAnsi="Courier New" w:cs="Courier New"/>
          <w:sz w:val="24"/>
          <w:szCs w:val="24"/>
        </w:rPr>
        <w:br w:type="page"/>
      </w:r>
    </w:p>
    <w:p w:rsidR="008627C1" w:rsidRPr="00E27271" w:rsidRDefault="008627C1" w:rsidP="008627C1">
      <w:pPr>
        <w:pStyle w:val="ListParagraph"/>
        <w:numPr>
          <w:ilvl w:val="0"/>
          <w:numId w:val="11"/>
        </w:numPr>
        <w:spacing w:line="480" w:lineRule="auto"/>
        <w:jc w:val="both"/>
        <w:rPr>
          <w:rFonts w:ascii="Courier New" w:hAnsi="Courier New" w:cs="Courier New"/>
          <w:b/>
          <w:sz w:val="24"/>
          <w:szCs w:val="24"/>
        </w:rPr>
      </w:pPr>
      <w:r>
        <w:rPr>
          <w:rFonts w:ascii="Courier New" w:hAnsi="Courier New" w:cs="Courier New"/>
          <w:b/>
          <w:sz w:val="24"/>
          <w:szCs w:val="24"/>
        </w:rPr>
        <w:lastRenderedPageBreak/>
        <w:t>Jurisdictional Background</w:t>
      </w:r>
    </w:p>
    <w:p w:rsidR="008627C1" w:rsidRDefault="008627C1" w:rsidP="008627C1">
      <w:pPr>
        <w:spacing w:line="480" w:lineRule="auto"/>
        <w:jc w:val="both"/>
        <w:rPr>
          <w:rFonts w:ascii="Courier New" w:hAnsi="Courier New" w:cs="Courier New"/>
          <w:sz w:val="24"/>
          <w:szCs w:val="24"/>
        </w:rPr>
      </w:pPr>
      <w:r>
        <w:rPr>
          <w:rFonts w:ascii="Courier New" w:hAnsi="Courier New" w:cs="Courier New"/>
          <w:sz w:val="24"/>
          <w:szCs w:val="24"/>
        </w:rPr>
        <w:tab/>
        <w:t xml:space="preserve">These appeals involve two audit cycles of the appellant’s corporate excise returns, the first covering the tax years ended December 31, 1998, June 30, 1999, October 26, 1999, December 31, 1999, December 31, 2000, and December 31, 2001 (“1998 – 2001 Audit Cycle”) and the second covering the tax years ended December 31, 2002, December 31, 2003, and December 31, 2004 (“2002 – 2004 Audit Cycle”). </w:t>
      </w:r>
    </w:p>
    <w:p w:rsidR="008627C1" w:rsidRPr="00514594" w:rsidRDefault="008627C1" w:rsidP="008627C1">
      <w:pPr>
        <w:pStyle w:val="ListParagraph"/>
        <w:numPr>
          <w:ilvl w:val="0"/>
          <w:numId w:val="12"/>
        </w:numPr>
        <w:spacing w:line="480" w:lineRule="auto"/>
        <w:jc w:val="both"/>
        <w:rPr>
          <w:rFonts w:ascii="Courier New" w:hAnsi="Courier New" w:cs="Courier New"/>
          <w:i/>
          <w:sz w:val="24"/>
          <w:szCs w:val="24"/>
        </w:rPr>
      </w:pPr>
      <w:r w:rsidRPr="00514594">
        <w:rPr>
          <w:rFonts w:ascii="Courier New" w:hAnsi="Courier New" w:cs="Courier New"/>
          <w:i/>
          <w:sz w:val="24"/>
          <w:szCs w:val="24"/>
        </w:rPr>
        <w:t>1998 – 2001 Audit Cycle</w:t>
      </w:r>
      <w:r w:rsidRPr="00514594">
        <w:rPr>
          <w:rFonts w:ascii="Courier New" w:hAnsi="Courier New" w:cs="Courier New"/>
          <w:sz w:val="24"/>
          <w:szCs w:val="24"/>
        </w:rPr>
        <w:t xml:space="preserve"> </w:t>
      </w:r>
      <w:r w:rsidRPr="00514594">
        <w:rPr>
          <w:rFonts w:ascii="Courier New" w:hAnsi="Courier New" w:cs="Courier New"/>
          <w:i/>
          <w:sz w:val="24"/>
          <w:szCs w:val="24"/>
        </w:rPr>
        <w:t>(Docket No. C282905)</w:t>
      </w:r>
    </w:p>
    <w:p w:rsidR="008627C1" w:rsidRDefault="008627C1" w:rsidP="008627C1">
      <w:pPr>
        <w:spacing w:line="480" w:lineRule="auto"/>
        <w:jc w:val="both"/>
        <w:rPr>
          <w:rFonts w:ascii="Courier New" w:hAnsi="Courier New" w:cs="Courier New"/>
          <w:sz w:val="24"/>
          <w:szCs w:val="24"/>
        </w:rPr>
      </w:pPr>
      <w:r>
        <w:rPr>
          <w:rFonts w:ascii="Courier New" w:hAnsi="Courier New" w:cs="Courier New"/>
          <w:sz w:val="24"/>
          <w:szCs w:val="24"/>
        </w:rPr>
        <w:tab/>
        <w:t>As a result of the first audit cycle, the Commissioner issued a Notice of Assessment dated July 6, 2005 assessing additional corporate excise in the total amount of $1,125,764, including interest and penalties, for the tax periods ended June 30, 1999, October 26, 1999, December 31, 1999, December 31, 2000, and December 31, 2001.</w:t>
      </w:r>
      <w:r>
        <w:rPr>
          <w:rStyle w:val="FootnoteReference"/>
          <w:rFonts w:ascii="Courier New" w:hAnsi="Courier New" w:cs="Courier New"/>
          <w:sz w:val="24"/>
          <w:szCs w:val="24"/>
        </w:rPr>
        <w:footnoteReference w:id="1"/>
      </w:r>
      <w:r>
        <w:rPr>
          <w:rFonts w:ascii="Courier New" w:hAnsi="Courier New" w:cs="Courier New"/>
          <w:sz w:val="24"/>
          <w:szCs w:val="24"/>
        </w:rPr>
        <w:t xml:space="preserve"> A second Notice of Assessment was issued on July 11, 2005 for the tax year ended December 31, 1998 in the amount of $61,673.95, including interest and penalties. Finally, on September 17, 2005, the Commissioner issued a third Notice of Assessment in the amount of $49,244.08, including </w:t>
      </w:r>
      <w:r>
        <w:rPr>
          <w:rFonts w:ascii="Courier New" w:hAnsi="Courier New" w:cs="Courier New"/>
          <w:sz w:val="24"/>
          <w:szCs w:val="24"/>
        </w:rPr>
        <w:lastRenderedPageBreak/>
        <w:t>interest and penalties, of additional corporate excise for the tax year ended December 31, 1999.</w:t>
      </w:r>
    </w:p>
    <w:p w:rsidR="008627C1" w:rsidRDefault="008627C1" w:rsidP="008627C1">
      <w:pPr>
        <w:spacing w:line="480" w:lineRule="auto"/>
        <w:jc w:val="both"/>
        <w:rPr>
          <w:rFonts w:ascii="Courier New" w:hAnsi="Courier New" w:cs="Courier New"/>
          <w:sz w:val="24"/>
          <w:szCs w:val="24"/>
        </w:rPr>
      </w:pPr>
      <w:r>
        <w:rPr>
          <w:rFonts w:ascii="Courier New" w:hAnsi="Courier New" w:cs="Courier New"/>
          <w:sz w:val="24"/>
          <w:szCs w:val="24"/>
        </w:rPr>
        <w:tab/>
        <w:t>Genentech filed an application for abatement, dated September 27, 2005, for all amounts assessed by the Commissioner as a result of the 1998 – 2001 Audit Cycle. The appellant’s application for abatement was denied by the Commissioner on January 17, 2006. On March 16, 2006, Genentech timely filed a Petition Under Formal Procedure with the Board.</w:t>
      </w:r>
    </w:p>
    <w:p w:rsidR="008627C1" w:rsidRDefault="008627C1" w:rsidP="008627C1">
      <w:pPr>
        <w:pStyle w:val="ListParagraph"/>
        <w:numPr>
          <w:ilvl w:val="0"/>
          <w:numId w:val="12"/>
        </w:numPr>
        <w:spacing w:line="480" w:lineRule="auto"/>
        <w:jc w:val="both"/>
        <w:rPr>
          <w:rFonts w:ascii="Courier New" w:hAnsi="Courier New" w:cs="Courier New"/>
          <w:i/>
          <w:sz w:val="24"/>
          <w:szCs w:val="24"/>
        </w:rPr>
      </w:pPr>
      <w:r>
        <w:rPr>
          <w:rFonts w:ascii="Courier New" w:hAnsi="Courier New" w:cs="Courier New"/>
          <w:i/>
          <w:sz w:val="24"/>
          <w:szCs w:val="24"/>
        </w:rPr>
        <w:t>2002 – 2004 Audit Cycle</w:t>
      </w:r>
      <w:r w:rsidRPr="006A498C">
        <w:rPr>
          <w:rFonts w:ascii="Courier New" w:hAnsi="Courier New" w:cs="Courier New"/>
          <w:sz w:val="24"/>
          <w:szCs w:val="24"/>
        </w:rPr>
        <w:t xml:space="preserve"> </w:t>
      </w:r>
      <w:r>
        <w:rPr>
          <w:rFonts w:ascii="Courier New" w:hAnsi="Courier New" w:cs="Courier New"/>
          <w:sz w:val="24"/>
          <w:szCs w:val="24"/>
        </w:rPr>
        <w:t>(</w:t>
      </w:r>
      <w:r w:rsidRPr="006A498C">
        <w:rPr>
          <w:rFonts w:ascii="Courier New" w:hAnsi="Courier New" w:cs="Courier New"/>
          <w:i/>
          <w:sz w:val="24"/>
          <w:szCs w:val="24"/>
        </w:rPr>
        <w:t>Docket Nos. C293424</w:t>
      </w:r>
      <w:r>
        <w:rPr>
          <w:rFonts w:ascii="Courier New" w:hAnsi="Courier New" w:cs="Courier New"/>
          <w:i/>
          <w:sz w:val="24"/>
          <w:szCs w:val="24"/>
        </w:rPr>
        <w:t xml:space="preserve"> and C298502)</w:t>
      </w:r>
    </w:p>
    <w:p w:rsidR="008627C1" w:rsidRPr="00FF6B24" w:rsidRDefault="008627C1" w:rsidP="008627C1">
      <w:pPr>
        <w:spacing w:line="480" w:lineRule="auto"/>
        <w:jc w:val="both"/>
        <w:rPr>
          <w:rFonts w:ascii="Courier New" w:hAnsi="Courier New" w:cs="Courier New"/>
          <w:sz w:val="24"/>
          <w:szCs w:val="24"/>
        </w:rPr>
      </w:pPr>
      <w:r>
        <w:rPr>
          <w:rFonts w:ascii="Courier New" w:hAnsi="Courier New" w:cs="Courier New"/>
          <w:sz w:val="24"/>
          <w:szCs w:val="24"/>
        </w:rPr>
        <w:tab/>
        <w:t xml:space="preserve">Genentech timely filed a Massachusetts corporate excise return for each of the years of the 2002 – 2004 Audit Cycle. The Commissioner issued a Notice of Assessment of additional corporate excise on February 7, 2007 for the 2002 – 2004 Audit Cycle in the amount of $2,027,746, including interest and penalties. The appellant filed an Application for Abatement for the 2002 – 2004 Audit Cycle on March 9, 2007, which was denied by the Commissioner on June 11, 2007 with respect to the 2002 and 2003 tax years, but she neither expressly allowed nor denied the appellant’s claim with respect to the 2004 tax year. On August 10, 2007, Genentech timely filed a Petition Under Formal Procedure with the Board appealing the </w:t>
      </w:r>
      <w:r>
        <w:rPr>
          <w:rFonts w:ascii="Courier New" w:hAnsi="Courier New" w:cs="Courier New"/>
          <w:sz w:val="24"/>
          <w:szCs w:val="24"/>
        </w:rPr>
        <w:lastRenderedPageBreak/>
        <w:t>Commissioner’s refusal to abate additional corporate excise assessed for the 2002 – 2004 Audit Cycle (Docket No. C293424).</w:t>
      </w:r>
    </w:p>
    <w:p w:rsidR="008627C1" w:rsidRDefault="008627C1" w:rsidP="008627C1">
      <w:pPr>
        <w:spacing w:line="480" w:lineRule="auto"/>
        <w:jc w:val="both"/>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ab/>
        <w:t>On March 1, 2008, Genentech filed a second Application for Abatement for the year ended December 31, 2004, which was denied on June 6, 2008. On August 1, 2008, Genentech timely filed a Petition Under Formal Procedure appealing the Commissioner’s refusal to abate additional corporate excise assessed for the 2004 tax year (Docket No. C298502). Also on March 1, 2008, Genentech filed a second Application for Abatement raising issues which had not been raised in previous applications, namely that if the Commissioner required the appellant to file as a manufacturing corporation, it should be entitled to Massachusetts ITC on purchases of qualified manufacturing property placed in service outside of the Commonwealth. By letter dated October 24, 2008, Genentech withdrew its consent for the Commissioner to act on this second Application for abatement and thereafter filed a second Petition Under Formal Procedure with the Board on December 22, 2008 (Docket No. C298891).</w:t>
      </w:r>
    </w:p>
    <w:p w:rsidR="008627C1" w:rsidRDefault="008627C1" w:rsidP="008627C1">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Based on the foregoing, the Board found that it had jurisdiction to decide these appeals for both audit cycles. Genentech filed a Motion for Summary Judgment with the </w:t>
      </w:r>
      <w:r>
        <w:rPr>
          <w:rFonts w:ascii="Courier New" w:hAnsi="Courier New" w:cs="Courier New"/>
          <w:sz w:val="24"/>
          <w:szCs w:val="24"/>
        </w:rPr>
        <w:lastRenderedPageBreak/>
        <w:t xml:space="preserve">Board, which the Board denied. The Commissioner filed her own Motion for Partial Summary Judgment on the issues of whether Genentech had nexus with the Commonwealth and was engaged in manufacturing activity. A hearing was then held on the issue </w:t>
      </w:r>
      <w:r w:rsidR="00E74DDD">
        <w:rPr>
          <w:rFonts w:ascii="Courier New" w:hAnsi="Courier New" w:cs="Courier New"/>
          <w:sz w:val="24"/>
          <w:szCs w:val="24"/>
        </w:rPr>
        <w:t>of</w:t>
      </w:r>
      <w:r>
        <w:rPr>
          <w:rFonts w:ascii="Courier New" w:hAnsi="Courier New" w:cs="Courier New"/>
          <w:sz w:val="24"/>
          <w:szCs w:val="24"/>
        </w:rPr>
        <w:t xml:space="preserve"> whether Genentech was engaged in substantial manufacturing activity. For the reasons set out below, the Board found that for all of the years at issue, the factual record was sufficient to find and rule on summary judgment that Genentech had nexus in Massachusetts and was engaged in manufacturing activities. The Board also ruled that the Massachusetts ITC and R&amp;D credit statutes do not infringe upon the appellant’s rights under the U.S. Constitution. Upon further hearing on the remaining issue, the Board found that Genentech was substantially engaged in manufacturing activities and was therefore required to use a single sales factor apportionment formula to apportion its income to Massachusetts. </w:t>
      </w:r>
    </w:p>
    <w:p w:rsidR="008627C1" w:rsidRDefault="008627C1" w:rsidP="008627C1">
      <w:pPr>
        <w:pStyle w:val="ListParagraph"/>
        <w:numPr>
          <w:ilvl w:val="0"/>
          <w:numId w:val="11"/>
        </w:numPr>
        <w:spacing w:line="480" w:lineRule="auto"/>
        <w:jc w:val="both"/>
        <w:rPr>
          <w:rFonts w:ascii="Courier New" w:hAnsi="Courier New" w:cs="Courier New"/>
          <w:b/>
          <w:sz w:val="24"/>
          <w:szCs w:val="24"/>
        </w:rPr>
      </w:pPr>
      <w:r>
        <w:rPr>
          <w:rFonts w:ascii="Courier New" w:hAnsi="Courier New" w:cs="Courier New"/>
          <w:sz w:val="24"/>
          <w:szCs w:val="24"/>
        </w:rPr>
        <w:t xml:space="preserve"> </w:t>
      </w:r>
      <w:r>
        <w:rPr>
          <w:rFonts w:ascii="Courier New" w:hAnsi="Courier New" w:cs="Courier New"/>
          <w:b/>
          <w:sz w:val="24"/>
          <w:szCs w:val="24"/>
        </w:rPr>
        <w:t xml:space="preserve">Nexus of Appellant With Massachusetts </w:t>
      </w:r>
    </w:p>
    <w:p w:rsidR="008627C1" w:rsidRDefault="008627C1" w:rsidP="008627C1">
      <w:pPr>
        <w:pStyle w:val="ListParagraph"/>
        <w:numPr>
          <w:ilvl w:val="0"/>
          <w:numId w:val="13"/>
        </w:numPr>
        <w:jc w:val="both"/>
        <w:rPr>
          <w:rFonts w:ascii="Courier New" w:hAnsi="Courier New" w:cs="Courier New"/>
          <w:i/>
          <w:sz w:val="24"/>
          <w:szCs w:val="24"/>
        </w:rPr>
      </w:pPr>
      <w:r w:rsidRPr="00514594">
        <w:rPr>
          <w:rFonts w:ascii="Courier New" w:hAnsi="Courier New" w:cs="Courier New"/>
          <w:i/>
          <w:sz w:val="24"/>
          <w:szCs w:val="24"/>
        </w:rPr>
        <w:t>Alkermes Co-Development and Manufacturing Relationship</w:t>
      </w:r>
    </w:p>
    <w:p w:rsidR="008627C1" w:rsidRPr="00514594" w:rsidRDefault="008627C1" w:rsidP="008627C1">
      <w:pPr>
        <w:pStyle w:val="ListParagraph"/>
        <w:ind w:left="1080"/>
        <w:jc w:val="both"/>
        <w:rPr>
          <w:rFonts w:ascii="Courier New" w:hAnsi="Courier New" w:cs="Courier New"/>
          <w:i/>
          <w:sz w:val="24"/>
          <w:szCs w:val="24"/>
        </w:rPr>
      </w:pPr>
    </w:p>
    <w:p w:rsidR="008627C1" w:rsidRDefault="008627C1" w:rsidP="008627C1">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On January 9, 1995, Genentech entered into a Collaborative Development Agreement with Alkermes Controlled Therapeutics, Inc. (“Alkermes”), a third-party pharmaceutical manufacturer headquartered in Massachusetts </w:t>
      </w:r>
      <w:r>
        <w:rPr>
          <w:rFonts w:ascii="Courier New" w:hAnsi="Courier New" w:cs="Courier New"/>
          <w:sz w:val="24"/>
          <w:szCs w:val="24"/>
        </w:rPr>
        <w:lastRenderedPageBreak/>
        <w:t>(“Alkermes Collaborative Development Agreement”). Alkermes possessed encapsulation technology which it used to create slow-release formulations of drugs, allowing them to be administered less frequently. Genentech and Alkermes agreed to investigate whether Alkermes’ encapsulation technology could be incorporated into Genentech’s human growth hormone (“hGH”) drug, marketed under the name Nutropin®, to create a slow-release formulation for commercial sale. Pursuant to the terms of the Alkermes Collaborative Development Agreement, Genentech agreed to provide bulk</w:t>
      </w:r>
      <w:r>
        <w:rPr>
          <w:rStyle w:val="FootnoteReference"/>
          <w:rFonts w:ascii="Courier New" w:hAnsi="Courier New" w:cs="Courier New"/>
          <w:sz w:val="24"/>
          <w:szCs w:val="24"/>
        </w:rPr>
        <w:footnoteReference w:id="2"/>
      </w:r>
      <w:r>
        <w:rPr>
          <w:rFonts w:ascii="Courier New" w:hAnsi="Courier New" w:cs="Courier New"/>
          <w:sz w:val="24"/>
          <w:szCs w:val="24"/>
        </w:rPr>
        <w:t xml:space="preserve"> hGH to Alkermes at no cost to be used in the development process and in clinical studies.</w:t>
      </w:r>
    </w:p>
    <w:p w:rsidR="008627C1" w:rsidRDefault="008627C1" w:rsidP="008627C1">
      <w:pPr>
        <w:spacing w:line="480" w:lineRule="auto"/>
        <w:ind w:firstLine="720"/>
        <w:jc w:val="both"/>
        <w:rPr>
          <w:rFonts w:ascii="Courier New" w:hAnsi="Courier New" w:cs="Courier New"/>
          <w:sz w:val="24"/>
          <w:szCs w:val="24"/>
        </w:rPr>
      </w:pPr>
      <w:r>
        <w:rPr>
          <w:rFonts w:ascii="Courier New" w:hAnsi="Courier New" w:cs="Courier New"/>
          <w:sz w:val="24"/>
          <w:szCs w:val="24"/>
        </w:rPr>
        <w:t>On November 13, 1996, as the two parties continued the development process, G</w:t>
      </w:r>
      <w:r w:rsidRPr="00B15877">
        <w:rPr>
          <w:rFonts w:ascii="Courier New" w:hAnsi="Courier New" w:cs="Courier New"/>
          <w:sz w:val="24"/>
          <w:szCs w:val="24"/>
        </w:rPr>
        <w:t xml:space="preserve">enentech entered into a </w:t>
      </w:r>
      <w:r>
        <w:rPr>
          <w:rFonts w:ascii="Courier New" w:hAnsi="Courier New" w:cs="Courier New"/>
          <w:sz w:val="24"/>
          <w:szCs w:val="24"/>
        </w:rPr>
        <w:t>formal l</w:t>
      </w:r>
      <w:r w:rsidRPr="00B15877">
        <w:rPr>
          <w:rFonts w:ascii="Courier New" w:hAnsi="Courier New" w:cs="Courier New"/>
          <w:sz w:val="24"/>
          <w:szCs w:val="24"/>
        </w:rPr>
        <w:t xml:space="preserve">icense </w:t>
      </w:r>
      <w:r>
        <w:rPr>
          <w:rFonts w:ascii="Courier New" w:hAnsi="Courier New" w:cs="Courier New"/>
          <w:sz w:val="24"/>
          <w:szCs w:val="24"/>
        </w:rPr>
        <w:t>a</w:t>
      </w:r>
      <w:r w:rsidRPr="00B15877">
        <w:rPr>
          <w:rFonts w:ascii="Courier New" w:hAnsi="Courier New" w:cs="Courier New"/>
          <w:sz w:val="24"/>
          <w:szCs w:val="24"/>
        </w:rPr>
        <w:t xml:space="preserve">greement </w:t>
      </w:r>
      <w:r>
        <w:rPr>
          <w:rFonts w:ascii="Courier New" w:hAnsi="Courier New" w:cs="Courier New"/>
          <w:sz w:val="24"/>
          <w:szCs w:val="24"/>
        </w:rPr>
        <w:t xml:space="preserve">with </w:t>
      </w:r>
      <w:r w:rsidRPr="00B15877">
        <w:rPr>
          <w:rFonts w:ascii="Courier New" w:hAnsi="Courier New" w:cs="Courier New"/>
          <w:sz w:val="24"/>
          <w:szCs w:val="24"/>
        </w:rPr>
        <w:t>Alkermes</w:t>
      </w:r>
      <w:r>
        <w:rPr>
          <w:rFonts w:ascii="Courier New" w:hAnsi="Courier New" w:cs="Courier New"/>
          <w:sz w:val="24"/>
          <w:szCs w:val="24"/>
        </w:rPr>
        <w:t>,</w:t>
      </w:r>
      <w:r w:rsidRPr="00B15877">
        <w:rPr>
          <w:rFonts w:ascii="Courier New" w:hAnsi="Courier New" w:cs="Courier New"/>
          <w:sz w:val="24"/>
          <w:szCs w:val="24"/>
        </w:rPr>
        <w:t xml:space="preserve"> </w:t>
      </w:r>
      <w:r>
        <w:rPr>
          <w:rFonts w:ascii="Courier New" w:hAnsi="Courier New" w:cs="Courier New"/>
          <w:sz w:val="24"/>
          <w:szCs w:val="24"/>
        </w:rPr>
        <w:t>whereby</w:t>
      </w:r>
      <w:r w:rsidRPr="00B15877">
        <w:rPr>
          <w:rFonts w:ascii="Courier New" w:hAnsi="Courier New" w:cs="Courier New"/>
          <w:sz w:val="24"/>
          <w:szCs w:val="24"/>
        </w:rPr>
        <w:t xml:space="preserve"> Alkermes licensed their </w:t>
      </w:r>
      <w:r>
        <w:rPr>
          <w:rFonts w:ascii="Courier New" w:hAnsi="Courier New" w:cs="Courier New"/>
          <w:sz w:val="24"/>
          <w:szCs w:val="24"/>
        </w:rPr>
        <w:t xml:space="preserve">encapsulation </w:t>
      </w:r>
      <w:r w:rsidRPr="00B15877">
        <w:rPr>
          <w:rFonts w:ascii="Courier New" w:hAnsi="Courier New" w:cs="Courier New"/>
          <w:sz w:val="24"/>
          <w:szCs w:val="24"/>
        </w:rPr>
        <w:t xml:space="preserve">technology to </w:t>
      </w:r>
      <w:r>
        <w:rPr>
          <w:rFonts w:ascii="Courier New" w:hAnsi="Courier New" w:cs="Courier New"/>
          <w:sz w:val="24"/>
          <w:szCs w:val="24"/>
        </w:rPr>
        <w:t xml:space="preserve">Genentech to </w:t>
      </w:r>
      <w:r w:rsidRPr="00B15877">
        <w:rPr>
          <w:rFonts w:ascii="Courier New" w:hAnsi="Courier New" w:cs="Courier New"/>
          <w:sz w:val="24"/>
          <w:szCs w:val="24"/>
        </w:rPr>
        <w:t xml:space="preserve">be used in creating sustained release formulations of </w:t>
      </w:r>
      <w:r>
        <w:rPr>
          <w:rFonts w:ascii="Courier New" w:hAnsi="Courier New" w:cs="Courier New"/>
          <w:sz w:val="24"/>
          <w:szCs w:val="24"/>
        </w:rPr>
        <w:t>hGH</w:t>
      </w:r>
      <w:r w:rsidRPr="00B15877">
        <w:rPr>
          <w:rFonts w:ascii="Courier New" w:hAnsi="Courier New" w:cs="Courier New"/>
          <w:sz w:val="24"/>
          <w:szCs w:val="24"/>
        </w:rPr>
        <w:t xml:space="preserve"> in return for </w:t>
      </w:r>
      <w:r>
        <w:rPr>
          <w:rFonts w:ascii="Courier New" w:hAnsi="Courier New" w:cs="Courier New"/>
          <w:sz w:val="24"/>
          <w:szCs w:val="24"/>
        </w:rPr>
        <w:t>a royalty based on</w:t>
      </w:r>
      <w:r w:rsidRPr="00B15877">
        <w:rPr>
          <w:rFonts w:ascii="Courier New" w:hAnsi="Courier New" w:cs="Courier New"/>
          <w:sz w:val="24"/>
          <w:szCs w:val="24"/>
        </w:rPr>
        <w:t xml:space="preserve"> net sales</w:t>
      </w:r>
      <w:r>
        <w:rPr>
          <w:rFonts w:ascii="Courier New" w:hAnsi="Courier New" w:cs="Courier New"/>
          <w:sz w:val="24"/>
          <w:szCs w:val="24"/>
        </w:rPr>
        <w:t xml:space="preserve"> of any resulting drug approved for commercial sale</w:t>
      </w:r>
      <w:r w:rsidRPr="00B15877">
        <w:rPr>
          <w:rFonts w:ascii="Courier New" w:hAnsi="Courier New" w:cs="Courier New"/>
          <w:sz w:val="24"/>
          <w:szCs w:val="24"/>
        </w:rPr>
        <w:t xml:space="preserve"> a</w:t>
      </w:r>
      <w:r>
        <w:rPr>
          <w:rFonts w:ascii="Courier New" w:hAnsi="Courier New" w:cs="Courier New"/>
          <w:sz w:val="24"/>
          <w:szCs w:val="24"/>
        </w:rPr>
        <w:t>s well as</w:t>
      </w:r>
      <w:r w:rsidRPr="00B15877">
        <w:rPr>
          <w:rFonts w:ascii="Courier New" w:hAnsi="Courier New" w:cs="Courier New"/>
          <w:sz w:val="24"/>
          <w:szCs w:val="24"/>
        </w:rPr>
        <w:t xml:space="preserve"> certain milestone payments</w:t>
      </w:r>
      <w:r>
        <w:rPr>
          <w:rFonts w:ascii="Courier New" w:hAnsi="Courier New" w:cs="Courier New"/>
          <w:sz w:val="24"/>
          <w:szCs w:val="24"/>
        </w:rPr>
        <w:t xml:space="preserve"> (“Alkermes License Agreement”).</w:t>
      </w:r>
      <w:r>
        <w:rPr>
          <w:rStyle w:val="FootnoteReference"/>
          <w:rFonts w:ascii="Courier New" w:hAnsi="Courier New" w:cs="Courier New"/>
          <w:sz w:val="24"/>
          <w:szCs w:val="24"/>
        </w:rPr>
        <w:footnoteReference w:id="3"/>
      </w:r>
      <w:r>
        <w:rPr>
          <w:rFonts w:ascii="Courier New" w:hAnsi="Courier New" w:cs="Courier New"/>
          <w:sz w:val="24"/>
          <w:szCs w:val="24"/>
        </w:rPr>
        <w:t xml:space="preserve"> As a result of the collaboration between the parties, i</w:t>
      </w:r>
      <w:r w:rsidRPr="00B15877">
        <w:rPr>
          <w:rFonts w:ascii="Courier New" w:hAnsi="Courier New" w:cs="Courier New"/>
          <w:sz w:val="24"/>
          <w:szCs w:val="24"/>
        </w:rPr>
        <w:t xml:space="preserve">n late December 1999, </w:t>
      </w:r>
      <w:r w:rsidRPr="00B15877">
        <w:rPr>
          <w:rFonts w:ascii="Courier New" w:hAnsi="Courier New" w:cs="Courier New"/>
          <w:sz w:val="24"/>
          <w:szCs w:val="24"/>
        </w:rPr>
        <w:lastRenderedPageBreak/>
        <w:t>Genentech received approval from the F</w:t>
      </w:r>
      <w:r>
        <w:rPr>
          <w:rFonts w:ascii="Courier New" w:hAnsi="Courier New" w:cs="Courier New"/>
          <w:sz w:val="24"/>
          <w:szCs w:val="24"/>
        </w:rPr>
        <w:t xml:space="preserve">ood and </w:t>
      </w:r>
      <w:r w:rsidRPr="00B15877">
        <w:rPr>
          <w:rFonts w:ascii="Courier New" w:hAnsi="Courier New" w:cs="Courier New"/>
          <w:sz w:val="24"/>
          <w:szCs w:val="24"/>
        </w:rPr>
        <w:t>D</w:t>
      </w:r>
      <w:r>
        <w:rPr>
          <w:rFonts w:ascii="Courier New" w:hAnsi="Courier New" w:cs="Courier New"/>
          <w:sz w:val="24"/>
          <w:szCs w:val="24"/>
        </w:rPr>
        <w:t xml:space="preserve">rug </w:t>
      </w:r>
      <w:r w:rsidRPr="00B15877">
        <w:rPr>
          <w:rFonts w:ascii="Courier New" w:hAnsi="Courier New" w:cs="Courier New"/>
          <w:sz w:val="24"/>
          <w:szCs w:val="24"/>
        </w:rPr>
        <w:t>A</w:t>
      </w:r>
      <w:r>
        <w:rPr>
          <w:rFonts w:ascii="Courier New" w:hAnsi="Courier New" w:cs="Courier New"/>
          <w:sz w:val="24"/>
          <w:szCs w:val="24"/>
        </w:rPr>
        <w:t>dministration</w:t>
      </w:r>
      <w:r w:rsidRPr="00B15877">
        <w:rPr>
          <w:rFonts w:ascii="Courier New" w:hAnsi="Courier New" w:cs="Courier New"/>
          <w:sz w:val="24"/>
          <w:szCs w:val="24"/>
        </w:rPr>
        <w:t xml:space="preserve"> </w:t>
      </w:r>
      <w:r>
        <w:rPr>
          <w:rFonts w:ascii="Courier New" w:hAnsi="Courier New" w:cs="Courier New"/>
          <w:sz w:val="24"/>
          <w:szCs w:val="24"/>
        </w:rPr>
        <w:t xml:space="preserve">(“FDA”) </w:t>
      </w:r>
      <w:r w:rsidRPr="00B15877">
        <w:rPr>
          <w:rFonts w:ascii="Courier New" w:hAnsi="Courier New" w:cs="Courier New"/>
          <w:sz w:val="24"/>
          <w:szCs w:val="24"/>
        </w:rPr>
        <w:t xml:space="preserve">for a </w:t>
      </w:r>
      <w:r>
        <w:rPr>
          <w:rFonts w:ascii="Courier New" w:hAnsi="Courier New" w:cs="Courier New"/>
          <w:sz w:val="24"/>
          <w:szCs w:val="24"/>
        </w:rPr>
        <w:t>slow-</w:t>
      </w:r>
      <w:r w:rsidRPr="00B15877">
        <w:rPr>
          <w:rFonts w:ascii="Courier New" w:hAnsi="Courier New" w:cs="Courier New"/>
          <w:sz w:val="24"/>
          <w:szCs w:val="24"/>
        </w:rPr>
        <w:t xml:space="preserve">release version of </w:t>
      </w:r>
      <w:r>
        <w:rPr>
          <w:rFonts w:ascii="Courier New" w:hAnsi="Courier New" w:cs="Courier New"/>
          <w:sz w:val="24"/>
          <w:szCs w:val="24"/>
        </w:rPr>
        <w:t xml:space="preserve">hGH. </w:t>
      </w:r>
      <w:r w:rsidRPr="00B15877">
        <w:rPr>
          <w:rFonts w:ascii="Courier New" w:hAnsi="Courier New" w:cs="Courier New"/>
          <w:sz w:val="24"/>
          <w:szCs w:val="24"/>
        </w:rPr>
        <w:t xml:space="preserve">Genentech </w:t>
      </w:r>
      <w:r>
        <w:rPr>
          <w:rFonts w:ascii="Courier New" w:hAnsi="Courier New" w:cs="Courier New"/>
          <w:sz w:val="24"/>
          <w:szCs w:val="24"/>
        </w:rPr>
        <w:t xml:space="preserve">consequently </w:t>
      </w:r>
      <w:r w:rsidRPr="00B15877">
        <w:rPr>
          <w:rFonts w:ascii="Courier New" w:hAnsi="Courier New" w:cs="Courier New"/>
          <w:sz w:val="24"/>
          <w:szCs w:val="24"/>
        </w:rPr>
        <w:t xml:space="preserve">entered into a </w:t>
      </w:r>
      <w:r>
        <w:rPr>
          <w:rFonts w:ascii="Courier New" w:hAnsi="Courier New" w:cs="Courier New"/>
          <w:sz w:val="24"/>
          <w:szCs w:val="24"/>
        </w:rPr>
        <w:t>Manufacturing and Supply A</w:t>
      </w:r>
      <w:r w:rsidRPr="00B15877">
        <w:rPr>
          <w:rFonts w:ascii="Courier New" w:hAnsi="Courier New" w:cs="Courier New"/>
          <w:sz w:val="24"/>
          <w:szCs w:val="24"/>
        </w:rPr>
        <w:t xml:space="preserve">greement effective </w:t>
      </w:r>
      <w:r>
        <w:rPr>
          <w:rFonts w:ascii="Courier New" w:hAnsi="Courier New" w:cs="Courier New"/>
          <w:sz w:val="24"/>
          <w:szCs w:val="24"/>
        </w:rPr>
        <w:t>January 1, 2000</w:t>
      </w:r>
      <w:r w:rsidRPr="00B15877">
        <w:rPr>
          <w:rFonts w:ascii="Courier New" w:hAnsi="Courier New" w:cs="Courier New"/>
          <w:sz w:val="24"/>
          <w:szCs w:val="24"/>
        </w:rPr>
        <w:t xml:space="preserve"> with Alkermes</w:t>
      </w:r>
      <w:r>
        <w:rPr>
          <w:rFonts w:ascii="Courier New" w:hAnsi="Courier New" w:cs="Courier New"/>
          <w:sz w:val="24"/>
          <w:szCs w:val="24"/>
        </w:rPr>
        <w:t xml:space="preserve"> (“Alkermes Manufacture and Supply Agreement”)</w:t>
      </w:r>
      <w:r>
        <w:rPr>
          <w:rStyle w:val="FootnoteReference"/>
          <w:rFonts w:ascii="Courier New" w:hAnsi="Courier New" w:cs="Courier New"/>
          <w:sz w:val="24"/>
          <w:szCs w:val="24"/>
        </w:rPr>
        <w:footnoteReference w:id="4"/>
      </w:r>
      <w:r>
        <w:rPr>
          <w:rFonts w:ascii="Courier New" w:hAnsi="Courier New" w:cs="Courier New"/>
          <w:sz w:val="24"/>
          <w:szCs w:val="24"/>
        </w:rPr>
        <w:t xml:space="preserve"> to begin manufacture of the drug for commercial sale under the name </w:t>
      </w:r>
      <w:r w:rsidRPr="00A65957">
        <w:rPr>
          <w:rFonts w:ascii="Courier New" w:hAnsi="Courier New" w:cs="Courier New"/>
          <w:sz w:val="24"/>
          <w:szCs w:val="24"/>
        </w:rPr>
        <w:t>Nutropin Depot</w:t>
      </w:r>
      <w:r>
        <w:rPr>
          <w:rFonts w:ascii="Courier New" w:hAnsi="Courier New" w:cs="Courier New"/>
          <w:sz w:val="24"/>
          <w:szCs w:val="24"/>
        </w:rPr>
        <w:t>, which began in 2000.</w:t>
      </w:r>
      <w:r w:rsidRPr="00B15877">
        <w:rPr>
          <w:rFonts w:ascii="Courier New" w:hAnsi="Courier New" w:cs="Courier New"/>
          <w:sz w:val="24"/>
          <w:szCs w:val="24"/>
        </w:rPr>
        <w:t xml:space="preserve"> Genentech </w:t>
      </w:r>
      <w:r>
        <w:rPr>
          <w:rFonts w:ascii="Courier New" w:hAnsi="Courier New" w:cs="Courier New"/>
          <w:sz w:val="24"/>
          <w:szCs w:val="24"/>
        </w:rPr>
        <w:t xml:space="preserve">would ship </w:t>
      </w:r>
      <w:r w:rsidRPr="00B15877">
        <w:rPr>
          <w:rFonts w:ascii="Courier New" w:hAnsi="Courier New" w:cs="Courier New"/>
          <w:sz w:val="24"/>
          <w:szCs w:val="24"/>
        </w:rPr>
        <w:t xml:space="preserve">bulk </w:t>
      </w:r>
      <w:r>
        <w:rPr>
          <w:rFonts w:ascii="Courier New" w:hAnsi="Courier New" w:cs="Courier New"/>
          <w:sz w:val="24"/>
          <w:szCs w:val="24"/>
        </w:rPr>
        <w:t>hGH</w:t>
      </w:r>
      <w:r w:rsidRPr="00B15877">
        <w:rPr>
          <w:rFonts w:ascii="Courier New" w:hAnsi="Courier New" w:cs="Courier New"/>
          <w:sz w:val="24"/>
          <w:szCs w:val="24"/>
        </w:rPr>
        <w:t xml:space="preserve"> </w:t>
      </w:r>
      <w:r>
        <w:rPr>
          <w:rFonts w:ascii="Courier New" w:hAnsi="Courier New" w:cs="Courier New"/>
          <w:sz w:val="24"/>
          <w:szCs w:val="24"/>
        </w:rPr>
        <w:t>in a frozen state in large 400L to 1,000L tanks</w:t>
      </w:r>
      <w:r w:rsidRPr="00B15877">
        <w:rPr>
          <w:rFonts w:ascii="Courier New" w:hAnsi="Courier New" w:cs="Courier New"/>
          <w:sz w:val="24"/>
          <w:szCs w:val="24"/>
        </w:rPr>
        <w:t xml:space="preserve"> to Alkermes</w:t>
      </w:r>
      <w:r>
        <w:rPr>
          <w:rFonts w:ascii="Courier New" w:hAnsi="Courier New" w:cs="Courier New"/>
          <w:sz w:val="24"/>
          <w:szCs w:val="24"/>
        </w:rPr>
        <w:t xml:space="preserve">’s manufacturing facility in Massachusetts, where a designated manufacturing suite was kept for the production of Nutropin Depot. </w:t>
      </w:r>
      <w:r w:rsidRPr="00B15877">
        <w:rPr>
          <w:rFonts w:ascii="Courier New" w:hAnsi="Courier New" w:cs="Courier New"/>
          <w:sz w:val="24"/>
          <w:szCs w:val="24"/>
        </w:rPr>
        <w:t xml:space="preserve">Under the </w:t>
      </w:r>
      <w:r>
        <w:rPr>
          <w:rFonts w:ascii="Courier New" w:hAnsi="Courier New" w:cs="Courier New"/>
          <w:sz w:val="24"/>
          <w:szCs w:val="24"/>
        </w:rPr>
        <w:t xml:space="preserve">terms of the Alkermes </w:t>
      </w:r>
      <w:r w:rsidRPr="00B15877">
        <w:rPr>
          <w:rFonts w:ascii="Courier New" w:hAnsi="Courier New" w:cs="Courier New"/>
          <w:sz w:val="24"/>
          <w:szCs w:val="24"/>
        </w:rPr>
        <w:t xml:space="preserve">Manufacture and Supply Agreement, Genentech agreed to provide bulk </w:t>
      </w:r>
      <w:r>
        <w:rPr>
          <w:rFonts w:ascii="Courier New" w:hAnsi="Courier New" w:cs="Courier New"/>
          <w:sz w:val="24"/>
          <w:szCs w:val="24"/>
        </w:rPr>
        <w:t>hGH</w:t>
      </w:r>
      <w:r w:rsidRPr="00B15877">
        <w:rPr>
          <w:rFonts w:ascii="Courier New" w:hAnsi="Courier New" w:cs="Courier New"/>
          <w:sz w:val="24"/>
          <w:szCs w:val="24"/>
        </w:rPr>
        <w:t xml:space="preserve"> </w:t>
      </w:r>
      <w:r>
        <w:rPr>
          <w:rFonts w:ascii="Courier New" w:hAnsi="Courier New" w:cs="Courier New"/>
          <w:sz w:val="24"/>
          <w:szCs w:val="24"/>
        </w:rPr>
        <w:t xml:space="preserve">to Alkermes </w:t>
      </w:r>
      <w:r w:rsidRPr="00B15877">
        <w:rPr>
          <w:rFonts w:ascii="Courier New" w:hAnsi="Courier New" w:cs="Courier New"/>
          <w:sz w:val="24"/>
          <w:szCs w:val="24"/>
        </w:rPr>
        <w:t xml:space="preserve">at least </w:t>
      </w:r>
      <w:r>
        <w:rPr>
          <w:rFonts w:ascii="Courier New" w:hAnsi="Courier New" w:cs="Courier New"/>
          <w:sz w:val="24"/>
          <w:szCs w:val="24"/>
        </w:rPr>
        <w:t xml:space="preserve">fourteen </w:t>
      </w:r>
      <w:r w:rsidRPr="00B15877">
        <w:rPr>
          <w:rFonts w:ascii="Courier New" w:hAnsi="Courier New" w:cs="Courier New"/>
          <w:sz w:val="24"/>
          <w:szCs w:val="24"/>
        </w:rPr>
        <w:t>days before a</w:t>
      </w:r>
      <w:r>
        <w:rPr>
          <w:rFonts w:ascii="Courier New" w:hAnsi="Courier New" w:cs="Courier New"/>
          <w:sz w:val="24"/>
          <w:szCs w:val="24"/>
        </w:rPr>
        <w:t xml:space="preserve">ny predetermined </w:t>
      </w:r>
      <w:r w:rsidRPr="00B15877">
        <w:rPr>
          <w:rFonts w:ascii="Courier New" w:hAnsi="Courier New" w:cs="Courier New"/>
          <w:sz w:val="24"/>
          <w:szCs w:val="24"/>
        </w:rPr>
        <w:t>processing date</w:t>
      </w:r>
      <w:r>
        <w:rPr>
          <w:rFonts w:ascii="Courier New" w:hAnsi="Courier New" w:cs="Courier New"/>
          <w:sz w:val="24"/>
          <w:szCs w:val="24"/>
        </w:rPr>
        <w:t>. During the course of the manufacturing relationship, shipments occurred generally one to two times per month</w:t>
      </w:r>
      <w:r w:rsidRPr="00B15877">
        <w:rPr>
          <w:rFonts w:ascii="Courier New" w:hAnsi="Courier New" w:cs="Courier New"/>
          <w:sz w:val="24"/>
          <w:szCs w:val="24"/>
        </w:rPr>
        <w:t xml:space="preserve">. </w:t>
      </w:r>
    </w:p>
    <w:p w:rsidR="008627C1" w:rsidRDefault="008627C1" w:rsidP="008627C1">
      <w:pPr>
        <w:spacing w:line="480" w:lineRule="auto"/>
        <w:ind w:firstLine="720"/>
        <w:jc w:val="both"/>
        <w:rPr>
          <w:rFonts w:ascii="Courier New" w:hAnsi="Courier New" w:cs="Courier New"/>
          <w:sz w:val="24"/>
          <w:szCs w:val="24"/>
        </w:rPr>
      </w:pPr>
      <w:r w:rsidRPr="00B15877">
        <w:rPr>
          <w:rFonts w:ascii="Courier New" w:hAnsi="Courier New" w:cs="Courier New"/>
          <w:sz w:val="24"/>
          <w:szCs w:val="24"/>
        </w:rPr>
        <w:t>After encapsulation</w:t>
      </w:r>
      <w:r>
        <w:rPr>
          <w:rFonts w:ascii="Courier New" w:hAnsi="Courier New" w:cs="Courier New"/>
          <w:sz w:val="24"/>
          <w:szCs w:val="24"/>
        </w:rPr>
        <w:t xml:space="preserve"> and quality testing</w:t>
      </w:r>
      <w:r w:rsidRPr="00B15877">
        <w:rPr>
          <w:rFonts w:ascii="Courier New" w:hAnsi="Courier New" w:cs="Courier New"/>
          <w:sz w:val="24"/>
          <w:szCs w:val="24"/>
        </w:rPr>
        <w:t>, Alkermes would fill</w:t>
      </w:r>
      <w:r>
        <w:rPr>
          <w:rFonts w:ascii="Courier New" w:hAnsi="Courier New" w:cs="Courier New"/>
          <w:sz w:val="24"/>
          <w:szCs w:val="24"/>
        </w:rPr>
        <w:t xml:space="preserve"> </w:t>
      </w:r>
      <w:r w:rsidRPr="00B15877">
        <w:rPr>
          <w:rFonts w:ascii="Courier New" w:hAnsi="Courier New" w:cs="Courier New"/>
          <w:sz w:val="24"/>
          <w:szCs w:val="24"/>
        </w:rPr>
        <w:t xml:space="preserve">the resulting product </w:t>
      </w:r>
      <w:r>
        <w:rPr>
          <w:rFonts w:ascii="Courier New" w:hAnsi="Courier New" w:cs="Courier New"/>
          <w:sz w:val="24"/>
          <w:szCs w:val="24"/>
        </w:rPr>
        <w:t xml:space="preserve">into vialed, unlabeled dosage containers and package them with any requisite diluent and administration needles. Once in this finished form, the drug would be shipped back to Genentech in California to be labeled and sold. </w:t>
      </w:r>
      <w:r w:rsidRPr="00B15877">
        <w:rPr>
          <w:rFonts w:ascii="Courier New" w:hAnsi="Courier New" w:cs="Courier New"/>
          <w:sz w:val="24"/>
          <w:szCs w:val="24"/>
        </w:rPr>
        <w:t xml:space="preserve">While Alkermes stored </w:t>
      </w:r>
      <w:r w:rsidRPr="00B15877">
        <w:rPr>
          <w:rFonts w:ascii="Courier New" w:hAnsi="Courier New" w:cs="Courier New"/>
          <w:sz w:val="24"/>
          <w:szCs w:val="24"/>
        </w:rPr>
        <w:lastRenderedPageBreak/>
        <w:t>and handled the bulk</w:t>
      </w:r>
      <w:r>
        <w:rPr>
          <w:rFonts w:ascii="Courier New" w:hAnsi="Courier New" w:cs="Courier New"/>
          <w:sz w:val="24"/>
          <w:szCs w:val="24"/>
        </w:rPr>
        <w:t xml:space="preserve">, </w:t>
      </w:r>
      <w:r w:rsidRPr="00B15877">
        <w:rPr>
          <w:rFonts w:ascii="Courier New" w:hAnsi="Courier New" w:cs="Courier New"/>
          <w:sz w:val="24"/>
          <w:szCs w:val="24"/>
        </w:rPr>
        <w:t>Genentech</w:t>
      </w:r>
      <w:r>
        <w:rPr>
          <w:rFonts w:ascii="Courier New" w:hAnsi="Courier New" w:cs="Courier New"/>
          <w:sz w:val="24"/>
          <w:szCs w:val="24"/>
        </w:rPr>
        <w:t>,</w:t>
      </w:r>
      <w:r w:rsidRPr="00B15877">
        <w:rPr>
          <w:rFonts w:ascii="Courier New" w:hAnsi="Courier New" w:cs="Courier New"/>
          <w:sz w:val="24"/>
          <w:szCs w:val="24"/>
        </w:rPr>
        <w:t xml:space="preserve"> </w:t>
      </w:r>
      <w:r>
        <w:rPr>
          <w:rFonts w:ascii="Courier New" w:hAnsi="Courier New" w:cs="Courier New"/>
          <w:sz w:val="24"/>
          <w:szCs w:val="24"/>
        </w:rPr>
        <w:t>by the terms of the Alkermes Manufacturing and Supply Agreement,</w:t>
      </w:r>
      <w:r w:rsidRPr="00B15877">
        <w:rPr>
          <w:rFonts w:ascii="Courier New" w:hAnsi="Courier New" w:cs="Courier New"/>
          <w:sz w:val="24"/>
          <w:szCs w:val="24"/>
        </w:rPr>
        <w:t xml:space="preserve"> retained title to </w:t>
      </w:r>
      <w:r>
        <w:rPr>
          <w:rFonts w:ascii="Courier New" w:hAnsi="Courier New" w:cs="Courier New"/>
          <w:sz w:val="24"/>
          <w:szCs w:val="24"/>
        </w:rPr>
        <w:t xml:space="preserve">all bulk drug inventory work in progress at all times while in Alkermes’ Massachusetts facility. Due to the limited commercial success of Nutropin Depot as compared to other forms of Nutropin®, the parties agreed to formally cease production in April 2005.  </w:t>
      </w:r>
    </w:p>
    <w:p w:rsidR="008627C1" w:rsidRPr="00B15877" w:rsidRDefault="008627C1" w:rsidP="008627C1">
      <w:pPr>
        <w:spacing w:line="480" w:lineRule="auto"/>
        <w:ind w:firstLine="720"/>
        <w:jc w:val="both"/>
        <w:rPr>
          <w:rFonts w:ascii="Courier New" w:hAnsi="Courier New" w:cs="Courier New"/>
          <w:sz w:val="24"/>
          <w:szCs w:val="24"/>
        </w:rPr>
      </w:pPr>
      <w:r w:rsidRPr="00C0678A">
        <w:rPr>
          <w:rFonts w:ascii="Courier New" w:hAnsi="Courier New" w:cs="Courier New"/>
          <w:sz w:val="24"/>
          <w:szCs w:val="24"/>
        </w:rPr>
        <w:t xml:space="preserve">  The record contain</w:t>
      </w:r>
      <w:r>
        <w:rPr>
          <w:rFonts w:ascii="Courier New" w:hAnsi="Courier New" w:cs="Courier New"/>
          <w:sz w:val="24"/>
          <w:szCs w:val="24"/>
        </w:rPr>
        <w:t xml:space="preserve">ed </w:t>
      </w:r>
      <w:r w:rsidRPr="00C0678A">
        <w:rPr>
          <w:rFonts w:ascii="Courier New" w:hAnsi="Courier New" w:cs="Courier New"/>
          <w:sz w:val="24"/>
          <w:szCs w:val="24"/>
        </w:rPr>
        <w:t xml:space="preserve">discrepancies about the amount of inventory work in progress that Genentech held title to at Alkermes’ facility during the years at issue. Genentech’s property apportionment schedules showed that the </w:t>
      </w:r>
      <w:r>
        <w:rPr>
          <w:rFonts w:ascii="Courier New" w:hAnsi="Courier New" w:cs="Courier New"/>
          <w:sz w:val="24"/>
          <w:szCs w:val="24"/>
        </w:rPr>
        <w:t>appellant</w:t>
      </w:r>
      <w:r w:rsidRPr="00C0678A">
        <w:rPr>
          <w:rFonts w:ascii="Courier New" w:hAnsi="Courier New" w:cs="Courier New"/>
          <w:sz w:val="24"/>
          <w:szCs w:val="24"/>
        </w:rPr>
        <w:t xml:space="preserve"> owned $529,000 worth of inventory in the Commonwealth </w:t>
      </w:r>
      <w:r>
        <w:rPr>
          <w:rFonts w:ascii="Courier New" w:hAnsi="Courier New" w:cs="Courier New"/>
          <w:sz w:val="24"/>
          <w:szCs w:val="24"/>
        </w:rPr>
        <w:t xml:space="preserve">at the end of </w:t>
      </w:r>
      <w:r w:rsidRPr="00C0678A">
        <w:rPr>
          <w:rFonts w:ascii="Courier New" w:hAnsi="Courier New" w:cs="Courier New"/>
          <w:sz w:val="24"/>
          <w:szCs w:val="24"/>
        </w:rPr>
        <w:t>1999 (despite the fact that commercial sale did not begin until 2000), $2,496,451 worth of inventory in 2000, $1,986,012 worth of inventory in 2001, $3,173,</w:t>
      </w:r>
      <w:r>
        <w:rPr>
          <w:rFonts w:ascii="Courier New" w:hAnsi="Courier New" w:cs="Courier New"/>
          <w:sz w:val="24"/>
          <w:szCs w:val="24"/>
        </w:rPr>
        <w:t xml:space="preserve">776 worth of inventory in 2002, and $4,571,219 worth of </w:t>
      </w:r>
      <w:r w:rsidRPr="00C0678A">
        <w:rPr>
          <w:rFonts w:ascii="Courier New" w:hAnsi="Courier New" w:cs="Courier New"/>
          <w:sz w:val="24"/>
          <w:szCs w:val="24"/>
        </w:rPr>
        <w:t>inventory in 2003</w:t>
      </w:r>
      <w:r>
        <w:rPr>
          <w:rFonts w:ascii="Courier New" w:hAnsi="Courier New" w:cs="Courier New"/>
          <w:sz w:val="24"/>
          <w:szCs w:val="24"/>
        </w:rPr>
        <w:t>.</w:t>
      </w:r>
      <w:r w:rsidRPr="00C0678A">
        <w:rPr>
          <w:rFonts w:ascii="Courier New" w:hAnsi="Courier New" w:cs="Courier New"/>
          <w:sz w:val="24"/>
          <w:szCs w:val="24"/>
        </w:rPr>
        <w:t xml:space="preserve"> </w:t>
      </w:r>
      <w:r>
        <w:rPr>
          <w:rFonts w:ascii="Courier New" w:hAnsi="Courier New" w:cs="Courier New"/>
          <w:sz w:val="24"/>
          <w:szCs w:val="24"/>
        </w:rPr>
        <w:t xml:space="preserve">For </w:t>
      </w:r>
      <w:r w:rsidRPr="00C0678A">
        <w:rPr>
          <w:rFonts w:ascii="Courier New" w:hAnsi="Courier New" w:cs="Courier New"/>
          <w:sz w:val="24"/>
          <w:szCs w:val="24"/>
        </w:rPr>
        <w:t>2004</w:t>
      </w:r>
      <w:r>
        <w:rPr>
          <w:rFonts w:ascii="Courier New" w:hAnsi="Courier New" w:cs="Courier New"/>
          <w:sz w:val="24"/>
          <w:szCs w:val="24"/>
        </w:rPr>
        <w:t>, the apportionment schedule reflected zero inventory</w:t>
      </w:r>
      <w:r w:rsidRPr="00C0678A">
        <w:rPr>
          <w:rFonts w:ascii="Courier New" w:hAnsi="Courier New" w:cs="Courier New"/>
          <w:sz w:val="24"/>
          <w:szCs w:val="24"/>
        </w:rPr>
        <w:t xml:space="preserve">. However, this does not comport to what was reported on </w:t>
      </w:r>
      <w:r>
        <w:rPr>
          <w:rFonts w:ascii="Courier New" w:hAnsi="Courier New" w:cs="Courier New"/>
          <w:sz w:val="24"/>
          <w:szCs w:val="24"/>
        </w:rPr>
        <w:t>Genentech</w:t>
      </w:r>
      <w:r w:rsidRPr="00C0678A">
        <w:rPr>
          <w:rFonts w:ascii="Courier New" w:hAnsi="Courier New" w:cs="Courier New"/>
          <w:sz w:val="24"/>
          <w:szCs w:val="24"/>
        </w:rPr>
        <w:t>’s Massachusetts tax returns</w:t>
      </w:r>
      <w:r>
        <w:rPr>
          <w:rFonts w:ascii="Courier New" w:hAnsi="Courier New" w:cs="Courier New"/>
          <w:sz w:val="24"/>
          <w:szCs w:val="24"/>
        </w:rPr>
        <w:t xml:space="preserve"> for the 2004 tax year, which showed $2,306,986 of </w:t>
      </w:r>
      <w:r w:rsidRPr="00C0678A">
        <w:rPr>
          <w:rFonts w:ascii="Courier New" w:hAnsi="Courier New" w:cs="Courier New"/>
          <w:sz w:val="24"/>
          <w:szCs w:val="24"/>
        </w:rPr>
        <w:t xml:space="preserve">property </w:t>
      </w:r>
      <w:r>
        <w:rPr>
          <w:rFonts w:ascii="Courier New" w:hAnsi="Courier New" w:cs="Courier New"/>
          <w:sz w:val="24"/>
          <w:szCs w:val="24"/>
        </w:rPr>
        <w:t xml:space="preserve">owned by Genentech in Massachusetts for apportionment purposes </w:t>
      </w:r>
      <w:r w:rsidRPr="00C0678A">
        <w:rPr>
          <w:rFonts w:ascii="Courier New" w:hAnsi="Courier New" w:cs="Courier New"/>
          <w:sz w:val="24"/>
          <w:szCs w:val="24"/>
        </w:rPr>
        <w:t xml:space="preserve">for the 2004 tax year. Given the level of inventory in prior years at the Alkermes facility and that the manufacturing relationship extended through </w:t>
      </w:r>
      <w:r>
        <w:rPr>
          <w:rFonts w:ascii="Courier New" w:hAnsi="Courier New" w:cs="Courier New"/>
          <w:sz w:val="24"/>
          <w:szCs w:val="24"/>
        </w:rPr>
        <w:lastRenderedPageBreak/>
        <w:t>2005</w:t>
      </w:r>
      <w:r w:rsidRPr="00C0678A">
        <w:rPr>
          <w:rFonts w:ascii="Courier New" w:hAnsi="Courier New" w:cs="Courier New"/>
          <w:sz w:val="24"/>
          <w:szCs w:val="24"/>
        </w:rPr>
        <w:t xml:space="preserve">, the Board found that </w:t>
      </w:r>
      <w:r>
        <w:rPr>
          <w:rFonts w:ascii="Courier New" w:hAnsi="Courier New" w:cs="Courier New"/>
          <w:sz w:val="24"/>
          <w:szCs w:val="24"/>
        </w:rPr>
        <w:t>the Massachusetts property shown on the appellant’s 2004 tax return</w:t>
      </w:r>
      <w:r w:rsidRPr="00C0678A">
        <w:rPr>
          <w:rFonts w:ascii="Courier New" w:hAnsi="Courier New" w:cs="Courier New"/>
          <w:sz w:val="24"/>
          <w:szCs w:val="24"/>
        </w:rPr>
        <w:t xml:space="preserve"> represented inventory kept at Alkermes’ Massachusetts facility.</w:t>
      </w:r>
    </w:p>
    <w:p w:rsidR="008627C1" w:rsidRDefault="008627C1" w:rsidP="008627C1">
      <w:pPr>
        <w:spacing w:line="480" w:lineRule="auto"/>
        <w:jc w:val="both"/>
        <w:rPr>
          <w:rFonts w:ascii="Courier New" w:hAnsi="Courier New" w:cs="Courier New"/>
          <w:sz w:val="24"/>
          <w:szCs w:val="24"/>
        </w:rPr>
      </w:pPr>
      <w:r>
        <w:rPr>
          <w:rFonts w:ascii="Courier New" w:hAnsi="Courier New" w:cs="Courier New"/>
          <w:sz w:val="24"/>
          <w:szCs w:val="24"/>
        </w:rPr>
        <w:tab/>
        <w:t xml:space="preserve">Under the terms of the Alkermes Manufacturing and Supply Agreement, Genentech had the option to install capital equipment at Alkermes’ manufacturing location, to which it would retain title, and to maintain a reasonable number of its own employees on-site </w:t>
      </w:r>
      <w:r w:rsidRPr="00B15877">
        <w:rPr>
          <w:rFonts w:ascii="Courier New" w:hAnsi="Courier New" w:cs="Courier New"/>
          <w:sz w:val="24"/>
          <w:szCs w:val="24"/>
        </w:rPr>
        <w:t xml:space="preserve">at the </w:t>
      </w:r>
      <w:r>
        <w:rPr>
          <w:rFonts w:ascii="Courier New" w:hAnsi="Courier New" w:cs="Courier New"/>
          <w:sz w:val="24"/>
          <w:szCs w:val="24"/>
        </w:rPr>
        <w:t xml:space="preserve">Alkermes </w:t>
      </w:r>
      <w:r w:rsidRPr="00B15877">
        <w:rPr>
          <w:rFonts w:ascii="Courier New" w:hAnsi="Courier New" w:cs="Courier New"/>
          <w:sz w:val="24"/>
          <w:szCs w:val="24"/>
        </w:rPr>
        <w:t xml:space="preserve">facility to oversee </w:t>
      </w:r>
      <w:r>
        <w:rPr>
          <w:rFonts w:ascii="Courier New" w:hAnsi="Courier New" w:cs="Courier New"/>
          <w:sz w:val="24"/>
          <w:szCs w:val="24"/>
        </w:rPr>
        <w:t xml:space="preserve">the manufacturing </w:t>
      </w:r>
      <w:r w:rsidRPr="00B15877">
        <w:rPr>
          <w:rFonts w:ascii="Courier New" w:hAnsi="Courier New" w:cs="Courier New"/>
          <w:sz w:val="24"/>
          <w:szCs w:val="24"/>
        </w:rPr>
        <w:t>proce</w:t>
      </w:r>
      <w:r>
        <w:rPr>
          <w:rFonts w:ascii="Courier New" w:hAnsi="Courier New" w:cs="Courier New"/>
          <w:sz w:val="24"/>
          <w:szCs w:val="24"/>
        </w:rPr>
        <w:t>ss</w:t>
      </w:r>
      <w:r w:rsidRPr="00B15877">
        <w:rPr>
          <w:rFonts w:ascii="Courier New" w:hAnsi="Courier New" w:cs="Courier New"/>
          <w:sz w:val="24"/>
          <w:szCs w:val="24"/>
        </w:rPr>
        <w:t xml:space="preserve">. </w:t>
      </w:r>
      <w:r>
        <w:rPr>
          <w:rFonts w:ascii="Courier New" w:hAnsi="Courier New" w:cs="Courier New"/>
          <w:sz w:val="24"/>
          <w:szCs w:val="24"/>
        </w:rPr>
        <w:t>The appellant was not able to establish definitively whether any such capital equipment was installed or whether there were any employees present at the Alkermes facility. However, as the Board found that the inventory property in Massachusetts owned by Genentech was sufficient in and of itself to create nexus for all the years of the appellant’s collaboration with Alkermes, the Board did not need to reach the question of whether there were any additional assets or whether Genentech employees were present on-site.</w:t>
      </w:r>
    </w:p>
    <w:p w:rsidR="008627C1" w:rsidRPr="00514594" w:rsidRDefault="008627C1" w:rsidP="008627C1">
      <w:pPr>
        <w:pStyle w:val="ListParagraph"/>
        <w:numPr>
          <w:ilvl w:val="0"/>
          <w:numId w:val="13"/>
        </w:numPr>
        <w:spacing w:line="480" w:lineRule="auto"/>
        <w:jc w:val="both"/>
        <w:rPr>
          <w:rFonts w:ascii="Courier New" w:hAnsi="Courier New" w:cs="Courier New"/>
          <w:i/>
          <w:sz w:val="24"/>
          <w:szCs w:val="24"/>
        </w:rPr>
      </w:pPr>
      <w:r w:rsidRPr="00514594">
        <w:rPr>
          <w:rFonts w:ascii="Courier New" w:hAnsi="Courier New" w:cs="Courier New"/>
          <w:i/>
          <w:sz w:val="24"/>
          <w:szCs w:val="24"/>
        </w:rPr>
        <w:t>Property in Massachusetts in the 1998 Tax Year</w:t>
      </w:r>
    </w:p>
    <w:p w:rsidR="008627C1" w:rsidRDefault="008627C1" w:rsidP="008627C1">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Genentech’s property apportionment workpapers included in the record showed that it owned $86,774 of machinery and equipment located in Massachusetts during the 1998 tax </w:t>
      </w:r>
      <w:r>
        <w:rPr>
          <w:rFonts w:ascii="Courier New" w:hAnsi="Courier New" w:cs="Courier New"/>
          <w:sz w:val="24"/>
          <w:szCs w:val="24"/>
        </w:rPr>
        <w:lastRenderedPageBreak/>
        <w:t>year.</w:t>
      </w:r>
      <w:r>
        <w:rPr>
          <w:rStyle w:val="FootnoteReference"/>
          <w:rFonts w:ascii="Courier New" w:hAnsi="Courier New" w:cs="Courier New"/>
          <w:sz w:val="24"/>
          <w:szCs w:val="24"/>
        </w:rPr>
        <w:footnoteReference w:id="5"/>
      </w:r>
      <w:r>
        <w:rPr>
          <w:rFonts w:ascii="Courier New" w:hAnsi="Courier New" w:cs="Courier New"/>
          <w:sz w:val="24"/>
          <w:szCs w:val="24"/>
        </w:rPr>
        <w:t xml:space="preserve"> Per its Federal Form 1120 for the 1998 tax year, Genentech’s total assets at the end of 1998 were </w:t>
      </w:r>
      <w:r w:rsidRPr="005F1760">
        <w:rPr>
          <w:rFonts w:ascii="Courier New" w:hAnsi="Courier New" w:cs="Courier New"/>
          <w:sz w:val="24"/>
          <w:szCs w:val="24"/>
        </w:rPr>
        <w:t>$2,906,451,261</w:t>
      </w:r>
      <w:r>
        <w:rPr>
          <w:rFonts w:ascii="Courier New" w:hAnsi="Courier New" w:cs="Courier New"/>
          <w:sz w:val="24"/>
          <w:szCs w:val="24"/>
        </w:rPr>
        <w:t>, including</w:t>
      </w:r>
      <w:r w:rsidRPr="005F1760">
        <w:rPr>
          <w:rFonts w:ascii="Courier New" w:hAnsi="Courier New" w:cs="Courier New"/>
          <w:sz w:val="24"/>
          <w:szCs w:val="24"/>
        </w:rPr>
        <w:t xml:space="preserve"> </w:t>
      </w:r>
      <w:r>
        <w:rPr>
          <w:rFonts w:ascii="Courier New" w:hAnsi="Courier New" w:cs="Courier New"/>
          <w:sz w:val="24"/>
          <w:szCs w:val="24"/>
        </w:rPr>
        <w:t xml:space="preserve">inventory of $148,625,645 and buildings and depreciable assets with an original cost of $1,075,949,590. Genentech asserted that this property consisted of “computers, printers, and other property provided to Genentech’s salespeople for use in their sales solicitation activities.” </w:t>
      </w:r>
      <w:r w:rsidRPr="002C67B3">
        <w:rPr>
          <w:rFonts w:ascii="Courier New" w:hAnsi="Courier New" w:cs="Courier New"/>
          <w:smallCaps/>
          <w:sz w:val="24"/>
          <w:szCs w:val="24"/>
        </w:rPr>
        <w:t>Gene</w:t>
      </w:r>
      <w:r>
        <w:rPr>
          <w:rFonts w:ascii="Courier New" w:hAnsi="Courier New" w:cs="Courier New"/>
          <w:smallCaps/>
          <w:sz w:val="24"/>
          <w:szCs w:val="24"/>
        </w:rPr>
        <w:t>n</w:t>
      </w:r>
      <w:r w:rsidRPr="002C67B3">
        <w:rPr>
          <w:rFonts w:ascii="Courier New" w:hAnsi="Courier New" w:cs="Courier New"/>
          <w:smallCaps/>
          <w:sz w:val="24"/>
          <w:szCs w:val="24"/>
        </w:rPr>
        <w:t>tech’s Motion for Summary Judgment and Supporting Memorandum of Points and Authorities</w:t>
      </w:r>
      <w:r>
        <w:rPr>
          <w:rFonts w:ascii="Courier New" w:hAnsi="Courier New" w:cs="Courier New"/>
          <w:sz w:val="24"/>
          <w:szCs w:val="24"/>
        </w:rPr>
        <w:t xml:space="preserve"> </w:t>
      </w:r>
      <w:r w:rsidRPr="00482D5C">
        <w:rPr>
          <w:rFonts w:ascii="Courier New" w:hAnsi="Courier New" w:cs="Courier New"/>
          <w:sz w:val="24"/>
          <w:szCs w:val="24"/>
        </w:rPr>
        <w:t>at 24</w:t>
      </w:r>
      <w:r>
        <w:rPr>
          <w:rFonts w:ascii="Courier New" w:hAnsi="Courier New" w:cs="Courier New"/>
          <w:sz w:val="24"/>
          <w:szCs w:val="24"/>
        </w:rPr>
        <w:t>. The workpapers show that the total may be broken down into categories as follows:</w:t>
      </w:r>
    </w:p>
    <w:tbl>
      <w:tblPr>
        <w:tblStyle w:val="TableGrid"/>
        <w:tblW w:w="8832" w:type="dxa"/>
        <w:tblInd w:w="108" w:type="dxa"/>
        <w:tblLook w:val="04A0" w:firstRow="1" w:lastRow="0" w:firstColumn="1" w:lastColumn="0" w:noHBand="0" w:noVBand="1"/>
      </w:tblPr>
      <w:tblGrid>
        <w:gridCol w:w="3089"/>
        <w:gridCol w:w="2181"/>
        <w:gridCol w:w="2090"/>
        <w:gridCol w:w="1472"/>
      </w:tblGrid>
      <w:tr w:rsidR="008627C1" w:rsidTr="00985AD3">
        <w:trPr>
          <w:trHeight w:val="267"/>
        </w:trPr>
        <w:tc>
          <w:tcPr>
            <w:tcW w:w="8831" w:type="dxa"/>
            <w:gridSpan w:val="4"/>
            <w:shd w:val="clear" w:color="auto" w:fill="D9D9D9" w:themeFill="background1" w:themeFillShade="D9"/>
          </w:tcPr>
          <w:p w:rsidR="008627C1" w:rsidRPr="005B0E7A" w:rsidRDefault="008627C1" w:rsidP="00985AD3">
            <w:pPr>
              <w:jc w:val="center"/>
              <w:rPr>
                <w:rFonts w:ascii="Courier New" w:hAnsi="Courier New" w:cs="Courier New"/>
                <w:b/>
                <w:sz w:val="22"/>
                <w:szCs w:val="22"/>
              </w:rPr>
            </w:pPr>
            <w:r w:rsidRPr="005B0E7A">
              <w:rPr>
                <w:rFonts w:ascii="Courier New" w:hAnsi="Courier New" w:cs="Courier New"/>
                <w:b/>
                <w:sz w:val="22"/>
                <w:szCs w:val="22"/>
              </w:rPr>
              <w:t>Table 1</w:t>
            </w:r>
          </w:p>
        </w:tc>
      </w:tr>
      <w:tr w:rsidR="008627C1" w:rsidTr="00985AD3">
        <w:trPr>
          <w:trHeight w:val="267"/>
        </w:trPr>
        <w:tc>
          <w:tcPr>
            <w:tcW w:w="8831" w:type="dxa"/>
            <w:gridSpan w:val="4"/>
            <w:shd w:val="clear" w:color="auto" w:fill="D9D9D9" w:themeFill="background1" w:themeFillShade="D9"/>
          </w:tcPr>
          <w:p w:rsidR="008627C1" w:rsidRPr="005B0E7A" w:rsidRDefault="008627C1" w:rsidP="00985AD3">
            <w:pPr>
              <w:jc w:val="center"/>
              <w:rPr>
                <w:rFonts w:ascii="Courier New" w:hAnsi="Courier New" w:cs="Courier New"/>
                <w:b/>
                <w:sz w:val="22"/>
                <w:szCs w:val="22"/>
              </w:rPr>
            </w:pPr>
            <w:r w:rsidRPr="005B0E7A">
              <w:rPr>
                <w:rFonts w:ascii="Courier New" w:hAnsi="Courier New" w:cs="Courier New"/>
                <w:b/>
                <w:sz w:val="22"/>
                <w:szCs w:val="22"/>
              </w:rPr>
              <w:t>Summary of 1998 Massachusetts Property</w:t>
            </w:r>
          </w:p>
        </w:tc>
      </w:tr>
      <w:tr w:rsidR="008627C1" w:rsidTr="00985AD3">
        <w:trPr>
          <w:trHeight w:val="549"/>
        </w:trPr>
        <w:tc>
          <w:tcPr>
            <w:tcW w:w="3089" w:type="dxa"/>
          </w:tcPr>
          <w:p w:rsidR="008627C1" w:rsidRPr="005B0E7A" w:rsidRDefault="008627C1" w:rsidP="00985AD3">
            <w:pPr>
              <w:jc w:val="center"/>
              <w:rPr>
                <w:rFonts w:ascii="Courier New" w:hAnsi="Courier New" w:cs="Courier New"/>
                <w:b/>
                <w:sz w:val="22"/>
                <w:szCs w:val="22"/>
              </w:rPr>
            </w:pPr>
            <w:r w:rsidRPr="005B0E7A">
              <w:rPr>
                <w:rFonts w:ascii="Courier New" w:hAnsi="Courier New" w:cs="Courier New"/>
                <w:b/>
                <w:sz w:val="22"/>
                <w:szCs w:val="22"/>
              </w:rPr>
              <w:t>Property</w:t>
            </w:r>
          </w:p>
        </w:tc>
        <w:tc>
          <w:tcPr>
            <w:tcW w:w="2181" w:type="dxa"/>
          </w:tcPr>
          <w:p w:rsidR="008627C1" w:rsidRPr="005B0E7A" w:rsidRDefault="008627C1" w:rsidP="00985AD3">
            <w:pPr>
              <w:jc w:val="center"/>
              <w:rPr>
                <w:rFonts w:ascii="Courier New" w:hAnsi="Courier New" w:cs="Courier New"/>
                <w:b/>
                <w:sz w:val="22"/>
                <w:szCs w:val="22"/>
              </w:rPr>
            </w:pPr>
            <w:r w:rsidRPr="005B0E7A">
              <w:rPr>
                <w:rFonts w:ascii="Courier New" w:hAnsi="Courier New" w:cs="Courier New"/>
                <w:b/>
                <w:sz w:val="22"/>
                <w:szCs w:val="22"/>
              </w:rPr>
              <w:t>Original</w:t>
            </w:r>
          </w:p>
          <w:p w:rsidR="008627C1" w:rsidRPr="005B0E7A" w:rsidRDefault="008627C1" w:rsidP="00985AD3">
            <w:pPr>
              <w:jc w:val="center"/>
              <w:rPr>
                <w:rFonts w:ascii="Courier New" w:hAnsi="Courier New" w:cs="Courier New"/>
                <w:b/>
                <w:sz w:val="22"/>
                <w:szCs w:val="22"/>
              </w:rPr>
            </w:pPr>
            <w:r w:rsidRPr="005B0E7A">
              <w:rPr>
                <w:rFonts w:ascii="Courier New" w:hAnsi="Courier New" w:cs="Courier New"/>
                <w:b/>
                <w:sz w:val="22"/>
                <w:szCs w:val="22"/>
              </w:rPr>
              <w:t>Cost</w:t>
            </w:r>
          </w:p>
        </w:tc>
        <w:tc>
          <w:tcPr>
            <w:tcW w:w="2090" w:type="dxa"/>
          </w:tcPr>
          <w:p w:rsidR="008627C1" w:rsidRPr="005B0E7A" w:rsidRDefault="008627C1" w:rsidP="00985AD3">
            <w:pPr>
              <w:jc w:val="center"/>
              <w:rPr>
                <w:rFonts w:ascii="Courier New" w:hAnsi="Courier New" w:cs="Courier New"/>
                <w:b/>
                <w:sz w:val="22"/>
                <w:szCs w:val="22"/>
              </w:rPr>
            </w:pPr>
            <w:r w:rsidRPr="005B0E7A">
              <w:rPr>
                <w:rFonts w:ascii="Courier New" w:hAnsi="Courier New" w:cs="Courier New"/>
                <w:b/>
                <w:sz w:val="22"/>
                <w:szCs w:val="22"/>
              </w:rPr>
              <w:t>Accumulated Depreciation</w:t>
            </w:r>
          </w:p>
        </w:tc>
        <w:tc>
          <w:tcPr>
            <w:tcW w:w="1472" w:type="dxa"/>
          </w:tcPr>
          <w:p w:rsidR="008627C1" w:rsidRPr="005B0E7A" w:rsidRDefault="008627C1" w:rsidP="00985AD3">
            <w:pPr>
              <w:jc w:val="center"/>
              <w:rPr>
                <w:rFonts w:ascii="Courier New" w:hAnsi="Courier New" w:cs="Courier New"/>
                <w:b/>
                <w:sz w:val="22"/>
                <w:szCs w:val="22"/>
              </w:rPr>
            </w:pPr>
            <w:r w:rsidRPr="005B0E7A">
              <w:rPr>
                <w:rFonts w:ascii="Courier New" w:hAnsi="Courier New" w:cs="Courier New"/>
                <w:b/>
                <w:sz w:val="22"/>
                <w:szCs w:val="22"/>
              </w:rPr>
              <w:t>Net Book Value</w:t>
            </w:r>
          </w:p>
        </w:tc>
      </w:tr>
      <w:tr w:rsidR="008627C1" w:rsidTr="00985AD3">
        <w:trPr>
          <w:trHeight w:val="269"/>
        </w:trPr>
        <w:tc>
          <w:tcPr>
            <w:tcW w:w="3089" w:type="dxa"/>
          </w:tcPr>
          <w:p w:rsidR="008627C1" w:rsidRPr="005B0E7A" w:rsidRDefault="008627C1" w:rsidP="00985AD3">
            <w:pPr>
              <w:jc w:val="center"/>
              <w:rPr>
                <w:rFonts w:ascii="Courier New" w:hAnsi="Courier New" w:cs="Courier New"/>
                <w:sz w:val="22"/>
                <w:szCs w:val="22"/>
              </w:rPr>
            </w:pPr>
            <w:r w:rsidRPr="005B0E7A">
              <w:rPr>
                <w:rFonts w:ascii="Courier New" w:hAnsi="Courier New" w:cs="Courier New"/>
                <w:sz w:val="22"/>
                <w:szCs w:val="22"/>
              </w:rPr>
              <w:t xml:space="preserve">Compaq Proliant 5000 </w:t>
            </w:r>
          </w:p>
        </w:tc>
        <w:tc>
          <w:tcPr>
            <w:tcW w:w="2181" w:type="dxa"/>
          </w:tcPr>
          <w:p w:rsidR="008627C1" w:rsidRPr="005B0E7A" w:rsidRDefault="008627C1" w:rsidP="00985AD3">
            <w:pPr>
              <w:jc w:val="center"/>
              <w:rPr>
                <w:rFonts w:ascii="Courier New" w:hAnsi="Courier New" w:cs="Courier New"/>
                <w:sz w:val="22"/>
                <w:szCs w:val="22"/>
              </w:rPr>
            </w:pPr>
            <w:r w:rsidRPr="005B0E7A">
              <w:rPr>
                <w:rFonts w:ascii="Courier New" w:hAnsi="Courier New" w:cs="Courier New"/>
                <w:sz w:val="22"/>
                <w:szCs w:val="22"/>
              </w:rPr>
              <w:t>$44,982</w:t>
            </w:r>
          </w:p>
        </w:tc>
        <w:tc>
          <w:tcPr>
            <w:tcW w:w="2090" w:type="dxa"/>
          </w:tcPr>
          <w:p w:rsidR="008627C1" w:rsidRPr="005B0E7A" w:rsidRDefault="008627C1" w:rsidP="00985AD3">
            <w:pPr>
              <w:jc w:val="center"/>
              <w:rPr>
                <w:rFonts w:ascii="Courier New" w:hAnsi="Courier New" w:cs="Courier New"/>
                <w:sz w:val="22"/>
                <w:szCs w:val="22"/>
              </w:rPr>
            </w:pPr>
            <w:r w:rsidRPr="005B0E7A">
              <w:rPr>
                <w:rFonts w:ascii="Courier New" w:hAnsi="Courier New" w:cs="Courier New"/>
                <w:sz w:val="22"/>
                <w:szCs w:val="22"/>
              </w:rPr>
              <w:t>$19,680</w:t>
            </w:r>
          </w:p>
        </w:tc>
        <w:tc>
          <w:tcPr>
            <w:tcW w:w="1472" w:type="dxa"/>
          </w:tcPr>
          <w:p w:rsidR="008627C1" w:rsidRPr="005B0E7A" w:rsidRDefault="008627C1" w:rsidP="00985AD3">
            <w:pPr>
              <w:jc w:val="center"/>
              <w:rPr>
                <w:rFonts w:ascii="Courier New" w:hAnsi="Courier New" w:cs="Courier New"/>
                <w:sz w:val="22"/>
                <w:szCs w:val="22"/>
              </w:rPr>
            </w:pPr>
            <w:r w:rsidRPr="005B0E7A">
              <w:rPr>
                <w:rFonts w:ascii="Courier New" w:hAnsi="Courier New" w:cs="Courier New"/>
                <w:sz w:val="22"/>
                <w:szCs w:val="22"/>
              </w:rPr>
              <w:t>$25,302</w:t>
            </w:r>
          </w:p>
        </w:tc>
      </w:tr>
      <w:tr w:rsidR="008627C1" w:rsidTr="00985AD3">
        <w:trPr>
          <w:trHeight w:val="728"/>
        </w:trPr>
        <w:tc>
          <w:tcPr>
            <w:tcW w:w="3089" w:type="dxa"/>
          </w:tcPr>
          <w:p w:rsidR="008627C1" w:rsidRPr="005B0E7A" w:rsidRDefault="008627C1" w:rsidP="00985AD3">
            <w:pPr>
              <w:jc w:val="center"/>
              <w:rPr>
                <w:rFonts w:ascii="Courier New" w:hAnsi="Courier New" w:cs="Courier New"/>
                <w:sz w:val="22"/>
                <w:szCs w:val="22"/>
              </w:rPr>
            </w:pPr>
            <w:r w:rsidRPr="005B0E7A">
              <w:rPr>
                <w:rFonts w:ascii="Courier New" w:hAnsi="Courier New" w:cs="Courier New"/>
                <w:sz w:val="22"/>
                <w:szCs w:val="22"/>
              </w:rPr>
              <w:t>Storage Dimensions Tape Drive and Optical Fibers</w:t>
            </w:r>
          </w:p>
        </w:tc>
        <w:tc>
          <w:tcPr>
            <w:tcW w:w="2181" w:type="dxa"/>
          </w:tcPr>
          <w:p w:rsidR="008627C1" w:rsidRPr="005B0E7A" w:rsidRDefault="008627C1" w:rsidP="00985AD3">
            <w:pPr>
              <w:jc w:val="center"/>
              <w:rPr>
                <w:rFonts w:ascii="Courier New" w:hAnsi="Courier New" w:cs="Courier New"/>
                <w:sz w:val="22"/>
                <w:szCs w:val="22"/>
              </w:rPr>
            </w:pPr>
            <w:r w:rsidRPr="005B0E7A">
              <w:rPr>
                <w:rFonts w:ascii="Courier New" w:hAnsi="Courier New" w:cs="Courier New"/>
                <w:sz w:val="22"/>
                <w:szCs w:val="22"/>
              </w:rPr>
              <w:t>6,543</w:t>
            </w:r>
          </w:p>
        </w:tc>
        <w:tc>
          <w:tcPr>
            <w:tcW w:w="2090" w:type="dxa"/>
          </w:tcPr>
          <w:p w:rsidR="008627C1" w:rsidRPr="005B0E7A" w:rsidRDefault="008627C1" w:rsidP="00985AD3">
            <w:pPr>
              <w:jc w:val="center"/>
              <w:rPr>
                <w:rFonts w:ascii="Courier New" w:hAnsi="Courier New" w:cs="Courier New"/>
                <w:sz w:val="22"/>
                <w:szCs w:val="22"/>
              </w:rPr>
            </w:pPr>
            <w:r w:rsidRPr="005B0E7A">
              <w:rPr>
                <w:rFonts w:ascii="Courier New" w:hAnsi="Courier New" w:cs="Courier New"/>
                <w:sz w:val="22"/>
                <w:szCs w:val="22"/>
              </w:rPr>
              <w:t>1,330</w:t>
            </w:r>
          </w:p>
        </w:tc>
        <w:tc>
          <w:tcPr>
            <w:tcW w:w="1472" w:type="dxa"/>
          </w:tcPr>
          <w:p w:rsidR="008627C1" w:rsidRPr="005B0E7A" w:rsidRDefault="008627C1" w:rsidP="00985AD3">
            <w:pPr>
              <w:jc w:val="center"/>
              <w:rPr>
                <w:rFonts w:ascii="Courier New" w:hAnsi="Courier New" w:cs="Courier New"/>
                <w:sz w:val="22"/>
                <w:szCs w:val="22"/>
              </w:rPr>
            </w:pPr>
            <w:r w:rsidRPr="005B0E7A">
              <w:rPr>
                <w:rFonts w:ascii="Courier New" w:hAnsi="Courier New" w:cs="Courier New"/>
                <w:sz w:val="22"/>
                <w:szCs w:val="22"/>
              </w:rPr>
              <w:t>5,213</w:t>
            </w:r>
          </w:p>
        </w:tc>
      </w:tr>
      <w:tr w:rsidR="008627C1" w:rsidTr="00985AD3">
        <w:trPr>
          <w:trHeight w:val="683"/>
        </w:trPr>
        <w:tc>
          <w:tcPr>
            <w:tcW w:w="3089" w:type="dxa"/>
          </w:tcPr>
          <w:p w:rsidR="008627C1" w:rsidRPr="005B0E7A" w:rsidRDefault="008627C1" w:rsidP="00985AD3">
            <w:pPr>
              <w:jc w:val="center"/>
              <w:rPr>
                <w:rFonts w:ascii="Courier New" w:hAnsi="Courier New" w:cs="Courier New"/>
                <w:sz w:val="22"/>
                <w:szCs w:val="22"/>
              </w:rPr>
            </w:pPr>
            <w:r w:rsidRPr="005B0E7A">
              <w:rPr>
                <w:rFonts w:ascii="Courier New" w:hAnsi="Courier New" w:cs="Courier New"/>
                <w:sz w:val="22"/>
                <w:szCs w:val="22"/>
              </w:rPr>
              <w:t>Castelle FaxPress and Uninterrupted Power Source</w:t>
            </w:r>
          </w:p>
        </w:tc>
        <w:tc>
          <w:tcPr>
            <w:tcW w:w="2181" w:type="dxa"/>
          </w:tcPr>
          <w:p w:rsidR="008627C1" w:rsidRPr="005B0E7A" w:rsidRDefault="008627C1" w:rsidP="00985AD3">
            <w:pPr>
              <w:jc w:val="center"/>
              <w:rPr>
                <w:rFonts w:ascii="Courier New" w:hAnsi="Courier New" w:cs="Courier New"/>
                <w:sz w:val="22"/>
                <w:szCs w:val="22"/>
              </w:rPr>
            </w:pPr>
            <w:r w:rsidRPr="005B0E7A">
              <w:rPr>
                <w:rFonts w:ascii="Courier New" w:hAnsi="Courier New" w:cs="Courier New"/>
                <w:sz w:val="22"/>
                <w:szCs w:val="22"/>
              </w:rPr>
              <w:t>10,380</w:t>
            </w:r>
          </w:p>
        </w:tc>
        <w:tc>
          <w:tcPr>
            <w:tcW w:w="2090" w:type="dxa"/>
          </w:tcPr>
          <w:p w:rsidR="008627C1" w:rsidRPr="005B0E7A" w:rsidRDefault="008627C1" w:rsidP="00985AD3">
            <w:pPr>
              <w:jc w:val="center"/>
              <w:rPr>
                <w:rFonts w:ascii="Courier New" w:hAnsi="Courier New" w:cs="Courier New"/>
                <w:sz w:val="22"/>
                <w:szCs w:val="22"/>
              </w:rPr>
            </w:pPr>
            <w:r w:rsidRPr="005B0E7A">
              <w:rPr>
                <w:rFonts w:ascii="Courier New" w:hAnsi="Courier New" w:cs="Courier New"/>
                <w:sz w:val="22"/>
                <w:szCs w:val="22"/>
              </w:rPr>
              <w:t>2,162</w:t>
            </w:r>
          </w:p>
        </w:tc>
        <w:tc>
          <w:tcPr>
            <w:tcW w:w="1472" w:type="dxa"/>
          </w:tcPr>
          <w:p w:rsidR="008627C1" w:rsidRPr="005B0E7A" w:rsidRDefault="008627C1" w:rsidP="00985AD3">
            <w:pPr>
              <w:jc w:val="center"/>
              <w:rPr>
                <w:rFonts w:ascii="Courier New" w:hAnsi="Courier New" w:cs="Courier New"/>
                <w:sz w:val="22"/>
                <w:szCs w:val="22"/>
              </w:rPr>
            </w:pPr>
            <w:r w:rsidRPr="005B0E7A">
              <w:rPr>
                <w:rFonts w:ascii="Courier New" w:hAnsi="Courier New" w:cs="Courier New"/>
                <w:sz w:val="22"/>
                <w:szCs w:val="22"/>
              </w:rPr>
              <w:t>8,218</w:t>
            </w:r>
          </w:p>
        </w:tc>
      </w:tr>
      <w:tr w:rsidR="008627C1" w:rsidTr="00985AD3">
        <w:trPr>
          <w:trHeight w:val="816"/>
        </w:trPr>
        <w:tc>
          <w:tcPr>
            <w:tcW w:w="3089" w:type="dxa"/>
          </w:tcPr>
          <w:p w:rsidR="008627C1" w:rsidRPr="005B0E7A" w:rsidRDefault="008627C1" w:rsidP="00985AD3">
            <w:pPr>
              <w:jc w:val="center"/>
              <w:rPr>
                <w:rFonts w:ascii="Courier New" w:hAnsi="Courier New" w:cs="Courier New"/>
                <w:sz w:val="22"/>
                <w:szCs w:val="22"/>
              </w:rPr>
            </w:pPr>
            <w:r w:rsidRPr="005B0E7A">
              <w:rPr>
                <w:rFonts w:ascii="Courier New" w:hAnsi="Courier New" w:cs="Courier New"/>
                <w:sz w:val="22"/>
                <w:szCs w:val="22"/>
              </w:rPr>
              <w:t>IBM and Dell Computers/Laptops and Printer</w:t>
            </w:r>
          </w:p>
        </w:tc>
        <w:tc>
          <w:tcPr>
            <w:tcW w:w="2181" w:type="dxa"/>
          </w:tcPr>
          <w:p w:rsidR="008627C1" w:rsidRPr="005B0E7A" w:rsidRDefault="008627C1" w:rsidP="00985AD3">
            <w:pPr>
              <w:jc w:val="center"/>
              <w:rPr>
                <w:rFonts w:ascii="Courier New" w:hAnsi="Courier New" w:cs="Courier New"/>
                <w:sz w:val="22"/>
                <w:szCs w:val="22"/>
              </w:rPr>
            </w:pPr>
            <w:r w:rsidRPr="005B0E7A">
              <w:rPr>
                <w:rFonts w:ascii="Courier New" w:hAnsi="Courier New" w:cs="Courier New"/>
                <w:sz w:val="22"/>
                <w:szCs w:val="22"/>
              </w:rPr>
              <w:t>9,421</w:t>
            </w:r>
          </w:p>
        </w:tc>
        <w:tc>
          <w:tcPr>
            <w:tcW w:w="2090" w:type="dxa"/>
          </w:tcPr>
          <w:p w:rsidR="008627C1" w:rsidRPr="005B0E7A" w:rsidRDefault="008627C1" w:rsidP="00985AD3">
            <w:pPr>
              <w:jc w:val="center"/>
              <w:rPr>
                <w:rFonts w:ascii="Courier New" w:hAnsi="Courier New" w:cs="Courier New"/>
                <w:sz w:val="22"/>
                <w:szCs w:val="22"/>
              </w:rPr>
            </w:pPr>
            <w:r w:rsidRPr="005B0E7A">
              <w:rPr>
                <w:rFonts w:ascii="Courier New" w:hAnsi="Courier New" w:cs="Courier New"/>
                <w:sz w:val="22"/>
                <w:szCs w:val="22"/>
              </w:rPr>
              <w:t>9,421</w:t>
            </w:r>
          </w:p>
        </w:tc>
        <w:tc>
          <w:tcPr>
            <w:tcW w:w="1472" w:type="dxa"/>
          </w:tcPr>
          <w:p w:rsidR="008627C1" w:rsidRPr="005B0E7A" w:rsidRDefault="008627C1" w:rsidP="00985AD3">
            <w:pPr>
              <w:jc w:val="center"/>
              <w:rPr>
                <w:rFonts w:ascii="Courier New" w:hAnsi="Courier New" w:cs="Courier New"/>
                <w:sz w:val="22"/>
                <w:szCs w:val="22"/>
              </w:rPr>
            </w:pPr>
            <w:r w:rsidRPr="005B0E7A">
              <w:rPr>
                <w:rFonts w:ascii="Courier New" w:hAnsi="Courier New" w:cs="Courier New"/>
                <w:sz w:val="22"/>
                <w:szCs w:val="22"/>
              </w:rPr>
              <w:t>0</w:t>
            </w:r>
          </w:p>
        </w:tc>
      </w:tr>
      <w:tr w:rsidR="008627C1" w:rsidTr="00985AD3">
        <w:trPr>
          <w:trHeight w:val="1632"/>
        </w:trPr>
        <w:tc>
          <w:tcPr>
            <w:tcW w:w="3089" w:type="dxa"/>
          </w:tcPr>
          <w:p w:rsidR="008627C1" w:rsidRPr="005B0E7A" w:rsidRDefault="008627C1" w:rsidP="00985AD3">
            <w:pPr>
              <w:jc w:val="center"/>
              <w:rPr>
                <w:rFonts w:ascii="Courier New" w:hAnsi="Courier New" w:cs="Courier New"/>
                <w:sz w:val="22"/>
                <w:szCs w:val="22"/>
              </w:rPr>
            </w:pPr>
            <w:r w:rsidRPr="005B0E7A">
              <w:rPr>
                <w:rFonts w:ascii="Courier New" w:hAnsi="Courier New" w:cs="Courier New"/>
                <w:sz w:val="22"/>
                <w:szCs w:val="22"/>
              </w:rPr>
              <w:t>Medical Testing Equipment and Software (e.g., HPLC Detectors, Biflow Sensors, Capillary Tubes)</w:t>
            </w:r>
          </w:p>
        </w:tc>
        <w:tc>
          <w:tcPr>
            <w:tcW w:w="2181" w:type="dxa"/>
          </w:tcPr>
          <w:p w:rsidR="008627C1" w:rsidRPr="005B0E7A" w:rsidRDefault="008627C1" w:rsidP="00985AD3">
            <w:pPr>
              <w:jc w:val="center"/>
              <w:rPr>
                <w:rFonts w:ascii="Courier New" w:hAnsi="Courier New" w:cs="Courier New"/>
                <w:sz w:val="22"/>
                <w:szCs w:val="22"/>
              </w:rPr>
            </w:pPr>
            <w:r w:rsidRPr="005B0E7A">
              <w:rPr>
                <w:rFonts w:ascii="Courier New" w:hAnsi="Courier New" w:cs="Courier New"/>
                <w:sz w:val="22"/>
                <w:szCs w:val="22"/>
              </w:rPr>
              <w:t>14,650</w:t>
            </w:r>
          </w:p>
        </w:tc>
        <w:tc>
          <w:tcPr>
            <w:tcW w:w="2090" w:type="dxa"/>
          </w:tcPr>
          <w:p w:rsidR="008627C1" w:rsidRPr="005B0E7A" w:rsidRDefault="008627C1" w:rsidP="00985AD3">
            <w:pPr>
              <w:jc w:val="center"/>
              <w:rPr>
                <w:rFonts w:ascii="Courier New" w:hAnsi="Courier New" w:cs="Courier New"/>
                <w:sz w:val="22"/>
                <w:szCs w:val="22"/>
              </w:rPr>
            </w:pPr>
            <w:r w:rsidRPr="005B0E7A">
              <w:rPr>
                <w:rFonts w:ascii="Courier New" w:hAnsi="Courier New" w:cs="Courier New"/>
                <w:sz w:val="22"/>
                <w:szCs w:val="22"/>
              </w:rPr>
              <w:t>12,113</w:t>
            </w:r>
          </w:p>
          <w:p w:rsidR="008627C1" w:rsidRPr="005B0E7A" w:rsidRDefault="008627C1" w:rsidP="00985AD3">
            <w:pPr>
              <w:rPr>
                <w:rFonts w:ascii="Courier New" w:hAnsi="Courier New" w:cs="Courier New"/>
                <w:sz w:val="22"/>
                <w:szCs w:val="22"/>
              </w:rPr>
            </w:pPr>
          </w:p>
        </w:tc>
        <w:tc>
          <w:tcPr>
            <w:tcW w:w="1472" w:type="dxa"/>
          </w:tcPr>
          <w:p w:rsidR="008627C1" w:rsidRPr="005B0E7A" w:rsidRDefault="008627C1" w:rsidP="00985AD3">
            <w:pPr>
              <w:jc w:val="center"/>
              <w:rPr>
                <w:rFonts w:ascii="Courier New" w:hAnsi="Courier New" w:cs="Courier New"/>
                <w:sz w:val="22"/>
                <w:szCs w:val="22"/>
              </w:rPr>
            </w:pPr>
            <w:r w:rsidRPr="005B0E7A">
              <w:rPr>
                <w:rFonts w:ascii="Courier New" w:hAnsi="Courier New" w:cs="Courier New"/>
                <w:sz w:val="22"/>
                <w:szCs w:val="22"/>
              </w:rPr>
              <w:t>2,537</w:t>
            </w:r>
          </w:p>
        </w:tc>
      </w:tr>
      <w:tr w:rsidR="008627C1" w:rsidTr="00985AD3">
        <w:trPr>
          <w:trHeight w:val="283"/>
        </w:trPr>
        <w:tc>
          <w:tcPr>
            <w:tcW w:w="3089" w:type="dxa"/>
          </w:tcPr>
          <w:p w:rsidR="008627C1" w:rsidRPr="005B0E7A" w:rsidRDefault="008627C1" w:rsidP="00985AD3">
            <w:pPr>
              <w:jc w:val="center"/>
              <w:rPr>
                <w:rFonts w:ascii="Courier New" w:hAnsi="Courier New" w:cs="Courier New"/>
                <w:sz w:val="22"/>
                <w:szCs w:val="22"/>
              </w:rPr>
            </w:pPr>
            <w:r w:rsidRPr="005B0E7A">
              <w:rPr>
                <w:rFonts w:ascii="Courier New" w:hAnsi="Courier New" w:cs="Courier New"/>
                <w:sz w:val="22"/>
                <w:szCs w:val="22"/>
              </w:rPr>
              <w:t>Miscellaneous</w:t>
            </w:r>
          </w:p>
        </w:tc>
        <w:tc>
          <w:tcPr>
            <w:tcW w:w="2181" w:type="dxa"/>
          </w:tcPr>
          <w:p w:rsidR="008627C1" w:rsidRPr="005B0E7A" w:rsidRDefault="008627C1" w:rsidP="00985AD3">
            <w:pPr>
              <w:jc w:val="center"/>
              <w:rPr>
                <w:rFonts w:ascii="Courier New" w:hAnsi="Courier New" w:cs="Courier New"/>
                <w:sz w:val="22"/>
                <w:szCs w:val="22"/>
              </w:rPr>
            </w:pPr>
            <w:r w:rsidRPr="005B0E7A">
              <w:rPr>
                <w:rFonts w:ascii="Courier New" w:hAnsi="Courier New" w:cs="Courier New"/>
                <w:sz w:val="22"/>
                <w:szCs w:val="22"/>
              </w:rPr>
              <w:t>798</w:t>
            </w:r>
          </w:p>
        </w:tc>
        <w:tc>
          <w:tcPr>
            <w:tcW w:w="2090" w:type="dxa"/>
          </w:tcPr>
          <w:p w:rsidR="008627C1" w:rsidRPr="005B0E7A" w:rsidRDefault="008627C1" w:rsidP="00985AD3">
            <w:pPr>
              <w:jc w:val="center"/>
              <w:rPr>
                <w:rFonts w:ascii="Courier New" w:hAnsi="Courier New" w:cs="Courier New"/>
                <w:sz w:val="22"/>
                <w:szCs w:val="22"/>
              </w:rPr>
            </w:pPr>
            <w:r w:rsidRPr="005B0E7A">
              <w:rPr>
                <w:rFonts w:ascii="Courier New" w:hAnsi="Courier New" w:cs="Courier New"/>
                <w:sz w:val="22"/>
                <w:szCs w:val="22"/>
              </w:rPr>
              <w:t>25</w:t>
            </w:r>
          </w:p>
        </w:tc>
        <w:tc>
          <w:tcPr>
            <w:tcW w:w="1472" w:type="dxa"/>
          </w:tcPr>
          <w:p w:rsidR="008627C1" w:rsidRPr="005B0E7A" w:rsidRDefault="008627C1" w:rsidP="00985AD3">
            <w:pPr>
              <w:jc w:val="center"/>
              <w:rPr>
                <w:rFonts w:ascii="Courier New" w:hAnsi="Courier New" w:cs="Courier New"/>
                <w:sz w:val="22"/>
                <w:szCs w:val="22"/>
              </w:rPr>
            </w:pPr>
            <w:r w:rsidRPr="005B0E7A">
              <w:rPr>
                <w:rFonts w:ascii="Courier New" w:hAnsi="Courier New" w:cs="Courier New"/>
                <w:sz w:val="22"/>
                <w:szCs w:val="22"/>
              </w:rPr>
              <w:t>773</w:t>
            </w:r>
          </w:p>
        </w:tc>
      </w:tr>
      <w:tr w:rsidR="008627C1" w:rsidTr="00985AD3">
        <w:trPr>
          <w:trHeight w:val="267"/>
        </w:trPr>
        <w:tc>
          <w:tcPr>
            <w:tcW w:w="3089" w:type="dxa"/>
          </w:tcPr>
          <w:p w:rsidR="008627C1" w:rsidRPr="005B0E7A" w:rsidRDefault="008627C1" w:rsidP="00985AD3">
            <w:pPr>
              <w:jc w:val="center"/>
              <w:rPr>
                <w:rFonts w:ascii="Courier New" w:hAnsi="Courier New" w:cs="Courier New"/>
                <w:sz w:val="22"/>
                <w:szCs w:val="22"/>
              </w:rPr>
            </w:pPr>
          </w:p>
        </w:tc>
        <w:tc>
          <w:tcPr>
            <w:tcW w:w="2181" w:type="dxa"/>
          </w:tcPr>
          <w:p w:rsidR="008627C1" w:rsidRPr="005B0E7A" w:rsidRDefault="008627C1" w:rsidP="00985AD3">
            <w:pPr>
              <w:jc w:val="center"/>
              <w:rPr>
                <w:rFonts w:ascii="Courier New" w:hAnsi="Courier New" w:cs="Courier New"/>
                <w:sz w:val="22"/>
                <w:szCs w:val="22"/>
              </w:rPr>
            </w:pPr>
          </w:p>
        </w:tc>
        <w:tc>
          <w:tcPr>
            <w:tcW w:w="2090" w:type="dxa"/>
          </w:tcPr>
          <w:p w:rsidR="008627C1" w:rsidRPr="005B0E7A" w:rsidRDefault="008627C1" w:rsidP="00985AD3">
            <w:pPr>
              <w:jc w:val="center"/>
              <w:rPr>
                <w:rFonts w:ascii="Courier New" w:hAnsi="Courier New" w:cs="Courier New"/>
                <w:sz w:val="22"/>
                <w:szCs w:val="22"/>
              </w:rPr>
            </w:pPr>
          </w:p>
        </w:tc>
        <w:tc>
          <w:tcPr>
            <w:tcW w:w="1472" w:type="dxa"/>
          </w:tcPr>
          <w:p w:rsidR="008627C1" w:rsidRPr="005B0E7A" w:rsidRDefault="008627C1" w:rsidP="00985AD3">
            <w:pPr>
              <w:jc w:val="center"/>
              <w:rPr>
                <w:rFonts w:ascii="Courier New" w:hAnsi="Courier New" w:cs="Courier New"/>
                <w:sz w:val="22"/>
                <w:szCs w:val="22"/>
              </w:rPr>
            </w:pPr>
          </w:p>
        </w:tc>
      </w:tr>
      <w:tr w:rsidR="008627C1" w:rsidTr="00985AD3">
        <w:trPr>
          <w:trHeight w:val="283"/>
        </w:trPr>
        <w:tc>
          <w:tcPr>
            <w:tcW w:w="3089" w:type="dxa"/>
          </w:tcPr>
          <w:p w:rsidR="008627C1" w:rsidRPr="005B0E7A" w:rsidRDefault="008627C1" w:rsidP="00985AD3">
            <w:pPr>
              <w:jc w:val="center"/>
              <w:rPr>
                <w:rFonts w:ascii="Courier New" w:hAnsi="Courier New" w:cs="Courier New"/>
                <w:b/>
                <w:sz w:val="22"/>
                <w:szCs w:val="22"/>
              </w:rPr>
            </w:pPr>
            <w:r w:rsidRPr="005B0E7A">
              <w:rPr>
                <w:rFonts w:ascii="Courier New" w:hAnsi="Courier New" w:cs="Courier New"/>
                <w:b/>
                <w:sz w:val="22"/>
                <w:szCs w:val="22"/>
              </w:rPr>
              <w:t>Grand Total</w:t>
            </w:r>
          </w:p>
        </w:tc>
        <w:tc>
          <w:tcPr>
            <w:tcW w:w="2181" w:type="dxa"/>
          </w:tcPr>
          <w:p w:rsidR="008627C1" w:rsidRPr="005B0E7A" w:rsidRDefault="008627C1" w:rsidP="00985AD3">
            <w:pPr>
              <w:jc w:val="center"/>
              <w:rPr>
                <w:rFonts w:ascii="Courier New" w:hAnsi="Courier New" w:cs="Courier New"/>
                <w:b/>
                <w:sz w:val="22"/>
                <w:szCs w:val="22"/>
              </w:rPr>
            </w:pPr>
            <w:r w:rsidRPr="005B0E7A">
              <w:rPr>
                <w:rFonts w:ascii="Courier New" w:hAnsi="Courier New" w:cs="Courier New"/>
                <w:b/>
                <w:sz w:val="22"/>
                <w:szCs w:val="22"/>
              </w:rPr>
              <w:t>$86,774</w:t>
            </w:r>
          </w:p>
        </w:tc>
        <w:tc>
          <w:tcPr>
            <w:tcW w:w="2090" w:type="dxa"/>
          </w:tcPr>
          <w:p w:rsidR="008627C1" w:rsidRPr="005B0E7A" w:rsidRDefault="008627C1" w:rsidP="00985AD3">
            <w:pPr>
              <w:jc w:val="center"/>
              <w:rPr>
                <w:rFonts w:ascii="Courier New" w:hAnsi="Courier New" w:cs="Courier New"/>
                <w:b/>
                <w:sz w:val="22"/>
                <w:szCs w:val="22"/>
              </w:rPr>
            </w:pPr>
            <w:r w:rsidRPr="005B0E7A">
              <w:rPr>
                <w:rFonts w:ascii="Courier New" w:hAnsi="Courier New" w:cs="Courier New"/>
                <w:b/>
                <w:sz w:val="22"/>
                <w:szCs w:val="22"/>
              </w:rPr>
              <w:t>$44,731</w:t>
            </w:r>
          </w:p>
        </w:tc>
        <w:tc>
          <w:tcPr>
            <w:tcW w:w="1472" w:type="dxa"/>
          </w:tcPr>
          <w:p w:rsidR="008627C1" w:rsidRPr="005B0E7A" w:rsidRDefault="008627C1" w:rsidP="00985AD3">
            <w:pPr>
              <w:jc w:val="center"/>
              <w:rPr>
                <w:rFonts w:ascii="Courier New" w:hAnsi="Courier New" w:cs="Courier New"/>
                <w:b/>
                <w:sz w:val="22"/>
                <w:szCs w:val="22"/>
              </w:rPr>
            </w:pPr>
            <w:r w:rsidRPr="005B0E7A">
              <w:rPr>
                <w:rFonts w:ascii="Courier New" w:hAnsi="Courier New" w:cs="Courier New"/>
                <w:b/>
                <w:sz w:val="22"/>
                <w:szCs w:val="22"/>
              </w:rPr>
              <w:t>$42,043</w:t>
            </w:r>
          </w:p>
        </w:tc>
      </w:tr>
    </w:tbl>
    <w:p w:rsidR="008627C1" w:rsidRDefault="008627C1" w:rsidP="008627C1">
      <w:pPr>
        <w:spacing w:line="480" w:lineRule="auto"/>
        <w:jc w:val="both"/>
        <w:rPr>
          <w:rFonts w:ascii="Courier New" w:hAnsi="Courier New" w:cs="Courier New"/>
          <w:sz w:val="24"/>
          <w:szCs w:val="24"/>
        </w:rPr>
      </w:pPr>
    </w:p>
    <w:p w:rsidR="008627C1" w:rsidRDefault="008627C1" w:rsidP="008627C1">
      <w:pPr>
        <w:spacing w:line="480" w:lineRule="auto"/>
        <w:jc w:val="both"/>
        <w:rPr>
          <w:rFonts w:ascii="Courier New" w:hAnsi="Courier New" w:cs="Courier New"/>
          <w:sz w:val="24"/>
          <w:szCs w:val="24"/>
        </w:rPr>
      </w:pPr>
      <w:r>
        <w:rPr>
          <w:rFonts w:ascii="Courier New" w:hAnsi="Courier New" w:cs="Courier New"/>
          <w:sz w:val="24"/>
          <w:szCs w:val="24"/>
        </w:rPr>
        <w:t xml:space="preserve">Apart from the cursory explanation that the property was a </w:t>
      </w:r>
      <w:r>
        <w:rPr>
          <w:rFonts w:ascii="Courier New" w:hAnsi="Courier New" w:cs="Courier New"/>
          <w:i/>
          <w:sz w:val="24"/>
          <w:szCs w:val="24"/>
        </w:rPr>
        <w:t>de minimis</w:t>
      </w:r>
      <w:r>
        <w:rPr>
          <w:rFonts w:ascii="Courier New" w:hAnsi="Courier New" w:cs="Courier New"/>
          <w:sz w:val="24"/>
          <w:szCs w:val="24"/>
        </w:rPr>
        <w:t xml:space="preserve"> amount of ancillary property provided to sales people, Genentech did not offer any evidence as to what the property was used for. </w:t>
      </w:r>
    </w:p>
    <w:p w:rsidR="008627C1" w:rsidRPr="00194B9C" w:rsidRDefault="008627C1" w:rsidP="008627C1">
      <w:pPr>
        <w:spacing w:line="480" w:lineRule="auto"/>
        <w:ind w:firstLine="720"/>
        <w:jc w:val="both"/>
      </w:pPr>
      <w:r>
        <w:rPr>
          <w:rFonts w:ascii="Courier New" w:hAnsi="Courier New" w:cs="Courier New"/>
          <w:sz w:val="24"/>
          <w:szCs w:val="24"/>
        </w:rPr>
        <w:t xml:space="preserve">As shown above, $9,421 of the total Massachusetts property was made up of computers and printers. However, more than half of the property appears to have consisted of $44,982 of computer equipment and a computer tape storage drive and fiber optic cables worth $6,543.  The remaining property included $14,650 of medical equipment, including </w:t>
      </w:r>
      <w:r w:rsidRPr="0037494D">
        <w:rPr>
          <w:rFonts w:ascii="Courier New" w:hAnsi="Courier New" w:cs="Courier New"/>
          <w:sz w:val="24"/>
          <w:szCs w:val="24"/>
        </w:rPr>
        <w:t>HPLC Detector</w:t>
      </w:r>
      <w:r>
        <w:rPr>
          <w:rFonts w:ascii="Courier New" w:hAnsi="Courier New" w:cs="Courier New"/>
          <w:sz w:val="24"/>
          <w:szCs w:val="24"/>
        </w:rPr>
        <w:t>s, d</w:t>
      </w:r>
      <w:r w:rsidRPr="0037494D">
        <w:rPr>
          <w:rFonts w:ascii="Courier New" w:hAnsi="Courier New" w:cs="Courier New"/>
          <w:sz w:val="24"/>
          <w:szCs w:val="24"/>
        </w:rPr>
        <w:t xml:space="preserve">iagnostic </w:t>
      </w:r>
      <w:r>
        <w:rPr>
          <w:rFonts w:ascii="Courier New" w:hAnsi="Courier New" w:cs="Courier New"/>
          <w:sz w:val="24"/>
          <w:szCs w:val="24"/>
        </w:rPr>
        <w:t>s</w:t>
      </w:r>
      <w:r w:rsidRPr="0037494D">
        <w:rPr>
          <w:rFonts w:ascii="Courier New" w:hAnsi="Courier New" w:cs="Courier New"/>
          <w:sz w:val="24"/>
          <w:szCs w:val="24"/>
        </w:rPr>
        <w:t>pirometer</w:t>
      </w:r>
      <w:r>
        <w:rPr>
          <w:rFonts w:ascii="Courier New" w:hAnsi="Courier New" w:cs="Courier New"/>
          <w:sz w:val="24"/>
          <w:szCs w:val="24"/>
        </w:rPr>
        <w:t>s, b</w:t>
      </w:r>
      <w:r w:rsidRPr="0037494D">
        <w:rPr>
          <w:rFonts w:ascii="Courier New" w:hAnsi="Courier New" w:cs="Courier New"/>
          <w:sz w:val="24"/>
          <w:szCs w:val="24"/>
        </w:rPr>
        <w:t xml:space="preserve">iflow </w:t>
      </w:r>
      <w:r>
        <w:rPr>
          <w:rFonts w:ascii="Courier New" w:hAnsi="Courier New" w:cs="Courier New"/>
          <w:sz w:val="24"/>
          <w:szCs w:val="24"/>
        </w:rPr>
        <w:t>s</w:t>
      </w:r>
      <w:r w:rsidRPr="0037494D">
        <w:rPr>
          <w:rFonts w:ascii="Courier New" w:hAnsi="Courier New" w:cs="Courier New"/>
          <w:sz w:val="24"/>
          <w:szCs w:val="24"/>
        </w:rPr>
        <w:t>ensors</w:t>
      </w:r>
      <w:r>
        <w:rPr>
          <w:rFonts w:ascii="Courier New" w:hAnsi="Courier New" w:cs="Courier New"/>
          <w:sz w:val="24"/>
          <w:szCs w:val="24"/>
        </w:rPr>
        <w:t xml:space="preserve">, and capillary tubes, as well as laboratory testing software. The appellant contends that this latter property “was fully depreciated and presumably no longer in use or had been disposed of but not yet removed from Genentech’s books.” </w:t>
      </w:r>
      <w:r w:rsidRPr="002C67B3">
        <w:rPr>
          <w:rFonts w:ascii="Courier New" w:hAnsi="Courier New" w:cs="Courier New"/>
          <w:smallCaps/>
          <w:sz w:val="24"/>
          <w:szCs w:val="24"/>
        </w:rPr>
        <w:t>Gene</w:t>
      </w:r>
      <w:r>
        <w:rPr>
          <w:rFonts w:ascii="Courier New" w:hAnsi="Courier New" w:cs="Courier New"/>
          <w:smallCaps/>
          <w:sz w:val="24"/>
          <w:szCs w:val="24"/>
        </w:rPr>
        <w:t>n</w:t>
      </w:r>
      <w:r w:rsidRPr="002C67B3">
        <w:rPr>
          <w:rFonts w:ascii="Courier New" w:hAnsi="Courier New" w:cs="Courier New"/>
          <w:smallCaps/>
          <w:sz w:val="24"/>
          <w:szCs w:val="24"/>
        </w:rPr>
        <w:t xml:space="preserve">tech’s </w:t>
      </w:r>
      <w:r>
        <w:rPr>
          <w:rFonts w:ascii="Courier New" w:hAnsi="Courier New" w:cs="Courier New"/>
          <w:smallCaps/>
          <w:sz w:val="24"/>
          <w:szCs w:val="24"/>
        </w:rPr>
        <w:t xml:space="preserve">Reply to the Commissioner’s Opposition to Genentech’s Motion for Summary Judgment </w:t>
      </w:r>
      <w:r>
        <w:rPr>
          <w:rFonts w:ascii="Courier New" w:hAnsi="Courier New" w:cs="Courier New"/>
          <w:sz w:val="24"/>
          <w:szCs w:val="24"/>
        </w:rPr>
        <w:t xml:space="preserve">at </w:t>
      </w:r>
      <w:r w:rsidRPr="002C67B3">
        <w:rPr>
          <w:rFonts w:ascii="Courier New" w:hAnsi="Courier New" w:cs="Courier New"/>
          <w:sz w:val="24"/>
          <w:szCs w:val="24"/>
        </w:rPr>
        <w:t>41. Ho</w:t>
      </w:r>
      <w:r>
        <w:rPr>
          <w:rFonts w:ascii="Courier New" w:hAnsi="Courier New" w:cs="Courier New"/>
          <w:sz w:val="24"/>
          <w:szCs w:val="24"/>
        </w:rPr>
        <w:t xml:space="preserve">wever, no evidence was offered to support this supposition that the property was no longer in use in the Commonwealth or how the equipment was being used by Genentech employees in a manner that was ancillary to the solicitation of sales. Based on the foregoing, the Board found that the appellant owned or used machinery and equipment in the Commonwealth in 1998 and did not meet its </w:t>
      </w:r>
      <w:r>
        <w:rPr>
          <w:rFonts w:ascii="Courier New" w:hAnsi="Courier New" w:cs="Courier New"/>
          <w:sz w:val="24"/>
          <w:szCs w:val="24"/>
        </w:rPr>
        <w:lastRenderedPageBreak/>
        <w:t xml:space="preserve">burden of proof to show that the property was </w:t>
      </w:r>
      <w:r>
        <w:rPr>
          <w:rFonts w:ascii="Courier New" w:hAnsi="Courier New" w:cs="Courier New"/>
          <w:i/>
          <w:sz w:val="24"/>
          <w:szCs w:val="24"/>
        </w:rPr>
        <w:t xml:space="preserve">de minimis </w:t>
      </w:r>
      <w:r>
        <w:rPr>
          <w:rFonts w:ascii="Courier New" w:hAnsi="Courier New" w:cs="Courier New"/>
          <w:sz w:val="24"/>
          <w:szCs w:val="24"/>
        </w:rPr>
        <w:t>or entirely ancillary to the solicitation of sales.</w:t>
      </w:r>
    </w:p>
    <w:p w:rsidR="008627C1" w:rsidRPr="00514594" w:rsidRDefault="008627C1" w:rsidP="008627C1">
      <w:pPr>
        <w:pStyle w:val="ListParagraph"/>
        <w:numPr>
          <w:ilvl w:val="0"/>
          <w:numId w:val="13"/>
        </w:numPr>
        <w:spacing w:line="480" w:lineRule="auto"/>
        <w:jc w:val="both"/>
        <w:rPr>
          <w:rFonts w:ascii="Courier New" w:hAnsi="Courier New" w:cs="Courier New"/>
          <w:i/>
          <w:sz w:val="24"/>
          <w:szCs w:val="24"/>
        </w:rPr>
      </w:pPr>
      <w:r w:rsidRPr="00514594">
        <w:rPr>
          <w:rFonts w:ascii="Courier New" w:hAnsi="Courier New" w:cs="Courier New"/>
          <w:i/>
          <w:sz w:val="24"/>
          <w:szCs w:val="24"/>
        </w:rPr>
        <w:t>Massachusetts Clinical Trial Activities</w:t>
      </w:r>
    </w:p>
    <w:p w:rsidR="008627C1" w:rsidRDefault="008627C1" w:rsidP="008627C1">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During each of the tax years at issue, Genentech engaged with various contract research organizations (“CROs”) in Massachusetts, which were third parties hired to conduct a clinical trial with human subjects to test the efficacy of the appellant’s drugs. The CROs were responsible for the selection of the site of the study, the patient subjects to be included, and selection of the principal investigator. According to the appellant, while Genentech scientists or physicians may have been involved in writing the protocols of a trial, no Genentech personnel ever conducted any clinical trial or monitored or evaluated any trials in Massachusetts. However, Genentech was required to retain title to any material being tested during clinical trials. Any materials not used by the investigator were required to be returned to Genentech or destroyed. </w:t>
      </w:r>
    </w:p>
    <w:p w:rsidR="008627C1" w:rsidRPr="00994562" w:rsidRDefault="008627C1" w:rsidP="008627C1">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Genentech did not maintain records of the amounts of drugs used in the clinical trials; however, based on contracts in the record, Genentech had engaged Massachusetts based CROs to conduct clinical trials over a number of years to study the following numbers of </w:t>
      </w:r>
      <w:r>
        <w:rPr>
          <w:rFonts w:ascii="Courier New" w:hAnsi="Courier New" w:cs="Courier New"/>
          <w:sz w:val="24"/>
          <w:szCs w:val="24"/>
        </w:rPr>
        <w:lastRenderedPageBreak/>
        <w:t xml:space="preserve">anticipated subjects, beginning in each of the following years: 25 subjects in 1998; 30 subjects in 1999; 27 subjects in 2000; 30 subjects in 2001; 1,998 subjects in 2003; and 205 subjects in 2004. Genentech itself noted that because of the complexity involved in development and production, the “astronomical” cost of its drugs can run to hundreds of thousands of dollars per patient once approved by the FDA. </w:t>
      </w:r>
      <w:r w:rsidRPr="00543404">
        <w:rPr>
          <w:rFonts w:ascii="Courier New" w:hAnsi="Courier New" w:cs="Courier New"/>
          <w:smallCaps/>
          <w:sz w:val="24"/>
          <w:szCs w:val="24"/>
        </w:rPr>
        <w:t>Genentech’s Reply to the Commissioner’s Opposition to Genentech’s Motion for Summary Judgment</w:t>
      </w:r>
      <w:r>
        <w:rPr>
          <w:rFonts w:ascii="Courier New" w:hAnsi="Courier New" w:cs="Courier New"/>
          <w:smallCaps/>
          <w:sz w:val="24"/>
          <w:szCs w:val="24"/>
        </w:rPr>
        <w:t xml:space="preserve"> at 31. </w:t>
      </w:r>
      <w:r w:rsidRPr="00994562">
        <w:rPr>
          <w:rFonts w:ascii="Courier New" w:hAnsi="Courier New" w:cs="Courier New"/>
          <w:sz w:val="24"/>
          <w:szCs w:val="24"/>
        </w:rPr>
        <w:t>Therefor</w:t>
      </w:r>
      <w:r>
        <w:rPr>
          <w:rFonts w:ascii="Courier New" w:hAnsi="Courier New" w:cs="Courier New"/>
          <w:sz w:val="24"/>
          <w:szCs w:val="24"/>
        </w:rPr>
        <w:t xml:space="preserve">e, the Board found that Genentech’s continued ownership of the drugs being tested represented the ownership or use of property in the Commonwealth and that the amount and value of property was not </w:t>
      </w:r>
      <w:r>
        <w:rPr>
          <w:rFonts w:ascii="Courier New" w:hAnsi="Courier New" w:cs="Courier New"/>
          <w:i/>
          <w:sz w:val="24"/>
          <w:szCs w:val="24"/>
        </w:rPr>
        <w:t>de minimis.</w:t>
      </w:r>
    </w:p>
    <w:p w:rsidR="008627C1" w:rsidRDefault="008627C1" w:rsidP="008627C1">
      <w:pPr>
        <w:pStyle w:val="ListParagraph"/>
        <w:numPr>
          <w:ilvl w:val="0"/>
          <w:numId w:val="13"/>
        </w:numPr>
        <w:spacing w:line="276" w:lineRule="auto"/>
        <w:jc w:val="both"/>
        <w:rPr>
          <w:rFonts w:ascii="Courier New" w:hAnsi="Courier New" w:cs="Courier New"/>
          <w:i/>
          <w:sz w:val="24"/>
          <w:szCs w:val="24"/>
        </w:rPr>
      </w:pPr>
      <w:r w:rsidRPr="00514594">
        <w:rPr>
          <w:rFonts w:ascii="Courier New" w:hAnsi="Courier New" w:cs="Courier New"/>
          <w:i/>
          <w:sz w:val="24"/>
          <w:szCs w:val="24"/>
        </w:rPr>
        <w:t>Activities Engaged in by Genentech Employees in Massachusetts</w:t>
      </w:r>
    </w:p>
    <w:p w:rsidR="008627C1" w:rsidRPr="00514594" w:rsidRDefault="008627C1" w:rsidP="008627C1">
      <w:pPr>
        <w:pStyle w:val="ListParagraph"/>
        <w:spacing w:line="276" w:lineRule="auto"/>
        <w:ind w:left="1080"/>
        <w:jc w:val="both"/>
        <w:rPr>
          <w:rFonts w:ascii="Courier New" w:hAnsi="Courier New" w:cs="Courier New"/>
          <w:i/>
          <w:sz w:val="24"/>
          <w:szCs w:val="24"/>
        </w:rPr>
      </w:pPr>
    </w:p>
    <w:p w:rsidR="008627C1" w:rsidRDefault="008627C1" w:rsidP="008627C1">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Genentech employed between nine and twenty-eight people in Massachusetts during the years at issue. Most of the Massachusetts employees were “clinical specialists” or “senior clinical specialists,” sales representatives that met with physicians and other health care providers to promote the use of Genentech drugs with the goal that through these efforts, doctors would be more likely to prescribe Genentech drugs to their patients. While these meetings would most often occur in a clinical setting, </w:t>
      </w:r>
      <w:r>
        <w:rPr>
          <w:rFonts w:ascii="Courier New" w:hAnsi="Courier New" w:cs="Courier New"/>
          <w:sz w:val="24"/>
          <w:szCs w:val="24"/>
        </w:rPr>
        <w:lastRenderedPageBreak/>
        <w:t xml:space="preserve">clinical specialists often met with healthcare providers over lunch or at other informal venues, such as sporting events. </w:t>
      </w:r>
      <w:r w:rsidRPr="00763AD0">
        <w:rPr>
          <w:rFonts w:ascii="Courier New" w:hAnsi="Courier New" w:cs="Courier New"/>
          <w:sz w:val="24"/>
          <w:szCs w:val="24"/>
        </w:rPr>
        <w:t xml:space="preserve">New </w:t>
      </w:r>
      <w:r>
        <w:rPr>
          <w:rFonts w:ascii="Courier New" w:hAnsi="Courier New" w:cs="Courier New"/>
          <w:sz w:val="24"/>
          <w:szCs w:val="24"/>
        </w:rPr>
        <w:t xml:space="preserve">clinical specialists were trained in California </w:t>
      </w:r>
      <w:r w:rsidRPr="00763AD0">
        <w:rPr>
          <w:rFonts w:ascii="Courier New" w:hAnsi="Courier New" w:cs="Courier New"/>
          <w:sz w:val="24"/>
          <w:szCs w:val="24"/>
        </w:rPr>
        <w:t xml:space="preserve">and </w:t>
      </w:r>
      <w:r>
        <w:rPr>
          <w:rFonts w:ascii="Courier New" w:hAnsi="Courier New" w:cs="Courier New"/>
          <w:sz w:val="24"/>
          <w:szCs w:val="24"/>
        </w:rPr>
        <w:t>all clinical specialists based in the northeast region of the United States met at twice yearly</w:t>
      </w:r>
      <w:r w:rsidRPr="00763AD0">
        <w:rPr>
          <w:rFonts w:ascii="Courier New" w:hAnsi="Courier New" w:cs="Courier New"/>
          <w:sz w:val="24"/>
          <w:szCs w:val="24"/>
        </w:rPr>
        <w:t xml:space="preserve"> sales meetings in </w:t>
      </w:r>
      <w:r>
        <w:rPr>
          <w:rFonts w:ascii="Courier New" w:hAnsi="Courier New" w:cs="Courier New"/>
          <w:sz w:val="24"/>
          <w:szCs w:val="24"/>
        </w:rPr>
        <w:t>either New York or Boston.</w:t>
      </w:r>
      <w:r>
        <w:rPr>
          <w:rStyle w:val="FootnoteReference"/>
          <w:rFonts w:ascii="Courier New" w:hAnsi="Courier New" w:cs="Courier New"/>
          <w:sz w:val="24"/>
          <w:szCs w:val="24"/>
        </w:rPr>
        <w:footnoteReference w:id="6"/>
      </w:r>
      <w:r w:rsidRPr="00AD4E88">
        <w:rPr>
          <w:rFonts w:ascii="Courier New" w:hAnsi="Courier New" w:cs="Courier New"/>
          <w:sz w:val="24"/>
          <w:szCs w:val="24"/>
        </w:rPr>
        <w:t xml:space="preserve"> </w:t>
      </w:r>
    </w:p>
    <w:p w:rsidR="008627C1" w:rsidRDefault="008627C1" w:rsidP="008627C1">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Clinical specialists conducted hands-on demonstrations to teach nurses the correct method for injection. </w:t>
      </w:r>
      <w:r w:rsidR="00240118">
        <w:rPr>
          <w:rFonts w:ascii="Courier New" w:hAnsi="Courier New" w:cs="Courier New"/>
          <w:sz w:val="24"/>
          <w:szCs w:val="24"/>
        </w:rPr>
        <w:t>The c</w:t>
      </w:r>
      <w:r>
        <w:rPr>
          <w:rFonts w:ascii="Courier New" w:hAnsi="Courier New" w:cs="Courier New"/>
          <w:sz w:val="24"/>
          <w:szCs w:val="24"/>
        </w:rPr>
        <w:t xml:space="preserve">linical specialists </w:t>
      </w:r>
      <w:r w:rsidR="00240118">
        <w:rPr>
          <w:rFonts w:ascii="Courier New" w:hAnsi="Courier New" w:cs="Courier New"/>
          <w:sz w:val="24"/>
          <w:szCs w:val="24"/>
        </w:rPr>
        <w:t>were first trained on the proper</w:t>
      </w:r>
      <w:r>
        <w:rPr>
          <w:rFonts w:ascii="Courier New" w:hAnsi="Courier New" w:cs="Courier New"/>
          <w:sz w:val="24"/>
          <w:szCs w:val="24"/>
        </w:rPr>
        <w:t xml:space="preserve"> mix</w:t>
      </w:r>
      <w:r w:rsidR="00240118">
        <w:rPr>
          <w:rFonts w:ascii="Courier New" w:hAnsi="Courier New" w:cs="Courier New"/>
          <w:sz w:val="24"/>
          <w:szCs w:val="24"/>
        </w:rPr>
        <w:t>ing of</w:t>
      </w:r>
      <w:r>
        <w:rPr>
          <w:rFonts w:ascii="Courier New" w:hAnsi="Courier New" w:cs="Courier New"/>
          <w:sz w:val="24"/>
          <w:szCs w:val="24"/>
        </w:rPr>
        <w:t xml:space="preserve"> the product for injection </w:t>
      </w:r>
      <w:r w:rsidR="00214819">
        <w:rPr>
          <w:rFonts w:ascii="Courier New" w:hAnsi="Courier New" w:cs="Courier New"/>
          <w:sz w:val="24"/>
          <w:szCs w:val="24"/>
        </w:rPr>
        <w:t xml:space="preserve">and </w:t>
      </w:r>
      <w:r w:rsidR="00240118">
        <w:rPr>
          <w:rFonts w:ascii="Courier New" w:hAnsi="Courier New" w:cs="Courier New"/>
          <w:sz w:val="24"/>
          <w:szCs w:val="24"/>
        </w:rPr>
        <w:t xml:space="preserve">their trainers </w:t>
      </w:r>
      <w:r>
        <w:rPr>
          <w:rFonts w:ascii="Courier New" w:hAnsi="Courier New" w:cs="Courier New"/>
          <w:sz w:val="24"/>
          <w:szCs w:val="24"/>
        </w:rPr>
        <w:t xml:space="preserve">also filmed an instructional video displaying the process, which </w:t>
      </w:r>
      <w:r w:rsidR="00240118">
        <w:rPr>
          <w:rFonts w:ascii="Courier New" w:hAnsi="Courier New" w:cs="Courier New"/>
          <w:sz w:val="24"/>
          <w:szCs w:val="24"/>
        </w:rPr>
        <w:t xml:space="preserve">the clinical specialist </w:t>
      </w:r>
      <w:r>
        <w:rPr>
          <w:rFonts w:ascii="Courier New" w:hAnsi="Courier New" w:cs="Courier New"/>
          <w:sz w:val="24"/>
          <w:szCs w:val="24"/>
        </w:rPr>
        <w:t xml:space="preserve">would </w:t>
      </w:r>
      <w:r w:rsidR="00240118">
        <w:rPr>
          <w:rFonts w:ascii="Courier New" w:hAnsi="Courier New" w:cs="Courier New"/>
          <w:sz w:val="24"/>
          <w:szCs w:val="24"/>
        </w:rPr>
        <w:t xml:space="preserve">leave </w:t>
      </w:r>
      <w:r w:rsidR="00214819">
        <w:rPr>
          <w:rFonts w:ascii="Courier New" w:hAnsi="Courier New" w:cs="Courier New"/>
          <w:sz w:val="24"/>
          <w:szCs w:val="24"/>
        </w:rPr>
        <w:t xml:space="preserve">with the nurses being trained </w:t>
      </w:r>
      <w:r>
        <w:rPr>
          <w:rFonts w:ascii="Courier New" w:hAnsi="Courier New" w:cs="Courier New"/>
          <w:sz w:val="24"/>
          <w:szCs w:val="24"/>
        </w:rPr>
        <w:t xml:space="preserve">as a reference. Genentech employed two sales managers who oversaw the activities of clinical specialists in Massachusetts, one of whom, Kelli Wilson, lived in the Commonwealth, and the other of whom, John Mastrianni, lived </w:t>
      </w:r>
      <w:r>
        <w:rPr>
          <w:rFonts w:ascii="Courier New" w:hAnsi="Courier New" w:cs="Courier New"/>
          <w:sz w:val="24"/>
          <w:szCs w:val="24"/>
        </w:rPr>
        <w:lastRenderedPageBreak/>
        <w:t>outside of the Commonwealth but periodically travelled to Massachusetts as part of his job duties.</w:t>
      </w:r>
      <w:r>
        <w:rPr>
          <w:rStyle w:val="FootnoteReference"/>
          <w:rFonts w:ascii="Courier New" w:hAnsi="Courier New" w:cs="Courier New"/>
          <w:sz w:val="24"/>
          <w:szCs w:val="24"/>
        </w:rPr>
        <w:footnoteReference w:id="7"/>
      </w:r>
    </w:p>
    <w:p w:rsidR="001B7825" w:rsidRDefault="008627C1" w:rsidP="008627C1">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In addition to clinical specialists, Genentech employed Medical Science Liaisons (“MSLs”), individuals with medical and scientific backgrounds that were not part of the Genentech sales organization. MSLs, who because of their background could speak to issues such as off-label use or drug interaction in a way that clinical specialists </w:t>
      </w:r>
      <w:r w:rsidR="00E74DDD">
        <w:rPr>
          <w:rFonts w:ascii="Courier New" w:hAnsi="Courier New" w:cs="Courier New"/>
          <w:sz w:val="24"/>
          <w:szCs w:val="24"/>
        </w:rPr>
        <w:t>were not</w:t>
      </w:r>
      <w:r>
        <w:rPr>
          <w:rFonts w:ascii="Courier New" w:hAnsi="Courier New" w:cs="Courier New"/>
          <w:sz w:val="24"/>
          <w:szCs w:val="24"/>
        </w:rPr>
        <w:t xml:space="preserve"> able to, served as technical field resources for clinical healthcare providers.  MSLs were also integral in coordinating presentations given by “thought leaders,” doctors and researchers who were eminent in a certain field of medicine. These thought leaders, who generally were contracted by Genentech through a speaker’s bureau in return for an honorarium, gave presentations organized by Genentech to medical professionals.</w:t>
      </w:r>
    </w:p>
    <w:p w:rsidR="001B7825" w:rsidRDefault="001B7825">
      <w:pPr>
        <w:spacing w:after="200" w:line="276" w:lineRule="auto"/>
        <w:rPr>
          <w:rFonts w:ascii="Courier New" w:hAnsi="Courier New" w:cs="Courier New"/>
          <w:sz w:val="24"/>
          <w:szCs w:val="24"/>
        </w:rPr>
      </w:pPr>
      <w:r>
        <w:rPr>
          <w:rFonts w:ascii="Courier New" w:hAnsi="Courier New" w:cs="Courier New"/>
          <w:sz w:val="24"/>
          <w:szCs w:val="24"/>
        </w:rPr>
        <w:br w:type="page"/>
      </w:r>
    </w:p>
    <w:p w:rsidR="008627C1" w:rsidRDefault="008627C1" w:rsidP="001B7825">
      <w:pPr>
        <w:spacing w:line="480" w:lineRule="auto"/>
        <w:ind w:firstLine="720"/>
        <w:jc w:val="both"/>
        <w:rPr>
          <w:rFonts w:ascii="Courier New" w:hAnsi="Courier New" w:cs="Courier New"/>
          <w:sz w:val="24"/>
          <w:szCs w:val="24"/>
        </w:rPr>
      </w:pPr>
      <w:r>
        <w:rPr>
          <w:rFonts w:ascii="Courier New" w:hAnsi="Courier New" w:cs="Courier New"/>
          <w:sz w:val="24"/>
          <w:szCs w:val="24"/>
        </w:rPr>
        <w:lastRenderedPageBreak/>
        <w:t>John Mastrianni was a sales manager for the periods at issue until 2004 when he transitioned into a new role</w:t>
      </w:r>
      <w:r w:rsidRPr="00C12FD4">
        <w:rPr>
          <w:rFonts w:ascii="Courier New" w:hAnsi="Courier New" w:cs="Courier New"/>
          <w:sz w:val="24"/>
          <w:szCs w:val="24"/>
        </w:rPr>
        <w:t xml:space="preserve"> </w:t>
      </w:r>
      <w:r>
        <w:rPr>
          <w:rFonts w:ascii="Courier New" w:hAnsi="Courier New" w:cs="Courier New"/>
          <w:sz w:val="24"/>
          <w:szCs w:val="24"/>
        </w:rPr>
        <w:t>as part of Genentech’s managed care division. The managed care division sought to increase awareness among health</w:t>
      </w:r>
      <w:r w:rsidR="001B7825">
        <w:rPr>
          <w:rFonts w:ascii="Courier New" w:hAnsi="Courier New" w:cs="Courier New"/>
          <w:sz w:val="24"/>
          <w:szCs w:val="24"/>
        </w:rPr>
        <w:t xml:space="preserve"> </w:t>
      </w:r>
      <w:r>
        <w:rPr>
          <w:rFonts w:ascii="Courier New" w:hAnsi="Courier New" w:cs="Courier New"/>
          <w:sz w:val="24"/>
          <w:szCs w:val="24"/>
        </w:rPr>
        <w:t xml:space="preserve">insurance companies of Genentech’s products, by providing clinical information about new drugs and indications with the aim that the insurance companies would cover the cost when prescribed to a patient who was a policy holder. As the cost of Genentech’s drugs was very high for an average person, many patients would not be able to take them without insurance coverage. </w:t>
      </w:r>
      <w:r w:rsidRPr="008F4123">
        <w:rPr>
          <w:rFonts w:ascii="Courier New" w:hAnsi="Courier New" w:cs="Courier New"/>
          <w:sz w:val="24"/>
          <w:szCs w:val="24"/>
        </w:rPr>
        <w:t>Mr. Mastrianni</w:t>
      </w:r>
      <w:r>
        <w:rPr>
          <w:rFonts w:ascii="Courier New" w:hAnsi="Courier New" w:cs="Courier New"/>
          <w:sz w:val="24"/>
          <w:szCs w:val="24"/>
        </w:rPr>
        <w:t xml:space="preserve"> visited the Commonwealth two to three times a year to conduct his duties. Mr. Mastrianni replaced</w:t>
      </w:r>
      <w:r w:rsidRPr="008F4123">
        <w:rPr>
          <w:rFonts w:ascii="Courier New" w:hAnsi="Courier New" w:cs="Courier New"/>
          <w:sz w:val="24"/>
          <w:szCs w:val="24"/>
        </w:rPr>
        <w:t xml:space="preserve"> another Genentech employee </w:t>
      </w:r>
      <w:r>
        <w:rPr>
          <w:rFonts w:ascii="Courier New" w:hAnsi="Courier New" w:cs="Courier New"/>
          <w:sz w:val="24"/>
          <w:szCs w:val="24"/>
        </w:rPr>
        <w:t xml:space="preserve">who lived outside of Massachusetts that </w:t>
      </w:r>
      <w:r w:rsidRPr="008F4123">
        <w:rPr>
          <w:rFonts w:ascii="Courier New" w:hAnsi="Courier New" w:cs="Courier New"/>
          <w:sz w:val="24"/>
          <w:szCs w:val="24"/>
        </w:rPr>
        <w:t>performed the same r</w:t>
      </w:r>
      <w:r>
        <w:rPr>
          <w:rFonts w:ascii="Courier New" w:hAnsi="Courier New" w:cs="Courier New"/>
          <w:sz w:val="24"/>
          <w:szCs w:val="24"/>
        </w:rPr>
        <w:t>esponsibilities described above in the Commonwealth until that person retired in 2004.</w:t>
      </w:r>
      <w:r w:rsidRPr="008F4123">
        <w:rPr>
          <w:rFonts w:ascii="Courier New" w:hAnsi="Courier New" w:cs="Courier New"/>
          <w:sz w:val="24"/>
          <w:szCs w:val="24"/>
        </w:rPr>
        <w:t xml:space="preserve"> </w:t>
      </w:r>
    </w:p>
    <w:p w:rsidR="008627C1" w:rsidRDefault="008627C1" w:rsidP="001B7825">
      <w:pPr>
        <w:spacing w:line="480" w:lineRule="auto"/>
        <w:ind w:firstLine="720"/>
        <w:jc w:val="both"/>
        <w:rPr>
          <w:rFonts w:ascii="Courier New" w:hAnsi="Courier New" w:cs="Courier New"/>
          <w:sz w:val="24"/>
          <w:szCs w:val="24"/>
        </w:rPr>
      </w:pPr>
      <w:r>
        <w:rPr>
          <w:rFonts w:ascii="Courier New" w:hAnsi="Courier New" w:cs="Courier New"/>
          <w:sz w:val="24"/>
          <w:szCs w:val="24"/>
        </w:rPr>
        <w:t>For the reasons set out in the following Opinion, the Board ruled that solicitation of doctors to increase prescriptions to patients of Genentech drugs was not a nexus creating activity pursuant to Public Law 86-272. While certain activities of the MSLs and managed care division employees may have exceeded the scope of Public Law 86-272, the Board did not reach the issue as it found and ruled that Genentech’s ownership of tangible property</w:t>
      </w:r>
      <w:r w:rsidR="001B7825">
        <w:rPr>
          <w:rFonts w:ascii="Courier New" w:hAnsi="Courier New" w:cs="Courier New"/>
          <w:sz w:val="24"/>
          <w:szCs w:val="24"/>
        </w:rPr>
        <w:t xml:space="preserve"> </w:t>
      </w:r>
      <w:r>
        <w:rPr>
          <w:rFonts w:ascii="Courier New" w:hAnsi="Courier New" w:cs="Courier New"/>
          <w:sz w:val="24"/>
          <w:szCs w:val="24"/>
        </w:rPr>
        <w:lastRenderedPageBreak/>
        <w:t>was already sufficient to establish nexus in Massachusetts.</w:t>
      </w:r>
      <w:r>
        <w:rPr>
          <w:rStyle w:val="FootnoteReference"/>
          <w:rFonts w:ascii="Courier New" w:hAnsi="Courier New" w:cs="Courier New"/>
          <w:sz w:val="24"/>
          <w:szCs w:val="24"/>
        </w:rPr>
        <w:footnoteReference w:id="8"/>
      </w:r>
      <w:r w:rsidR="001B7825">
        <w:rPr>
          <w:rFonts w:ascii="Courier New" w:hAnsi="Courier New" w:cs="Courier New"/>
          <w:sz w:val="24"/>
          <w:szCs w:val="24"/>
        </w:rPr>
        <w:t>  </w:t>
      </w:r>
      <w:r>
        <w:rPr>
          <w:rFonts w:ascii="Courier New" w:hAnsi="Courier New" w:cs="Courier New"/>
          <w:sz w:val="24"/>
          <w:szCs w:val="24"/>
        </w:rPr>
        <w:t xml:space="preserve"> </w:t>
      </w:r>
    </w:p>
    <w:p w:rsidR="008627C1" w:rsidRPr="00514594" w:rsidRDefault="008627C1" w:rsidP="008627C1">
      <w:pPr>
        <w:pStyle w:val="ListParagraph"/>
        <w:numPr>
          <w:ilvl w:val="0"/>
          <w:numId w:val="11"/>
        </w:numPr>
        <w:spacing w:line="480" w:lineRule="auto"/>
        <w:jc w:val="both"/>
        <w:rPr>
          <w:rFonts w:ascii="Courier New" w:hAnsi="Courier New" w:cs="Courier New"/>
          <w:b/>
          <w:sz w:val="24"/>
          <w:szCs w:val="24"/>
        </w:rPr>
      </w:pPr>
      <w:r>
        <w:rPr>
          <w:rFonts w:ascii="Courier New" w:hAnsi="Courier New" w:cs="Courier New"/>
          <w:b/>
          <w:sz w:val="24"/>
          <w:szCs w:val="24"/>
        </w:rPr>
        <w:t>Manufacturing Activities of Appellant</w:t>
      </w:r>
    </w:p>
    <w:p w:rsidR="008627C1" w:rsidRPr="00221DE0" w:rsidRDefault="008627C1" w:rsidP="008627C1">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Unlike traditional pharmaceutical companies that generally combine chemical compounds to produce drugs, Genentech is a “biotechnology” company which develops drugs produced </w:t>
      </w:r>
      <w:r w:rsidRPr="00221DE0">
        <w:rPr>
          <w:rFonts w:ascii="Courier New" w:hAnsi="Courier New" w:cs="Courier New"/>
          <w:sz w:val="24"/>
          <w:szCs w:val="24"/>
        </w:rPr>
        <w:t>by living cells</w:t>
      </w:r>
      <w:r>
        <w:rPr>
          <w:rFonts w:ascii="Courier New" w:hAnsi="Courier New" w:cs="Courier New"/>
          <w:sz w:val="24"/>
          <w:szCs w:val="24"/>
        </w:rPr>
        <w:t>. Genentech</w:t>
      </w:r>
      <w:r w:rsidRPr="00221DE0">
        <w:rPr>
          <w:rFonts w:ascii="Courier New" w:hAnsi="Courier New" w:cs="Courier New"/>
          <w:sz w:val="24"/>
          <w:szCs w:val="24"/>
        </w:rPr>
        <w:t xml:space="preserve"> genetically modifie</w:t>
      </w:r>
      <w:r>
        <w:rPr>
          <w:rFonts w:ascii="Courier New" w:hAnsi="Courier New" w:cs="Courier New"/>
          <w:sz w:val="24"/>
          <w:szCs w:val="24"/>
        </w:rPr>
        <w:t>s these cells</w:t>
      </w:r>
      <w:r w:rsidRPr="00221DE0">
        <w:rPr>
          <w:rFonts w:ascii="Courier New" w:hAnsi="Courier New" w:cs="Courier New"/>
          <w:sz w:val="24"/>
          <w:szCs w:val="24"/>
        </w:rPr>
        <w:t xml:space="preserve"> to produce </w:t>
      </w:r>
      <w:r>
        <w:rPr>
          <w:rFonts w:ascii="Courier New" w:hAnsi="Courier New" w:cs="Courier New"/>
          <w:sz w:val="24"/>
          <w:szCs w:val="24"/>
        </w:rPr>
        <w:t xml:space="preserve">a </w:t>
      </w:r>
      <w:r w:rsidRPr="00221DE0">
        <w:rPr>
          <w:rFonts w:ascii="Courier New" w:hAnsi="Courier New" w:cs="Courier New"/>
          <w:sz w:val="24"/>
          <w:szCs w:val="24"/>
        </w:rPr>
        <w:t xml:space="preserve">protein with </w:t>
      </w:r>
      <w:r>
        <w:rPr>
          <w:rFonts w:ascii="Courier New" w:hAnsi="Courier New" w:cs="Courier New"/>
          <w:sz w:val="24"/>
          <w:szCs w:val="24"/>
        </w:rPr>
        <w:t>a</w:t>
      </w:r>
      <w:r w:rsidRPr="00221DE0">
        <w:rPr>
          <w:rFonts w:ascii="Courier New" w:hAnsi="Courier New" w:cs="Courier New"/>
          <w:sz w:val="24"/>
          <w:szCs w:val="24"/>
        </w:rPr>
        <w:t xml:space="preserve"> desired pharmacologic </w:t>
      </w:r>
      <w:r>
        <w:rPr>
          <w:rFonts w:ascii="Courier New" w:hAnsi="Courier New" w:cs="Courier New"/>
          <w:sz w:val="24"/>
          <w:szCs w:val="24"/>
        </w:rPr>
        <w:t>effect, called a “protein of interest.” There a</w:t>
      </w:r>
      <w:r w:rsidRPr="00221DE0">
        <w:rPr>
          <w:rFonts w:ascii="Courier New" w:hAnsi="Courier New" w:cs="Courier New"/>
          <w:sz w:val="24"/>
          <w:szCs w:val="24"/>
        </w:rPr>
        <w:t xml:space="preserve">re </w:t>
      </w:r>
      <w:r>
        <w:rPr>
          <w:rFonts w:ascii="Courier New" w:hAnsi="Courier New" w:cs="Courier New"/>
          <w:sz w:val="24"/>
          <w:szCs w:val="24"/>
        </w:rPr>
        <w:t>four</w:t>
      </w:r>
      <w:r w:rsidRPr="00221DE0">
        <w:rPr>
          <w:rFonts w:ascii="Courier New" w:hAnsi="Courier New" w:cs="Courier New"/>
          <w:sz w:val="24"/>
          <w:szCs w:val="24"/>
        </w:rPr>
        <w:t xml:space="preserve"> </w:t>
      </w:r>
      <w:r>
        <w:rPr>
          <w:rFonts w:ascii="Courier New" w:hAnsi="Courier New" w:cs="Courier New"/>
          <w:sz w:val="24"/>
          <w:szCs w:val="24"/>
        </w:rPr>
        <w:t>stages of Genentech’s</w:t>
      </w:r>
      <w:r w:rsidRPr="00221DE0">
        <w:rPr>
          <w:rFonts w:ascii="Courier New" w:hAnsi="Courier New" w:cs="Courier New"/>
          <w:sz w:val="24"/>
          <w:szCs w:val="24"/>
        </w:rPr>
        <w:t xml:space="preserve"> drug production process</w:t>
      </w:r>
      <w:r>
        <w:rPr>
          <w:rFonts w:ascii="Courier New" w:hAnsi="Courier New" w:cs="Courier New"/>
          <w:sz w:val="24"/>
          <w:szCs w:val="24"/>
        </w:rPr>
        <w:t>:</w:t>
      </w:r>
      <w:r w:rsidRPr="00221DE0">
        <w:rPr>
          <w:rFonts w:ascii="Courier New" w:hAnsi="Courier New" w:cs="Courier New"/>
          <w:sz w:val="24"/>
          <w:szCs w:val="24"/>
        </w:rPr>
        <w:t xml:space="preserve"> </w:t>
      </w:r>
      <w:r>
        <w:rPr>
          <w:rFonts w:ascii="Courier New" w:hAnsi="Courier New" w:cs="Courier New"/>
          <w:sz w:val="24"/>
          <w:szCs w:val="24"/>
        </w:rPr>
        <w:t xml:space="preserve">(1) alteration the </w:t>
      </w:r>
      <w:r w:rsidRPr="001B7EFD">
        <w:rPr>
          <w:rFonts w:ascii="Courier New" w:hAnsi="Courier New" w:cs="Courier New"/>
          <w:sz w:val="24"/>
          <w:szCs w:val="24"/>
        </w:rPr>
        <w:t>deoxyribonucleic acid</w:t>
      </w:r>
      <w:r>
        <w:rPr>
          <w:rFonts w:ascii="Courier New" w:hAnsi="Courier New" w:cs="Courier New"/>
          <w:sz w:val="24"/>
          <w:szCs w:val="24"/>
        </w:rPr>
        <w:t xml:space="preserve"> (“DNA”) or genetic code of a living cell to instruct it to produce the protein of interest; </w:t>
      </w:r>
      <w:r w:rsidRPr="00221DE0">
        <w:rPr>
          <w:rFonts w:ascii="Courier New" w:hAnsi="Courier New" w:cs="Courier New"/>
          <w:sz w:val="24"/>
          <w:szCs w:val="24"/>
        </w:rPr>
        <w:t>(</w:t>
      </w:r>
      <w:r>
        <w:rPr>
          <w:rFonts w:ascii="Courier New" w:hAnsi="Courier New" w:cs="Courier New"/>
          <w:sz w:val="24"/>
          <w:szCs w:val="24"/>
        </w:rPr>
        <w:t>2</w:t>
      </w:r>
      <w:r w:rsidRPr="00221DE0">
        <w:rPr>
          <w:rFonts w:ascii="Courier New" w:hAnsi="Courier New" w:cs="Courier New"/>
          <w:sz w:val="24"/>
          <w:szCs w:val="24"/>
        </w:rPr>
        <w:t xml:space="preserve">) production of the desired protein by </w:t>
      </w:r>
      <w:r>
        <w:rPr>
          <w:rFonts w:ascii="Courier New" w:hAnsi="Courier New" w:cs="Courier New"/>
          <w:sz w:val="24"/>
          <w:szCs w:val="24"/>
        </w:rPr>
        <w:t>genetically altered</w:t>
      </w:r>
      <w:r w:rsidRPr="00221DE0">
        <w:rPr>
          <w:rFonts w:ascii="Courier New" w:hAnsi="Courier New" w:cs="Courier New"/>
          <w:sz w:val="24"/>
          <w:szCs w:val="24"/>
        </w:rPr>
        <w:t xml:space="preserve"> cells</w:t>
      </w:r>
      <w:r>
        <w:rPr>
          <w:rFonts w:ascii="Courier New" w:hAnsi="Courier New" w:cs="Courier New"/>
          <w:sz w:val="24"/>
          <w:szCs w:val="24"/>
        </w:rPr>
        <w:t>;</w:t>
      </w:r>
      <w:r w:rsidRPr="00221DE0">
        <w:rPr>
          <w:rFonts w:ascii="Courier New" w:hAnsi="Courier New" w:cs="Courier New"/>
          <w:sz w:val="24"/>
          <w:szCs w:val="24"/>
        </w:rPr>
        <w:t xml:space="preserve"> (</w:t>
      </w:r>
      <w:r>
        <w:rPr>
          <w:rFonts w:ascii="Courier New" w:hAnsi="Courier New" w:cs="Courier New"/>
          <w:sz w:val="24"/>
          <w:szCs w:val="24"/>
        </w:rPr>
        <w:t>3</w:t>
      </w:r>
      <w:r w:rsidRPr="00221DE0">
        <w:rPr>
          <w:rFonts w:ascii="Courier New" w:hAnsi="Courier New" w:cs="Courier New"/>
          <w:sz w:val="24"/>
          <w:szCs w:val="24"/>
        </w:rPr>
        <w:t>) purification of the desired protein</w:t>
      </w:r>
      <w:r>
        <w:rPr>
          <w:rFonts w:ascii="Courier New" w:hAnsi="Courier New" w:cs="Courier New"/>
          <w:sz w:val="24"/>
          <w:szCs w:val="24"/>
        </w:rPr>
        <w:t>;</w:t>
      </w:r>
      <w:r w:rsidRPr="00221DE0">
        <w:rPr>
          <w:rFonts w:ascii="Courier New" w:hAnsi="Courier New" w:cs="Courier New"/>
          <w:sz w:val="24"/>
          <w:szCs w:val="24"/>
        </w:rPr>
        <w:t xml:space="preserve"> and (</w:t>
      </w:r>
      <w:r>
        <w:rPr>
          <w:rFonts w:ascii="Courier New" w:hAnsi="Courier New" w:cs="Courier New"/>
          <w:sz w:val="24"/>
          <w:szCs w:val="24"/>
        </w:rPr>
        <w:t>4</w:t>
      </w:r>
      <w:r w:rsidRPr="00221DE0">
        <w:rPr>
          <w:rFonts w:ascii="Courier New" w:hAnsi="Courier New" w:cs="Courier New"/>
          <w:sz w:val="24"/>
          <w:szCs w:val="24"/>
        </w:rPr>
        <w:t xml:space="preserve">) formulation and packaging of the </w:t>
      </w:r>
      <w:r>
        <w:rPr>
          <w:rFonts w:ascii="Courier New" w:hAnsi="Courier New" w:cs="Courier New"/>
          <w:sz w:val="24"/>
          <w:szCs w:val="24"/>
        </w:rPr>
        <w:t xml:space="preserve">resulting bulk </w:t>
      </w:r>
      <w:r w:rsidRPr="00221DE0">
        <w:rPr>
          <w:rFonts w:ascii="Courier New" w:hAnsi="Courier New" w:cs="Courier New"/>
          <w:sz w:val="24"/>
          <w:szCs w:val="24"/>
        </w:rPr>
        <w:t xml:space="preserve">drug for sale to the public. </w:t>
      </w:r>
      <w:r>
        <w:rPr>
          <w:rFonts w:ascii="Courier New" w:hAnsi="Courier New" w:cs="Courier New"/>
          <w:sz w:val="24"/>
          <w:szCs w:val="24"/>
        </w:rPr>
        <w:t xml:space="preserve">All of Genentech’s drug production activities took place outside of Massachusetts, other than activities undertaken as part of the collaboration with Alkermes. </w:t>
      </w:r>
    </w:p>
    <w:p w:rsidR="008627C1" w:rsidRPr="00221DE0" w:rsidRDefault="008627C1" w:rsidP="008627C1">
      <w:pPr>
        <w:spacing w:line="480" w:lineRule="auto"/>
        <w:ind w:firstLine="720"/>
        <w:jc w:val="both"/>
        <w:rPr>
          <w:rFonts w:ascii="Courier New" w:hAnsi="Courier New" w:cs="Courier New"/>
          <w:sz w:val="24"/>
          <w:szCs w:val="24"/>
        </w:rPr>
      </w:pPr>
      <w:r>
        <w:rPr>
          <w:rFonts w:ascii="Courier New" w:hAnsi="Courier New" w:cs="Courier New"/>
          <w:sz w:val="24"/>
          <w:szCs w:val="24"/>
        </w:rPr>
        <w:lastRenderedPageBreak/>
        <w:t xml:space="preserve">While the proteins that form the basis for Genentech’s drugs occur naturally, Genentech developed the technology to synthetically mass produce them. This is done by introducing a DNA sequence into a cell’s genetic code which then “transforms” the cell, directing it to produce the protein of interest. The insertion of the gene is </w:t>
      </w:r>
      <w:r w:rsidRPr="001B7EFD">
        <w:rPr>
          <w:rFonts w:ascii="Courier New" w:hAnsi="Courier New" w:cs="Courier New"/>
          <w:sz w:val="24"/>
          <w:szCs w:val="24"/>
        </w:rPr>
        <w:t>fa</w:t>
      </w:r>
      <w:r w:rsidRPr="00221DE0">
        <w:rPr>
          <w:rFonts w:ascii="Courier New" w:hAnsi="Courier New" w:cs="Courier New"/>
          <w:sz w:val="24"/>
          <w:szCs w:val="24"/>
        </w:rPr>
        <w:t>cilitated by the use of polyethylene glycol, which alters cell membrane permeability.</w:t>
      </w:r>
      <w:r>
        <w:rPr>
          <w:rFonts w:ascii="Courier New" w:hAnsi="Courier New" w:cs="Courier New"/>
          <w:sz w:val="24"/>
          <w:szCs w:val="24"/>
        </w:rPr>
        <w:t xml:space="preserve"> </w:t>
      </w:r>
      <w:r w:rsidRPr="00221DE0">
        <w:rPr>
          <w:rFonts w:ascii="Courier New" w:hAnsi="Courier New" w:cs="Courier New"/>
          <w:sz w:val="24"/>
          <w:szCs w:val="24"/>
        </w:rPr>
        <w:t>Simple biotech</w:t>
      </w:r>
      <w:r>
        <w:rPr>
          <w:rFonts w:ascii="Courier New" w:hAnsi="Courier New" w:cs="Courier New"/>
          <w:sz w:val="24"/>
          <w:szCs w:val="24"/>
        </w:rPr>
        <w:t>nology</w:t>
      </w:r>
      <w:r w:rsidRPr="00221DE0">
        <w:rPr>
          <w:rFonts w:ascii="Courier New" w:hAnsi="Courier New" w:cs="Courier New"/>
          <w:sz w:val="24"/>
          <w:szCs w:val="24"/>
        </w:rPr>
        <w:t xml:space="preserve"> drug compounds such as insulin and </w:t>
      </w:r>
      <w:r>
        <w:rPr>
          <w:rFonts w:ascii="Courier New" w:hAnsi="Courier New" w:cs="Courier New"/>
          <w:sz w:val="24"/>
          <w:szCs w:val="24"/>
        </w:rPr>
        <w:t>hGH</w:t>
      </w:r>
      <w:r w:rsidRPr="00221DE0">
        <w:rPr>
          <w:rFonts w:ascii="Courier New" w:hAnsi="Courier New" w:cs="Courier New"/>
          <w:sz w:val="24"/>
          <w:szCs w:val="24"/>
        </w:rPr>
        <w:t xml:space="preserve"> are produced using </w:t>
      </w:r>
      <w:r>
        <w:rPr>
          <w:rFonts w:ascii="Courier New" w:hAnsi="Courier New" w:cs="Courier New"/>
          <w:sz w:val="24"/>
          <w:szCs w:val="24"/>
        </w:rPr>
        <w:t xml:space="preserve">E. coli, </w:t>
      </w:r>
      <w:r w:rsidRPr="00221DE0">
        <w:rPr>
          <w:rFonts w:ascii="Courier New" w:hAnsi="Courier New" w:cs="Courier New"/>
          <w:sz w:val="24"/>
          <w:szCs w:val="24"/>
        </w:rPr>
        <w:t>while more complex drugs such as Avastin</w:t>
      </w:r>
      <w:r>
        <w:rPr>
          <w:rFonts w:ascii="Courier New" w:hAnsi="Courier New" w:cs="Courier New"/>
          <w:sz w:val="24"/>
          <w:szCs w:val="24"/>
        </w:rPr>
        <w:t xml:space="preserve">®, a Genentech treatment for cancer, </w:t>
      </w:r>
      <w:r w:rsidRPr="00221DE0">
        <w:rPr>
          <w:rFonts w:ascii="Courier New" w:hAnsi="Courier New" w:cs="Courier New"/>
          <w:sz w:val="24"/>
          <w:szCs w:val="24"/>
        </w:rPr>
        <w:t xml:space="preserve">are produced using Chinese hamster ovary cells. </w:t>
      </w:r>
      <w:r>
        <w:rPr>
          <w:rFonts w:ascii="Courier New" w:hAnsi="Courier New" w:cs="Courier New"/>
          <w:sz w:val="24"/>
          <w:szCs w:val="24"/>
        </w:rPr>
        <w:t xml:space="preserve">Genentech then allows the </w:t>
      </w:r>
      <w:r w:rsidRPr="00221DE0">
        <w:rPr>
          <w:rFonts w:ascii="Courier New" w:hAnsi="Courier New" w:cs="Courier New"/>
          <w:sz w:val="24"/>
          <w:szCs w:val="24"/>
        </w:rPr>
        <w:t>cell line to grow and reproduce</w:t>
      </w:r>
      <w:r>
        <w:rPr>
          <w:rFonts w:ascii="Courier New" w:hAnsi="Courier New" w:cs="Courier New"/>
          <w:sz w:val="24"/>
          <w:szCs w:val="24"/>
        </w:rPr>
        <w:t>, with each cell copy carrying the genetic modification that instructs it to produce the protein. Genentech acclimatizes the</w:t>
      </w:r>
      <w:r w:rsidRPr="00221DE0">
        <w:rPr>
          <w:rFonts w:ascii="Courier New" w:hAnsi="Courier New" w:cs="Courier New"/>
          <w:sz w:val="24"/>
          <w:szCs w:val="24"/>
        </w:rPr>
        <w:t xml:space="preserve"> cells </w:t>
      </w:r>
      <w:r>
        <w:rPr>
          <w:rFonts w:ascii="Courier New" w:hAnsi="Courier New" w:cs="Courier New"/>
          <w:sz w:val="24"/>
          <w:szCs w:val="24"/>
        </w:rPr>
        <w:t>in</w:t>
      </w:r>
      <w:r w:rsidRPr="00221DE0">
        <w:rPr>
          <w:rFonts w:ascii="Courier New" w:hAnsi="Courier New" w:cs="Courier New"/>
          <w:sz w:val="24"/>
          <w:szCs w:val="24"/>
        </w:rPr>
        <w:t xml:space="preserve"> larger and larger tanks</w:t>
      </w:r>
      <w:r>
        <w:rPr>
          <w:rFonts w:ascii="Courier New" w:hAnsi="Courier New" w:cs="Courier New"/>
          <w:sz w:val="24"/>
          <w:szCs w:val="24"/>
        </w:rPr>
        <w:t xml:space="preserve">, </w:t>
      </w:r>
      <w:r w:rsidRPr="00221DE0">
        <w:rPr>
          <w:rFonts w:ascii="Courier New" w:hAnsi="Courier New" w:cs="Courier New"/>
          <w:sz w:val="24"/>
          <w:szCs w:val="24"/>
        </w:rPr>
        <w:t>rang</w:t>
      </w:r>
      <w:r>
        <w:rPr>
          <w:rFonts w:ascii="Courier New" w:hAnsi="Courier New" w:cs="Courier New"/>
          <w:sz w:val="24"/>
          <w:szCs w:val="24"/>
        </w:rPr>
        <w:t xml:space="preserve">ing </w:t>
      </w:r>
      <w:r w:rsidRPr="00221DE0">
        <w:rPr>
          <w:rFonts w:ascii="Courier New" w:hAnsi="Courier New" w:cs="Courier New"/>
          <w:sz w:val="24"/>
          <w:szCs w:val="24"/>
        </w:rPr>
        <w:t xml:space="preserve">in size up to 25,000L </w:t>
      </w:r>
      <w:r>
        <w:rPr>
          <w:rFonts w:ascii="Courier New" w:hAnsi="Courier New" w:cs="Courier New"/>
          <w:sz w:val="24"/>
          <w:szCs w:val="24"/>
        </w:rPr>
        <w:t xml:space="preserve">for </w:t>
      </w:r>
      <w:r w:rsidRPr="00221DE0">
        <w:rPr>
          <w:rFonts w:ascii="Courier New" w:hAnsi="Courier New" w:cs="Courier New"/>
          <w:sz w:val="24"/>
          <w:szCs w:val="24"/>
        </w:rPr>
        <w:t>3</w:t>
      </w:r>
      <w:r>
        <w:rPr>
          <w:rFonts w:ascii="Courier New" w:hAnsi="Courier New" w:cs="Courier New"/>
          <w:sz w:val="24"/>
          <w:szCs w:val="24"/>
        </w:rPr>
        <w:t xml:space="preserve"> </w:t>
      </w:r>
      <w:r w:rsidRPr="00221DE0">
        <w:rPr>
          <w:rFonts w:ascii="Courier New" w:hAnsi="Courier New" w:cs="Courier New"/>
          <w:sz w:val="24"/>
          <w:szCs w:val="24"/>
        </w:rPr>
        <w:t xml:space="preserve">days </w:t>
      </w:r>
      <w:r>
        <w:rPr>
          <w:rFonts w:ascii="Courier New" w:hAnsi="Courier New" w:cs="Courier New"/>
          <w:sz w:val="24"/>
          <w:szCs w:val="24"/>
        </w:rPr>
        <w:t>to</w:t>
      </w:r>
      <w:r w:rsidRPr="00221DE0">
        <w:rPr>
          <w:rFonts w:ascii="Courier New" w:hAnsi="Courier New" w:cs="Courier New"/>
          <w:sz w:val="24"/>
          <w:szCs w:val="24"/>
        </w:rPr>
        <w:t xml:space="preserve"> 2 weeks</w:t>
      </w:r>
      <w:r>
        <w:rPr>
          <w:rFonts w:ascii="Courier New" w:hAnsi="Courier New" w:cs="Courier New"/>
          <w:sz w:val="24"/>
          <w:szCs w:val="24"/>
        </w:rPr>
        <w:t>,</w:t>
      </w:r>
      <w:r w:rsidRPr="00221DE0">
        <w:rPr>
          <w:rFonts w:ascii="Courier New" w:hAnsi="Courier New" w:cs="Courier New"/>
          <w:sz w:val="24"/>
          <w:szCs w:val="24"/>
        </w:rPr>
        <w:t xml:space="preserve"> to continue their growth. </w:t>
      </w:r>
      <w:r>
        <w:rPr>
          <w:rFonts w:ascii="Courier New" w:hAnsi="Courier New" w:cs="Courier New"/>
          <w:sz w:val="24"/>
          <w:szCs w:val="24"/>
        </w:rPr>
        <w:t>Genentech employees feed the c</w:t>
      </w:r>
      <w:r w:rsidRPr="00221DE0">
        <w:rPr>
          <w:rFonts w:ascii="Courier New" w:hAnsi="Courier New" w:cs="Courier New"/>
          <w:sz w:val="24"/>
          <w:szCs w:val="24"/>
        </w:rPr>
        <w:t xml:space="preserve">ells glucose and other nutrients and </w:t>
      </w:r>
      <w:r>
        <w:rPr>
          <w:rFonts w:ascii="Courier New" w:hAnsi="Courier New" w:cs="Courier New"/>
          <w:sz w:val="24"/>
          <w:szCs w:val="24"/>
        </w:rPr>
        <w:t xml:space="preserve">closely </w:t>
      </w:r>
      <w:r w:rsidRPr="00221DE0">
        <w:rPr>
          <w:rFonts w:ascii="Courier New" w:hAnsi="Courier New" w:cs="Courier New"/>
          <w:sz w:val="24"/>
          <w:szCs w:val="24"/>
        </w:rPr>
        <w:t>monitor</w:t>
      </w:r>
      <w:r>
        <w:rPr>
          <w:rFonts w:ascii="Courier New" w:hAnsi="Courier New" w:cs="Courier New"/>
          <w:sz w:val="24"/>
          <w:szCs w:val="24"/>
        </w:rPr>
        <w:t xml:space="preserve"> their environment. </w:t>
      </w:r>
    </w:p>
    <w:p w:rsidR="008627C1" w:rsidRDefault="008627C1" w:rsidP="008627C1">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Once the proteins have been expressed, they must be purified by </w:t>
      </w:r>
      <w:r w:rsidRPr="00221DE0">
        <w:rPr>
          <w:rFonts w:ascii="Courier New" w:hAnsi="Courier New" w:cs="Courier New"/>
          <w:sz w:val="24"/>
          <w:szCs w:val="24"/>
        </w:rPr>
        <w:t>separat</w:t>
      </w:r>
      <w:r>
        <w:rPr>
          <w:rFonts w:ascii="Courier New" w:hAnsi="Courier New" w:cs="Courier New"/>
          <w:sz w:val="24"/>
          <w:szCs w:val="24"/>
        </w:rPr>
        <w:t>ing</w:t>
      </w:r>
      <w:r w:rsidRPr="00221DE0">
        <w:rPr>
          <w:rFonts w:ascii="Courier New" w:hAnsi="Courier New" w:cs="Courier New"/>
          <w:sz w:val="24"/>
          <w:szCs w:val="24"/>
        </w:rPr>
        <w:t xml:space="preserve"> and isolat</w:t>
      </w:r>
      <w:r>
        <w:rPr>
          <w:rFonts w:ascii="Courier New" w:hAnsi="Courier New" w:cs="Courier New"/>
          <w:sz w:val="24"/>
          <w:szCs w:val="24"/>
        </w:rPr>
        <w:t>ing them</w:t>
      </w:r>
      <w:r w:rsidRPr="00221DE0">
        <w:rPr>
          <w:rFonts w:ascii="Courier New" w:hAnsi="Courier New" w:cs="Courier New"/>
          <w:sz w:val="24"/>
          <w:szCs w:val="24"/>
        </w:rPr>
        <w:t xml:space="preserve"> </w:t>
      </w:r>
      <w:r>
        <w:rPr>
          <w:rFonts w:ascii="Courier New" w:hAnsi="Courier New" w:cs="Courier New"/>
          <w:sz w:val="24"/>
          <w:szCs w:val="24"/>
        </w:rPr>
        <w:t xml:space="preserve">from </w:t>
      </w:r>
      <w:r w:rsidRPr="00221DE0">
        <w:rPr>
          <w:rFonts w:ascii="Courier New" w:hAnsi="Courier New" w:cs="Courier New"/>
          <w:sz w:val="24"/>
          <w:szCs w:val="24"/>
        </w:rPr>
        <w:t xml:space="preserve">the mix of cells and other material </w:t>
      </w:r>
      <w:r>
        <w:rPr>
          <w:rFonts w:ascii="Courier New" w:hAnsi="Courier New" w:cs="Courier New"/>
          <w:sz w:val="24"/>
          <w:szCs w:val="24"/>
        </w:rPr>
        <w:t xml:space="preserve">present. Genentech must also extract any proteins that are not directly expressed into the solution by “disrupting” or breaking down the cell </w:t>
      </w:r>
      <w:r>
        <w:rPr>
          <w:rFonts w:ascii="Courier New" w:hAnsi="Courier New" w:cs="Courier New"/>
          <w:sz w:val="24"/>
          <w:szCs w:val="24"/>
        </w:rPr>
        <w:lastRenderedPageBreak/>
        <w:t xml:space="preserve">walls containing them. The filtration processes used by Genentech </w:t>
      </w:r>
      <w:r w:rsidRPr="00221DE0">
        <w:rPr>
          <w:rFonts w:ascii="Courier New" w:hAnsi="Courier New" w:cs="Courier New"/>
          <w:sz w:val="24"/>
          <w:szCs w:val="24"/>
        </w:rPr>
        <w:t>typically include ultrafiltration, where the solution is passed through the microscopic</w:t>
      </w:r>
      <w:r>
        <w:rPr>
          <w:rFonts w:ascii="Courier New" w:hAnsi="Courier New" w:cs="Courier New"/>
          <w:sz w:val="24"/>
          <w:szCs w:val="24"/>
        </w:rPr>
        <w:t xml:space="preserve"> pores of a membrane acting as a sieve to separate material by size, and chromatography, where solution is passed through a column to fully </w:t>
      </w:r>
      <w:r w:rsidRPr="00221DE0">
        <w:rPr>
          <w:rFonts w:ascii="Courier New" w:hAnsi="Courier New" w:cs="Courier New"/>
          <w:sz w:val="24"/>
          <w:szCs w:val="24"/>
        </w:rPr>
        <w:t>separate the protein from any oth</w:t>
      </w:r>
      <w:r>
        <w:rPr>
          <w:rFonts w:ascii="Courier New" w:hAnsi="Courier New" w:cs="Courier New"/>
          <w:sz w:val="24"/>
          <w:szCs w:val="24"/>
        </w:rPr>
        <w:t>er unwanted solution components. There are three common types of chromatography processes: affinity, size exclusion, and ion exchange chromatography. In affinity chromatography, antibodies are introduced into the column that will bind to the desired protein to help extract it. Size exclusion filters based on the size of the desired protein while ion exchange chromatography uses the difference in electrical charges of the protein and other components to separate the two. After the purification process, t</w:t>
      </w:r>
      <w:r w:rsidRPr="00221DE0">
        <w:rPr>
          <w:rFonts w:ascii="Courier New" w:hAnsi="Courier New" w:cs="Courier New"/>
          <w:sz w:val="24"/>
          <w:szCs w:val="24"/>
        </w:rPr>
        <w:t xml:space="preserve">he bulk drug is delivered to other </w:t>
      </w:r>
      <w:r>
        <w:rPr>
          <w:rFonts w:ascii="Courier New" w:hAnsi="Courier New" w:cs="Courier New"/>
          <w:sz w:val="24"/>
          <w:szCs w:val="24"/>
        </w:rPr>
        <w:t>facilities</w:t>
      </w:r>
      <w:r w:rsidRPr="00221DE0">
        <w:rPr>
          <w:rFonts w:ascii="Courier New" w:hAnsi="Courier New" w:cs="Courier New"/>
          <w:sz w:val="24"/>
          <w:szCs w:val="24"/>
        </w:rPr>
        <w:t xml:space="preserve"> </w:t>
      </w:r>
      <w:r>
        <w:rPr>
          <w:rFonts w:ascii="Courier New" w:hAnsi="Courier New" w:cs="Courier New"/>
          <w:sz w:val="24"/>
          <w:szCs w:val="24"/>
        </w:rPr>
        <w:t>where it is</w:t>
      </w:r>
      <w:r w:rsidRPr="00221DE0">
        <w:rPr>
          <w:rFonts w:ascii="Courier New" w:hAnsi="Courier New" w:cs="Courier New"/>
          <w:sz w:val="24"/>
          <w:szCs w:val="24"/>
        </w:rPr>
        <w:t xml:space="preserve"> formulate</w:t>
      </w:r>
      <w:r>
        <w:rPr>
          <w:rFonts w:ascii="Courier New" w:hAnsi="Courier New" w:cs="Courier New"/>
          <w:sz w:val="24"/>
          <w:szCs w:val="24"/>
        </w:rPr>
        <w:t>d</w:t>
      </w:r>
      <w:r w:rsidRPr="00221DE0">
        <w:rPr>
          <w:rFonts w:ascii="Courier New" w:hAnsi="Courier New" w:cs="Courier New"/>
          <w:sz w:val="24"/>
          <w:szCs w:val="24"/>
        </w:rPr>
        <w:t xml:space="preserve"> as required and fi</w:t>
      </w:r>
      <w:r>
        <w:rPr>
          <w:rFonts w:ascii="Courier New" w:hAnsi="Courier New" w:cs="Courier New"/>
          <w:sz w:val="24"/>
          <w:szCs w:val="24"/>
        </w:rPr>
        <w:t>lled into its final dosage form, which</w:t>
      </w:r>
      <w:r w:rsidRPr="00221DE0">
        <w:rPr>
          <w:rFonts w:ascii="Courier New" w:hAnsi="Courier New" w:cs="Courier New"/>
          <w:sz w:val="24"/>
          <w:szCs w:val="24"/>
        </w:rPr>
        <w:t xml:space="preserve"> is labeled and packaged for individual patient use. The packaged drug is delivered to distributors or directly to physicians, hospitals, and pharmacies around the world</w:t>
      </w:r>
      <w:r>
        <w:rPr>
          <w:rFonts w:ascii="Courier New" w:hAnsi="Courier New" w:cs="Courier New"/>
          <w:sz w:val="24"/>
          <w:szCs w:val="24"/>
        </w:rPr>
        <w:t>.</w:t>
      </w:r>
      <w:r w:rsidRPr="00EB4C3C">
        <w:t xml:space="preserve"> </w:t>
      </w:r>
    </w:p>
    <w:p w:rsidR="008627C1" w:rsidRPr="00221DE0" w:rsidRDefault="008627C1" w:rsidP="008627C1">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As further explained in the following Opinion, the Board found and ruled that the appellant’s production of drugs through the introduction of semi-synthetic genes used to alter the genetic code of living organisms to produce </w:t>
      </w:r>
      <w:r>
        <w:rPr>
          <w:rFonts w:ascii="Courier New" w:hAnsi="Courier New" w:cs="Courier New"/>
          <w:sz w:val="24"/>
          <w:szCs w:val="24"/>
        </w:rPr>
        <w:lastRenderedPageBreak/>
        <w:t>proteins which must be extracted and purified, involves sufficient man-made physical change to be treated as manufacturing for Massachusetts corporate excise purposes under G.L. c. 63, § 38(</w:t>
      </w:r>
      <w:r>
        <w:rPr>
          <w:rFonts w:ascii="Courier New" w:hAnsi="Courier New" w:cs="Courier New"/>
          <w:i/>
          <w:sz w:val="24"/>
          <w:szCs w:val="24"/>
        </w:rPr>
        <w:t>l</w:t>
      </w:r>
      <w:r>
        <w:rPr>
          <w:rFonts w:ascii="Courier New" w:hAnsi="Courier New" w:cs="Courier New"/>
          <w:sz w:val="24"/>
          <w:szCs w:val="24"/>
        </w:rPr>
        <w:t xml:space="preserve">). </w:t>
      </w:r>
    </w:p>
    <w:p w:rsidR="008627C1" w:rsidRPr="00514594" w:rsidRDefault="008627C1" w:rsidP="008627C1">
      <w:pPr>
        <w:pStyle w:val="ListParagraph"/>
        <w:numPr>
          <w:ilvl w:val="0"/>
          <w:numId w:val="11"/>
        </w:numPr>
        <w:spacing w:line="480" w:lineRule="auto"/>
        <w:jc w:val="both"/>
        <w:rPr>
          <w:rFonts w:ascii="Courier New" w:hAnsi="Courier New" w:cs="Courier New"/>
          <w:b/>
          <w:sz w:val="24"/>
          <w:szCs w:val="24"/>
        </w:rPr>
      </w:pPr>
      <w:r>
        <w:rPr>
          <w:rFonts w:ascii="Courier New" w:hAnsi="Courier New" w:cs="Courier New"/>
          <w:b/>
          <w:sz w:val="24"/>
          <w:szCs w:val="24"/>
        </w:rPr>
        <w:t>Substantial Manufacturing Activities of Appellant</w:t>
      </w:r>
    </w:p>
    <w:p w:rsidR="008627C1" w:rsidRPr="00906FF7" w:rsidRDefault="008627C1" w:rsidP="008627C1">
      <w:pPr>
        <w:spacing w:line="480" w:lineRule="auto"/>
        <w:jc w:val="both"/>
        <w:rPr>
          <w:rFonts w:ascii="Courier New" w:hAnsi="Courier New" w:cs="Courier New"/>
          <w:sz w:val="24"/>
          <w:szCs w:val="24"/>
        </w:rPr>
      </w:pPr>
      <w:r>
        <w:rPr>
          <w:rFonts w:ascii="Courier New" w:hAnsi="Courier New" w:cs="Courier New"/>
          <w:b/>
          <w:sz w:val="24"/>
          <w:szCs w:val="24"/>
        </w:rPr>
        <w:tab/>
      </w:r>
      <w:r w:rsidRPr="00906FF7">
        <w:rPr>
          <w:rFonts w:ascii="Courier New" w:hAnsi="Courier New" w:cs="Courier New"/>
          <w:sz w:val="24"/>
          <w:szCs w:val="24"/>
        </w:rPr>
        <w:t>In order</w:t>
      </w:r>
      <w:r>
        <w:rPr>
          <w:rFonts w:ascii="Courier New" w:hAnsi="Courier New" w:cs="Courier New"/>
          <w:sz w:val="24"/>
          <w:szCs w:val="24"/>
        </w:rPr>
        <w:t xml:space="preserve"> to be treated as a manufacturing corporation for tax purposes, a taxpayer’s manufacturing activity must be “substantial,” which has been defined by statute as meeting certain thresholds comparing the level of the taxpayer’s property, payroll, and sales related to its manufacturing activities to its total property, payroll, and sales from all activities. The parties agreed that Genentech’s property and payroll proportions fell short of the thresholds in the years at issue. However, Genentech would nonetheless be designated a manufacturing corporation if it had derived a sufficient percentage of its gross receipts from the sale of goods which it manufactured, which the Board found and ruled included sales of its drugs. Where the parties disagree is whether gross receipts for this purpose should not only include revenue such as product sales, interest, dividends, royalties, capital gain, and other business income included in taxable income, but should also include gross proceeds from the maturity and redemption of short-term securities.</w:t>
      </w:r>
    </w:p>
    <w:p w:rsidR="001B7825" w:rsidRDefault="008627C1" w:rsidP="001B7825">
      <w:pPr>
        <w:spacing w:line="480" w:lineRule="auto"/>
        <w:ind w:firstLine="720"/>
        <w:jc w:val="both"/>
        <w:rPr>
          <w:rFonts w:ascii="Courier New" w:hAnsi="Courier New" w:cs="Courier New"/>
          <w:sz w:val="24"/>
          <w:szCs w:val="24"/>
        </w:rPr>
      </w:pPr>
      <w:r>
        <w:rPr>
          <w:rFonts w:ascii="Courier New" w:hAnsi="Courier New" w:cs="Courier New"/>
          <w:sz w:val="24"/>
          <w:szCs w:val="24"/>
        </w:rPr>
        <w:lastRenderedPageBreak/>
        <w:t xml:space="preserve">Genentech’s treasury department managed the investment of the appellant’s excess cash in short-term securities. Genentech maintained eleven accounts to hold these short-term assets at Mellon Bank (“Mellon Accounts”), which held money market funds, commercial paper, and treasury bonds. </w:t>
      </w:r>
      <w:r w:rsidRPr="00FF5E70">
        <w:rPr>
          <w:rFonts w:ascii="Courier New" w:hAnsi="Courier New" w:cs="Courier New"/>
          <w:sz w:val="24"/>
          <w:szCs w:val="24"/>
        </w:rPr>
        <w:t>Money market funds are pooled investment vehicles that differ from other types of inv</w:t>
      </w:r>
      <w:r>
        <w:rPr>
          <w:rFonts w:ascii="Courier New" w:hAnsi="Courier New" w:cs="Courier New"/>
          <w:sz w:val="24"/>
          <w:szCs w:val="24"/>
        </w:rPr>
        <w:t xml:space="preserve">estment funds in that they aim </w:t>
      </w:r>
      <w:r w:rsidRPr="00FF5E70">
        <w:rPr>
          <w:rFonts w:ascii="Courier New" w:hAnsi="Courier New" w:cs="Courier New"/>
          <w:sz w:val="24"/>
          <w:szCs w:val="24"/>
        </w:rPr>
        <w:t xml:space="preserve">to maintain a consistent net asset value (“NAV”) of $1 per share. </w:t>
      </w:r>
      <w:r w:rsidRPr="000A1D4E">
        <w:rPr>
          <w:rFonts w:ascii="Courier New" w:hAnsi="Courier New" w:cs="Courier New"/>
          <w:i/>
          <w:sz w:val="24"/>
          <w:szCs w:val="24"/>
        </w:rPr>
        <w:t>See</w:t>
      </w:r>
      <w:r>
        <w:rPr>
          <w:rFonts w:ascii="Courier New" w:hAnsi="Courier New" w:cs="Courier New"/>
          <w:sz w:val="24"/>
          <w:szCs w:val="24"/>
        </w:rPr>
        <w:t xml:space="preserve"> </w:t>
      </w:r>
      <w:r w:rsidRPr="00FF5E70">
        <w:rPr>
          <w:rFonts w:ascii="Courier New" w:hAnsi="Courier New" w:cs="Courier New"/>
          <w:sz w:val="24"/>
          <w:szCs w:val="24"/>
        </w:rPr>
        <w:t xml:space="preserve">Mark Perlow, </w:t>
      </w:r>
      <w:r w:rsidRPr="00FF5E70">
        <w:rPr>
          <w:rFonts w:ascii="Courier New" w:hAnsi="Courier New" w:cs="Courier New"/>
          <w:b/>
          <w:i/>
          <w:sz w:val="24"/>
          <w:szCs w:val="24"/>
        </w:rPr>
        <w:t>Money Market Funds - Preserving Systemic Benefits, Minimizing Systemic Risks</w:t>
      </w:r>
      <w:r w:rsidRPr="00FF5E70">
        <w:rPr>
          <w:rFonts w:ascii="Courier New" w:hAnsi="Courier New" w:cs="Courier New"/>
          <w:sz w:val="24"/>
          <w:szCs w:val="24"/>
        </w:rPr>
        <w:t xml:space="preserve">, 8 Berkeley Bus. L.J. 74, 76-77 (Spring 2011). </w:t>
      </w:r>
      <w:r>
        <w:rPr>
          <w:rFonts w:ascii="Courier New" w:hAnsi="Courier New" w:cs="Courier New"/>
          <w:sz w:val="24"/>
          <w:szCs w:val="24"/>
        </w:rPr>
        <w:t>Unlike shares of other equity investments, the price of which is expected to fluctuate, i</w:t>
      </w:r>
      <w:r w:rsidRPr="00FF5E70">
        <w:rPr>
          <w:rFonts w:ascii="Courier New" w:hAnsi="Courier New" w:cs="Courier New"/>
          <w:sz w:val="24"/>
          <w:szCs w:val="24"/>
        </w:rPr>
        <w:t xml:space="preserve">nvestors generally expect to be able to redeem their shares of money market funds for the amount originally invested, while earning interest </w:t>
      </w:r>
      <w:r>
        <w:rPr>
          <w:rFonts w:ascii="Courier New" w:hAnsi="Courier New" w:cs="Courier New"/>
          <w:sz w:val="24"/>
          <w:szCs w:val="24"/>
        </w:rPr>
        <w:t>or dividends throughout</w:t>
      </w:r>
      <w:r w:rsidRPr="00FF5E70">
        <w:rPr>
          <w:rFonts w:ascii="Courier New" w:hAnsi="Courier New" w:cs="Courier New"/>
          <w:sz w:val="24"/>
          <w:szCs w:val="24"/>
        </w:rPr>
        <w:t xml:space="preserve"> th</w:t>
      </w:r>
      <w:r>
        <w:rPr>
          <w:rFonts w:ascii="Courier New" w:hAnsi="Courier New" w:cs="Courier New"/>
          <w:sz w:val="24"/>
          <w:szCs w:val="24"/>
        </w:rPr>
        <w:t xml:space="preserve">e term that they hold shares in the fund. </w:t>
      </w:r>
    </w:p>
    <w:p w:rsidR="001B7825" w:rsidRDefault="001B7825">
      <w:pPr>
        <w:spacing w:after="200" w:line="276" w:lineRule="auto"/>
        <w:rPr>
          <w:rFonts w:ascii="Courier New" w:hAnsi="Courier New" w:cs="Courier New"/>
          <w:sz w:val="24"/>
          <w:szCs w:val="24"/>
        </w:rPr>
      </w:pPr>
      <w:r>
        <w:rPr>
          <w:rFonts w:ascii="Courier New" w:hAnsi="Courier New" w:cs="Courier New"/>
          <w:sz w:val="24"/>
          <w:szCs w:val="24"/>
        </w:rPr>
        <w:br w:type="page"/>
      </w:r>
    </w:p>
    <w:p w:rsidR="008627C1" w:rsidRDefault="008627C1" w:rsidP="001B7825">
      <w:pPr>
        <w:spacing w:line="480" w:lineRule="auto"/>
        <w:jc w:val="both"/>
        <w:rPr>
          <w:rFonts w:ascii="Courier New" w:hAnsi="Courier New" w:cs="Courier New"/>
          <w:sz w:val="24"/>
          <w:szCs w:val="24"/>
        </w:rPr>
      </w:pPr>
      <w:r>
        <w:rPr>
          <w:rFonts w:ascii="Courier New" w:hAnsi="Courier New" w:cs="Courier New"/>
          <w:b/>
          <w:i/>
          <w:sz w:val="24"/>
          <w:szCs w:val="24"/>
        </w:rPr>
        <w:lastRenderedPageBreak/>
        <w:t>Id.</w:t>
      </w:r>
      <w:r w:rsidR="001B7825">
        <w:rPr>
          <w:rFonts w:ascii="Courier New" w:hAnsi="Courier New" w:cs="Courier New"/>
          <w:b/>
          <w:i/>
          <w:sz w:val="24"/>
          <w:szCs w:val="24"/>
        </w:rPr>
        <w:t> </w:t>
      </w:r>
      <w:r w:rsidRPr="00BC5817">
        <w:rPr>
          <w:rFonts w:ascii="Courier New" w:hAnsi="Courier New" w:cs="Courier New"/>
          <w:sz w:val="24"/>
          <w:szCs w:val="24"/>
        </w:rPr>
        <w:t>at</w:t>
      </w:r>
      <w:r>
        <w:rPr>
          <w:rFonts w:ascii="Courier New" w:hAnsi="Courier New" w:cs="Courier New"/>
          <w:b/>
          <w:i/>
          <w:sz w:val="24"/>
          <w:szCs w:val="24"/>
        </w:rPr>
        <w:t xml:space="preserve"> </w:t>
      </w:r>
      <w:r>
        <w:rPr>
          <w:rFonts w:ascii="Courier New" w:hAnsi="Courier New" w:cs="Courier New"/>
          <w:sz w:val="24"/>
          <w:szCs w:val="24"/>
        </w:rPr>
        <w:t>77.</w:t>
      </w:r>
      <w:r w:rsidR="001B7825">
        <w:rPr>
          <w:rFonts w:ascii="Courier New" w:hAnsi="Courier New" w:cs="Courier New"/>
          <w:sz w:val="24"/>
          <w:szCs w:val="24"/>
        </w:rPr>
        <w:t xml:space="preserve"> </w:t>
      </w:r>
      <w:r>
        <w:rPr>
          <w:rFonts w:ascii="Courier New" w:hAnsi="Courier New" w:cs="Courier New"/>
          <w:b/>
          <w:i/>
          <w:sz w:val="24"/>
          <w:szCs w:val="24"/>
        </w:rPr>
        <w:t xml:space="preserve"> </w:t>
      </w:r>
      <w:r>
        <w:rPr>
          <w:rFonts w:ascii="Courier New" w:hAnsi="Courier New" w:cs="Courier New"/>
          <w:sz w:val="24"/>
          <w:szCs w:val="24"/>
        </w:rPr>
        <w:t>During the periods at issue, the money market funds held in the Mellon Accounts maintained a $1 NAV, thus</w:t>
      </w:r>
      <w:r w:rsidR="001B7825">
        <w:rPr>
          <w:rFonts w:ascii="Courier New" w:hAnsi="Courier New" w:cs="Courier New"/>
          <w:sz w:val="24"/>
          <w:szCs w:val="24"/>
        </w:rPr>
        <w:t xml:space="preserve"> </w:t>
      </w:r>
      <w:r>
        <w:rPr>
          <w:rFonts w:ascii="Courier New" w:hAnsi="Courier New" w:cs="Courier New"/>
          <w:sz w:val="24"/>
          <w:szCs w:val="24"/>
        </w:rPr>
        <w:t>allowing Genentech to redeem for the purchase price with no gain or loss.</w:t>
      </w:r>
      <w:r w:rsidRPr="00B51C3F">
        <w:rPr>
          <w:rStyle w:val="FootnoteReference"/>
          <w:rFonts w:ascii="Courier New" w:hAnsi="Courier New" w:cs="Courier New"/>
          <w:b/>
          <w:sz w:val="24"/>
          <w:szCs w:val="24"/>
        </w:rPr>
        <w:footnoteReference w:id="9"/>
      </w:r>
      <w:r>
        <w:rPr>
          <w:rFonts w:ascii="Courier New" w:hAnsi="Courier New" w:cs="Courier New"/>
          <w:sz w:val="24"/>
          <w:szCs w:val="24"/>
        </w:rPr>
        <w:t xml:space="preserve"> </w:t>
      </w:r>
    </w:p>
    <w:p w:rsidR="008627C1" w:rsidRDefault="008627C1" w:rsidP="008627C1">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Commercial paper is a short-term debt instrument that is usually issued by a corporation in order to meet working capital needs as an alternative to a bank loan. </w:t>
      </w:r>
      <w:r>
        <w:rPr>
          <w:rFonts w:ascii="Courier New" w:hAnsi="Courier New" w:cs="Courier New"/>
          <w:b/>
          <w:i/>
          <w:sz w:val="24"/>
          <w:szCs w:val="24"/>
        </w:rPr>
        <w:t xml:space="preserve">Id. </w:t>
      </w:r>
      <w:r>
        <w:rPr>
          <w:rFonts w:ascii="Courier New" w:hAnsi="Courier New" w:cs="Courier New"/>
          <w:sz w:val="24"/>
          <w:szCs w:val="24"/>
        </w:rPr>
        <w:t xml:space="preserve">Van Bui, the appellant’s treasurer, testified that Genentech’s treasury department, which ranged from two to seven employees in California, would assess Genentech’s cash needs on a daily basis and would accordingly liquidate investments to free up cash or invest excess cash into short-term securities, as necessary. The receipts recorded in the Mellon Accounts included dividends, interest, and return of capital through the redemption or maturity of securities. There were no capital gains or losses generated in the Mellon Accounts during the years at issue, despite the enormous amount of securities that were purchased and sold, meaning Genentech was able to either redeem the </w:t>
      </w:r>
      <w:r>
        <w:rPr>
          <w:rFonts w:ascii="Courier New" w:hAnsi="Courier New" w:cs="Courier New"/>
          <w:sz w:val="24"/>
          <w:szCs w:val="24"/>
        </w:rPr>
        <w:lastRenderedPageBreak/>
        <w:t>securities in every instance for the same amount as it paid for them or hold them to maturity.</w:t>
      </w:r>
      <w:r w:rsidRPr="00BC5817">
        <w:rPr>
          <w:rFonts w:ascii="Courier New" w:hAnsi="Courier New" w:cs="Courier New"/>
          <w:sz w:val="24"/>
          <w:szCs w:val="24"/>
        </w:rPr>
        <w:t xml:space="preserve"> </w:t>
      </w:r>
    </w:p>
    <w:p w:rsidR="008627C1" w:rsidRDefault="008627C1" w:rsidP="008627C1">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The redemption and maturity of the short-term securities resulted in gross proceeds. Assume an example where Genentech used $100 of excess cash to purchase 100 shares of a money market fund. Over the course of 30 days, Genentech earned $2 in interest, but when a need arose for $100 to be used in the business, Genentech redeemed its 100 shares for $100 in cash. The disagreement between the parties boils down to whether, for purposes of determining the </w:t>
      </w:r>
      <w:r w:rsidR="00425959">
        <w:rPr>
          <w:rFonts w:ascii="Courier New" w:hAnsi="Courier New" w:cs="Courier New"/>
          <w:sz w:val="24"/>
          <w:szCs w:val="24"/>
        </w:rPr>
        <w:t>percentage</w:t>
      </w:r>
      <w:r>
        <w:rPr>
          <w:rFonts w:ascii="Courier New" w:hAnsi="Courier New" w:cs="Courier New"/>
          <w:sz w:val="24"/>
          <w:szCs w:val="24"/>
        </w:rPr>
        <w:t xml:space="preserve"> of its receipts that were derived from manufacturing, Genentech should be able to </w:t>
      </w:r>
      <w:r w:rsidR="00E74DDD">
        <w:rPr>
          <w:rFonts w:ascii="Courier New" w:hAnsi="Courier New" w:cs="Courier New"/>
          <w:sz w:val="24"/>
          <w:szCs w:val="24"/>
        </w:rPr>
        <w:t xml:space="preserve">claim gross receipts of </w:t>
      </w:r>
      <w:r>
        <w:rPr>
          <w:rFonts w:ascii="Courier New" w:hAnsi="Courier New" w:cs="Courier New"/>
          <w:sz w:val="24"/>
          <w:szCs w:val="24"/>
        </w:rPr>
        <w:t xml:space="preserve">$102, </w:t>
      </w:r>
      <w:r w:rsidR="00E74DDD">
        <w:rPr>
          <w:rFonts w:ascii="Courier New" w:hAnsi="Courier New" w:cs="Courier New"/>
          <w:sz w:val="24"/>
          <w:szCs w:val="24"/>
        </w:rPr>
        <w:t>comprised of</w:t>
      </w:r>
      <w:r>
        <w:rPr>
          <w:rFonts w:ascii="Courier New" w:hAnsi="Courier New" w:cs="Courier New"/>
          <w:sz w:val="24"/>
          <w:szCs w:val="24"/>
        </w:rPr>
        <w:t xml:space="preserve"> the </w:t>
      </w:r>
      <w:r w:rsidR="00E74DDD">
        <w:rPr>
          <w:rFonts w:ascii="Courier New" w:hAnsi="Courier New" w:cs="Courier New"/>
          <w:sz w:val="24"/>
          <w:szCs w:val="24"/>
        </w:rPr>
        <w:t xml:space="preserve">$2 in </w:t>
      </w:r>
      <w:r>
        <w:rPr>
          <w:rFonts w:ascii="Courier New" w:hAnsi="Courier New" w:cs="Courier New"/>
          <w:sz w:val="24"/>
          <w:szCs w:val="24"/>
        </w:rPr>
        <w:t xml:space="preserve">interest plus the $100 </w:t>
      </w:r>
      <w:r w:rsidR="00E74DDD">
        <w:rPr>
          <w:rFonts w:ascii="Courier New" w:hAnsi="Courier New" w:cs="Courier New"/>
          <w:sz w:val="24"/>
          <w:szCs w:val="24"/>
        </w:rPr>
        <w:t xml:space="preserve">return of capital which </w:t>
      </w:r>
      <w:r>
        <w:rPr>
          <w:rFonts w:ascii="Courier New" w:hAnsi="Courier New" w:cs="Courier New"/>
          <w:sz w:val="24"/>
          <w:szCs w:val="24"/>
        </w:rPr>
        <w:t>the appellant had originally invested and then redeemed</w:t>
      </w:r>
      <w:r w:rsidR="00425959">
        <w:rPr>
          <w:rFonts w:ascii="Courier New" w:hAnsi="Courier New" w:cs="Courier New"/>
          <w:sz w:val="24"/>
          <w:szCs w:val="24"/>
        </w:rPr>
        <w:t>, or just the $2 in profit</w:t>
      </w:r>
      <w:r>
        <w:rPr>
          <w:rFonts w:ascii="Courier New" w:hAnsi="Courier New" w:cs="Courier New"/>
          <w:sz w:val="24"/>
          <w:szCs w:val="24"/>
        </w:rPr>
        <w:t>. Due to the volume of transactions whereby Genentech redeemed and reinvested cash on an almost daily basis, the two methods yield vastly different results:</w:t>
      </w:r>
    </w:p>
    <w:p w:rsidR="001B7825" w:rsidRDefault="001B7825" w:rsidP="008627C1">
      <w:pPr>
        <w:spacing w:line="480" w:lineRule="auto"/>
        <w:ind w:firstLine="720"/>
        <w:jc w:val="both"/>
        <w:rPr>
          <w:rFonts w:ascii="Courier New" w:hAnsi="Courier New" w:cs="Courier New"/>
          <w:sz w:val="24"/>
          <w:szCs w:val="24"/>
        </w:rPr>
      </w:pPr>
    </w:p>
    <w:p w:rsidR="001B7825" w:rsidRDefault="001B7825" w:rsidP="008627C1">
      <w:pPr>
        <w:spacing w:line="480" w:lineRule="auto"/>
        <w:ind w:firstLine="720"/>
        <w:jc w:val="both"/>
        <w:rPr>
          <w:rFonts w:ascii="Courier New" w:hAnsi="Courier New" w:cs="Courier New"/>
          <w:sz w:val="24"/>
          <w:szCs w:val="24"/>
        </w:rPr>
      </w:pPr>
    </w:p>
    <w:p w:rsidR="001B7825" w:rsidRDefault="001B7825" w:rsidP="008627C1">
      <w:pPr>
        <w:spacing w:line="480" w:lineRule="auto"/>
        <w:ind w:firstLine="720"/>
        <w:jc w:val="both"/>
        <w:rPr>
          <w:rFonts w:ascii="Courier New" w:hAnsi="Courier New" w:cs="Courier New"/>
          <w:sz w:val="24"/>
          <w:szCs w:val="24"/>
        </w:rPr>
      </w:pPr>
    </w:p>
    <w:p w:rsidR="001B7825" w:rsidRDefault="001B7825" w:rsidP="008627C1">
      <w:pPr>
        <w:spacing w:line="480" w:lineRule="auto"/>
        <w:ind w:firstLine="720"/>
        <w:jc w:val="both"/>
        <w:rPr>
          <w:rFonts w:ascii="Courier New" w:hAnsi="Courier New" w:cs="Courier New"/>
          <w:sz w:val="24"/>
          <w:szCs w:val="24"/>
        </w:rPr>
      </w:pPr>
    </w:p>
    <w:p w:rsidR="001B7825" w:rsidRDefault="001B7825" w:rsidP="008627C1">
      <w:pPr>
        <w:spacing w:line="480" w:lineRule="auto"/>
        <w:ind w:firstLine="720"/>
        <w:jc w:val="both"/>
        <w:rPr>
          <w:rFonts w:ascii="Courier New" w:hAnsi="Courier New" w:cs="Courier New"/>
          <w:sz w:val="24"/>
          <w:szCs w:val="24"/>
        </w:rPr>
      </w:pPr>
    </w:p>
    <w:p w:rsidR="008627C1" w:rsidRDefault="008627C1" w:rsidP="008627C1">
      <w:pPr>
        <w:spacing w:line="480" w:lineRule="auto"/>
        <w:ind w:firstLine="720"/>
        <w:jc w:val="both"/>
        <w:rPr>
          <w:rFonts w:ascii="Courier New" w:hAnsi="Courier New" w:cs="Courier New"/>
          <w:sz w:val="24"/>
          <w:szCs w:val="24"/>
        </w:rPr>
      </w:pPr>
    </w:p>
    <w:tbl>
      <w:tblPr>
        <w:tblW w:w="8201" w:type="dxa"/>
        <w:tblInd w:w="93" w:type="dxa"/>
        <w:tblLook w:val="04A0" w:firstRow="1" w:lastRow="0" w:firstColumn="1" w:lastColumn="0" w:noHBand="0" w:noVBand="1"/>
      </w:tblPr>
      <w:tblGrid>
        <w:gridCol w:w="649"/>
        <w:gridCol w:w="1956"/>
        <w:gridCol w:w="1967"/>
        <w:gridCol w:w="1956"/>
        <w:gridCol w:w="1800"/>
      </w:tblGrid>
      <w:tr w:rsidR="008627C1" w:rsidRPr="003A653B" w:rsidTr="00985AD3">
        <w:trPr>
          <w:trHeight w:val="315"/>
        </w:trPr>
        <w:tc>
          <w:tcPr>
            <w:tcW w:w="8201"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627C1" w:rsidRPr="003A653B" w:rsidRDefault="008627C1" w:rsidP="00985AD3">
            <w:pPr>
              <w:jc w:val="center"/>
              <w:rPr>
                <w:rFonts w:ascii="Courier New" w:hAnsi="Courier New" w:cs="Courier New"/>
                <w:b/>
                <w:bCs/>
                <w:color w:val="000000"/>
                <w:sz w:val="18"/>
                <w:szCs w:val="18"/>
              </w:rPr>
            </w:pPr>
            <w:r w:rsidRPr="003A653B">
              <w:rPr>
                <w:rFonts w:ascii="Courier New" w:hAnsi="Courier New" w:cs="Courier New"/>
                <w:b/>
                <w:bCs/>
                <w:color w:val="000000"/>
                <w:sz w:val="18"/>
                <w:szCs w:val="18"/>
              </w:rPr>
              <w:lastRenderedPageBreak/>
              <w:t xml:space="preserve">Table </w:t>
            </w:r>
            <w:r>
              <w:rPr>
                <w:rFonts w:ascii="Courier New" w:hAnsi="Courier New" w:cs="Courier New"/>
                <w:b/>
                <w:bCs/>
                <w:color w:val="000000"/>
                <w:sz w:val="18"/>
                <w:szCs w:val="18"/>
              </w:rPr>
              <w:t>2</w:t>
            </w:r>
            <w:r w:rsidRPr="003A653B">
              <w:rPr>
                <w:rFonts w:ascii="Courier New" w:hAnsi="Courier New" w:cs="Courier New"/>
                <w:b/>
                <w:bCs/>
                <w:color w:val="000000"/>
                <w:sz w:val="18"/>
                <w:szCs w:val="18"/>
              </w:rPr>
              <w:t xml:space="preserve"> - Manufacturing Receipts - No Return of Capital Included</w:t>
            </w:r>
          </w:p>
        </w:tc>
      </w:tr>
      <w:tr w:rsidR="008627C1" w:rsidRPr="003A653B" w:rsidTr="00985AD3">
        <w:trPr>
          <w:trHeight w:val="1035"/>
        </w:trPr>
        <w:tc>
          <w:tcPr>
            <w:tcW w:w="522" w:type="dxa"/>
            <w:tcBorders>
              <w:top w:val="nil"/>
              <w:left w:val="single" w:sz="8" w:space="0" w:color="auto"/>
              <w:bottom w:val="single" w:sz="8" w:space="0" w:color="auto"/>
              <w:right w:val="single" w:sz="4" w:space="0" w:color="auto"/>
            </w:tcBorders>
            <w:shd w:val="clear" w:color="auto" w:fill="auto"/>
            <w:noWrap/>
            <w:vAlign w:val="bottom"/>
            <w:hideMark/>
          </w:tcPr>
          <w:p w:rsidR="008627C1" w:rsidRPr="003A653B" w:rsidRDefault="008627C1" w:rsidP="00985AD3">
            <w:pPr>
              <w:jc w:val="center"/>
              <w:rPr>
                <w:rFonts w:ascii="Courier New" w:hAnsi="Courier New" w:cs="Courier New"/>
                <w:b/>
                <w:bCs/>
                <w:color w:val="000000"/>
                <w:sz w:val="18"/>
                <w:szCs w:val="18"/>
              </w:rPr>
            </w:pPr>
            <w:r w:rsidRPr="003A653B">
              <w:rPr>
                <w:rFonts w:ascii="Courier New" w:hAnsi="Courier New" w:cs="Courier New"/>
                <w:b/>
                <w:bCs/>
                <w:color w:val="000000"/>
                <w:sz w:val="18"/>
                <w:szCs w:val="18"/>
              </w:rPr>
              <w:t>Year</w:t>
            </w:r>
          </w:p>
        </w:tc>
        <w:tc>
          <w:tcPr>
            <w:tcW w:w="1956" w:type="dxa"/>
            <w:tcBorders>
              <w:top w:val="nil"/>
              <w:left w:val="nil"/>
              <w:bottom w:val="single" w:sz="8" w:space="0" w:color="auto"/>
              <w:right w:val="single" w:sz="4" w:space="0" w:color="auto"/>
            </w:tcBorders>
            <w:shd w:val="clear" w:color="auto" w:fill="auto"/>
            <w:vAlign w:val="bottom"/>
            <w:hideMark/>
          </w:tcPr>
          <w:p w:rsidR="008627C1" w:rsidRPr="003A653B" w:rsidRDefault="008627C1" w:rsidP="00985AD3">
            <w:pPr>
              <w:jc w:val="center"/>
              <w:rPr>
                <w:rFonts w:ascii="Courier New" w:hAnsi="Courier New" w:cs="Courier New"/>
                <w:b/>
                <w:bCs/>
                <w:color w:val="000000"/>
                <w:sz w:val="18"/>
                <w:szCs w:val="18"/>
              </w:rPr>
            </w:pPr>
            <w:r w:rsidRPr="003A653B">
              <w:rPr>
                <w:rFonts w:ascii="Courier New" w:hAnsi="Courier New" w:cs="Courier New"/>
                <w:b/>
                <w:bCs/>
                <w:color w:val="000000"/>
                <w:sz w:val="18"/>
                <w:szCs w:val="18"/>
              </w:rPr>
              <w:t>Gross Receipts from the Sale of Manufactured Drugs</w:t>
            </w:r>
          </w:p>
        </w:tc>
        <w:tc>
          <w:tcPr>
            <w:tcW w:w="1967" w:type="dxa"/>
            <w:tcBorders>
              <w:top w:val="nil"/>
              <w:left w:val="nil"/>
              <w:bottom w:val="single" w:sz="8" w:space="0" w:color="auto"/>
              <w:right w:val="single" w:sz="4" w:space="0" w:color="auto"/>
            </w:tcBorders>
            <w:shd w:val="clear" w:color="auto" w:fill="auto"/>
            <w:vAlign w:val="bottom"/>
            <w:hideMark/>
          </w:tcPr>
          <w:p w:rsidR="008627C1" w:rsidRPr="003A653B" w:rsidRDefault="008627C1" w:rsidP="00985AD3">
            <w:pPr>
              <w:jc w:val="center"/>
              <w:rPr>
                <w:rFonts w:ascii="Courier New" w:hAnsi="Courier New" w:cs="Courier New"/>
                <w:b/>
                <w:bCs/>
                <w:color w:val="000000"/>
                <w:sz w:val="18"/>
                <w:szCs w:val="18"/>
              </w:rPr>
            </w:pPr>
            <w:r w:rsidRPr="003A653B">
              <w:rPr>
                <w:rFonts w:ascii="Courier New" w:hAnsi="Courier New" w:cs="Courier New"/>
                <w:b/>
                <w:bCs/>
                <w:color w:val="000000"/>
                <w:sz w:val="18"/>
                <w:szCs w:val="18"/>
              </w:rPr>
              <w:t>Other Income (royalties, etc.)</w:t>
            </w:r>
          </w:p>
        </w:tc>
        <w:tc>
          <w:tcPr>
            <w:tcW w:w="1956" w:type="dxa"/>
            <w:tcBorders>
              <w:top w:val="nil"/>
              <w:left w:val="nil"/>
              <w:bottom w:val="single" w:sz="8" w:space="0" w:color="auto"/>
              <w:right w:val="single" w:sz="4" w:space="0" w:color="auto"/>
            </w:tcBorders>
            <w:shd w:val="clear" w:color="auto" w:fill="auto"/>
            <w:vAlign w:val="bottom"/>
            <w:hideMark/>
          </w:tcPr>
          <w:p w:rsidR="008627C1" w:rsidRPr="003A653B" w:rsidRDefault="008627C1" w:rsidP="00985AD3">
            <w:pPr>
              <w:jc w:val="center"/>
              <w:rPr>
                <w:rFonts w:ascii="Courier New" w:hAnsi="Courier New" w:cs="Courier New"/>
                <w:b/>
                <w:bCs/>
                <w:color w:val="000000"/>
                <w:sz w:val="18"/>
                <w:szCs w:val="18"/>
              </w:rPr>
            </w:pPr>
            <w:r w:rsidRPr="003A653B">
              <w:rPr>
                <w:rFonts w:ascii="Courier New" w:hAnsi="Courier New" w:cs="Courier New"/>
                <w:b/>
                <w:bCs/>
                <w:color w:val="000000"/>
                <w:sz w:val="18"/>
                <w:szCs w:val="18"/>
              </w:rPr>
              <w:t>Total Business Receipts</w:t>
            </w:r>
          </w:p>
        </w:tc>
        <w:tc>
          <w:tcPr>
            <w:tcW w:w="1800" w:type="dxa"/>
            <w:tcBorders>
              <w:top w:val="nil"/>
              <w:left w:val="nil"/>
              <w:bottom w:val="single" w:sz="8" w:space="0" w:color="auto"/>
              <w:right w:val="single" w:sz="4" w:space="0" w:color="auto"/>
            </w:tcBorders>
            <w:shd w:val="clear" w:color="auto" w:fill="auto"/>
            <w:vAlign w:val="bottom"/>
            <w:hideMark/>
          </w:tcPr>
          <w:p w:rsidR="008627C1" w:rsidRPr="003A653B" w:rsidRDefault="008627C1" w:rsidP="00985AD3">
            <w:pPr>
              <w:jc w:val="center"/>
              <w:rPr>
                <w:rFonts w:ascii="Courier New" w:hAnsi="Courier New" w:cs="Courier New"/>
                <w:b/>
                <w:bCs/>
                <w:color w:val="000000"/>
                <w:sz w:val="18"/>
                <w:szCs w:val="18"/>
              </w:rPr>
            </w:pPr>
            <w:r w:rsidRPr="003A653B">
              <w:rPr>
                <w:rFonts w:ascii="Courier New" w:hAnsi="Courier New" w:cs="Courier New"/>
                <w:b/>
                <w:bCs/>
                <w:color w:val="000000"/>
                <w:sz w:val="18"/>
                <w:szCs w:val="18"/>
              </w:rPr>
              <w:t>% of Sales from Manufacturing</w:t>
            </w:r>
          </w:p>
        </w:tc>
      </w:tr>
      <w:tr w:rsidR="008627C1" w:rsidRPr="003A653B" w:rsidTr="00985AD3">
        <w:trPr>
          <w:trHeight w:val="300"/>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rsidR="008627C1" w:rsidRPr="003A653B" w:rsidRDefault="008627C1" w:rsidP="00985AD3">
            <w:pPr>
              <w:jc w:val="center"/>
              <w:rPr>
                <w:rFonts w:ascii="Courier New" w:hAnsi="Courier New" w:cs="Courier New"/>
                <w:color w:val="000000"/>
                <w:sz w:val="18"/>
                <w:szCs w:val="18"/>
              </w:rPr>
            </w:pPr>
            <w:r w:rsidRPr="003A653B">
              <w:rPr>
                <w:rFonts w:ascii="Courier New" w:hAnsi="Courier New" w:cs="Courier New"/>
                <w:color w:val="000000"/>
                <w:sz w:val="18"/>
                <w:szCs w:val="18"/>
              </w:rPr>
              <w:t>1998</w:t>
            </w:r>
          </w:p>
        </w:tc>
        <w:tc>
          <w:tcPr>
            <w:tcW w:w="1956"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rPr>
                <w:rFonts w:ascii="Courier New" w:hAnsi="Courier New" w:cs="Courier New"/>
                <w:color w:val="000000"/>
                <w:sz w:val="18"/>
                <w:szCs w:val="18"/>
              </w:rPr>
            </w:pPr>
            <w:r w:rsidRPr="003A653B">
              <w:rPr>
                <w:rFonts w:ascii="Courier New" w:hAnsi="Courier New" w:cs="Courier New"/>
                <w:color w:val="000000"/>
                <w:sz w:val="18"/>
                <w:szCs w:val="18"/>
              </w:rPr>
              <w:t xml:space="preserve">    732,072,208 </w:t>
            </w:r>
          </w:p>
        </w:tc>
        <w:tc>
          <w:tcPr>
            <w:tcW w:w="1967"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rPr>
                <w:rFonts w:ascii="Courier New" w:hAnsi="Courier New" w:cs="Courier New"/>
                <w:color w:val="000000"/>
                <w:sz w:val="18"/>
                <w:szCs w:val="18"/>
              </w:rPr>
            </w:pPr>
            <w:r w:rsidRPr="003A653B">
              <w:rPr>
                <w:rFonts w:ascii="Courier New" w:hAnsi="Courier New" w:cs="Courier New"/>
                <w:color w:val="000000"/>
                <w:sz w:val="18"/>
                <w:szCs w:val="18"/>
              </w:rPr>
              <w:t xml:space="preserve">    421,188,311 </w:t>
            </w:r>
          </w:p>
        </w:tc>
        <w:tc>
          <w:tcPr>
            <w:tcW w:w="1956"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rPr>
                <w:rFonts w:ascii="Courier New" w:hAnsi="Courier New" w:cs="Courier New"/>
                <w:color w:val="000000"/>
                <w:sz w:val="18"/>
                <w:szCs w:val="18"/>
              </w:rPr>
            </w:pPr>
            <w:r w:rsidRPr="003A653B">
              <w:rPr>
                <w:rFonts w:ascii="Courier New" w:hAnsi="Courier New" w:cs="Courier New"/>
                <w:color w:val="000000"/>
                <w:sz w:val="18"/>
                <w:szCs w:val="18"/>
              </w:rPr>
              <w:t xml:space="preserve">  1,153,260,519 </w:t>
            </w:r>
          </w:p>
        </w:tc>
        <w:tc>
          <w:tcPr>
            <w:tcW w:w="1800"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jc w:val="right"/>
              <w:rPr>
                <w:rFonts w:ascii="Courier New" w:hAnsi="Courier New" w:cs="Courier New"/>
                <w:color w:val="000000"/>
                <w:sz w:val="18"/>
                <w:szCs w:val="18"/>
              </w:rPr>
            </w:pPr>
            <w:r w:rsidRPr="003A653B">
              <w:rPr>
                <w:rFonts w:ascii="Courier New" w:hAnsi="Courier New" w:cs="Courier New"/>
                <w:color w:val="000000"/>
                <w:sz w:val="18"/>
                <w:szCs w:val="18"/>
              </w:rPr>
              <w:t>63.5%</w:t>
            </w:r>
          </w:p>
        </w:tc>
      </w:tr>
      <w:tr w:rsidR="008627C1" w:rsidRPr="003A653B" w:rsidTr="00985AD3">
        <w:trPr>
          <w:trHeight w:val="300"/>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rsidR="008627C1" w:rsidRPr="003A653B" w:rsidRDefault="008627C1" w:rsidP="00985AD3">
            <w:pPr>
              <w:jc w:val="center"/>
              <w:rPr>
                <w:rFonts w:ascii="Courier New" w:hAnsi="Courier New" w:cs="Courier New"/>
                <w:color w:val="000000"/>
                <w:sz w:val="18"/>
                <w:szCs w:val="18"/>
              </w:rPr>
            </w:pPr>
            <w:r w:rsidRPr="003A653B">
              <w:rPr>
                <w:rFonts w:ascii="Courier New" w:hAnsi="Courier New" w:cs="Courier New"/>
                <w:color w:val="000000"/>
                <w:sz w:val="18"/>
                <w:szCs w:val="18"/>
              </w:rPr>
              <w:t>1999</w:t>
            </w:r>
          </w:p>
        </w:tc>
        <w:tc>
          <w:tcPr>
            <w:tcW w:w="1956"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rPr>
                <w:rFonts w:ascii="Courier New" w:hAnsi="Courier New" w:cs="Courier New"/>
                <w:color w:val="000000"/>
                <w:sz w:val="18"/>
                <w:szCs w:val="18"/>
              </w:rPr>
            </w:pPr>
            <w:r w:rsidRPr="003A653B">
              <w:rPr>
                <w:rFonts w:ascii="Courier New" w:hAnsi="Courier New" w:cs="Courier New"/>
                <w:color w:val="000000"/>
                <w:sz w:val="18"/>
                <w:szCs w:val="18"/>
              </w:rPr>
              <w:t xml:space="preserve">  1,044,396,528 </w:t>
            </w:r>
          </w:p>
        </w:tc>
        <w:tc>
          <w:tcPr>
            <w:tcW w:w="1967"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rPr>
                <w:rFonts w:ascii="Courier New" w:hAnsi="Courier New" w:cs="Courier New"/>
                <w:color w:val="000000"/>
                <w:sz w:val="18"/>
                <w:szCs w:val="18"/>
              </w:rPr>
            </w:pPr>
            <w:r w:rsidRPr="003A653B">
              <w:rPr>
                <w:rFonts w:ascii="Courier New" w:hAnsi="Courier New" w:cs="Courier New"/>
                <w:color w:val="000000"/>
                <w:sz w:val="18"/>
                <w:szCs w:val="18"/>
              </w:rPr>
              <w:t xml:space="preserve">    352,429,204 </w:t>
            </w:r>
          </w:p>
        </w:tc>
        <w:tc>
          <w:tcPr>
            <w:tcW w:w="1956"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rPr>
                <w:rFonts w:ascii="Courier New" w:hAnsi="Courier New" w:cs="Courier New"/>
                <w:color w:val="000000"/>
                <w:sz w:val="18"/>
                <w:szCs w:val="18"/>
              </w:rPr>
            </w:pPr>
            <w:r w:rsidRPr="003A653B">
              <w:rPr>
                <w:rFonts w:ascii="Courier New" w:hAnsi="Courier New" w:cs="Courier New"/>
                <w:color w:val="000000"/>
                <w:sz w:val="18"/>
                <w:szCs w:val="18"/>
              </w:rPr>
              <w:t xml:space="preserve">  1,396,825,732 </w:t>
            </w:r>
          </w:p>
        </w:tc>
        <w:tc>
          <w:tcPr>
            <w:tcW w:w="1800"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jc w:val="right"/>
              <w:rPr>
                <w:rFonts w:ascii="Courier New" w:hAnsi="Courier New" w:cs="Courier New"/>
                <w:color w:val="000000"/>
                <w:sz w:val="18"/>
                <w:szCs w:val="18"/>
              </w:rPr>
            </w:pPr>
            <w:r w:rsidRPr="003A653B">
              <w:rPr>
                <w:rFonts w:ascii="Courier New" w:hAnsi="Courier New" w:cs="Courier New"/>
                <w:color w:val="000000"/>
                <w:sz w:val="18"/>
                <w:szCs w:val="18"/>
              </w:rPr>
              <w:t>74.8%</w:t>
            </w:r>
          </w:p>
        </w:tc>
      </w:tr>
      <w:tr w:rsidR="008627C1" w:rsidRPr="003A653B" w:rsidTr="00985AD3">
        <w:trPr>
          <w:trHeight w:val="300"/>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rsidR="008627C1" w:rsidRPr="003A653B" w:rsidRDefault="008627C1" w:rsidP="00985AD3">
            <w:pPr>
              <w:jc w:val="center"/>
              <w:rPr>
                <w:rFonts w:ascii="Courier New" w:hAnsi="Courier New" w:cs="Courier New"/>
                <w:color w:val="000000"/>
                <w:sz w:val="18"/>
                <w:szCs w:val="18"/>
              </w:rPr>
            </w:pPr>
            <w:r w:rsidRPr="003A653B">
              <w:rPr>
                <w:rFonts w:ascii="Courier New" w:hAnsi="Courier New" w:cs="Courier New"/>
                <w:color w:val="000000"/>
                <w:sz w:val="18"/>
                <w:szCs w:val="18"/>
              </w:rPr>
              <w:t>2000</w:t>
            </w:r>
          </w:p>
        </w:tc>
        <w:tc>
          <w:tcPr>
            <w:tcW w:w="1956"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rPr>
                <w:rFonts w:ascii="Courier New" w:hAnsi="Courier New" w:cs="Courier New"/>
                <w:color w:val="000000"/>
                <w:sz w:val="18"/>
                <w:szCs w:val="18"/>
              </w:rPr>
            </w:pPr>
            <w:r w:rsidRPr="003A653B">
              <w:rPr>
                <w:rFonts w:ascii="Courier New" w:hAnsi="Courier New" w:cs="Courier New"/>
                <w:color w:val="000000"/>
                <w:sz w:val="18"/>
                <w:szCs w:val="18"/>
              </w:rPr>
              <w:t xml:space="preserve">  1,277,114,954 </w:t>
            </w:r>
          </w:p>
        </w:tc>
        <w:tc>
          <w:tcPr>
            <w:tcW w:w="1967"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rPr>
                <w:rFonts w:ascii="Courier New" w:hAnsi="Courier New" w:cs="Courier New"/>
                <w:color w:val="000000"/>
                <w:sz w:val="18"/>
                <w:szCs w:val="18"/>
              </w:rPr>
            </w:pPr>
            <w:r w:rsidRPr="003A653B">
              <w:rPr>
                <w:rFonts w:ascii="Courier New" w:hAnsi="Courier New" w:cs="Courier New"/>
                <w:color w:val="000000"/>
                <w:sz w:val="18"/>
                <w:szCs w:val="18"/>
              </w:rPr>
              <w:t xml:space="preserve">    608,971,609 </w:t>
            </w:r>
          </w:p>
        </w:tc>
        <w:tc>
          <w:tcPr>
            <w:tcW w:w="1956"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rPr>
                <w:rFonts w:ascii="Courier New" w:hAnsi="Courier New" w:cs="Courier New"/>
                <w:color w:val="000000"/>
                <w:sz w:val="18"/>
                <w:szCs w:val="18"/>
              </w:rPr>
            </w:pPr>
            <w:r w:rsidRPr="003A653B">
              <w:rPr>
                <w:rFonts w:ascii="Courier New" w:hAnsi="Courier New" w:cs="Courier New"/>
                <w:color w:val="000000"/>
                <w:sz w:val="18"/>
                <w:szCs w:val="18"/>
              </w:rPr>
              <w:t xml:space="preserve">  1,886,086,563 </w:t>
            </w:r>
          </w:p>
        </w:tc>
        <w:tc>
          <w:tcPr>
            <w:tcW w:w="1800"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jc w:val="right"/>
              <w:rPr>
                <w:rFonts w:ascii="Courier New" w:hAnsi="Courier New" w:cs="Courier New"/>
                <w:color w:val="000000"/>
                <w:sz w:val="18"/>
                <w:szCs w:val="18"/>
              </w:rPr>
            </w:pPr>
            <w:r w:rsidRPr="003A653B">
              <w:rPr>
                <w:rFonts w:ascii="Courier New" w:hAnsi="Courier New" w:cs="Courier New"/>
                <w:color w:val="000000"/>
                <w:sz w:val="18"/>
                <w:szCs w:val="18"/>
              </w:rPr>
              <w:t>67.7%</w:t>
            </w:r>
          </w:p>
        </w:tc>
      </w:tr>
      <w:tr w:rsidR="008627C1" w:rsidRPr="003A653B" w:rsidTr="00985AD3">
        <w:trPr>
          <w:trHeight w:val="300"/>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rsidR="008627C1" w:rsidRPr="003A653B" w:rsidRDefault="008627C1" w:rsidP="00985AD3">
            <w:pPr>
              <w:jc w:val="center"/>
              <w:rPr>
                <w:rFonts w:ascii="Courier New" w:hAnsi="Courier New" w:cs="Courier New"/>
                <w:color w:val="000000"/>
                <w:sz w:val="18"/>
                <w:szCs w:val="18"/>
              </w:rPr>
            </w:pPr>
            <w:r w:rsidRPr="003A653B">
              <w:rPr>
                <w:rFonts w:ascii="Courier New" w:hAnsi="Courier New" w:cs="Courier New"/>
                <w:color w:val="000000"/>
                <w:sz w:val="18"/>
                <w:szCs w:val="18"/>
              </w:rPr>
              <w:t>2001</w:t>
            </w:r>
          </w:p>
        </w:tc>
        <w:tc>
          <w:tcPr>
            <w:tcW w:w="1956"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rPr>
                <w:rFonts w:ascii="Courier New" w:hAnsi="Courier New" w:cs="Courier New"/>
                <w:color w:val="000000"/>
                <w:sz w:val="18"/>
                <w:szCs w:val="18"/>
              </w:rPr>
            </w:pPr>
            <w:r w:rsidRPr="003A653B">
              <w:rPr>
                <w:rFonts w:ascii="Courier New" w:hAnsi="Courier New" w:cs="Courier New"/>
                <w:color w:val="000000"/>
                <w:sz w:val="18"/>
                <w:szCs w:val="18"/>
              </w:rPr>
              <w:t xml:space="preserve">  1,757,383,569 </w:t>
            </w:r>
          </w:p>
        </w:tc>
        <w:tc>
          <w:tcPr>
            <w:tcW w:w="1967"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rPr>
                <w:rFonts w:ascii="Courier New" w:hAnsi="Courier New" w:cs="Courier New"/>
                <w:color w:val="000000"/>
                <w:sz w:val="18"/>
                <w:szCs w:val="18"/>
              </w:rPr>
            </w:pPr>
            <w:r w:rsidRPr="003A653B">
              <w:rPr>
                <w:rFonts w:ascii="Courier New" w:hAnsi="Courier New" w:cs="Courier New"/>
                <w:color w:val="000000"/>
                <w:sz w:val="18"/>
                <w:szCs w:val="18"/>
              </w:rPr>
              <w:t xml:space="preserve">    701,455,417 </w:t>
            </w:r>
          </w:p>
        </w:tc>
        <w:tc>
          <w:tcPr>
            <w:tcW w:w="1956"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rPr>
                <w:rFonts w:ascii="Courier New" w:hAnsi="Courier New" w:cs="Courier New"/>
                <w:color w:val="000000"/>
                <w:sz w:val="18"/>
                <w:szCs w:val="18"/>
              </w:rPr>
            </w:pPr>
            <w:r w:rsidRPr="003A653B">
              <w:rPr>
                <w:rFonts w:ascii="Courier New" w:hAnsi="Courier New" w:cs="Courier New"/>
                <w:color w:val="000000"/>
                <w:sz w:val="18"/>
                <w:szCs w:val="18"/>
              </w:rPr>
              <w:t xml:space="preserve">  2,458,838,986 </w:t>
            </w:r>
          </w:p>
        </w:tc>
        <w:tc>
          <w:tcPr>
            <w:tcW w:w="1800"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jc w:val="right"/>
              <w:rPr>
                <w:rFonts w:ascii="Courier New" w:hAnsi="Courier New" w:cs="Courier New"/>
                <w:color w:val="000000"/>
                <w:sz w:val="18"/>
                <w:szCs w:val="18"/>
              </w:rPr>
            </w:pPr>
            <w:r w:rsidRPr="003A653B">
              <w:rPr>
                <w:rFonts w:ascii="Courier New" w:hAnsi="Courier New" w:cs="Courier New"/>
                <w:color w:val="000000"/>
                <w:sz w:val="18"/>
                <w:szCs w:val="18"/>
              </w:rPr>
              <w:t>71.5%</w:t>
            </w:r>
          </w:p>
        </w:tc>
      </w:tr>
      <w:tr w:rsidR="008627C1" w:rsidRPr="003A653B" w:rsidTr="00985AD3">
        <w:trPr>
          <w:trHeight w:val="300"/>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rsidR="008627C1" w:rsidRPr="003A653B" w:rsidRDefault="008627C1" w:rsidP="00985AD3">
            <w:pPr>
              <w:jc w:val="center"/>
              <w:rPr>
                <w:rFonts w:ascii="Courier New" w:hAnsi="Courier New" w:cs="Courier New"/>
                <w:color w:val="000000"/>
                <w:sz w:val="18"/>
                <w:szCs w:val="18"/>
              </w:rPr>
            </w:pPr>
            <w:r w:rsidRPr="003A653B">
              <w:rPr>
                <w:rFonts w:ascii="Courier New" w:hAnsi="Courier New" w:cs="Courier New"/>
                <w:color w:val="000000"/>
                <w:sz w:val="18"/>
                <w:szCs w:val="18"/>
              </w:rPr>
              <w:t>2002</w:t>
            </w:r>
          </w:p>
        </w:tc>
        <w:tc>
          <w:tcPr>
            <w:tcW w:w="1956"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rPr>
                <w:rFonts w:ascii="Courier New" w:hAnsi="Courier New" w:cs="Courier New"/>
                <w:color w:val="000000"/>
                <w:sz w:val="18"/>
                <w:szCs w:val="18"/>
              </w:rPr>
            </w:pPr>
            <w:r w:rsidRPr="003A653B">
              <w:rPr>
                <w:rFonts w:ascii="Courier New" w:hAnsi="Courier New" w:cs="Courier New"/>
                <w:color w:val="000000"/>
                <w:sz w:val="18"/>
                <w:szCs w:val="18"/>
              </w:rPr>
              <w:t xml:space="preserve">  2,167,681,513 </w:t>
            </w:r>
          </w:p>
        </w:tc>
        <w:tc>
          <w:tcPr>
            <w:tcW w:w="1967"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rPr>
                <w:rFonts w:ascii="Courier New" w:hAnsi="Courier New" w:cs="Courier New"/>
                <w:color w:val="000000"/>
                <w:sz w:val="18"/>
                <w:szCs w:val="18"/>
              </w:rPr>
            </w:pPr>
            <w:r w:rsidRPr="003A653B">
              <w:rPr>
                <w:rFonts w:ascii="Courier New" w:hAnsi="Courier New" w:cs="Courier New"/>
                <w:color w:val="000000"/>
                <w:sz w:val="18"/>
                <w:szCs w:val="18"/>
              </w:rPr>
              <w:t xml:space="preserve">    468,187,220 </w:t>
            </w:r>
          </w:p>
        </w:tc>
        <w:tc>
          <w:tcPr>
            <w:tcW w:w="1956"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rPr>
                <w:rFonts w:ascii="Courier New" w:hAnsi="Courier New" w:cs="Courier New"/>
                <w:color w:val="000000"/>
                <w:sz w:val="18"/>
                <w:szCs w:val="18"/>
              </w:rPr>
            </w:pPr>
            <w:r w:rsidRPr="003A653B">
              <w:rPr>
                <w:rFonts w:ascii="Courier New" w:hAnsi="Courier New" w:cs="Courier New"/>
                <w:color w:val="000000"/>
                <w:sz w:val="18"/>
                <w:szCs w:val="18"/>
              </w:rPr>
              <w:t xml:space="preserve">  2,635,868,733 </w:t>
            </w:r>
          </w:p>
        </w:tc>
        <w:tc>
          <w:tcPr>
            <w:tcW w:w="1800"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jc w:val="right"/>
              <w:rPr>
                <w:rFonts w:ascii="Courier New" w:hAnsi="Courier New" w:cs="Courier New"/>
                <w:color w:val="000000"/>
                <w:sz w:val="18"/>
                <w:szCs w:val="18"/>
              </w:rPr>
            </w:pPr>
            <w:r w:rsidRPr="003A653B">
              <w:rPr>
                <w:rFonts w:ascii="Courier New" w:hAnsi="Courier New" w:cs="Courier New"/>
                <w:color w:val="000000"/>
                <w:sz w:val="18"/>
                <w:szCs w:val="18"/>
              </w:rPr>
              <w:t>82.2%</w:t>
            </w:r>
          </w:p>
        </w:tc>
      </w:tr>
      <w:tr w:rsidR="008627C1" w:rsidRPr="003A653B" w:rsidTr="00985AD3">
        <w:trPr>
          <w:trHeight w:val="300"/>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rsidR="008627C1" w:rsidRPr="003A653B" w:rsidRDefault="008627C1" w:rsidP="00985AD3">
            <w:pPr>
              <w:jc w:val="center"/>
              <w:rPr>
                <w:rFonts w:ascii="Courier New" w:hAnsi="Courier New" w:cs="Courier New"/>
                <w:color w:val="000000"/>
                <w:sz w:val="18"/>
                <w:szCs w:val="18"/>
              </w:rPr>
            </w:pPr>
            <w:r w:rsidRPr="003A653B">
              <w:rPr>
                <w:rFonts w:ascii="Courier New" w:hAnsi="Courier New" w:cs="Courier New"/>
                <w:color w:val="000000"/>
                <w:sz w:val="18"/>
                <w:szCs w:val="18"/>
              </w:rPr>
              <w:t>2003</w:t>
            </w:r>
          </w:p>
        </w:tc>
        <w:tc>
          <w:tcPr>
            <w:tcW w:w="1956"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rPr>
                <w:rFonts w:ascii="Courier New" w:hAnsi="Courier New" w:cs="Courier New"/>
                <w:color w:val="000000"/>
                <w:sz w:val="18"/>
                <w:szCs w:val="18"/>
              </w:rPr>
            </w:pPr>
            <w:r w:rsidRPr="003A653B">
              <w:rPr>
                <w:rFonts w:ascii="Courier New" w:hAnsi="Courier New" w:cs="Courier New"/>
                <w:color w:val="000000"/>
                <w:sz w:val="18"/>
                <w:szCs w:val="18"/>
              </w:rPr>
              <w:t xml:space="preserve">  2,629,672,632 </w:t>
            </w:r>
          </w:p>
        </w:tc>
        <w:tc>
          <w:tcPr>
            <w:tcW w:w="1967"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rPr>
                <w:rFonts w:ascii="Courier New" w:hAnsi="Courier New" w:cs="Courier New"/>
                <w:color w:val="000000"/>
                <w:sz w:val="18"/>
                <w:szCs w:val="18"/>
              </w:rPr>
            </w:pPr>
            <w:r w:rsidRPr="003A653B">
              <w:rPr>
                <w:rFonts w:ascii="Courier New" w:hAnsi="Courier New" w:cs="Courier New"/>
                <w:color w:val="000000"/>
                <w:sz w:val="18"/>
                <w:szCs w:val="18"/>
              </w:rPr>
              <w:t xml:space="preserve">    987,002,520 </w:t>
            </w:r>
          </w:p>
        </w:tc>
        <w:tc>
          <w:tcPr>
            <w:tcW w:w="1956"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rPr>
                <w:rFonts w:ascii="Courier New" w:hAnsi="Courier New" w:cs="Courier New"/>
                <w:color w:val="000000"/>
                <w:sz w:val="18"/>
                <w:szCs w:val="18"/>
              </w:rPr>
            </w:pPr>
            <w:r w:rsidRPr="003A653B">
              <w:rPr>
                <w:rFonts w:ascii="Courier New" w:hAnsi="Courier New" w:cs="Courier New"/>
                <w:color w:val="000000"/>
                <w:sz w:val="18"/>
                <w:szCs w:val="18"/>
              </w:rPr>
              <w:t xml:space="preserve">  3,616,675,152 </w:t>
            </w:r>
          </w:p>
        </w:tc>
        <w:tc>
          <w:tcPr>
            <w:tcW w:w="1800"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jc w:val="right"/>
              <w:rPr>
                <w:rFonts w:ascii="Courier New" w:hAnsi="Courier New" w:cs="Courier New"/>
                <w:color w:val="000000"/>
                <w:sz w:val="18"/>
                <w:szCs w:val="18"/>
              </w:rPr>
            </w:pPr>
            <w:r w:rsidRPr="003A653B">
              <w:rPr>
                <w:rFonts w:ascii="Courier New" w:hAnsi="Courier New" w:cs="Courier New"/>
                <w:color w:val="000000"/>
                <w:sz w:val="18"/>
                <w:szCs w:val="18"/>
              </w:rPr>
              <w:t>72.7%</w:t>
            </w:r>
          </w:p>
        </w:tc>
      </w:tr>
      <w:tr w:rsidR="008627C1" w:rsidRPr="003A653B" w:rsidTr="00985AD3">
        <w:trPr>
          <w:trHeight w:val="300"/>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rsidR="008627C1" w:rsidRPr="003A653B" w:rsidRDefault="008627C1" w:rsidP="00985AD3">
            <w:pPr>
              <w:jc w:val="center"/>
              <w:rPr>
                <w:rFonts w:ascii="Courier New" w:hAnsi="Courier New" w:cs="Courier New"/>
                <w:color w:val="000000"/>
                <w:sz w:val="18"/>
                <w:szCs w:val="18"/>
              </w:rPr>
            </w:pPr>
            <w:r w:rsidRPr="003A653B">
              <w:rPr>
                <w:rFonts w:ascii="Courier New" w:hAnsi="Courier New" w:cs="Courier New"/>
                <w:color w:val="000000"/>
                <w:sz w:val="18"/>
                <w:szCs w:val="18"/>
              </w:rPr>
              <w:t>2004</w:t>
            </w:r>
          </w:p>
        </w:tc>
        <w:tc>
          <w:tcPr>
            <w:tcW w:w="1956"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rPr>
                <w:rFonts w:ascii="Courier New" w:hAnsi="Courier New" w:cs="Courier New"/>
                <w:color w:val="000000"/>
                <w:sz w:val="18"/>
                <w:szCs w:val="18"/>
              </w:rPr>
            </w:pPr>
            <w:r w:rsidRPr="003A653B">
              <w:rPr>
                <w:rFonts w:ascii="Courier New" w:hAnsi="Courier New" w:cs="Courier New"/>
                <w:color w:val="000000"/>
                <w:sz w:val="18"/>
                <w:szCs w:val="18"/>
              </w:rPr>
              <w:t xml:space="preserve">  3,642,361,423 </w:t>
            </w:r>
          </w:p>
        </w:tc>
        <w:tc>
          <w:tcPr>
            <w:tcW w:w="1967"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rPr>
                <w:rFonts w:ascii="Courier New" w:hAnsi="Courier New" w:cs="Courier New"/>
                <w:color w:val="000000"/>
                <w:sz w:val="18"/>
                <w:szCs w:val="18"/>
              </w:rPr>
            </w:pPr>
            <w:r w:rsidRPr="003A653B">
              <w:rPr>
                <w:rFonts w:ascii="Courier New" w:hAnsi="Courier New" w:cs="Courier New"/>
                <w:color w:val="000000"/>
                <w:sz w:val="18"/>
                <w:szCs w:val="18"/>
              </w:rPr>
              <w:t xml:space="preserve">    935,735,394 </w:t>
            </w:r>
          </w:p>
        </w:tc>
        <w:tc>
          <w:tcPr>
            <w:tcW w:w="1956"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rPr>
                <w:rFonts w:ascii="Courier New" w:hAnsi="Courier New" w:cs="Courier New"/>
                <w:color w:val="000000"/>
                <w:sz w:val="18"/>
                <w:szCs w:val="18"/>
              </w:rPr>
            </w:pPr>
            <w:r w:rsidRPr="003A653B">
              <w:rPr>
                <w:rFonts w:ascii="Courier New" w:hAnsi="Courier New" w:cs="Courier New"/>
                <w:color w:val="000000"/>
                <w:sz w:val="18"/>
                <w:szCs w:val="18"/>
              </w:rPr>
              <w:t xml:space="preserve">  4,578,096,817 </w:t>
            </w:r>
          </w:p>
        </w:tc>
        <w:tc>
          <w:tcPr>
            <w:tcW w:w="1800"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jc w:val="right"/>
              <w:rPr>
                <w:rFonts w:ascii="Courier New" w:hAnsi="Courier New" w:cs="Courier New"/>
                <w:color w:val="000000"/>
                <w:sz w:val="18"/>
                <w:szCs w:val="18"/>
              </w:rPr>
            </w:pPr>
            <w:r w:rsidRPr="003A653B">
              <w:rPr>
                <w:rFonts w:ascii="Courier New" w:hAnsi="Courier New" w:cs="Courier New"/>
                <w:color w:val="000000"/>
                <w:sz w:val="18"/>
                <w:szCs w:val="18"/>
              </w:rPr>
              <w:t>79.6%</w:t>
            </w:r>
          </w:p>
        </w:tc>
      </w:tr>
    </w:tbl>
    <w:p w:rsidR="008627C1" w:rsidRDefault="008627C1" w:rsidP="008627C1">
      <w:pPr>
        <w:spacing w:line="480" w:lineRule="auto"/>
        <w:ind w:firstLine="720"/>
        <w:jc w:val="both"/>
        <w:rPr>
          <w:rFonts w:ascii="Courier New" w:hAnsi="Courier New" w:cs="Courier New"/>
          <w:sz w:val="24"/>
          <w:szCs w:val="24"/>
        </w:rPr>
      </w:pPr>
    </w:p>
    <w:tbl>
      <w:tblPr>
        <w:tblW w:w="9460" w:type="dxa"/>
        <w:tblInd w:w="93" w:type="dxa"/>
        <w:tblLook w:val="04A0" w:firstRow="1" w:lastRow="0" w:firstColumn="1" w:lastColumn="0" w:noHBand="0" w:noVBand="1"/>
      </w:tblPr>
      <w:tblGrid>
        <w:gridCol w:w="649"/>
        <w:gridCol w:w="1884"/>
        <w:gridCol w:w="1905"/>
        <w:gridCol w:w="1884"/>
        <w:gridCol w:w="1822"/>
        <w:gridCol w:w="1621"/>
      </w:tblGrid>
      <w:tr w:rsidR="008627C1" w:rsidRPr="003A653B" w:rsidTr="00985AD3">
        <w:trPr>
          <w:trHeight w:val="300"/>
        </w:trPr>
        <w:tc>
          <w:tcPr>
            <w:tcW w:w="9460" w:type="dxa"/>
            <w:gridSpan w:val="6"/>
            <w:tcBorders>
              <w:top w:val="single" w:sz="8" w:space="0" w:color="auto"/>
              <w:left w:val="single" w:sz="8" w:space="0" w:color="auto"/>
              <w:bottom w:val="single" w:sz="8" w:space="0" w:color="auto"/>
              <w:right w:val="single" w:sz="8" w:space="0" w:color="000000"/>
            </w:tcBorders>
            <w:shd w:val="clear" w:color="auto" w:fill="auto"/>
            <w:vAlign w:val="bottom"/>
            <w:hideMark/>
          </w:tcPr>
          <w:p w:rsidR="008627C1" w:rsidRPr="003A653B" w:rsidRDefault="008627C1" w:rsidP="00985AD3">
            <w:pPr>
              <w:jc w:val="center"/>
              <w:rPr>
                <w:rFonts w:ascii="Courier New" w:hAnsi="Courier New" w:cs="Courier New"/>
                <w:b/>
                <w:bCs/>
                <w:color w:val="000000"/>
                <w:sz w:val="18"/>
                <w:szCs w:val="18"/>
              </w:rPr>
            </w:pPr>
            <w:r w:rsidRPr="003A653B">
              <w:rPr>
                <w:rFonts w:ascii="Courier New" w:hAnsi="Courier New" w:cs="Courier New"/>
                <w:b/>
                <w:bCs/>
                <w:color w:val="000000"/>
                <w:sz w:val="18"/>
                <w:szCs w:val="18"/>
              </w:rPr>
              <w:t xml:space="preserve">Table </w:t>
            </w:r>
            <w:r>
              <w:rPr>
                <w:rFonts w:ascii="Courier New" w:hAnsi="Courier New" w:cs="Courier New"/>
                <w:b/>
                <w:bCs/>
                <w:color w:val="000000"/>
                <w:sz w:val="18"/>
                <w:szCs w:val="18"/>
              </w:rPr>
              <w:t>3</w:t>
            </w:r>
            <w:r w:rsidRPr="003A653B">
              <w:rPr>
                <w:rFonts w:ascii="Courier New" w:hAnsi="Courier New" w:cs="Courier New"/>
                <w:b/>
                <w:bCs/>
                <w:color w:val="000000"/>
                <w:sz w:val="18"/>
                <w:szCs w:val="18"/>
              </w:rPr>
              <w:t xml:space="preserve"> - Manufacturing Receipts - Return of Capital Included</w:t>
            </w:r>
          </w:p>
        </w:tc>
      </w:tr>
      <w:tr w:rsidR="008627C1" w:rsidRPr="003A653B" w:rsidTr="00985AD3">
        <w:trPr>
          <w:trHeight w:val="1035"/>
        </w:trPr>
        <w:tc>
          <w:tcPr>
            <w:tcW w:w="479" w:type="dxa"/>
            <w:tcBorders>
              <w:top w:val="nil"/>
              <w:left w:val="single" w:sz="8" w:space="0" w:color="auto"/>
              <w:bottom w:val="single" w:sz="8" w:space="0" w:color="auto"/>
              <w:right w:val="single" w:sz="4" w:space="0" w:color="auto"/>
            </w:tcBorders>
            <w:shd w:val="clear" w:color="auto" w:fill="auto"/>
            <w:noWrap/>
            <w:vAlign w:val="bottom"/>
            <w:hideMark/>
          </w:tcPr>
          <w:p w:rsidR="008627C1" w:rsidRPr="003A653B" w:rsidRDefault="008627C1" w:rsidP="00985AD3">
            <w:pPr>
              <w:jc w:val="center"/>
              <w:rPr>
                <w:rFonts w:ascii="Courier New" w:hAnsi="Courier New" w:cs="Courier New"/>
                <w:b/>
                <w:bCs/>
                <w:color w:val="000000"/>
                <w:sz w:val="18"/>
                <w:szCs w:val="18"/>
              </w:rPr>
            </w:pPr>
            <w:r w:rsidRPr="003A653B">
              <w:rPr>
                <w:rFonts w:ascii="Courier New" w:hAnsi="Courier New" w:cs="Courier New"/>
                <w:b/>
                <w:bCs/>
                <w:color w:val="000000"/>
                <w:sz w:val="18"/>
                <w:szCs w:val="18"/>
              </w:rPr>
              <w:t>Year</w:t>
            </w:r>
          </w:p>
        </w:tc>
        <w:tc>
          <w:tcPr>
            <w:tcW w:w="1884" w:type="dxa"/>
            <w:tcBorders>
              <w:top w:val="nil"/>
              <w:left w:val="nil"/>
              <w:bottom w:val="single" w:sz="8" w:space="0" w:color="auto"/>
              <w:right w:val="single" w:sz="4" w:space="0" w:color="auto"/>
            </w:tcBorders>
            <w:shd w:val="clear" w:color="auto" w:fill="auto"/>
            <w:vAlign w:val="bottom"/>
            <w:hideMark/>
          </w:tcPr>
          <w:p w:rsidR="008627C1" w:rsidRPr="003A653B" w:rsidRDefault="008627C1" w:rsidP="00985AD3">
            <w:pPr>
              <w:jc w:val="center"/>
              <w:rPr>
                <w:rFonts w:ascii="Courier New" w:hAnsi="Courier New" w:cs="Courier New"/>
                <w:b/>
                <w:bCs/>
                <w:color w:val="000000"/>
                <w:sz w:val="18"/>
                <w:szCs w:val="18"/>
              </w:rPr>
            </w:pPr>
            <w:r w:rsidRPr="003A653B">
              <w:rPr>
                <w:rFonts w:ascii="Courier New" w:hAnsi="Courier New" w:cs="Courier New"/>
                <w:b/>
                <w:bCs/>
                <w:color w:val="000000"/>
                <w:sz w:val="18"/>
                <w:szCs w:val="18"/>
              </w:rPr>
              <w:t>Gross Receipts from the Sale of Manufactured Drugs</w:t>
            </w:r>
          </w:p>
        </w:tc>
        <w:tc>
          <w:tcPr>
            <w:tcW w:w="1905" w:type="dxa"/>
            <w:tcBorders>
              <w:top w:val="nil"/>
              <w:left w:val="nil"/>
              <w:bottom w:val="single" w:sz="8" w:space="0" w:color="auto"/>
              <w:right w:val="single" w:sz="4" w:space="0" w:color="auto"/>
            </w:tcBorders>
            <w:shd w:val="clear" w:color="auto" w:fill="auto"/>
            <w:vAlign w:val="bottom"/>
            <w:hideMark/>
          </w:tcPr>
          <w:p w:rsidR="008627C1" w:rsidRPr="003A653B" w:rsidRDefault="008627C1" w:rsidP="00985AD3">
            <w:pPr>
              <w:jc w:val="center"/>
              <w:rPr>
                <w:rFonts w:ascii="Courier New" w:hAnsi="Courier New" w:cs="Courier New"/>
                <w:b/>
                <w:bCs/>
                <w:color w:val="000000"/>
                <w:sz w:val="18"/>
                <w:szCs w:val="18"/>
              </w:rPr>
            </w:pPr>
            <w:r w:rsidRPr="003A653B">
              <w:rPr>
                <w:rFonts w:ascii="Courier New" w:hAnsi="Courier New" w:cs="Courier New"/>
                <w:b/>
                <w:bCs/>
                <w:color w:val="000000"/>
                <w:sz w:val="18"/>
                <w:szCs w:val="18"/>
              </w:rPr>
              <w:t>Total Business Receipts</w:t>
            </w:r>
          </w:p>
        </w:tc>
        <w:tc>
          <w:tcPr>
            <w:tcW w:w="1884" w:type="dxa"/>
            <w:tcBorders>
              <w:top w:val="nil"/>
              <w:left w:val="nil"/>
              <w:bottom w:val="single" w:sz="8" w:space="0" w:color="auto"/>
              <w:right w:val="single" w:sz="4" w:space="0" w:color="auto"/>
            </w:tcBorders>
            <w:shd w:val="clear" w:color="auto" w:fill="auto"/>
            <w:vAlign w:val="bottom"/>
            <w:hideMark/>
          </w:tcPr>
          <w:p w:rsidR="008627C1" w:rsidRPr="003A653B" w:rsidRDefault="008627C1" w:rsidP="00985AD3">
            <w:pPr>
              <w:jc w:val="center"/>
              <w:rPr>
                <w:rFonts w:ascii="Courier New" w:hAnsi="Courier New" w:cs="Courier New"/>
                <w:b/>
                <w:bCs/>
                <w:color w:val="000000"/>
                <w:sz w:val="18"/>
                <w:szCs w:val="18"/>
              </w:rPr>
            </w:pPr>
            <w:r w:rsidRPr="003A653B">
              <w:rPr>
                <w:rFonts w:ascii="Courier New" w:hAnsi="Courier New" w:cs="Courier New"/>
                <w:b/>
                <w:bCs/>
                <w:color w:val="000000"/>
                <w:sz w:val="18"/>
                <w:szCs w:val="18"/>
              </w:rPr>
              <w:t>Total Return of Capital</w:t>
            </w:r>
          </w:p>
        </w:tc>
        <w:tc>
          <w:tcPr>
            <w:tcW w:w="1822" w:type="dxa"/>
            <w:tcBorders>
              <w:top w:val="nil"/>
              <w:left w:val="nil"/>
              <w:bottom w:val="single" w:sz="8" w:space="0" w:color="auto"/>
              <w:right w:val="single" w:sz="4" w:space="0" w:color="auto"/>
            </w:tcBorders>
            <w:shd w:val="clear" w:color="auto" w:fill="auto"/>
            <w:vAlign w:val="bottom"/>
            <w:hideMark/>
          </w:tcPr>
          <w:p w:rsidR="008627C1" w:rsidRPr="003A653B" w:rsidRDefault="008627C1" w:rsidP="00985AD3">
            <w:pPr>
              <w:jc w:val="center"/>
              <w:rPr>
                <w:rFonts w:ascii="Courier New" w:hAnsi="Courier New" w:cs="Courier New"/>
                <w:b/>
                <w:bCs/>
                <w:color w:val="000000"/>
                <w:sz w:val="18"/>
                <w:szCs w:val="18"/>
              </w:rPr>
            </w:pPr>
            <w:r w:rsidRPr="003A653B">
              <w:rPr>
                <w:rFonts w:ascii="Courier New" w:hAnsi="Courier New" w:cs="Courier New"/>
                <w:b/>
                <w:bCs/>
                <w:color w:val="000000"/>
                <w:sz w:val="18"/>
                <w:szCs w:val="18"/>
              </w:rPr>
              <w:t>Total receipts with Return of Capital</w:t>
            </w:r>
          </w:p>
        </w:tc>
        <w:tc>
          <w:tcPr>
            <w:tcW w:w="1486" w:type="dxa"/>
            <w:tcBorders>
              <w:top w:val="nil"/>
              <w:left w:val="nil"/>
              <w:bottom w:val="single" w:sz="8" w:space="0" w:color="auto"/>
              <w:right w:val="single" w:sz="8" w:space="0" w:color="auto"/>
            </w:tcBorders>
            <w:shd w:val="clear" w:color="auto" w:fill="auto"/>
            <w:vAlign w:val="bottom"/>
            <w:hideMark/>
          </w:tcPr>
          <w:p w:rsidR="008627C1" w:rsidRPr="003A653B" w:rsidRDefault="008627C1" w:rsidP="00985AD3">
            <w:pPr>
              <w:jc w:val="center"/>
              <w:rPr>
                <w:rFonts w:ascii="Courier New" w:hAnsi="Courier New" w:cs="Courier New"/>
                <w:b/>
                <w:bCs/>
                <w:color w:val="000000"/>
                <w:sz w:val="18"/>
                <w:szCs w:val="18"/>
              </w:rPr>
            </w:pPr>
            <w:r w:rsidRPr="003A653B">
              <w:rPr>
                <w:rFonts w:ascii="Courier New" w:hAnsi="Courier New" w:cs="Courier New"/>
                <w:b/>
                <w:bCs/>
                <w:color w:val="000000"/>
                <w:sz w:val="18"/>
                <w:szCs w:val="18"/>
              </w:rPr>
              <w:t xml:space="preserve">% of Sales from Manufacturing </w:t>
            </w:r>
          </w:p>
        </w:tc>
      </w:tr>
      <w:tr w:rsidR="008627C1" w:rsidRPr="003A653B" w:rsidTr="00985AD3">
        <w:trPr>
          <w:trHeight w:val="300"/>
        </w:trPr>
        <w:tc>
          <w:tcPr>
            <w:tcW w:w="479" w:type="dxa"/>
            <w:tcBorders>
              <w:top w:val="nil"/>
              <w:left w:val="single" w:sz="4" w:space="0" w:color="auto"/>
              <w:bottom w:val="single" w:sz="4" w:space="0" w:color="auto"/>
              <w:right w:val="single" w:sz="4" w:space="0" w:color="auto"/>
            </w:tcBorders>
            <w:shd w:val="clear" w:color="auto" w:fill="auto"/>
            <w:noWrap/>
            <w:vAlign w:val="bottom"/>
            <w:hideMark/>
          </w:tcPr>
          <w:p w:rsidR="008627C1" w:rsidRPr="003A653B" w:rsidRDefault="008627C1" w:rsidP="00985AD3">
            <w:pPr>
              <w:jc w:val="center"/>
              <w:rPr>
                <w:rFonts w:ascii="Courier New" w:hAnsi="Courier New" w:cs="Courier New"/>
                <w:color w:val="000000"/>
                <w:sz w:val="18"/>
                <w:szCs w:val="18"/>
              </w:rPr>
            </w:pPr>
            <w:r w:rsidRPr="003A653B">
              <w:rPr>
                <w:rFonts w:ascii="Courier New" w:hAnsi="Courier New" w:cs="Courier New"/>
                <w:color w:val="000000"/>
                <w:sz w:val="18"/>
                <w:szCs w:val="18"/>
              </w:rPr>
              <w:t>1998</w:t>
            </w:r>
          </w:p>
        </w:tc>
        <w:tc>
          <w:tcPr>
            <w:tcW w:w="1884"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rPr>
                <w:rFonts w:ascii="Courier New" w:hAnsi="Courier New" w:cs="Courier New"/>
                <w:color w:val="000000"/>
                <w:sz w:val="18"/>
                <w:szCs w:val="18"/>
              </w:rPr>
            </w:pPr>
            <w:r w:rsidRPr="003A653B">
              <w:rPr>
                <w:rFonts w:ascii="Courier New" w:hAnsi="Courier New" w:cs="Courier New"/>
                <w:color w:val="000000"/>
                <w:sz w:val="18"/>
                <w:szCs w:val="18"/>
              </w:rPr>
              <w:t xml:space="preserve">    732,072,208 </w:t>
            </w:r>
          </w:p>
        </w:tc>
        <w:tc>
          <w:tcPr>
            <w:tcW w:w="1905"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rPr>
                <w:rFonts w:ascii="Courier New" w:hAnsi="Courier New" w:cs="Courier New"/>
                <w:color w:val="000000"/>
                <w:sz w:val="18"/>
                <w:szCs w:val="18"/>
              </w:rPr>
            </w:pPr>
            <w:r w:rsidRPr="003A653B">
              <w:rPr>
                <w:rFonts w:ascii="Courier New" w:hAnsi="Courier New" w:cs="Courier New"/>
                <w:color w:val="000000"/>
                <w:sz w:val="18"/>
                <w:szCs w:val="18"/>
              </w:rPr>
              <w:t xml:space="preserve">  1,153,260,519 </w:t>
            </w:r>
          </w:p>
        </w:tc>
        <w:tc>
          <w:tcPr>
            <w:tcW w:w="1884"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rPr>
                <w:rFonts w:ascii="Courier New" w:hAnsi="Courier New" w:cs="Courier New"/>
                <w:color w:val="000000"/>
                <w:sz w:val="18"/>
                <w:szCs w:val="18"/>
              </w:rPr>
            </w:pPr>
            <w:r w:rsidRPr="003A653B">
              <w:rPr>
                <w:rFonts w:ascii="Courier New" w:hAnsi="Courier New" w:cs="Courier New"/>
                <w:color w:val="000000"/>
                <w:sz w:val="18"/>
                <w:szCs w:val="18"/>
              </w:rPr>
              <w:t xml:space="preserve"> 17,836,392,054 </w:t>
            </w:r>
          </w:p>
        </w:tc>
        <w:tc>
          <w:tcPr>
            <w:tcW w:w="1822"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rPr>
                <w:rFonts w:ascii="Courier New" w:hAnsi="Courier New" w:cs="Courier New"/>
                <w:color w:val="000000"/>
                <w:sz w:val="18"/>
                <w:szCs w:val="18"/>
              </w:rPr>
            </w:pPr>
            <w:r w:rsidRPr="003A653B">
              <w:rPr>
                <w:rFonts w:ascii="Courier New" w:hAnsi="Courier New" w:cs="Courier New"/>
                <w:color w:val="000000"/>
                <w:sz w:val="18"/>
                <w:szCs w:val="18"/>
              </w:rPr>
              <w:t xml:space="preserve"> 18,989,652,573 </w:t>
            </w:r>
          </w:p>
        </w:tc>
        <w:tc>
          <w:tcPr>
            <w:tcW w:w="1486"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jc w:val="right"/>
              <w:rPr>
                <w:rFonts w:ascii="Courier New" w:hAnsi="Courier New" w:cs="Courier New"/>
                <w:color w:val="000000"/>
                <w:sz w:val="18"/>
                <w:szCs w:val="18"/>
              </w:rPr>
            </w:pPr>
            <w:r w:rsidRPr="003A653B">
              <w:rPr>
                <w:rFonts w:ascii="Courier New" w:hAnsi="Courier New" w:cs="Courier New"/>
                <w:color w:val="000000"/>
                <w:sz w:val="18"/>
                <w:szCs w:val="18"/>
              </w:rPr>
              <w:t>3.9%</w:t>
            </w:r>
          </w:p>
        </w:tc>
      </w:tr>
      <w:tr w:rsidR="008627C1" w:rsidRPr="003A653B" w:rsidTr="00985AD3">
        <w:trPr>
          <w:trHeight w:val="300"/>
        </w:trPr>
        <w:tc>
          <w:tcPr>
            <w:tcW w:w="479" w:type="dxa"/>
            <w:tcBorders>
              <w:top w:val="nil"/>
              <w:left w:val="single" w:sz="4" w:space="0" w:color="auto"/>
              <w:bottom w:val="single" w:sz="4" w:space="0" w:color="auto"/>
              <w:right w:val="single" w:sz="4" w:space="0" w:color="auto"/>
            </w:tcBorders>
            <w:shd w:val="clear" w:color="auto" w:fill="auto"/>
            <w:noWrap/>
            <w:vAlign w:val="bottom"/>
            <w:hideMark/>
          </w:tcPr>
          <w:p w:rsidR="008627C1" w:rsidRPr="003A653B" w:rsidRDefault="008627C1" w:rsidP="00985AD3">
            <w:pPr>
              <w:jc w:val="center"/>
              <w:rPr>
                <w:rFonts w:ascii="Courier New" w:hAnsi="Courier New" w:cs="Courier New"/>
                <w:color w:val="000000"/>
                <w:sz w:val="18"/>
                <w:szCs w:val="18"/>
              </w:rPr>
            </w:pPr>
            <w:r w:rsidRPr="003A653B">
              <w:rPr>
                <w:rFonts w:ascii="Courier New" w:hAnsi="Courier New" w:cs="Courier New"/>
                <w:color w:val="000000"/>
                <w:sz w:val="18"/>
                <w:szCs w:val="18"/>
              </w:rPr>
              <w:t>1999</w:t>
            </w:r>
          </w:p>
        </w:tc>
        <w:tc>
          <w:tcPr>
            <w:tcW w:w="1884"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rPr>
                <w:rFonts w:ascii="Courier New" w:hAnsi="Courier New" w:cs="Courier New"/>
                <w:color w:val="000000"/>
                <w:sz w:val="18"/>
                <w:szCs w:val="18"/>
              </w:rPr>
            </w:pPr>
            <w:r w:rsidRPr="003A653B">
              <w:rPr>
                <w:rFonts w:ascii="Courier New" w:hAnsi="Courier New" w:cs="Courier New"/>
                <w:color w:val="000000"/>
                <w:sz w:val="18"/>
                <w:szCs w:val="18"/>
              </w:rPr>
              <w:t xml:space="preserve">  1,044,396,528 </w:t>
            </w:r>
          </w:p>
        </w:tc>
        <w:tc>
          <w:tcPr>
            <w:tcW w:w="1905"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rPr>
                <w:rFonts w:ascii="Courier New" w:hAnsi="Courier New" w:cs="Courier New"/>
                <w:color w:val="000000"/>
                <w:sz w:val="18"/>
                <w:szCs w:val="18"/>
              </w:rPr>
            </w:pPr>
            <w:r w:rsidRPr="003A653B">
              <w:rPr>
                <w:rFonts w:ascii="Courier New" w:hAnsi="Courier New" w:cs="Courier New"/>
                <w:color w:val="000000"/>
                <w:sz w:val="18"/>
                <w:szCs w:val="18"/>
              </w:rPr>
              <w:t xml:space="preserve">  1,396,825,732 </w:t>
            </w:r>
          </w:p>
        </w:tc>
        <w:tc>
          <w:tcPr>
            <w:tcW w:w="1884"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rPr>
                <w:rFonts w:ascii="Courier New" w:hAnsi="Courier New" w:cs="Courier New"/>
                <w:color w:val="000000"/>
                <w:sz w:val="18"/>
                <w:szCs w:val="18"/>
              </w:rPr>
            </w:pPr>
            <w:r w:rsidRPr="003A653B">
              <w:rPr>
                <w:rFonts w:ascii="Courier New" w:hAnsi="Courier New" w:cs="Courier New"/>
                <w:color w:val="000000"/>
                <w:sz w:val="18"/>
                <w:szCs w:val="18"/>
              </w:rPr>
              <w:t xml:space="preserve"> 22,582,749,670 </w:t>
            </w:r>
          </w:p>
        </w:tc>
        <w:tc>
          <w:tcPr>
            <w:tcW w:w="1822"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rPr>
                <w:rFonts w:ascii="Courier New" w:hAnsi="Courier New" w:cs="Courier New"/>
                <w:color w:val="000000"/>
                <w:sz w:val="18"/>
                <w:szCs w:val="18"/>
              </w:rPr>
            </w:pPr>
            <w:r w:rsidRPr="003A653B">
              <w:rPr>
                <w:rFonts w:ascii="Courier New" w:hAnsi="Courier New" w:cs="Courier New"/>
                <w:color w:val="000000"/>
                <w:sz w:val="18"/>
                <w:szCs w:val="18"/>
              </w:rPr>
              <w:t xml:space="preserve"> 23,979,575,402 </w:t>
            </w:r>
          </w:p>
        </w:tc>
        <w:tc>
          <w:tcPr>
            <w:tcW w:w="1486"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jc w:val="right"/>
              <w:rPr>
                <w:rFonts w:ascii="Courier New" w:hAnsi="Courier New" w:cs="Courier New"/>
                <w:color w:val="000000"/>
                <w:sz w:val="18"/>
                <w:szCs w:val="18"/>
              </w:rPr>
            </w:pPr>
            <w:r w:rsidRPr="003A653B">
              <w:rPr>
                <w:rFonts w:ascii="Courier New" w:hAnsi="Courier New" w:cs="Courier New"/>
                <w:color w:val="000000"/>
                <w:sz w:val="18"/>
                <w:szCs w:val="18"/>
              </w:rPr>
              <w:t>4.4%</w:t>
            </w:r>
          </w:p>
        </w:tc>
      </w:tr>
      <w:tr w:rsidR="008627C1" w:rsidRPr="003A653B" w:rsidTr="00985AD3">
        <w:trPr>
          <w:trHeight w:val="300"/>
        </w:trPr>
        <w:tc>
          <w:tcPr>
            <w:tcW w:w="479" w:type="dxa"/>
            <w:tcBorders>
              <w:top w:val="nil"/>
              <w:left w:val="single" w:sz="4" w:space="0" w:color="auto"/>
              <w:bottom w:val="single" w:sz="4" w:space="0" w:color="auto"/>
              <w:right w:val="single" w:sz="4" w:space="0" w:color="auto"/>
            </w:tcBorders>
            <w:shd w:val="clear" w:color="auto" w:fill="auto"/>
            <w:noWrap/>
            <w:vAlign w:val="bottom"/>
            <w:hideMark/>
          </w:tcPr>
          <w:p w:rsidR="008627C1" w:rsidRPr="003A653B" w:rsidRDefault="008627C1" w:rsidP="00985AD3">
            <w:pPr>
              <w:jc w:val="center"/>
              <w:rPr>
                <w:rFonts w:ascii="Courier New" w:hAnsi="Courier New" w:cs="Courier New"/>
                <w:color w:val="000000"/>
                <w:sz w:val="18"/>
                <w:szCs w:val="18"/>
              </w:rPr>
            </w:pPr>
            <w:r w:rsidRPr="003A653B">
              <w:rPr>
                <w:rFonts w:ascii="Courier New" w:hAnsi="Courier New" w:cs="Courier New"/>
                <w:color w:val="000000"/>
                <w:sz w:val="18"/>
                <w:szCs w:val="18"/>
              </w:rPr>
              <w:t>2000</w:t>
            </w:r>
          </w:p>
        </w:tc>
        <w:tc>
          <w:tcPr>
            <w:tcW w:w="1884"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rPr>
                <w:rFonts w:ascii="Courier New" w:hAnsi="Courier New" w:cs="Courier New"/>
                <w:color w:val="000000"/>
                <w:sz w:val="18"/>
                <w:szCs w:val="18"/>
              </w:rPr>
            </w:pPr>
            <w:r w:rsidRPr="003A653B">
              <w:rPr>
                <w:rFonts w:ascii="Courier New" w:hAnsi="Courier New" w:cs="Courier New"/>
                <w:color w:val="000000"/>
                <w:sz w:val="18"/>
                <w:szCs w:val="18"/>
              </w:rPr>
              <w:t xml:space="preserve">  1,277,114,954 </w:t>
            </w:r>
          </w:p>
        </w:tc>
        <w:tc>
          <w:tcPr>
            <w:tcW w:w="1905"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rPr>
                <w:rFonts w:ascii="Courier New" w:hAnsi="Courier New" w:cs="Courier New"/>
                <w:color w:val="000000"/>
                <w:sz w:val="18"/>
                <w:szCs w:val="18"/>
              </w:rPr>
            </w:pPr>
            <w:r w:rsidRPr="003A653B">
              <w:rPr>
                <w:rFonts w:ascii="Courier New" w:hAnsi="Courier New" w:cs="Courier New"/>
                <w:color w:val="000000"/>
                <w:sz w:val="18"/>
                <w:szCs w:val="18"/>
              </w:rPr>
              <w:t xml:space="preserve">  1,886,086,563 </w:t>
            </w:r>
          </w:p>
        </w:tc>
        <w:tc>
          <w:tcPr>
            <w:tcW w:w="1884"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rPr>
                <w:rFonts w:ascii="Courier New" w:hAnsi="Courier New" w:cs="Courier New"/>
                <w:color w:val="000000"/>
                <w:sz w:val="18"/>
                <w:szCs w:val="18"/>
              </w:rPr>
            </w:pPr>
            <w:r w:rsidRPr="003A653B">
              <w:rPr>
                <w:rFonts w:ascii="Courier New" w:hAnsi="Courier New" w:cs="Courier New"/>
                <w:color w:val="000000"/>
                <w:sz w:val="18"/>
                <w:szCs w:val="18"/>
              </w:rPr>
              <w:t xml:space="preserve"> 13,530,052,242 </w:t>
            </w:r>
          </w:p>
        </w:tc>
        <w:tc>
          <w:tcPr>
            <w:tcW w:w="1822"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rPr>
                <w:rFonts w:ascii="Courier New" w:hAnsi="Courier New" w:cs="Courier New"/>
                <w:color w:val="000000"/>
                <w:sz w:val="18"/>
                <w:szCs w:val="18"/>
              </w:rPr>
            </w:pPr>
            <w:r w:rsidRPr="003A653B">
              <w:rPr>
                <w:rFonts w:ascii="Courier New" w:hAnsi="Courier New" w:cs="Courier New"/>
                <w:color w:val="000000"/>
                <w:sz w:val="18"/>
                <w:szCs w:val="18"/>
              </w:rPr>
              <w:t xml:space="preserve"> 15,416,138,805 </w:t>
            </w:r>
          </w:p>
        </w:tc>
        <w:tc>
          <w:tcPr>
            <w:tcW w:w="1486"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jc w:val="right"/>
              <w:rPr>
                <w:rFonts w:ascii="Courier New" w:hAnsi="Courier New" w:cs="Courier New"/>
                <w:color w:val="000000"/>
                <w:sz w:val="18"/>
                <w:szCs w:val="18"/>
              </w:rPr>
            </w:pPr>
            <w:r w:rsidRPr="003A653B">
              <w:rPr>
                <w:rFonts w:ascii="Courier New" w:hAnsi="Courier New" w:cs="Courier New"/>
                <w:color w:val="000000"/>
                <w:sz w:val="18"/>
                <w:szCs w:val="18"/>
              </w:rPr>
              <w:t>8.3%</w:t>
            </w:r>
          </w:p>
        </w:tc>
      </w:tr>
      <w:tr w:rsidR="008627C1" w:rsidRPr="003A653B" w:rsidTr="00985AD3">
        <w:trPr>
          <w:trHeight w:val="300"/>
        </w:trPr>
        <w:tc>
          <w:tcPr>
            <w:tcW w:w="479" w:type="dxa"/>
            <w:tcBorders>
              <w:top w:val="nil"/>
              <w:left w:val="single" w:sz="4" w:space="0" w:color="auto"/>
              <w:bottom w:val="single" w:sz="4" w:space="0" w:color="auto"/>
              <w:right w:val="single" w:sz="4" w:space="0" w:color="auto"/>
            </w:tcBorders>
            <w:shd w:val="clear" w:color="auto" w:fill="auto"/>
            <w:noWrap/>
            <w:vAlign w:val="bottom"/>
            <w:hideMark/>
          </w:tcPr>
          <w:p w:rsidR="008627C1" w:rsidRPr="003A653B" w:rsidRDefault="008627C1" w:rsidP="00985AD3">
            <w:pPr>
              <w:jc w:val="center"/>
              <w:rPr>
                <w:rFonts w:ascii="Courier New" w:hAnsi="Courier New" w:cs="Courier New"/>
                <w:color w:val="000000"/>
                <w:sz w:val="18"/>
                <w:szCs w:val="18"/>
              </w:rPr>
            </w:pPr>
            <w:r w:rsidRPr="003A653B">
              <w:rPr>
                <w:rFonts w:ascii="Courier New" w:hAnsi="Courier New" w:cs="Courier New"/>
                <w:color w:val="000000"/>
                <w:sz w:val="18"/>
                <w:szCs w:val="18"/>
              </w:rPr>
              <w:t>2001</w:t>
            </w:r>
          </w:p>
        </w:tc>
        <w:tc>
          <w:tcPr>
            <w:tcW w:w="1884"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rPr>
                <w:rFonts w:ascii="Courier New" w:hAnsi="Courier New" w:cs="Courier New"/>
                <w:color w:val="000000"/>
                <w:sz w:val="18"/>
                <w:szCs w:val="18"/>
              </w:rPr>
            </w:pPr>
            <w:r w:rsidRPr="003A653B">
              <w:rPr>
                <w:rFonts w:ascii="Courier New" w:hAnsi="Courier New" w:cs="Courier New"/>
                <w:color w:val="000000"/>
                <w:sz w:val="18"/>
                <w:szCs w:val="18"/>
              </w:rPr>
              <w:t xml:space="preserve">  1,757,383,569 </w:t>
            </w:r>
          </w:p>
        </w:tc>
        <w:tc>
          <w:tcPr>
            <w:tcW w:w="1905"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rPr>
                <w:rFonts w:ascii="Courier New" w:hAnsi="Courier New" w:cs="Courier New"/>
                <w:color w:val="000000"/>
                <w:sz w:val="18"/>
                <w:szCs w:val="18"/>
              </w:rPr>
            </w:pPr>
            <w:r w:rsidRPr="003A653B">
              <w:rPr>
                <w:rFonts w:ascii="Courier New" w:hAnsi="Courier New" w:cs="Courier New"/>
                <w:color w:val="000000"/>
                <w:sz w:val="18"/>
                <w:szCs w:val="18"/>
              </w:rPr>
              <w:t xml:space="preserve">  2,458,838,986 </w:t>
            </w:r>
          </w:p>
        </w:tc>
        <w:tc>
          <w:tcPr>
            <w:tcW w:w="1884"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rPr>
                <w:rFonts w:ascii="Courier New" w:hAnsi="Courier New" w:cs="Courier New"/>
                <w:color w:val="000000"/>
                <w:sz w:val="18"/>
                <w:szCs w:val="18"/>
              </w:rPr>
            </w:pPr>
            <w:r w:rsidRPr="003A653B">
              <w:rPr>
                <w:rFonts w:ascii="Courier New" w:hAnsi="Courier New" w:cs="Courier New"/>
                <w:color w:val="000000"/>
                <w:sz w:val="18"/>
                <w:szCs w:val="18"/>
              </w:rPr>
              <w:t xml:space="preserve"> 28,706,747,792 </w:t>
            </w:r>
          </w:p>
        </w:tc>
        <w:tc>
          <w:tcPr>
            <w:tcW w:w="1822"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rPr>
                <w:rFonts w:ascii="Courier New" w:hAnsi="Courier New" w:cs="Courier New"/>
                <w:color w:val="000000"/>
                <w:sz w:val="18"/>
                <w:szCs w:val="18"/>
              </w:rPr>
            </w:pPr>
            <w:r w:rsidRPr="003A653B">
              <w:rPr>
                <w:rFonts w:ascii="Courier New" w:hAnsi="Courier New" w:cs="Courier New"/>
                <w:color w:val="000000"/>
                <w:sz w:val="18"/>
                <w:szCs w:val="18"/>
              </w:rPr>
              <w:t xml:space="preserve"> 31,165,586,778 </w:t>
            </w:r>
          </w:p>
        </w:tc>
        <w:tc>
          <w:tcPr>
            <w:tcW w:w="1486"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jc w:val="right"/>
              <w:rPr>
                <w:rFonts w:ascii="Courier New" w:hAnsi="Courier New" w:cs="Courier New"/>
                <w:color w:val="000000"/>
                <w:sz w:val="18"/>
                <w:szCs w:val="18"/>
              </w:rPr>
            </w:pPr>
            <w:r w:rsidRPr="003A653B">
              <w:rPr>
                <w:rFonts w:ascii="Courier New" w:hAnsi="Courier New" w:cs="Courier New"/>
                <w:color w:val="000000"/>
                <w:sz w:val="18"/>
                <w:szCs w:val="18"/>
              </w:rPr>
              <w:t>5.6%</w:t>
            </w:r>
          </w:p>
        </w:tc>
      </w:tr>
      <w:tr w:rsidR="008627C1" w:rsidRPr="003A653B" w:rsidTr="00985AD3">
        <w:trPr>
          <w:trHeight w:val="300"/>
        </w:trPr>
        <w:tc>
          <w:tcPr>
            <w:tcW w:w="479" w:type="dxa"/>
            <w:tcBorders>
              <w:top w:val="nil"/>
              <w:left w:val="single" w:sz="4" w:space="0" w:color="auto"/>
              <w:bottom w:val="single" w:sz="4" w:space="0" w:color="auto"/>
              <w:right w:val="single" w:sz="4" w:space="0" w:color="auto"/>
            </w:tcBorders>
            <w:shd w:val="clear" w:color="auto" w:fill="auto"/>
            <w:noWrap/>
            <w:vAlign w:val="bottom"/>
            <w:hideMark/>
          </w:tcPr>
          <w:p w:rsidR="008627C1" w:rsidRPr="003A653B" w:rsidRDefault="008627C1" w:rsidP="00985AD3">
            <w:pPr>
              <w:jc w:val="center"/>
              <w:rPr>
                <w:rFonts w:ascii="Courier New" w:hAnsi="Courier New" w:cs="Courier New"/>
                <w:color w:val="000000"/>
                <w:sz w:val="18"/>
                <w:szCs w:val="18"/>
              </w:rPr>
            </w:pPr>
            <w:r w:rsidRPr="003A653B">
              <w:rPr>
                <w:rFonts w:ascii="Courier New" w:hAnsi="Courier New" w:cs="Courier New"/>
                <w:color w:val="000000"/>
                <w:sz w:val="18"/>
                <w:szCs w:val="18"/>
              </w:rPr>
              <w:t>2002</w:t>
            </w:r>
          </w:p>
        </w:tc>
        <w:tc>
          <w:tcPr>
            <w:tcW w:w="1884"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rPr>
                <w:rFonts w:ascii="Courier New" w:hAnsi="Courier New" w:cs="Courier New"/>
                <w:color w:val="000000"/>
                <w:sz w:val="18"/>
                <w:szCs w:val="18"/>
              </w:rPr>
            </w:pPr>
            <w:r w:rsidRPr="003A653B">
              <w:rPr>
                <w:rFonts w:ascii="Courier New" w:hAnsi="Courier New" w:cs="Courier New"/>
                <w:color w:val="000000"/>
                <w:sz w:val="18"/>
                <w:szCs w:val="18"/>
              </w:rPr>
              <w:t xml:space="preserve">  2,167,681,513 </w:t>
            </w:r>
          </w:p>
        </w:tc>
        <w:tc>
          <w:tcPr>
            <w:tcW w:w="1905"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rPr>
                <w:rFonts w:ascii="Courier New" w:hAnsi="Courier New" w:cs="Courier New"/>
                <w:color w:val="000000"/>
                <w:sz w:val="18"/>
                <w:szCs w:val="18"/>
              </w:rPr>
            </w:pPr>
            <w:r w:rsidRPr="003A653B">
              <w:rPr>
                <w:rFonts w:ascii="Courier New" w:hAnsi="Courier New" w:cs="Courier New"/>
                <w:color w:val="000000"/>
                <w:sz w:val="18"/>
                <w:szCs w:val="18"/>
              </w:rPr>
              <w:t xml:space="preserve">  2,635,868,733 </w:t>
            </w:r>
          </w:p>
        </w:tc>
        <w:tc>
          <w:tcPr>
            <w:tcW w:w="1884"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rPr>
                <w:rFonts w:ascii="Courier New" w:hAnsi="Courier New" w:cs="Courier New"/>
                <w:color w:val="000000"/>
                <w:sz w:val="18"/>
                <w:szCs w:val="18"/>
              </w:rPr>
            </w:pPr>
            <w:r w:rsidRPr="003A653B">
              <w:rPr>
                <w:rFonts w:ascii="Courier New" w:hAnsi="Courier New" w:cs="Courier New"/>
                <w:color w:val="000000"/>
                <w:sz w:val="18"/>
                <w:szCs w:val="18"/>
              </w:rPr>
              <w:t xml:space="preserve"> 28,065,938,152 </w:t>
            </w:r>
          </w:p>
        </w:tc>
        <w:tc>
          <w:tcPr>
            <w:tcW w:w="1822"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rPr>
                <w:rFonts w:ascii="Courier New" w:hAnsi="Courier New" w:cs="Courier New"/>
                <w:color w:val="000000"/>
                <w:sz w:val="18"/>
                <w:szCs w:val="18"/>
              </w:rPr>
            </w:pPr>
            <w:r w:rsidRPr="003A653B">
              <w:rPr>
                <w:rFonts w:ascii="Courier New" w:hAnsi="Courier New" w:cs="Courier New"/>
                <w:color w:val="000000"/>
                <w:sz w:val="18"/>
                <w:szCs w:val="18"/>
              </w:rPr>
              <w:t xml:space="preserve"> 30,701,806,885 </w:t>
            </w:r>
          </w:p>
        </w:tc>
        <w:tc>
          <w:tcPr>
            <w:tcW w:w="1486"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jc w:val="right"/>
              <w:rPr>
                <w:rFonts w:ascii="Courier New" w:hAnsi="Courier New" w:cs="Courier New"/>
                <w:color w:val="000000"/>
                <w:sz w:val="18"/>
                <w:szCs w:val="18"/>
              </w:rPr>
            </w:pPr>
            <w:r w:rsidRPr="003A653B">
              <w:rPr>
                <w:rFonts w:ascii="Courier New" w:hAnsi="Courier New" w:cs="Courier New"/>
                <w:color w:val="000000"/>
                <w:sz w:val="18"/>
                <w:szCs w:val="18"/>
              </w:rPr>
              <w:t>7.1%</w:t>
            </w:r>
          </w:p>
        </w:tc>
      </w:tr>
      <w:tr w:rsidR="008627C1" w:rsidRPr="003A653B" w:rsidTr="00985AD3">
        <w:trPr>
          <w:trHeight w:val="300"/>
        </w:trPr>
        <w:tc>
          <w:tcPr>
            <w:tcW w:w="479" w:type="dxa"/>
            <w:tcBorders>
              <w:top w:val="nil"/>
              <w:left w:val="single" w:sz="4" w:space="0" w:color="auto"/>
              <w:bottom w:val="single" w:sz="4" w:space="0" w:color="auto"/>
              <w:right w:val="single" w:sz="4" w:space="0" w:color="auto"/>
            </w:tcBorders>
            <w:shd w:val="clear" w:color="auto" w:fill="auto"/>
            <w:noWrap/>
            <w:vAlign w:val="bottom"/>
            <w:hideMark/>
          </w:tcPr>
          <w:p w:rsidR="008627C1" w:rsidRPr="003A653B" w:rsidRDefault="008627C1" w:rsidP="00985AD3">
            <w:pPr>
              <w:jc w:val="center"/>
              <w:rPr>
                <w:rFonts w:ascii="Courier New" w:hAnsi="Courier New" w:cs="Courier New"/>
                <w:color w:val="000000"/>
                <w:sz w:val="18"/>
                <w:szCs w:val="18"/>
              </w:rPr>
            </w:pPr>
            <w:r w:rsidRPr="003A653B">
              <w:rPr>
                <w:rFonts w:ascii="Courier New" w:hAnsi="Courier New" w:cs="Courier New"/>
                <w:color w:val="000000"/>
                <w:sz w:val="18"/>
                <w:szCs w:val="18"/>
              </w:rPr>
              <w:t>2003</w:t>
            </w:r>
          </w:p>
        </w:tc>
        <w:tc>
          <w:tcPr>
            <w:tcW w:w="1884"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rPr>
                <w:rFonts w:ascii="Courier New" w:hAnsi="Courier New" w:cs="Courier New"/>
                <w:color w:val="000000"/>
                <w:sz w:val="18"/>
                <w:szCs w:val="18"/>
              </w:rPr>
            </w:pPr>
            <w:r w:rsidRPr="003A653B">
              <w:rPr>
                <w:rFonts w:ascii="Courier New" w:hAnsi="Courier New" w:cs="Courier New"/>
                <w:color w:val="000000"/>
                <w:sz w:val="18"/>
                <w:szCs w:val="18"/>
              </w:rPr>
              <w:t xml:space="preserve">  2,629,672,632 </w:t>
            </w:r>
          </w:p>
        </w:tc>
        <w:tc>
          <w:tcPr>
            <w:tcW w:w="1905"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rPr>
                <w:rFonts w:ascii="Courier New" w:hAnsi="Courier New" w:cs="Courier New"/>
                <w:color w:val="000000"/>
                <w:sz w:val="18"/>
                <w:szCs w:val="18"/>
              </w:rPr>
            </w:pPr>
            <w:r w:rsidRPr="003A653B">
              <w:rPr>
                <w:rFonts w:ascii="Courier New" w:hAnsi="Courier New" w:cs="Courier New"/>
                <w:color w:val="000000"/>
                <w:sz w:val="18"/>
                <w:szCs w:val="18"/>
              </w:rPr>
              <w:t xml:space="preserve">  3,616,675,152 </w:t>
            </w:r>
          </w:p>
        </w:tc>
        <w:tc>
          <w:tcPr>
            <w:tcW w:w="1884"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rPr>
                <w:rFonts w:ascii="Courier New" w:hAnsi="Courier New" w:cs="Courier New"/>
                <w:color w:val="000000"/>
                <w:sz w:val="18"/>
                <w:szCs w:val="18"/>
              </w:rPr>
            </w:pPr>
            <w:r w:rsidRPr="003A653B">
              <w:rPr>
                <w:rFonts w:ascii="Courier New" w:hAnsi="Courier New" w:cs="Courier New"/>
                <w:color w:val="000000"/>
                <w:sz w:val="18"/>
                <w:szCs w:val="18"/>
              </w:rPr>
              <w:t xml:space="preserve"> 22,251,732,041 </w:t>
            </w:r>
          </w:p>
        </w:tc>
        <w:tc>
          <w:tcPr>
            <w:tcW w:w="1822"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rPr>
                <w:rFonts w:ascii="Courier New" w:hAnsi="Courier New" w:cs="Courier New"/>
                <w:color w:val="000000"/>
                <w:sz w:val="18"/>
                <w:szCs w:val="18"/>
              </w:rPr>
            </w:pPr>
            <w:r w:rsidRPr="003A653B">
              <w:rPr>
                <w:rFonts w:ascii="Courier New" w:hAnsi="Courier New" w:cs="Courier New"/>
                <w:color w:val="000000"/>
                <w:sz w:val="18"/>
                <w:szCs w:val="18"/>
              </w:rPr>
              <w:t xml:space="preserve"> 25,868,407,193 </w:t>
            </w:r>
          </w:p>
        </w:tc>
        <w:tc>
          <w:tcPr>
            <w:tcW w:w="1486"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jc w:val="right"/>
              <w:rPr>
                <w:rFonts w:ascii="Courier New" w:hAnsi="Courier New" w:cs="Courier New"/>
                <w:color w:val="000000"/>
                <w:sz w:val="18"/>
                <w:szCs w:val="18"/>
              </w:rPr>
            </w:pPr>
            <w:r w:rsidRPr="003A653B">
              <w:rPr>
                <w:rFonts w:ascii="Courier New" w:hAnsi="Courier New" w:cs="Courier New"/>
                <w:color w:val="000000"/>
                <w:sz w:val="18"/>
                <w:szCs w:val="18"/>
              </w:rPr>
              <w:t>10.2%</w:t>
            </w:r>
          </w:p>
        </w:tc>
      </w:tr>
      <w:tr w:rsidR="008627C1" w:rsidRPr="003A653B" w:rsidTr="00985AD3">
        <w:trPr>
          <w:trHeight w:val="300"/>
        </w:trPr>
        <w:tc>
          <w:tcPr>
            <w:tcW w:w="479" w:type="dxa"/>
            <w:tcBorders>
              <w:top w:val="nil"/>
              <w:left w:val="single" w:sz="4" w:space="0" w:color="auto"/>
              <w:bottom w:val="single" w:sz="4" w:space="0" w:color="auto"/>
              <w:right w:val="single" w:sz="4" w:space="0" w:color="auto"/>
            </w:tcBorders>
            <w:shd w:val="clear" w:color="auto" w:fill="auto"/>
            <w:noWrap/>
            <w:vAlign w:val="bottom"/>
            <w:hideMark/>
          </w:tcPr>
          <w:p w:rsidR="008627C1" w:rsidRPr="003A653B" w:rsidRDefault="008627C1" w:rsidP="00985AD3">
            <w:pPr>
              <w:jc w:val="center"/>
              <w:rPr>
                <w:rFonts w:ascii="Courier New" w:hAnsi="Courier New" w:cs="Courier New"/>
                <w:color w:val="000000"/>
                <w:sz w:val="18"/>
                <w:szCs w:val="18"/>
              </w:rPr>
            </w:pPr>
            <w:r w:rsidRPr="003A653B">
              <w:rPr>
                <w:rFonts w:ascii="Courier New" w:hAnsi="Courier New" w:cs="Courier New"/>
                <w:color w:val="000000"/>
                <w:sz w:val="18"/>
                <w:szCs w:val="18"/>
              </w:rPr>
              <w:t>2004</w:t>
            </w:r>
          </w:p>
        </w:tc>
        <w:tc>
          <w:tcPr>
            <w:tcW w:w="1884"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rPr>
                <w:rFonts w:ascii="Courier New" w:hAnsi="Courier New" w:cs="Courier New"/>
                <w:color w:val="000000"/>
                <w:sz w:val="18"/>
                <w:szCs w:val="18"/>
              </w:rPr>
            </w:pPr>
            <w:r w:rsidRPr="003A653B">
              <w:rPr>
                <w:rFonts w:ascii="Courier New" w:hAnsi="Courier New" w:cs="Courier New"/>
                <w:color w:val="000000"/>
                <w:sz w:val="18"/>
                <w:szCs w:val="18"/>
              </w:rPr>
              <w:t xml:space="preserve">  3,642,361,423 </w:t>
            </w:r>
          </w:p>
        </w:tc>
        <w:tc>
          <w:tcPr>
            <w:tcW w:w="1905"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rPr>
                <w:rFonts w:ascii="Courier New" w:hAnsi="Courier New" w:cs="Courier New"/>
                <w:color w:val="000000"/>
                <w:sz w:val="18"/>
                <w:szCs w:val="18"/>
              </w:rPr>
            </w:pPr>
            <w:r w:rsidRPr="003A653B">
              <w:rPr>
                <w:rFonts w:ascii="Courier New" w:hAnsi="Courier New" w:cs="Courier New"/>
                <w:color w:val="000000"/>
                <w:sz w:val="18"/>
                <w:szCs w:val="18"/>
              </w:rPr>
              <w:t xml:space="preserve">  4,578,096,817 </w:t>
            </w:r>
          </w:p>
        </w:tc>
        <w:tc>
          <w:tcPr>
            <w:tcW w:w="1884"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rPr>
                <w:rFonts w:ascii="Courier New" w:hAnsi="Courier New" w:cs="Courier New"/>
                <w:color w:val="000000"/>
                <w:sz w:val="18"/>
                <w:szCs w:val="18"/>
              </w:rPr>
            </w:pPr>
            <w:r w:rsidRPr="003A653B">
              <w:rPr>
                <w:rFonts w:ascii="Courier New" w:hAnsi="Courier New" w:cs="Courier New"/>
                <w:color w:val="000000"/>
                <w:sz w:val="18"/>
                <w:szCs w:val="18"/>
              </w:rPr>
              <w:t xml:space="preserve"> 34,648,742,481 </w:t>
            </w:r>
          </w:p>
        </w:tc>
        <w:tc>
          <w:tcPr>
            <w:tcW w:w="1822"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rPr>
                <w:rFonts w:ascii="Courier New" w:hAnsi="Courier New" w:cs="Courier New"/>
                <w:color w:val="000000"/>
                <w:sz w:val="18"/>
                <w:szCs w:val="18"/>
              </w:rPr>
            </w:pPr>
            <w:r w:rsidRPr="003A653B">
              <w:rPr>
                <w:rFonts w:ascii="Courier New" w:hAnsi="Courier New" w:cs="Courier New"/>
                <w:color w:val="000000"/>
                <w:sz w:val="18"/>
                <w:szCs w:val="18"/>
              </w:rPr>
              <w:t xml:space="preserve"> 39,226,839,298 </w:t>
            </w:r>
          </w:p>
        </w:tc>
        <w:tc>
          <w:tcPr>
            <w:tcW w:w="1486" w:type="dxa"/>
            <w:tcBorders>
              <w:top w:val="nil"/>
              <w:left w:val="nil"/>
              <w:bottom w:val="single" w:sz="4" w:space="0" w:color="auto"/>
              <w:right w:val="single" w:sz="4" w:space="0" w:color="auto"/>
            </w:tcBorders>
            <w:shd w:val="clear" w:color="auto" w:fill="auto"/>
            <w:noWrap/>
            <w:vAlign w:val="bottom"/>
            <w:hideMark/>
          </w:tcPr>
          <w:p w:rsidR="008627C1" w:rsidRPr="003A653B" w:rsidRDefault="008627C1" w:rsidP="00985AD3">
            <w:pPr>
              <w:jc w:val="right"/>
              <w:rPr>
                <w:rFonts w:ascii="Courier New" w:hAnsi="Courier New" w:cs="Courier New"/>
                <w:color w:val="000000"/>
                <w:sz w:val="18"/>
                <w:szCs w:val="18"/>
              </w:rPr>
            </w:pPr>
            <w:r w:rsidRPr="003A653B">
              <w:rPr>
                <w:rFonts w:ascii="Courier New" w:hAnsi="Courier New" w:cs="Courier New"/>
                <w:color w:val="000000"/>
                <w:sz w:val="18"/>
                <w:szCs w:val="18"/>
              </w:rPr>
              <w:t>9.3%</w:t>
            </w:r>
          </w:p>
        </w:tc>
      </w:tr>
    </w:tbl>
    <w:p w:rsidR="008627C1" w:rsidRDefault="008627C1" w:rsidP="008627C1">
      <w:pPr>
        <w:spacing w:line="480" w:lineRule="auto"/>
        <w:ind w:firstLine="720"/>
        <w:jc w:val="both"/>
        <w:rPr>
          <w:rFonts w:ascii="Courier New" w:hAnsi="Courier New" w:cs="Courier New"/>
          <w:sz w:val="24"/>
          <w:szCs w:val="24"/>
        </w:rPr>
      </w:pPr>
    </w:p>
    <w:p w:rsidR="008627C1" w:rsidRDefault="008627C1" w:rsidP="008627C1">
      <w:pPr>
        <w:spacing w:line="480" w:lineRule="auto"/>
        <w:jc w:val="both"/>
        <w:rPr>
          <w:rFonts w:ascii="Courier New" w:hAnsi="Courier New" w:cs="Courier New"/>
          <w:sz w:val="24"/>
          <w:szCs w:val="24"/>
        </w:rPr>
      </w:pPr>
      <w:r>
        <w:rPr>
          <w:rFonts w:ascii="Courier New" w:hAnsi="Courier New" w:cs="Courier New"/>
          <w:sz w:val="24"/>
          <w:szCs w:val="24"/>
        </w:rPr>
        <w:t xml:space="preserve">The proceeds from the redemption and maturity were not included in the computation of Genentech’s revenue on its publicly available financial statements, were not included in the computation of gross receipts reported on Genentech’s Form 1120 federal corporate income tax return used to determine taxable income, and were not included in the total receipts used to compute sales factor </w:t>
      </w:r>
      <w:r>
        <w:rPr>
          <w:rFonts w:ascii="Courier New" w:hAnsi="Courier New" w:cs="Courier New"/>
          <w:sz w:val="24"/>
          <w:szCs w:val="24"/>
        </w:rPr>
        <w:lastRenderedPageBreak/>
        <w:t>apportionment in California (which</w:t>
      </w:r>
      <w:r w:rsidR="00214819">
        <w:rPr>
          <w:rFonts w:ascii="Courier New" w:hAnsi="Courier New" w:cs="Courier New"/>
          <w:sz w:val="24"/>
          <w:szCs w:val="24"/>
        </w:rPr>
        <w:t>,</w:t>
      </w:r>
      <w:r>
        <w:rPr>
          <w:rFonts w:ascii="Courier New" w:hAnsi="Courier New" w:cs="Courier New"/>
          <w:sz w:val="24"/>
          <w:szCs w:val="24"/>
        </w:rPr>
        <w:t xml:space="preserve"> unlike Massachusetts,  includes certain receipts from the sale of securities). For the reasons detailed in the following Opinion, the Board found and ruled that to include the return of capital in the computation of the proportion of Genentech’s receipts that was derived from manufacturing generated a distorted and absurd result that did not reflect the true nature of its business activities. Accordingly, the Board found and ruled that Genentech’s manufacturing activity was substantial for the periods at issue and it was therefore required to apportion its income using a single sales factor. </w:t>
      </w:r>
    </w:p>
    <w:p w:rsidR="008627C1" w:rsidRDefault="008627C1" w:rsidP="008627C1">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Mellon Bank acted as custodian over the Mellon Accounts and kept the records of all deposits, withdrawals, sales and purchases of securities, redemptions, and receipt of interest and dividends. Genentech did not keep its own records of transactions within the Mellon Accounts and relied on Mellon’s employees to do so. In order to produce evidence of the amount of return of capital proceeds, Genentech requested that Mellon employees produce historical reports for purposes of the hearing of these appeals (“Mellon Spreadsheets”). Genentech was unable to locate the compact discs which had been contemporaneously provided to them during the periods at issue containing </w:t>
      </w:r>
      <w:r>
        <w:rPr>
          <w:rFonts w:ascii="Courier New" w:hAnsi="Courier New" w:cs="Courier New"/>
          <w:sz w:val="24"/>
          <w:szCs w:val="24"/>
        </w:rPr>
        <w:lastRenderedPageBreak/>
        <w:t xml:space="preserve">their trade records. No employee of Mellon testified at the hearing about how the records were produced. The Commissioner raised several objections to the admissibility and accuracy of the Mellon Spreadsheets. As the Board found that no portion of the return of capital was properly included in the analysis of whether Genentech’s manufacturing activity was substantial, it did not reach these objections. </w:t>
      </w:r>
    </w:p>
    <w:p w:rsidR="008627C1" w:rsidRDefault="008627C1" w:rsidP="008627C1">
      <w:pPr>
        <w:pStyle w:val="ListParagraph"/>
        <w:numPr>
          <w:ilvl w:val="0"/>
          <w:numId w:val="11"/>
        </w:numPr>
        <w:spacing w:line="276" w:lineRule="auto"/>
        <w:jc w:val="both"/>
        <w:rPr>
          <w:rFonts w:ascii="Courier New" w:hAnsi="Courier New" w:cs="Courier New"/>
          <w:b/>
          <w:sz w:val="24"/>
          <w:szCs w:val="24"/>
        </w:rPr>
      </w:pPr>
      <w:r>
        <w:rPr>
          <w:rFonts w:ascii="Courier New" w:hAnsi="Courier New" w:cs="Courier New"/>
          <w:b/>
          <w:sz w:val="24"/>
          <w:szCs w:val="24"/>
        </w:rPr>
        <w:t xml:space="preserve">Constitutionality of Denial of Massachusetts </w:t>
      </w:r>
      <w:r w:rsidRPr="00DF6B08">
        <w:rPr>
          <w:rFonts w:ascii="Courier New" w:hAnsi="Courier New" w:cs="Courier New"/>
          <w:b/>
          <w:sz w:val="24"/>
          <w:szCs w:val="24"/>
        </w:rPr>
        <w:t>Investment Tax Credits and Research and Development Credits</w:t>
      </w:r>
      <w:r>
        <w:rPr>
          <w:rFonts w:ascii="Courier New" w:hAnsi="Courier New" w:cs="Courier New"/>
          <w:b/>
          <w:sz w:val="24"/>
          <w:szCs w:val="24"/>
        </w:rPr>
        <w:t xml:space="preserve"> to Appellant</w:t>
      </w:r>
    </w:p>
    <w:p w:rsidR="008627C1" w:rsidRPr="00DF6B08" w:rsidRDefault="008627C1" w:rsidP="008627C1">
      <w:pPr>
        <w:pStyle w:val="ListParagraph"/>
        <w:spacing w:line="276" w:lineRule="auto"/>
        <w:ind w:left="1080"/>
        <w:jc w:val="both"/>
        <w:rPr>
          <w:rFonts w:ascii="Courier New" w:hAnsi="Courier New" w:cs="Courier New"/>
          <w:b/>
          <w:sz w:val="24"/>
          <w:szCs w:val="24"/>
        </w:rPr>
      </w:pPr>
    </w:p>
    <w:p w:rsidR="008627C1" w:rsidRDefault="008627C1" w:rsidP="008627C1">
      <w:pPr>
        <w:spacing w:line="480" w:lineRule="auto"/>
        <w:jc w:val="both"/>
        <w:rPr>
          <w:rFonts w:ascii="Courier New" w:hAnsi="Courier New" w:cs="Courier New"/>
          <w:sz w:val="24"/>
          <w:szCs w:val="24"/>
        </w:rPr>
      </w:pPr>
      <w:r>
        <w:rPr>
          <w:rFonts w:ascii="Courier New" w:hAnsi="Courier New" w:cs="Courier New"/>
          <w:sz w:val="24"/>
          <w:szCs w:val="24"/>
        </w:rPr>
        <w:tab/>
        <w:t xml:space="preserve">Massachusetts provides manufacturers with the ability to claim ITC of a percentage of their expenditures on qualified property placed in service in Massachusetts and corporations engaged in research and development with the ability to claim an R&amp;D Credit of a percentage of their expenditures on research activity conducted in Massachusetts. All of Genentech’s activities which would otherwise have qualified for credits took place outside of Massachusetts. California provides similar credits for investments and research and development by a manufacturer in California, which Genentech qualified for and took on its California corporate income tax return for each of the years at issue. </w:t>
      </w:r>
    </w:p>
    <w:p w:rsidR="008627C1" w:rsidRPr="00DA2DC3" w:rsidRDefault="008627C1" w:rsidP="008627C1">
      <w:pPr>
        <w:spacing w:line="480" w:lineRule="auto"/>
        <w:jc w:val="both"/>
        <w:rPr>
          <w:rFonts w:ascii="Courier New" w:hAnsi="Courier New" w:cs="Courier New"/>
          <w:sz w:val="24"/>
          <w:szCs w:val="24"/>
        </w:rPr>
      </w:pPr>
      <w:r>
        <w:rPr>
          <w:rFonts w:ascii="Courier New" w:hAnsi="Courier New" w:cs="Courier New"/>
          <w:sz w:val="24"/>
          <w:szCs w:val="24"/>
        </w:rPr>
        <w:lastRenderedPageBreak/>
        <w:tab/>
        <w:t>Genentech argued that it was entitled to Massachusetts credits on its expenditures because Massachusetts only offered the credits to taxpayers conducting in-state activity</w:t>
      </w:r>
      <w:r w:rsidRPr="00540B79">
        <w:rPr>
          <w:rFonts w:ascii="Courier New" w:hAnsi="Courier New" w:cs="Courier New"/>
          <w:sz w:val="24"/>
          <w:szCs w:val="24"/>
        </w:rPr>
        <w:t xml:space="preserve"> </w:t>
      </w:r>
      <w:r>
        <w:rPr>
          <w:rFonts w:ascii="Courier New" w:hAnsi="Courier New" w:cs="Courier New"/>
          <w:sz w:val="24"/>
          <w:szCs w:val="24"/>
        </w:rPr>
        <w:t xml:space="preserve">in violation of the Commerce Clause of the U.S. Constitution. As explained in the following Opinion, the Board ruled that the Massachusetts ITC and R&amp;D Credit statutes are constitutional as applied to Genentech, and that Genentech was not entitled to claim any credits for the periods at issue. </w:t>
      </w:r>
    </w:p>
    <w:p w:rsidR="008627C1" w:rsidRPr="005653F7" w:rsidRDefault="008627C1" w:rsidP="008627C1">
      <w:pPr>
        <w:pStyle w:val="ListParagraph"/>
        <w:numPr>
          <w:ilvl w:val="0"/>
          <w:numId w:val="11"/>
        </w:numPr>
        <w:spacing w:line="480" w:lineRule="auto"/>
        <w:jc w:val="both"/>
        <w:rPr>
          <w:rFonts w:ascii="Courier New" w:hAnsi="Courier New" w:cs="Courier New"/>
          <w:b/>
          <w:sz w:val="24"/>
          <w:szCs w:val="24"/>
        </w:rPr>
      </w:pPr>
      <w:r w:rsidRPr="005653F7">
        <w:rPr>
          <w:rFonts w:ascii="Courier New" w:hAnsi="Courier New" w:cs="Courier New"/>
          <w:b/>
          <w:sz w:val="24"/>
          <w:szCs w:val="24"/>
        </w:rPr>
        <w:t>Summary of Findings</w:t>
      </w:r>
    </w:p>
    <w:p w:rsidR="008627C1" w:rsidRDefault="008627C1" w:rsidP="008627C1">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As discussed in the following Opinion, the Board found and ruled that: (1) the appellant’s ownership of property in Massachusetts was sufficient to create nexus for all periods at issue; (2) the appellant was properly treated as a corporation which was engaged in manufacturing activity; (3) the revenue generated from that activity was substantial when measured against its gross receipts, not including the return of capital; and (4) the appellant was not entitled to claim any Massachusetts tax credits related to its activities outside of the state. </w:t>
      </w:r>
      <w:r w:rsidRPr="00DA2DC3">
        <w:rPr>
          <w:rFonts w:ascii="Courier New" w:hAnsi="Courier New" w:cs="Courier New"/>
          <w:sz w:val="24"/>
          <w:szCs w:val="24"/>
        </w:rPr>
        <w:t>Accordingly, the Board issued a decision for the appell</w:t>
      </w:r>
      <w:r>
        <w:rPr>
          <w:rFonts w:ascii="Courier New" w:hAnsi="Courier New" w:cs="Courier New"/>
          <w:sz w:val="24"/>
          <w:szCs w:val="24"/>
        </w:rPr>
        <w:t xml:space="preserve">ee in these appeals. </w:t>
      </w:r>
    </w:p>
    <w:p w:rsidR="008627C1" w:rsidRDefault="008627C1" w:rsidP="008627C1">
      <w:pPr>
        <w:spacing w:line="480" w:lineRule="auto"/>
        <w:jc w:val="center"/>
        <w:rPr>
          <w:rFonts w:ascii="Courier New" w:hAnsi="Courier New" w:cs="Courier New"/>
          <w:sz w:val="24"/>
          <w:szCs w:val="24"/>
        </w:rPr>
      </w:pPr>
    </w:p>
    <w:p w:rsidR="001B7825" w:rsidRDefault="001B7825" w:rsidP="008627C1">
      <w:pPr>
        <w:spacing w:line="480" w:lineRule="auto"/>
        <w:jc w:val="center"/>
        <w:rPr>
          <w:rFonts w:ascii="Courier New" w:hAnsi="Courier New" w:cs="Courier New"/>
          <w:b/>
          <w:sz w:val="24"/>
          <w:szCs w:val="24"/>
        </w:rPr>
      </w:pPr>
    </w:p>
    <w:p w:rsidR="001B7825" w:rsidRDefault="001B7825" w:rsidP="008627C1">
      <w:pPr>
        <w:spacing w:line="480" w:lineRule="auto"/>
        <w:jc w:val="center"/>
        <w:rPr>
          <w:rFonts w:ascii="Courier New" w:hAnsi="Courier New" w:cs="Courier New"/>
          <w:b/>
          <w:sz w:val="24"/>
          <w:szCs w:val="24"/>
        </w:rPr>
      </w:pPr>
    </w:p>
    <w:p w:rsidR="008627C1" w:rsidRDefault="008627C1" w:rsidP="008627C1">
      <w:pPr>
        <w:spacing w:line="480" w:lineRule="auto"/>
        <w:jc w:val="center"/>
        <w:rPr>
          <w:rFonts w:ascii="Courier New" w:hAnsi="Courier New" w:cs="Courier New"/>
          <w:b/>
          <w:sz w:val="24"/>
          <w:szCs w:val="24"/>
        </w:rPr>
      </w:pPr>
      <w:r>
        <w:rPr>
          <w:rFonts w:ascii="Courier New" w:hAnsi="Courier New" w:cs="Courier New"/>
          <w:b/>
          <w:sz w:val="24"/>
          <w:szCs w:val="24"/>
        </w:rPr>
        <w:lastRenderedPageBreak/>
        <w:t>OPINION</w:t>
      </w:r>
    </w:p>
    <w:p w:rsidR="008627C1" w:rsidRDefault="008627C1" w:rsidP="008627C1">
      <w:pPr>
        <w:spacing w:line="480" w:lineRule="auto"/>
        <w:ind w:firstLine="720"/>
        <w:jc w:val="both"/>
        <w:rPr>
          <w:rFonts w:ascii="Courier New" w:hAnsi="Courier New" w:cs="Courier New"/>
          <w:sz w:val="24"/>
          <w:szCs w:val="24"/>
        </w:rPr>
      </w:pPr>
      <w:r w:rsidRPr="00253F5A">
        <w:rPr>
          <w:rFonts w:ascii="Courier New" w:hAnsi="Courier New" w:cs="Courier New"/>
          <w:sz w:val="24"/>
          <w:szCs w:val="24"/>
        </w:rPr>
        <w:t xml:space="preserve">Pursuant to 831 CMR 1.22, "issues sufficient in themselves to determine the decision of the Board or to narrow the scope of the hearing may be separately heard and disposed of in the discretion of the Board." </w:t>
      </w:r>
      <w:r>
        <w:rPr>
          <w:rFonts w:ascii="Courier New" w:hAnsi="Courier New" w:cs="Courier New"/>
          <w:sz w:val="24"/>
          <w:szCs w:val="24"/>
        </w:rPr>
        <w:t>Thus, the</w:t>
      </w:r>
      <w:r w:rsidRPr="00253F5A">
        <w:rPr>
          <w:rFonts w:ascii="Courier New" w:hAnsi="Courier New" w:cs="Courier New"/>
          <w:sz w:val="24"/>
          <w:szCs w:val="24"/>
        </w:rPr>
        <w:t xml:space="preserve"> Board may hear and decide cases where there is no genuine issue of material fact and a party is entitled to judgment as a matter of law. </w:t>
      </w:r>
      <w:r w:rsidRPr="009823C1">
        <w:rPr>
          <w:rFonts w:ascii="Courier New" w:hAnsi="Courier New" w:cs="Courier New"/>
          <w:b/>
          <w:i/>
          <w:sz w:val="24"/>
          <w:szCs w:val="24"/>
        </w:rPr>
        <w:t xml:space="preserve">Sears, Roebuck &amp; Co. </w:t>
      </w:r>
      <w:r>
        <w:rPr>
          <w:rFonts w:ascii="Courier New" w:hAnsi="Courier New" w:cs="Courier New"/>
          <w:b/>
          <w:i/>
          <w:sz w:val="24"/>
          <w:szCs w:val="24"/>
        </w:rPr>
        <w:t>v. Commissioner of Revenue</w:t>
      </w:r>
      <w:r>
        <w:rPr>
          <w:rFonts w:ascii="Courier New" w:hAnsi="Courier New" w:cs="Courier New"/>
          <w:sz w:val="24"/>
          <w:szCs w:val="24"/>
        </w:rPr>
        <w:t xml:space="preserve">, Mass. ATB Findings of Fact and Report 2012-1, 5; </w:t>
      </w:r>
      <w:r w:rsidRPr="00253F5A">
        <w:rPr>
          <w:rFonts w:ascii="Courier New" w:hAnsi="Courier New" w:cs="Courier New"/>
          <w:b/>
          <w:bCs/>
          <w:i/>
          <w:iCs/>
          <w:sz w:val="24"/>
          <w:szCs w:val="24"/>
        </w:rPr>
        <w:t xml:space="preserve">Rossi </w:t>
      </w:r>
      <w:r>
        <w:rPr>
          <w:rFonts w:ascii="Courier New" w:hAnsi="Courier New" w:cs="Courier New"/>
          <w:b/>
          <w:bCs/>
          <w:i/>
          <w:iCs/>
          <w:sz w:val="24"/>
          <w:szCs w:val="24"/>
        </w:rPr>
        <w:t>v. Commissioner of Revenue</w:t>
      </w:r>
      <w:r w:rsidRPr="00253F5A">
        <w:rPr>
          <w:rFonts w:ascii="Courier New" w:hAnsi="Courier New" w:cs="Courier New"/>
          <w:b/>
          <w:bCs/>
          <w:i/>
          <w:iCs/>
          <w:sz w:val="24"/>
          <w:szCs w:val="24"/>
        </w:rPr>
        <w:t xml:space="preserve"> </w:t>
      </w:r>
      <w:r>
        <w:rPr>
          <w:rFonts w:ascii="Courier New" w:hAnsi="Courier New" w:cs="Courier New"/>
          <w:bCs/>
          <w:iCs/>
          <w:sz w:val="24"/>
          <w:szCs w:val="24"/>
        </w:rPr>
        <w:t>Mass. ATB Findings of Fact and Reports 2003-</w:t>
      </w:r>
      <w:r w:rsidRPr="00253F5A">
        <w:rPr>
          <w:rFonts w:ascii="Courier New" w:hAnsi="Courier New" w:cs="Courier New"/>
          <w:sz w:val="24"/>
          <w:szCs w:val="24"/>
        </w:rPr>
        <w:t>473, 475-76.</w:t>
      </w:r>
      <w:r>
        <w:rPr>
          <w:rFonts w:ascii="Courier New" w:hAnsi="Courier New" w:cs="Courier New"/>
          <w:sz w:val="24"/>
          <w:szCs w:val="24"/>
        </w:rPr>
        <w:t xml:space="preserve"> Genentech and the Commissioner both filed </w:t>
      </w:r>
      <w:r w:rsidRPr="00253F5A">
        <w:rPr>
          <w:rFonts w:ascii="Courier New" w:hAnsi="Courier New" w:cs="Courier New"/>
          <w:sz w:val="24"/>
          <w:szCs w:val="24"/>
        </w:rPr>
        <w:t>Motions</w:t>
      </w:r>
      <w:r>
        <w:rPr>
          <w:rFonts w:ascii="Courier New" w:hAnsi="Courier New" w:cs="Courier New"/>
          <w:sz w:val="24"/>
          <w:szCs w:val="24"/>
        </w:rPr>
        <w:t xml:space="preserve"> </w:t>
      </w:r>
      <w:r w:rsidRPr="00253F5A">
        <w:rPr>
          <w:rFonts w:ascii="Courier New" w:hAnsi="Courier New" w:cs="Courier New"/>
          <w:sz w:val="24"/>
          <w:szCs w:val="24"/>
        </w:rPr>
        <w:t>for </w:t>
      </w:r>
      <w:r w:rsidRPr="00253F5A">
        <w:rPr>
          <w:rFonts w:ascii="Courier New" w:hAnsi="Courier New" w:cs="Courier New"/>
          <w:bCs/>
          <w:sz w:val="24"/>
          <w:szCs w:val="24"/>
        </w:rPr>
        <w:t>Summary Judgment</w:t>
      </w:r>
      <w:r w:rsidRPr="00253F5A">
        <w:rPr>
          <w:rFonts w:ascii="Courier New" w:hAnsi="Courier New" w:cs="Courier New"/>
          <w:sz w:val="24"/>
          <w:szCs w:val="24"/>
        </w:rPr>
        <w:t xml:space="preserve"> arguing that there were no genuine </w:t>
      </w:r>
      <w:r>
        <w:rPr>
          <w:rFonts w:ascii="Courier New" w:hAnsi="Courier New" w:cs="Courier New"/>
          <w:sz w:val="24"/>
          <w:szCs w:val="24"/>
        </w:rPr>
        <w:t>questions</w:t>
      </w:r>
      <w:r w:rsidRPr="00253F5A">
        <w:rPr>
          <w:rFonts w:ascii="Courier New" w:hAnsi="Courier New" w:cs="Courier New"/>
          <w:sz w:val="24"/>
          <w:szCs w:val="24"/>
        </w:rPr>
        <w:t xml:space="preserve"> of material fact and that </w:t>
      </w:r>
      <w:r>
        <w:rPr>
          <w:rFonts w:ascii="Courier New" w:hAnsi="Courier New" w:cs="Courier New"/>
          <w:sz w:val="24"/>
          <w:szCs w:val="24"/>
        </w:rPr>
        <w:t>each</w:t>
      </w:r>
      <w:r w:rsidRPr="00253F5A">
        <w:rPr>
          <w:rFonts w:ascii="Courier New" w:hAnsi="Courier New" w:cs="Courier New"/>
          <w:sz w:val="24"/>
          <w:szCs w:val="24"/>
        </w:rPr>
        <w:t xml:space="preserve"> was entitled to judgment in </w:t>
      </w:r>
      <w:r>
        <w:rPr>
          <w:rFonts w:ascii="Courier New" w:hAnsi="Courier New" w:cs="Courier New"/>
          <w:sz w:val="24"/>
          <w:szCs w:val="24"/>
        </w:rPr>
        <w:t xml:space="preserve">its </w:t>
      </w:r>
      <w:r w:rsidRPr="00253F5A">
        <w:rPr>
          <w:rFonts w:ascii="Courier New" w:hAnsi="Courier New" w:cs="Courier New"/>
          <w:sz w:val="24"/>
          <w:szCs w:val="24"/>
        </w:rPr>
        <w:t>favor</w:t>
      </w:r>
      <w:r>
        <w:rPr>
          <w:rFonts w:ascii="Courier New" w:hAnsi="Courier New" w:cs="Courier New"/>
          <w:sz w:val="24"/>
          <w:szCs w:val="24"/>
        </w:rPr>
        <w:t xml:space="preserve"> as to whether the appellant had nexus in Massachusetts for the tax periods at issue and whether it was engaged in manufacturing activity</w:t>
      </w:r>
      <w:r w:rsidRPr="00253F5A">
        <w:rPr>
          <w:rFonts w:ascii="Courier New" w:hAnsi="Courier New" w:cs="Courier New"/>
          <w:sz w:val="24"/>
          <w:szCs w:val="24"/>
        </w:rPr>
        <w:t>.</w:t>
      </w:r>
      <w:r>
        <w:rPr>
          <w:rFonts w:ascii="Courier New" w:hAnsi="Courier New" w:cs="Courier New"/>
          <w:sz w:val="24"/>
          <w:szCs w:val="24"/>
        </w:rPr>
        <w:t xml:space="preserve"> The Board found that the factual record supporting the parties’ motions was sufficient to reach a ruling on the issues of nexus, whether the appellant was engaged in manufacturing activity, and whether the denial of Massachusetts tax credits was unconstitutional, as applied to the appellant. Therefore, the Board found it appropriate to decide these three issues on summary judgment. </w:t>
      </w:r>
    </w:p>
    <w:p w:rsidR="008627C1" w:rsidRDefault="008627C1" w:rsidP="008627C1">
      <w:pPr>
        <w:pStyle w:val="ListParagraph"/>
        <w:numPr>
          <w:ilvl w:val="0"/>
          <w:numId w:val="16"/>
        </w:numPr>
        <w:jc w:val="both"/>
        <w:rPr>
          <w:rFonts w:ascii="Courier New" w:hAnsi="Courier New" w:cs="Courier New"/>
          <w:b/>
          <w:sz w:val="24"/>
          <w:szCs w:val="24"/>
        </w:rPr>
      </w:pPr>
      <w:r w:rsidRPr="005653F7">
        <w:rPr>
          <w:rFonts w:ascii="Courier New" w:hAnsi="Courier New" w:cs="Courier New"/>
          <w:b/>
          <w:sz w:val="24"/>
          <w:szCs w:val="24"/>
        </w:rPr>
        <w:lastRenderedPageBreak/>
        <w:t xml:space="preserve">Genentech’s Activities in Massachusetts </w:t>
      </w:r>
      <w:r>
        <w:rPr>
          <w:rFonts w:ascii="Courier New" w:hAnsi="Courier New" w:cs="Courier New"/>
          <w:b/>
          <w:sz w:val="24"/>
          <w:szCs w:val="24"/>
        </w:rPr>
        <w:t>W</w:t>
      </w:r>
      <w:r w:rsidRPr="005653F7">
        <w:rPr>
          <w:rFonts w:ascii="Courier New" w:hAnsi="Courier New" w:cs="Courier New"/>
          <w:b/>
          <w:sz w:val="24"/>
          <w:szCs w:val="24"/>
        </w:rPr>
        <w:t>ere Sufficient to Create Nexus</w:t>
      </w:r>
    </w:p>
    <w:p w:rsidR="008627C1" w:rsidRPr="005653F7" w:rsidRDefault="008627C1" w:rsidP="008627C1">
      <w:pPr>
        <w:pStyle w:val="ListParagraph"/>
        <w:ind w:left="1080"/>
        <w:jc w:val="both"/>
        <w:rPr>
          <w:rFonts w:ascii="Courier New" w:hAnsi="Courier New" w:cs="Courier New"/>
          <w:b/>
          <w:sz w:val="24"/>
          <w:szCs w:val="24"/>
        </w:rPr>
      </w:pPr>
    </w:p>
    <w:p w:rsidR="008627C1" w:rsidRDefault="008627C1" w:rsidP="008627C1">
      <w:pPr>
        <w:spacing w:line="480" w:lineRule="auto"/>
        <w:ind w:firstLine="720"/>
        <w:jc w:val="both"/>
        <w:rPr>
          <w:rFonts w:ascii="Courier New" w:hAnsi="Courier New" w:cs="Courier New"/>
          <w:sz w:val="24"/>
          <w:szCs w:val="24"/>
        </w:rPr>
      </w:pPr>
      <w:r>
        <w:rPr>
          <w:rFonts w:ascii="Courier New" w:hAnsi="Courier New" w:cs="Courier New"/>
          <w:sz w:val="24"/>
          <w:szCs w:val="24"/>
        </w:rPr>
        <w:t>Massachusetts</w:t>
      </w:r>
      <w:r w:rsidRPr="001A743D">
        <w:rPr>
          <w:rFonts w:ascii="Courier New" w:hAnsi="Courier New" w:cs="Courier New"/>
          <w:sz w:val="24"/>
          <w:szCs w:val="24"/>
        </w:rPr>
        <w:t xml:space="preserve"> </w:t>
      </w:r>
      <w:r>
        <w:rPr>
          <w:rFonts w:ascii="Courier New" w:hAnsi="Courier New" w:cs="Courier New"/>
          <w:sz w:val="24"/>
          <w:szCs w:val="24"/>
        </w:rPr>
        <w:t xml:space="preserve">levies a corporate excise on any corporation which exercises its charter, does business, or owns or uses any part of its capital, plant or other property in the Commonwealth. G.L. c. 63, § 39. The Commissioner, pursuant to the authority granted by the Legislature in G.L. c. 62C, § 3, promulgated a regulation, 830 CMR 63.39.1, describing the circumstances under which a foreign corporation will be subject to tax as required by G.L. c. 63, § 39. </w:t>
      </w:r>
      <w:r w:rsidRPr="003F0361">
        <w:rPr>
          <w:rFonts w:ascii="Courier New" w:hAnsi="Courier New" w:cs="Courier New"/>
          <w:i/>
          <w:sz w:val="24"/>
          <w:szCs w:val="24"/>
        </w:rPr>
        <w:t>See</w:t>
      </w:r>
      <w:r>
        <w:rPr>
          <w:rFonts w:ascii="Courier New" w:hAnsi="Courier New" w:cs="Courier New"/>
          <w:sz w:val="24"/>
          <w:szCs w:val="24"/>
        </w:rPr>
        <w:t xml:space="preserve"> </w:t>
      </w:r>
      <w:r>
        <w:rPr>
          <w:rFonts w:ascii="Courier New" w:hAnsi="Courier New" w:cs="Courier New"/>
          <w:b/>
          <w:i/>
          <w:sz w:val="24"/>
          <w:szCs w:val="24"/>
        </w:rPr>
        <w:t>Geoffrey, Inc. v. Commissioner of Revenue</w:t>
      </w:r>
      <w:r>
        <w:rPr>
          <w:rFonts w:ascii="Courier New" w:hAnsi="Courier New" w:cs="Courier New"/>
          <w:sz w:val="24"/>
          <w:szCs w:val="24"/>
        </w:rPr>
        <w:t xml:space="preserve">, 453 Mass. 17, 22 (2009). Pursuant to 830 CMR 63.39.1(4)(d)(1), a corporation is deemed to own or use property in Massachusetts if it “owns property that is held by another in Massachusetts under a lease, consignment, or other arrangement...” </w:t>
      </w:r>
    </w:p>
    <w:p w:rsidR="008627C1" w:rsidRPr="00C057D4" w:rsidRDefault="008627C1" w:rsidP="008627C1">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Beginning in 1999 through the end of the periods at issue, Genentech held title to bulk Nutropin in Massachusetts while it was transformed by the integration of Alkermes’ slow-release technology and packaged into doses ready for labeling. During the periods at issue, the value of inventory to which Genentech held title in Massachusetts averaged in the millions of dollars. The Alkermes Manufacture and Supply Agreement was an ongoing </w:t>
      </w:r>
      <w:r>
        <w:rPr>
          <w:rFonts w:ascii="Courier New" w:hAnsi="Courier New" w:cs="Courier New"/>
          <w:sz w:val="24"/>
          <w:szCs w:val="24"/>
        </w:rPr>
        <w:lastRenderedPageBreak/>
        <w:t xml:space="preserve">collaboration between the parties whereby Genentech regularly shipped out large quantities of bulk Nutropin to Massachusetts, on the order of once or twice a month, resulting in a constant store of inventory in progress. In </w:t>
      </w:r>
      <w:r>
        <w:rPr>
          <w:rFonts w:ascii="Courier New" w:hAnsi="Courier New" w:cs="Courier New"/>
          <w:b/>
          <w:i/>
          <w:sz w:val="24"/>
          <w:szCs w:val="24"/>
        </w:rPr>
        <w:t>Universal Instruments Corp. v. Commissioner of Revenue</w:t>
      </w:r>
      <w:r>
        <w:rPr>
          <w:rFonts w:ascii="Courier New" w:hAnsi="Courier New" w:cs="Courier New"/>
          <w:sz w:val="24"/>
          <w:szCs w:val="24"/>
        </w:rPr>
        <w:t xml:space="preserve">, Mass. </w:t>
      </w:r>
      <w:r w:rsidRPr="00332A73">
        <w:rPr>
          <w:rFonts w:ascii="Courier New" w:hAnsi="Courier New" w:cs="Courier New"/>
          <w:sz w:val="24"/>
          <w:szCs w:val="24"/>
        </w:rPr>
        <w:t xml:space="preserve">ATB Findings and </w:t>
      </w:r>
      <w:r>
        <w:rPr>
          <w:rFonts w:ascii="Courier New" w:hAnsi="Courier New" w:cs="Courier New"/>
          <w:sz w:val="24"/>
          <w:szCs w:val="24"/>
        </w:rPr>
        <w:t>Reports</w:t>
      </w:r>
      <w:r w:rsidRPr="00332A73">
        <w:rPr>
          <w:rFonts w:ascii="Courier New" w:hAnsi="Courier New" w:cs="Courier New"/>
          <w:sz w:val="24"/>
          <w:szCs w:val="24"/>
        </w:rPr>
        <w:t xml:space="preserve"> </w:t>
      </w:r>
      <w:r>
        <w:rPr>
          <w:rFonts w:ascii="Courier New" w:hAnsi="Courier New" w:cs="Courier New"/>
          <w:sz w:val="24"/>
          <w:szCs w:val="24"/>
        </w:rPr>
        <w:t xml:space="preserve">1998-407, 410-411, the taxpayer had placed inventory on consignment at customer locations in the Commonwealth either to allow a customer to test equipment before purchase or as an interim solution while the taxpayer was designing a specific piece of equipment for a particular customer. The Board found that the consignment of inventory, which amounted to $65,727 in 1983 and $86,360 in 1984, constituted the ownership or use of property in Massachusetts sufficient to create nexus.  </w:t>
      </w:r>
      <w:r>
        <w:rPr>
          <w:rFonts w:ascii="Courier New" w:hAnsi="Courier New" w:cs="Courier New"/>
          <w:b/>
          <w:i/>
          <w:sz w:val="24"/>
          <w:szCs w:val="24"/>
        </w:rPr>
        <w:t xml:space="preserve">Id. </w:t>
      </w:r>
      <w:r>
        <w:rPr>
          <w:rFonts w:ascii="Courier New" w:hAnsi="Courier New" w:cs="Courier New"/>
          <w:sz w:val="24"/>
          <w:szCs w:val="24"/>
        </w:rPr>
        <w:t xml:space="preserve">This was the case even though the customer had possession and control of the inventory while placed at their location. </w:t>
      </w:r>
      <w:r>
        <w:rPr>
          <w:rFonts w:ascii="Courier New" w:hAnsi="Courier New" w:cs="Courier New"/>
          <w:b/>
          <w:i/>
          <w:sz w:val="24"/>
          <w:szCs w:val="24"/>
        </w:rPr>
        <w:t xml:space="preserve">Id. </w:t>
      </w:r>
    </w:p>
    <w:p w:rsidR="008627C1" w:rsidRDefault="008627C1" w:rsidP="008627C1">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The only statutory exemptions to the imposition of tax in the case of a corporation which owns property located in the Commonwealth are if (1) the tax would be precluded by the U.S. Constitution; (2) the tax would be precluded by Public Law 86-272; or (3) the property is stored in a licensed public storage warehouse that is not owned or leased by a consignor or consignee of the property being </w:t>
      </w:r>
      <w:r>
        <w:rPr>
          <w:rFonts w:ascii="Courier New" w:hAnsi="Courier New" w:cs="Courier New"/>
          <w:sz w:val="24"/>
          <w:szCs w:val="24"/>
        </w:rPr>
        <w:lastRenderedPageBreak/>
        <w:t>stored. G.L. c. 63, § 39.</w:t>
      </w:r>
      <w:r w:rsidRPr="00A0731A">
        <w:rPr>
          <w:rFonts w:ascii="Courier New" w:hAnsi="Courier New" w:cs="Courier New"/>
          <w:sz w:val="24"/>
          <w:szCs w:val="24"/>
        </w:rPr>
        <w:t xml:space="preserve"> </w:t>
      </w:r>
      <w:r w:rsidRPr="001A743D">
        <w:rPr>
          <w:rFonts w:ascii="Courier New" w:hAnsi="Courier New" w:cs="Courier New"/>
          <w:sz w:val="24"/>
          <w:szCs w:val="24"/>
        </w:rPr>
        <w:t>Public Law 86-272</w:t>
      </w:r>
      <w:r>
        <w:rPr>
          <w:rFonts w:ascii="Courier New" w:hAnsi="Courier New" w:cs="Courier New"/>
          <w:sz w:val="24"/>
          <w:szCs w:val="24"/>
        </w:rPr>
        <w:t xml:space="preserve"> is a federal statute that prevents a state from imposing tax on a taxpayer whose only activities in the state are </w:t>
      </w:r>
      <w:r w:rsidRPr="009E3EB0">
        <w:rPr>
          <w:rFonts w:ascii="Courier New" w:hAnsi="Courier New" w:cs="Courier New"/>
          <w:sz w:val="24"/>
          <w:szCs w:val="24"/>
        </w:rPr>
        <w:t xml:space="preserve">the </w:t>
      </w:r>
      <w:r>
        <w:rPr>
          <w:rFonts w:ascii="Courier New" w:hAnsi="Courier New" w:cs="Courier New"/>
          <w:sz w:val="24"/>
          <w:szCs w:val="24"/>
        </w:rPr>
        <w:t>“solicitation of orders...</w:t>
      </w:r>
      <w:r w:rsidRPr="009E3EB0">
        <w:rPr>
          <w:rFonts w:ascii="Courier New" w:hAnsi="Courier New" w:cs="Courier New"/>
          <w:sz w:val="24"/>
          <w:szCs w:val="24"/>
        </w:rPr>
        <w:t xml:space="preserve"> in </w:t>
      </w:r>
      <w:r>
        <w:rPr>
          <w:rFonts w:ascii="Courier New" w:hAnsi="Courier New" w:cs="Courier New"/>
          <w:sz w:val="24"/>
          <w:szCs w:val="24"/>
        </w:rPr>
        <w:t xml:space="preserve">[the] </w:t>
      </w:r>
      <w:r w:rsidRPr="009E3EB0">
        <w:rPr>
          <w:rFonts w:ascii="Courier New" w:hAnsi="Courier New" w:cs="Courier New"/>
          <w:sz w:val="24"/>
          <w:szCs w:val="24"/>
        </w:rPr>
        <w:t>State for sales of tangible personal property, which orders are sent outside the State for approval or rejection, and, if approved, are filled by shipment or delivery from a point outside the State</w:t>
      </w:r>
      <w:r>
        <w:rPr>
          <w:rFonts w:ascii="Courier New" w:hAnsi="Courier New" w:cs="Courier New"/>
          <w:sz w:val="24"/>
          <w:szCs w:val="24"/>
        </w:rPr>
        <w:t xml:space="preserve">.” 15 U.S.C. § 381(a). </w:t>
      </w:r>
    </w:p>
    <w:p w:rsidR="008627C1" w:rsidRDefault="008627C1" w:rsidP="008627C1">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Genentech has not argued that the property placed at Alkermes’ facility was related to the solicitation of sales or was housed in a public warehouse. The Supreme Judicial Court (“SJC”) has found the physical presence of property owned by the taxpayer in the state to be a constitutional basis for imposing corporate excise, even if it is used there only by a third party. </w:t>
      </w:r>
      <w:r w:rsidRPr="003F0361">
        <w:rPr>
          <w:rFonts w:ascii="Courier New" w:hAnsi="Courier New" w:cs="Courier New"/>
          <w:i/>
          <w:sz w:val="24"/>
          <w:szCs w:val="24"/>
        </w:rPr>
        <w:t>See</w:t>
      </w:r>
      <w:r w:rsidRPr="003F0361">
        <w:rPr>
          <w:rFonts w:ascii="Courier New" w:hAnsi="Courier New" w:cs="Courier New"/>
          <w:b/>
          <w:i/>
          <w:sz w:val="24"/>
          <w:szCs w:val="24"/>
        </w:rPr>
        <w:t xml:space="preserve"> </w:t>
      </w:r>
      <w:r>
        <w:rPr>
          <w:rFonts w:ascii="Courier New" w:hAnsi="Courier New" w:cs="Courier New"/>
          <w:b/>
          <w:i/>
          <w:sz w:val="24"/>
          <w:szCs w:val="24"/>
        </w:rPr>
        <w:t>Truck Renting and Leasing Assoc., Inc. v. Commissioner of Revenue</w:t>
      </w:r>
      <w:r>
        <w:rPr>
          <w:rFonts w:ascii="Courier New" w:hAnsi="Courier New" w:cs="Courier New"/>
          <w:sz w:val="24"/>
          <w:szCs w:val="24"/>
        </w:rPr>
        <w:t xml:space="preserve">, 433 Mass. 733, 741 (2001); </w:t>
      </w:r>
      <w:r>
        <w:rPr>
          <w:rFonts w:ascii="Courier New" w:hAnsi="Courier New" w:cs="Courier New"/>
          <w:b/>
          <w:i/>
          <w:sz w:val="24"/>
          <w:szCs w:val="24"/>
        </w:rPr>
        <w:t>Aloha Freightways, Inc. v. Commissioner of Revenue</w:t>
      </w:r>
      <w:r>
        <w:rPr>
          <w:rFonts w:ascii="Courier New" w:hAnsi="Courier New" w:cs="Courier New"/>
          <w:sz w:val="24"/>
          <w:szCs w:val="24"/>
        </w:rPr>
        <w:t xml:space="preserve">, 428 Mass. 418, 423 (1998). The taxpayer in </w:t>
      </w:r>
      <w:r>
        <w:rPr>
          <w:rFonts w:ascii="Courier New" w:hAnsi="Courier New" w:cs="Courier New"/>
          <w:b/>
          <w:i/>
          <w:sz w:val="24"/>
          <w:szCs w:val="24"/>
        </w:rPr>
        <w:t xml:space="preserve">Truck Renting and Leasing Associates, Inc. </w:t>
      </w:r>
      <w:r>
        <w:rPr>
          <w:rFonts w:ascii="Courier New" w:hAnsi="Courier New" w:cs="Courier New"/>
          <w:sz w:val="24"/>
          <w:szCs w:val="24"/>
        </w:rPr>
        <w:t xml:space="preserve">did not have any presence in Massachusetts apart from the fact that it knowingly leased vehicles to which it retained title and which the taxpayer knew would be partially used by the lessees in Massachusetts to transport goods. 433 Mass. at 734–735. The Court found that the significant use of the taxpayer’s </w:t>
      </w:r>
      <w:r>
        <w:rPr>
          <w:rFonts w:ascii="Courier New" w:hAnsi="Courier New" w:cs="Courier New"/>
          <w:sz w:val="24"/>
          <w:szCs w:val="24"/>
        </w:rPr>
        <w:lastRenderedPageBreak/>
        <w:t>property in Massachusetts by its lessees was sufficient to satisfy due process and establish a substantial nexus with the Commonwealth for purposes of the Due Process and Commerce Clauses.</w:t>
      </w:r>
      <w:r>
        <w:rPr>
          <w:rFonts w:ascii="Courier New" w:hAnsi="Courier New" w:cs="Courier New"/>
          <w:b/>
          <w:i/>
          <w:sz w:val="24"/>
          <w:szCs w:val="24"/>
        </w:rPr>
        <w:t xml:space="preserve"> </w:t>
      </w:r>
      <w:r w:rsidRPr="001D1699">
        <w:rPr>
          <w:rFonts w:ascii="Courier New" w:hAnsi="Courier New" w:cs="Courier New"/>
          <w:b/>
          <w:i/>
          <w:sz w:val="24"/>
          <w:szCs w:val="24"/>
        </w:rPr>
        <w:t>Id.</w:t>
      </w:r>
      <w:r>
        <w:rPr>
          <w:rFonts w:ascii="Courier New" w:hAnsi="Courier New" w:cs="Courier New"/>
          <w:b/>
          <w:i/>
          <w:sz w:val="24"/>
          <w:szCs w:val="24"/>
        </w:rPr>
        <w:t xml:space="preserve"> </w:t>
      </w:r>
      <w:r>
        <w:rPr>
          <w:rFonts w:ascii="Courier New" w:hAnsi="Courier New" w:cs="Courier New"/>
          <w:sz w:val="24"/>
          <w:szCs w:val="24"/>
        </w:rPr>
        <w:t xml:space="preserve">at 741. </w:t>
      </w:r>
    </w:p>
    <w:p w:rsidR="008627C1" w:rsidRPr="00FD7A3E" w:rsidRDefault="008627C1" w:rsidP="008627C1">
      <w:pPr>
        <w:spacing w:line="480" w:lineRule="auto"/>
        <w:ind w:firstLine="720"/>
        <w:jc w:val="both"/>
        <w:rPr>
          <w:rFonts w:ascii="Courier New" w:hAnsi="Courier New" w:cs="Courier New"/>
          <w:sz w:val="24"/>
          <w:szCs w:val="24"/>
        </w:rPr>
      </w:pPr>
      <w:r w:rsidRPr="003C74CD">
        <w:rPr>
          <w:rFonts w:ascii="Courier New" w:hAnsi="Courier New" w:cs="Courier New"/>
          <w:sz w:val="24"/>
          <w:szCs w:val="24"/>
        </w:rPr>
        <w:t xml:space="preserve">Genentech argues that the holding in </w:t>
      </w:r>
      <w:r w:rsidRPr="00723A86">
        <w:rPr>
          <w:rFonts w:ascii="Courier New" w:hAnsi="Courier New" w:cs="Courier New"/>
          <w:b/>
          <w:i/>
          <w:sz w:val="24"/>
          <w:szCs w:val="24"/>
        </w:rPr>
        <w:t>Truck Renting and Leasing Assoc., Inc.</w:t>
      </w:r>
      <w:r w:rsidRPr="003C74CD">
        <w:rPr>
          <w:rFonts w:ascii="Courier New" w:hAnsi="Courier New" w:cs="Courier New"/>
          <w:sz w:val="24"/>
          <w:szCs w:val="24"/>
        </w:rPr>
        <w:t xml:space="preserve"> does not apply because unlike the taxpayer in that case, the appellant does not derive income from the use of property in Massachusetts. </w:t>
      </w:r>
      <w:r>
        <w:rPr>
          <w:rFonts w:ascii="Courier New" w:hAnsi="Courier New" w:cs="Courier New"/>
          <w:sz w:val="24"/>
          <w:szCs w:val="24"/>
        </w:rPr>
        <w:t>However, t</w:t>
      </w:r>
      <w:r w:rsidRPr="003C74CD">
        <w:rPr>
          <w:rFonts w:ascii="Courier New" w:hAnsi="Courier New" w:cs="Courier New"/>
          <w:sz w:val="24"/>
          <w:szCs w:val="24"/>
        </w:rPr>
        <w:t>hat was onl</w:t>
      </w:r>
      <w:r>
        <w:rPr>
          <w:rFonts w:ascii="Courier New" w:hAnsi="Courier New" w:cs="Courier New"/>
          <w:sz w:val="24"/>
          <w:szCs w:val="24"/>
        </w:rPr>
        <w:t>y one factor considered by the SJC</w:t>
      </w:r>
      <w:r w:rsidRPr="003C74CD">
        <w:rPr>
          <w:rFonts w:ascii="Courier New" w:hAnsi="Courier New" w:cs="Courier New"/>
          <w:sz w:val="24"/>
          <w:szCs w:val="24"/>
        </w:rPr>
        <w:t xml:space="preserve"> as to whether the taxpayer had the requisite minimum contacts to satisfy the Due Process clause. </w:t>
      </w:r>
      <w:r w:rsidRPr="001D1699">
        <w:rPr>
          <w:rFonts w:ascii="Courier New" w:hAnsi="Courier New" w:cs="Courier New"/>
          <w:b/>
          <w:i/>
          <w:sz w:val="24"/>
          <w:szCs w:val="24"/>
        </w:rPr>
        <w:t>Id.</w:t>
      </w:r>
      <w:r>
        <w:rPr>
          <w:rFonts w:ascii="Courier New" w:hAnsi="Courier New" w:cs="Courier New"/>
          <w:b/>
          <w:i/>
          <w:sz w:val="24"/>
          <w:szCs w:val="24"/>
        </w:rPr>
        <w:t xml:space="preserve"> </w:t>
      </w:r>
      <w:r w:rsidRPr="003C74CD">
        <w:rPr>
          <w:rFonts w:ascii="Courier New" w:hAnsi="Courier New" w:cs="Courier New"/>
          <w:sz w:val="24"/>
          <w:szCs w:val="24"/>
        </w:rPr>
        <w:t xml:space="preserve">at 737. The Court noted that the requirement was also satisfied if a taxpayer “purposefully avails” itself of the “privilege of conducting activities” in the Commonwealth. </w:t>
      </w:r>
      <w:r w:rsidRPr="003C74CD">
        <w:rPr>
          <w:rFonts w:ascii="Courier New" w:hAnsi="Courier New" w:cs="Courier New"/>
          <w:b/>
          <w:i/>
          <w:sz w:val="24"/>
          <w:szCs w:val="24"/>
        </w:rPr>
        <w:t>Id</w:t>
      </w:r>
      <w:r w:rsidRPr="003C74CD">
        <w:rPr>
          <w:rFonts w:ascii="Courier New" w:hAnsi="Courier New" w:cs="Courier New"/>
          <w:sz w:val="24"/>
          <w:szCs w:val="24"/>
        </w:rPr>
        <w:t xml:space="preserve">. at </w:t>
      </w:r>
      <w:r>
        <w:rPr>
          <w:rFonts w:ascii="Courier New" w:hAnsi="Courier New" w:cs="Courier New"/>
          <w:sz w:val="24"/>
          <w:szCs w:val="24"/>
        </w:rPr>
        <w:t>7</w:t>
      </w:r>
      <w:r w:rsidRPr="003C74CD">
        <w:rPr>
          <w:rFonts w:ascii="Courier New" w:hAnsi="Courier New" w:cs="Courier New"/>
          <w:sz w:val="24"/>
          <w:szCs w:val="24"/>
        </w:rPr>
        <w:t xml:space="preserve">38 </w:t>
      </w:r>
      <w:r>
        <w:rPr>
          <w:rFonts w:ascii="Courier New" w:hAnsi="Courier New" w:cs="Courier New"/>
          <w:sz w:val="24"/>
          <w:szCs w:val="24"/>
        </w:rPr>
        <w:t>(</w:t>
      </w:r>
      <w:r w:rsidRPr="003C74CD">
        <w:rPr>
          <w:rFonts w:ascii="Courier New" w:hAnsi="Courier New" w:cs="Courier New"/>
          <w:sz w:val="24"/>
          <w:szCs w:val="24"/>
        </w:rPr>
        <w:t xml:space="preserve">quoting </w:t>
      </w:r>
      <w:r w:rsidRPr="003C74CD">
        <w:rPr>
          <w:rFonts w:ascii="Courier New" w:hAnsi="Courier New" w:cs="Courier New"/>
          <w:b/>
          <w:i/>
          <w:sz w:val="24"/>
          <w:szCs w:val="24"/>
        </w:rPr>
        <w:t>Quill Corp. v. North Dakota</w:t>
      </w:r>
      <w:r w:rsidRPr="003C74CD">
        <w:rPr>
          <w:rFonts w:ascii="Courier New" w:hAnsi="Courier New" w:cs="Courier New"/>
          <w:sz w:val="24"/>
          <w:szCs w:val="24"/>
        </w:rPr>
        <w:t xml:space="preserve">, 504 U.S. 298, 307 (1992) and </w:t>
      </w:r>
      <w:r w:rsidRPr="003C74CD">
        <w:rPr>
          <w:rFonts w:ascii="Courier New" w:hAnsi="Courier New" w:cs="Courier New"/>
          <w:b/>
          <w:i/>
          <w:sz w:val="24"/>
          <w:szCs w:val="24"/>
        </w:rPr>
        <w:t>Hanson v. Denckla</w:t>
      </w:r>
      <w:r w:rsidRPr="003C74CD">
        <w:rPr>
          <w:rFonts w:ascii="Courier New" w:hAnsi="Courier New" w:cs="Courier New"/>
          <w:sz w:val="24"/>
          <w:szCs w:val="24"/>
        </w:rPr>
        <w:t>, 357 U.S. 235, 253 (1958)</w:t>
      </w:r>
      <w:r>
        <w:rPr>
          <w:rFonts w:ascii="Courier New" w:hAnsi="Courier New" w:cs="Courier New"/>
          <w:sz w:val="24"/>
          <w:szCs w:val="24"/>
        </w:rPr>
        <w:t>)</w:t>
      </w:r>
      <w:r w:rsidRPr="003C74CD">
        <w:rPr>
          <w:rFonts w:ascii="Courier New" w:hAnsi="Courier New" w:cs="Courier New"/>
          <w:sz w:val="24"/>
          <w:szCs w:val="24"/>
        </w:rPr>
        <w:t xml:space="preserve">. Thus the taxpayer, which “allowe[d] and facilitate[d] its lessees to use its property within the taxing state,” had sufficient minimum contacts therewith. </w:t>
      </w:r>
      <w:r w:rsidRPr="003C74CD">
        <w:rPr>
          <w:rFonts w:ascii="Courier New" w:hAnsi="Courier New" w:cs="Courier New"/>
          <w:b/>
          <w:i/>
          <w:sz w:val="24"/>
          <w:szCs w:val="24"/>
        </w:rPr>
        <w:t>Id</w:t>
      </w:r>
      <w:r w:rsidRPr="003C74CD">
        <w:rPr>
          <w:rFonts w:ascii="Courier New" w:hAnsi="Courier New" w:cs="Courier New"/>
          <w:sz w:val="24"/>
          <w:szCs w:val="24"/>
        </w:rPr>
        <w:t>. Genentech met that standard as it allowed and facilitated Alkermes’ use of the bulk hGH in Massachusetts</w:t>
      </w:r>
      <w:r>
        <w:rPr>
          <w:rFonts w:ascii="Courier New" w:hAnsi="Courier New" w:cs="Courier New"/>
          <w:sz w:val="24"/>
          <w:szCs w:val="24"/>
        </w:rPr>
        <w:t xml:space="preserve">. Therefore, the Board ruled that the inventory property to which Genentech held title in Massachusetts was sufficient in and of itself to create nexus for the 1999 through 2004 tax years. </w:t>
      </w:r>
    </w:p>
    <w:p w:rsidR="008627C1" w:rsidRDefault="008627C1" w:rsidP="008627C1">
      <w:pPr>
        <w:spacing w:line="480" w:lineRule="auto"/>
        <w:jc w:val="both"/>
        <w:rPr>
          <w:rFonts w:ascii="Courier New" w:hAnsi="Courier New" w:cs="Courier New"/>
          <w:sz w:val="24"/>
          <w:szCs w:val="24"/>
        </w:rPr>
      </w:pPr>
      <w:r>
        <w:rPr>
          <w:rFonts w:ascii="Courier New" w:hAnsi="Courier New" w:cs="Courier New"/>
          <w:sz w:val="24"/>
          <w:szCs w:val="24"/>
        </w:rPr>
        <w:lastRenderedPageBreak/>
        <w:tab/>
        <w:t>Genentech did not have a material amount of inventory at Alkermes’ Massachusetts location until 1999. For the 1998 tax year, however, Genentech owned $86,774 of tangible property in Massachusetts, with a net book value of $</w:t>
      </w:r>
      <w:r w:rsidRPr="00BD50D6">
        <w:rPr>
          <w:rFonts w:ascii="Courier New" w:hAnsi="Courier New" w:cs="Courier New"/>
          <w:sz w:val="24"/>
          <w:szCs w:val="24"/>
        </w:rPr>
        <w:t>42,043</w:t>
      </w:r>
      <w:r>
        <w:rPr>
          <w:rFonts w:ascii="Courier New" w:hAnsi="Courier New" w:cs="Courier New"/>
          <w:sz w:val="24"/>
          <w:szCs w:val="24"/>
        </w:rPr>
        <w:t xml:space="preserve">. The appellant bears the burden of establishing its right to an abatement by the preponderance of the evidence, including proof that the taxpayer was not subject to the corporate excise tax when it claims its activities are protected under Public Law 86-272. </w:t>
      </w:r>
      <w:r>
        <w:rPr>
          <w:rFonts w:ascii="Courier New" w:hAnsi="Courier New" w:cs="Courier New"/>
          <w:b/>
          <w:i/>
          <w:sz w:val="24"/>
          <w:szCs w:val="24"/>
        </w:rPr>
        <w:t>Advanced Logic Research, Inc. v. Commissioner of Revenue</w:t>
      </w:r>
      <w:r>
        <w:rPr>
          <w:rFonts w:ascii="Courier New" w:hAnsi="Courier New" w:cs="Courier New"/>
          <w:sz w:val="24"/>
          <w:szCs w:val="24"/>
        </w:rPr>
        <w:t>, Mass. ATB Findings of Fact and Reports 2008-19, 28.</w:t>
      </w:r>
      <w:r>
        <w:rPr>
          <w:rFonts w:ascii="Courier New" w:hAnsi="Courier New" w:cs="Courier New"/>
          <w:b/>
          <w:i/>
          <w:sz w:val="24"/>
          <w:szCs w:val="24"/>
        </w:rPr>
        <w:t xml:space="preserve"> </w:t>
      </w:r>
      <w:r>
        <w:rPr>
          <w:rFonts w:ascii="Courier New" w:hAnsi="Courier New" w:cs="Courier New"/>
          <w:sz w:val="24"/>
          <w:szCs w:val="24"/>
        </w:rPr>
        <w:t xml:space="preserve">Genentech stated in its Motion for Summary Judgment that the property consisted “of computers, printers and other property provided to Genentech’s salespeople for use in their sales solicitation activities” and thus within the scope of Public Law 86-272. </w:t>
      </w:r>
      <w:r w:rsidRPr="00761EFA">
        <w:rPr>
          <w:rFonts w:ascii="Courier New" w:hAnsi="Courier New" w:cs="Courier New"/>
          <w:smallCaps/>
          <w:sz w:val="24"/>
          <w:szCs w:val="24"/>
        </w:rPr>
        <w:t>Genentech’s Motion for Summary Judgment and Supporting Memorandum of Points and Authorities</w:t>
      </w:r>
      <w:r>
        <w:rPr>
          <w:rFonts w:ascii="Courier New" w:hAnsi="Courier New" w:cs="Courier New"/>
          <w:sz w:val="24"/>
          <w:szCs w:val="24"/>
        </w:rPr>
        <w:t xml:space="preserve"> at 24.  However, the appellant did not provide any further detail or explanation as to what the assets constituted and how they were used in Massachusetts. </w:t>
      </w:r>
    </w:p>
    <w:p w:rsidR="008627C1" w:rsidRPr="00761EFA" w:rsidRDefault="008627C1" w:rsidP="008627C1">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Genentech cites to </w:t>
      </w:r>
      <w:r>
        <w:rPr>
          <w:rFonts w:ascii="Courier New" w:hAnsi="Courier New" w:cs="Courier New"/>
          <w:b/>
          <w:i/>
          <w:sz w:val="24"/>
          <w:szCs w:val="24"/>
        </w:rPr>
        <w:t xml:space="preserve">Wisconsin Dept. of Revenue v. Wrigley </w:t>
      </w:r>
      <w:r w:rsidRPr="00A0731A">
        <w:rPr>
          <w:rFonts w:ascii="Courier New" w:hAnsi="Courier New" w:cs="Courier New"/>
          <w:b/>
          <w:sz w:val="24"/>
          <w:szCs w:val="24"/>
        </w:rPr>
        <w:t>(“</w:t>
      </w:r>
      <w:r>
        <w:rPr>
          <w:rFonts w:ascii="Courier New" w:hAnsi="Courier New" w:cs="Courier New"/>
          <w:b/>
          <w:i/>
          <w:sz w:val="24"/>
          <w:szCs w:val="24"/>
        </w:rPr>
        <w:t>Wrigley</w:t>
      </w:r>
      <w:r w:rsidRPr="00A0731A">
        <w:rPr>
          <w:rFonts w:ascii="Courier New" w:hAnsi="Courier New" w:cs="Courier New"/>
          <w:b/>
          <w:sz w:val="24"/>
          <w:szCs w:val="24"/>
        </w:rPr>
        <w:t>”)</w:t>
      </w:r>
      <w:r>
        <w:rPr>
          <w:rFonts w:ascii="Courier New" w:hAnsi="Courier New" w:cs="Courier New"/>
          <w:sz w:val="24"/>
          <w:szCs w:val="24"/>
        </w:rPr>
        <w:t xml:space="preserve">, 505 U.S. 214 (1992), the leading Supreme Court case drawing the boundaries of permissible activities under Public Law 86-272, which includes an express recognition that, under the “venerable maxim </w:t>
      </w:r>
      <w:r>
        <w:rPr>
          <w:rFonts w:ascii="Courier New" w:hAnsi="Courier New" w:cs="Courier New"/>
          <w:i/>
          <w:sz w:val="24"/>
          <w:szCs w:val="24"/>
        </w:rPr>
        <w:t xml:space="preserve">de </w:t>
      </w:r>
      <w:r>
        <w:rPr>
          <w:rFonts w:ascii="Courier New" w:hAnsi="Courier New" w:cs="Courier New"/>
          <w:i/>
          <w:sz w:val="24"/>
          <w:szCs w:val="24"/>
        </w:rPr>
        <w:lastRenderedPageBreak/>
        <w:t xml:space="preserve">minimis not curat lex </w:t>
      </w:r>
      <w:r>
        <w:rPr>
          <w:rFonts w:ascii="Courier New" w:hAnsi="Courier New" w:cs="Courier New"/>
          <w:sz w:val="24"/>
          <w:szCs w:val="24"/>
        </w:rPr>
        <w:t xml:space="preserve">(‘the law cares not for trifles’),” a taxpayer would not be subject to a state’s taxing jurisdiction if it only had a </w:t>
      </w:r>
      <w:r>
        <w:rPr>
          <w:rFonts w:ascii="Courier New" w:hAnsi="Courier New" w:cs="Courier New"/>
          <w:i/>
          <w:sz w:val="24"/>
          <w:szCs w:val="24"/>
        </w:rPr>
        <w:t xml:space="preserve">de minimis </w:t>
      </w:r>
      <w:r>
        <w:rPr>
          <w:rFonts w:ascii="Courier New" w:hAnsi="Courier New" w:cs="Courier New"/>
          <w:sz w:val="24"/>
          <w:szCs w:val="24"/>
        </w:rPr>
        <w:t xml:space="preserve">connection to that state. </w:t>
      </w:r>
      <w:r>
        <w:rPr>
          <w:rFonts w:ascii="Courier New" w:hAnsi="Courier New" w:cs="Courier New"/>
          <w:b/>
          <w:i/>
          <w:sz w:val="24"/>
          <w:szCs w:val="24"/>
        </w:rPr>
        <w:t xml:space="preserve">Id. </w:t>
      </w:r>
      <w:r w:rsidRPr="005653F7">
        <w:rPr>
          <w:rFonts w:ascii="Courier New" w:hAnsi="Courier New" w:cs="Courier New"/>
          <w:sz w:val="24"/>
          <w:szCs w:val="24"/>
        </w:rPr>
        <w:t>at</w:t>
      </w:r>
      <w:r>
        <w:rPr>
          <w:rFonts w:ascii="Courier New" w:hAnsi="Courier New" w:cs="Courier New"/>
          <w:sz w:val="24"/>
          <w:szCs w:val="24"/>
        </w:rPr>
        <w:t xml:space="preserve"> 231. Genentech argues that Massachusetts should not be able to impose tax based on what it argues is a </w:t>
      </w:r>
      <w:r>
        <w:rPr>
          <w:rFonts w:ascii="Courier New" w:hAnsi="Courier New" w:cs="Courier New"/>
          <w:i/>
          <w:sz w:val="24"/>
          <w:szCs w:val="24"/>
        </w:rPr>
        <w:t>de minimis</w:t>
      </w:r>
      <w:r>
        <w:rPr>
          <w:rFonts w:ascii="Courier New" w:hAnsi="Courier New" w:cs="Courier New"/>
          <w:sz w:val="24"/>
          <w:szCs w:val="24"/>
        </w:rPr>
        <w:t xml:space="preserve"> amount of property it held in Massachusetts during 1998</w:t>
      </w:r>
      <w:r>
        <w:rPr>
          <w:rFonts w:ascii="Courier New" w:hAnsi="Courier New" w:cs="Courier New"/>
          <w:i/>
          <w:sz w:val="24"/>
          <w:szCs w:val="24"/>
        </w:rPr>
        <w:t xml:space="preserve">. </w:t>
      </w:r>
      <w:r>
        <w:rPr>
          <w:rFonts w:ascii="Courier New" w:hAnsi="Courier New" w:cs="Courier New"/>
          <w:sz w:val="24"/>
          <w:szCs w:val="24"/>
        </w:rPr>
        <w:t xml:space="preserve">While the Court did not go on to give an indication of what would fall under a </w:t>
      </w:r>
      <w:r>
        <w:rPr>
          <w:rFonts w:ascii="Courier New" w:hAnsi="Courier New" w:cs="Courier New"/>
          <w:i/>
          <w:sz w:val="24"/>
          <w:szCs w:val="24"/>
        </w:rPr>
        <w:t>de minimis</w:t>
      </w:r>
      <w:r>
        <w:rPr>
          <w:rFonts w:ascii="Courier New" w:hAnsi="Courier New" w:cs="Courier New"/>
          <w:sz w:val="24"/>
          <w:szCs w:val="24"/>
        </w:rPr>
        <w:t xml:space="preserve"> scope, it took specific note of the fact that the activity performed by the taxpayer it had held to be unprotected by Public Law 86-272 only generated .00007% of Wrigley’s total sales. </w:t>
      </w:r>
      <w:r>
        <w:rPr>
          <w:rFonts w:ascii="Courier New" w:hAnsi="Courier New" w:cs="Courier New"/>
          <w:b/>
          <w:i/>
          <w:sz w:val="24"/>
          <w:szCs w:val="24"/>
        </w:rPr>
        <w:t>Id.</w:t>
      </w:r>
      <w:r w:rsidR="00D4018F">
        <w:rPr>
          <w:rFonts w:ascii="Courier New" w:hAnsi="Courier New" w:cs="Courier New"/>
          <w:b/>
          <w:i/>
          <w:sz w:val="24"/>
          <w:szCs w:val="24"/>
        </w:rPr>
        <w:t> </w:t>
      </w:r>
      <w:r>
        <w:rPr>
          <w:rFonts w:ascii="Courier New" w:hAnsi="Courier New" w:cs="Courier New"/>
          <w:sz w:val="24"/>
          <w:szCs w:val="24"/>
        </w:rPr>
        <w:t>at 235. As it so happens, the $86,774 original cost of tangible property in Massachusetts was .007% -- or 100 times that much -- of Genentech’s total inventory of $148,625,645 plus the original cost of buildings and depreciable assets of $1,075,949,590 as of the end of the 1998 tax year.</w:t>
      </w:r>
      <w:r>
        <w:rPr>
          <w:rStyle w:val="FootnoteReference"/>
          <w:rFonts w:ascii="Courier New" w:hAnsi="Courier New" w:cs="Courier New"/>
          <w:sz w:val="24"/>
          <w:szCs w:val="24"/>
        </w:rPr>
        <w:footnoteReference w:id="10"/>
      </w:r>
      <w:r>
        <w:rPr>
          <w:rFonts w:ascii="Courier New" w:hAnsi="Courier New" w:cs="Courier New"/>
          <w:sz w:val="24"/>
          <w:szCs w:val="24"/>
        </w:rPr>
        <w:t xml:space="preserve"> Also, the Board has previously found similar levels of property to be sufficient to create nexus. </w:t>
      </w:r>
      <w:r w:rsidRPr="000A1D4E">
        <w:rPr>
          <w:rFonts w:ascii="Courier New" w:hAnsi="Courier New" w:cs="Courier New"/>
          <w:i/>
          <w:sz w:val="24"/>
          <w:szCs w:val="24"/>
        </w:rPr>
        <w:t>See</w:t>
      </w:r>
      <w:r>
        <w:rPr>
          <w:rFonts w:ascii="Courier New" w:hAnsi="Courier New" w:cs="Courier New"/>
          <w:sz w:val="24"/>
          <w:szCs w:val="24"/>
        </w:rPr>
        <w:t xml:space="preserve"> </w:t>
      </w:r>
      <w:r>
        <w:rPr>
          <w:rFonts w:ascii="Courier New" w:hAnsi="Courier New" w:cs="Courier New"/>
          <w:b/>
          <w:i/>
          <w:sz w:val="24"/>
          <w:szCs w:val="24"/>
        </w:rPr>
        <w:t>Universal Instruments Corp. v. Commissioner of Revenue</w:t>
      </w:r>
      <w:r>
        <w:rPr>
          <w:rFonts w:ascii="Courier New" w:hAnsi="Courier New" w:cs="Courier New"/>
          <w:sz w:val="24"/>
          <w:szCs w:val="24"/>
        </w:rPr>
        <w:t xml:space="preserve">, Mass. </w:t>
      </w:r>
      <w:r w:rsidRPr="00332A73">
        <w:rPr>
          <w:rFonts w:ascii="Courier New" w:hAnsi="Courier New" w:cs="Courier New"/>
          <w:sz w:val="24"/>
          <w:szCs w:val="24"/>
        </w:rPr>
        <w:t xml:space="preserve">ATB Findings and </w:t>
      </w:r>
      <w:r>
        <w:rPr>
          <w:rFonts w:ascii="Courier New" w:hAnsi="Courier New" w:cs="Courier New"/>
          <w:sz w:val="24"/>
          <w:szCs w:val="24"/>
        </w:rPr>
        <w:t>Reports</w:t>
      </w:r>
      <w:r w:rsidRPr="00332A73">
        <w:rPr>
          <w:rFonts w:ascii="Courier New" w:hAnsi="Courier New" w:cs="Courier New"/>
          <w:sz w:val="24"/>
          <w:szCs w:val="24"/>
        </w:rPr>
        <w:t xml:space="preserve"> </w:t>
      </w:r>
      <w:r>
        <w:rPr>
          <w:rFonts w:ascii="Courier New" w:hAnsi="Courier New" w:cs="Courier New"/>
          <w:sz w:val="24"/>
          <w:szCs w:val="24"/>
        </w:rPr>
        <w:t>at 1998-411 (taxpayer with $65,727 of inventory in 1983 and $86,360 of inventory in 1984).</w:t>
      </w:r>
    </w:p>
    <w:p w:rsidR="008627C1" w:rsidRDefault="008627C1" w:rsidP="008627C1">
      <w:pPr>
        <w:spacing w:line="480" w:lineRule="auto"/>
        <w:ind w:firstLine="720"/>
        <w:jc w:val="both"/>
      </w:pPr>
      <w:r>
        <w:rPr>
          <w:rFonts w:ascii="Courier New" w:hAnsi="Courier New" w:cs="Courier New"/>
          <w:sz w:val="24"/>
          <w:szCs w:val="24"/>
        </w:rPr>
        <w:lastRenderedPageBreak/>
        <w:t xml:space="preserve">Genentech also held title to drugs being used in an investigation by a CRO based in Massachusetts that began in 1998 with twenty-five subjects. The Board previously ruled that when a pharmaceutical company supplied CROs with drugs to be tested, it “constitute[d] the ‘owning or using’ of [the pharmaceutical company’s] property in the Commonwealth under G.L. c. 63, § 39, for purposes other than the solicitation of orders,” where the pharmaceutical company retained title to the drugs. </w:t>
      </w:r>
      <w:r w:rsidRPr="00224A20">
        <w:rPr>
          <w:rFonts w:ascii="Courier New" w:hAnsi="Courier New" w:cs="Courier New"/>
          <w:b/>
          <w:i/>
          <w:sz w:val="24"/>
          <w:szCs w:val="24"/>
        </w:rPr>
        <w:t xml:space="preserve">Amgen, Inc. </w:t>
      </w:r>
      <w:r>
        <w:rPr>
          <w:rFonts w:ascii="Courier New" w:hAnsi="Courier New" w:cs="Courier New"/>
          <w:b/>
          <w:i/>
          <w:sz w:val="24"/>
          <w:szCs w:val="24"/>
        </w:rPr>
        <w:t xml:space="preserve">v. Commissioner of Revenue, </w:t>
      </w:r>
      <w:r>
        <w:rPr>
          <w:rFonts w:ascii="Courier New" w:hAnsi="Courier New" w:cs="Courier New"/>
          <w:sz w:val="24"/>
          <w:szCs w:val="24"/>
        </w:rPr>
        <w:t xml:space="preserve">Mass. ATB Findings of Fact and Reports 1997-539, 559. While the Board does not adopt a </w:t>
      </w:r>
      <w:r w:rsidRPr="005D73D8">
        <w:rPr>
          <w:rFonts w:ascii="Courier New" w:hAnsi="Courier New" w:cs="Courier New"/>
          <w:sz w:val="24"/>
          <w:szCs w:val="24"/>
        </w:rPr>
        <w:t>bright line</w:t>
      </w:r>
      <w:r>
        <w:rPr>
          <w:rFonts w:ascii="Courier New" w:hAnsi="Courier New" w:cs="Courier New"/>
          <w:i/>
          <w:sz w:val="24"/>
          <w:szCs w:val="24"/>
        </w:rPr>
        <w:t xml:space="preserve"> </w:t>
      </w:r>
      <w:r>
        <w:rPr>
          <w:rFonts w:ascii="Courier New" w:hAnsi="Courier New" w:cs="Courier New"/>
          <w:sz w:val="24"/>
          <w:szCs w:val="24"/>
        </w:rPr>
        <w:t xml:space="preserve">rule that a specified level of property or possession of clinical trial material in and of itself will create nexus in every case, a court “need not decide whether any... nonimmune activities [is] </w:t>
      </w:r>
      <w:r w:rsidRPr="00761EFA">
        <w:rPr>
          <w:rFonts w:ascii="Courier New" w:hAnsi="Courier New" w:cs="Courier New"/>
          <w:i/>
          <w:sz w:val="24"/>
          <w:szCs w:val="24"/>
        </w:rPr>
        <w:t>de minimis</w:t>
      </w:r>
      <w:r>
        <w:rPr>
          <w:rFonts w:ascii="Courier New" w:hAnsi="Courier New" w:cs="Courier New"/>
          <w:i/>
          <w:sz w:val="24"/>
          <w:szCs w:val="24"/>
        </w:rPr>
        <w:t xml:space="preserve"> </w:t>
      </w:r>
      <w:r>
        <w:rPr>
          <w:rFonts w:ascii="Courier New" w:hAnsi="Courier New" w:cs="Courier New"/>
          <w:sz w:val="24"/>
          <w:szCs w:val="24"/>
        </w:rPr>
        <w:t xml:space="preserve">in isolation,” </w:t>
      </w:r>
      <w:r>
        <w:rPr>
          <w:rFonts w:ascii="Courier New" w:hAnsi="Courier New" w:cs="Courier New"/>
          <w:b/>
          <w:i/>
          <w:sz w:val="24"/>
          <w:szCs w:val="24"/>
        </w:rPr>
        <w:t>Wrigley</w:t>
      </w:r>
      <w:r>
        <w:rPr>
          <w:rFonts w:ascii="Courier New" w:hAnsi="Courier New" w:cs="Courier New"/>
          <w:sz w:val="24"/>
          <w:szCs w:val="24"/>
        </w:rPr>
        <w:t>, 505 U.S. at 235, and the Board ruled that Genentech’s ownership of tangible property used by employees taken together with its ownership of drugs used in clinical trials was sufficient to create nexus for the 1998 tax year.</w:t>
      </w:r>
      <w:r>
        <w:rPr>
          <w:rStyle w:val="FootnoteReference"/>
          <w:rFonts w:ascii="Courier New" w:hAnsi="Courier New" w:cs="Courier New"/>
          <w:sz w:val="24"/>
          <w:szCs w:val="24"/>
        </w:rPr>
        <w:footnoteReference w:id="11"/>
      </w:r>
      <w:r w:rsidRPr="008E5FBE">
        <w:t xml:space="preserve"> </w:t>
      </w:r>
    </w:p>
    <w:p w:rsidR="008627C1" w:rsidRDefault="008627C1" w:rsidP="008627C1">
      <w:pPr>
        <w:spacing w:line="480" w:lineRule="auto"/>
        <w:ind w:firstLine="720"/>
        <w:jc w:val="both"/>
        <w:rPr>
          <w:rFonts w:ascii="Courier New" w:hAnsi="Courier New" w:cs="Courier New"/>
          <w:sz w:val="24"/>
          <w:szCs w:val="24"/>
        </w:rPr>
      </w:pPr>
      <w:r>
        <w:rPr>
          <w:rFonts w:ascii="Courier New" w:hAnsi="Courier New" w:cs="Courier New"/>
          <w:sz w:val="24"/>
          <w:szCs w:val="24"/>
        </w:rPr>
        <w:lastRenderedPageBreak/>
        <w:t xml:space="preserve">In addition to property located in Massachusetts, Genentech also employed multiple individuals who worked in the Commonwealth during the tax periods at issue. Genentech contends that the activities of these individuals were limited to the solicitation of sales of tangible property, which were approved outside of the state, and thus Massachusetts is circumscribed from asserting nexus pursuant </w:t>
      </w:r>
      <w:r w:rsidRPr="001A743D">
        <w:rPr>
          <w:rFonts w:ascii="Courier New" w:hAnsi="Courier New" w:cs="Courier New"/>
          <w:sz w:val="24"/>
          <w:szCs w:val="24"/>
        </w:rPr>
        <w:t>Public Law 86-272</w:t>
      </w:r>
      <w:r>
        <w:rPr>
          <w:rFonts w:ascii="Courier New" w:hAnsi="Courier New" w:cs="Courier New"/>
          <w:sz w:val="24"/>
          <w:szCs w:val="24"/>
        </w:rPr>
        <w:t>.</w:t>
      </w:r>
      <w:r w:rsidRPr="001A743D">
        <w:rPr>
          <w:rFonts w:ascii="Courier New" w:hAnsi="Courier New" w:cs="Courier New"/>
          <w:sz w:val="24"/>
          <w:szCs w:val="24"/>
        </w:rPr>
        <w:t xml:space="preserve"> </w:t>
      </w:r>
      <w:r>
        <w:rPr>
          <w:rFonts w:ascii="Courier New" w:hAnsi="Courier New" w:cs="Courier New"/>
          <w:sz w:val="24"/>
          <w:szCs w:val="24"/>
        </w:rPr>
        <w:t xml:space="preserve">In </w:t>
      </w:r>
      <w:r>
        <w:rPr>
          <w:rFonts w:ascii="Courier New" w:hAnsi="Courier New" w:cs="Courier New"/>
          <w:b/>
          <w:i/>
          <w:sz w:val="24"/>
          <w:szCs w:val="24"/>
        </w:rPr>
        <w:t xml:space="preserve">Wrigley, </w:t>
      </w:r>
      <w:r>
        <w:rPr>
          <w:rFonts w:ascii="Courier New" w:hAnsi="Courier New" w:cs="Courier New"/>
          <w:sz w:val="24"/>
          <w:szCs w:val="24"/>
        </w:rPr>
        <w:t>the</w:t>
      </w:r>
      <w:r w:rsidRPr="001A743D">
        <w:rPr>
          <w:rFonts w:ascii="Courier New" w:hAnsi="Courier New" w:cs="Courier New"/>
          <w:sz w:val="24"/>
          <w:szCs w:val="24"/>
        </w:rPr>
        <w:t xml:space="preserve"> Court found that the phrase “solicitation of orders” </w:t>
      </w:r>
      <w:r>
        <w:rPr>
          <w:rFonts w:ascii="Courier New" w:hAnsi="Courier New" w:cs="Courier New"/>
          <w:sz w:val="24"/>
          <w:szCs w:val="24"/>
        </w:rPr>
        <w:t xml:space="preserve">in Public Law 86-272 </w:t>
      </w:r>
      <w:r w:rsidRPr="001A743D">
        <w:rPr>
          <w:rFonts w:ascii="Courier New" w:hAnsi="Courier New" w:cs="Courier New"/>
          <w:sz w:val="24"/>
          <w:szCs w:val="24"/>
        </w:rPr>
        <w:t>covered “more than what is strictly essential to making requests for purchases[,]” but included activities which were “</w:t>
      </w:r>
      <w:r w:rsidRPr="0062281F">
        <w:rPr>
          <w:rFonts w:ascii="Courier New" w:hAnsi="Courier New" w:cs="Courier New"/>
          <w:b/>
          <w:sz w:val="24"/>
          <w:szCs w:val="24"/>
        </w:rPr>
        <w:t>entirely ancillary</w:t>
      </w:r>
      <w:r w:rsidRPr="001A743D">
        <w:rPr>
          <w:rFonts w:ascii="Courier New" w:hAnsi="Courier New" w:cs="Courier New"/>
          <w:sz w:val="24"/>
          <w:szCs w:val="24"/>
        </w:rPr>
        <w:t xml:space="preserve"> to </w:t>
      </w:r>
      <w:r>
        <w:rPr>
          <w:rFonts w:ascii="Courier New" w:hAnsi="Courier New" w:cs="Courier New"/>
          <w:sz w:val="24"/>
          <w:szCs w:val="24"/>
        </w:rPr>
        <w:t xml:space="preserve">requests for purchases – those that serve no independent business </w:t>
      </w:r>
      <w:r w:rsidRPr="001A743D">
        <w:rPr>
          <w:rFonts w:ascii="Courier New" w:hAnsi="Courier New" w:cs="Courier New"/>
          <w:sz w:val="24"/>
          <w:szCs w:val="24"/>
        </w:rPr>
        <w:t>function apart from their connection to the soliciting of orders</w:t>
      </w:r>
      <w:r>
        <w:rPr>
          <w:rFonts w:ascii="Courier New" w:hAnsi="Courier New" w:cs="Courier New"/>
          <w:sz w:val="24"/>
          <w:szCs w:val="24"/>
        </w:rPr>
        <w:t xml:space="preserve">” and not “those activities that the company would have reason to engage in </w:t>
      </w:r>
      <w:r w:rsidR="00D4018F">
        <w:rPr>
          <w:rFonts w:ascii="Courier New" w:hAnsi="Courier New" w:cs="Courier New"/>
          <w:sz w:val="24"/>
          <w:szCs w:val="24"/>
        </w:rPr>
        <w:t>anyway</w:t>
      </w:r>
      <w:r>
        <w:rPr>
          <w:rFonts w:ascii="Courier New" w:hAnsi="Courier New" w:cs="Courier New"/>
          <w:sz w:val="24"/>
          <w:szCs w:val="24"/>
        </w:rPr>
        <w:t xml:space="preserve"> but chooses to allocate to its in-state sales force.</w:t>
      </w:r>
      <w:r w:rsidRPr="001A743D">
        <w:rPr>
          <w:rFonts w:ascii="Courier New" w:hAnsi="Courier New" w:cs="Courier New"/>
          <w:sz w:val="24"/>
          <w:szCs w:val="24"/>
        </w:rPr>
        <w:t xml:space="preserve">” </w:t>
      </w:r>
      <w:r w:rsidRPr="0052544F">
        <w:rPr>
          <w:rFonts w:ascii="Courier New" w:hAnsi="Courier New" w:cs="Courier New"/>
          <w:b/>
          <w:i/>
          <w:sz w:val="24"/>
          <w:szCs w:val="24"/>
        </w:rPr>
        <w:t>Id</w:t>
      </w:r>
      <w:r w:rsidRPr="001A743D">
        <w:rPr>
          <w:rFonts w:ascii="Courier New" w:hAnsi="Courier New" w:cs="Courier New"/>
          <w:sz w:val="24"/>
          <w:szCs w:val="24"/>
        </w:rPr>
        <w:t>. at 228-229</w:t>
      </w:r>
      <w:r>
        <w:rPr>
          <w:rFonts w:ascii="Courier New" w:hAnsi="Courier New" w:cs="Courier New"/>
          <w:sz w:val="24"/>
          <w:szCs w:val="24"/>
        </w:rPr>
        <w:t xml:space="preserve"> (emphasis in original)</w:t>
      </w:r>
      <w:r w:rsidRPr="001A743D">
        <w:rPr>
          <w:rFonts w:ascii="Courier New" w:hAnsi="Courier New" w:cs="Courier New"/>
          <w:sz w:val="24"/>
          <w:szCs w:val="24"/>
        </w:rPr>
        <w:t xml:space="preserve">. </w:t>
      </w:r>
    </w:p>
    <w:p w:rsidR="008627C1" w:rsidRDefault="008627C1" w:rsidP="008627C1">
      <w:pPr>
        <w:spacing w:line="480" w:lineRule="auto"/>
        <w:ind w:firstLine="720"/>
        <w:jc w:val="both"/>
        <w:rPr>
          <w:rFonts w:ascii="Courier New" w:hAnsi="Courier New" w:cs="Courier New"/>
          <w:sz w:val="24"/>
          <w:szCs w:val="24"/>
        </w:rPr>
      </w:pPr>
      <w:r w:rsidRPr="001A743D">
        <w:rPr>
          <w:rFonts w:ascii="Courier New" w:hAnsi="Courier New" w:cs="Courier New"/>
          <w:sz w:val="24"/>
          <w:szCs w:val="24"/>
        </w:rPr>
        <w:t>The pharmaceutical industry is unique in that</w:t>
      </w:r>
      <w:r>
        <w:rPr>
          <w:rFonts w:ascii="Courier New" w:hAnsi="Courier New" w:cs="Courier New"/>
          <w:sz w:val="24"/>
          <w:szCs w:val="24"/>
        </w:rPr>
        <w:t xml:space="preserve"> there are three parties who are usually involved in the purchase transaction: the doctor who prescribes a particular drug, the patient who completes the purchase of the drug from the pharmacy and ultimately uses it, and the patient’s insurance company who in most cases ultimately pays for it. The Board has dealt previously at length with the </w:t>
      </w:r>
      <w:r>
        <w:rPr>
          <w:rFonts w:ascii="Courier New" w:hAnsi="Courier New" w:cs="Courier New"/>
          <w:sz w:val="24"/>
          <w:szCs w:val="24"/>
        </w:rPr>
        <w:lastRenderedPageBreak/>
        <w:t>applicability of</w:t>
      </w:r>
      <w:r w:rsidRPr="001A743D">
        <w:rPr>
          <w:rFonts w:ascii="Courier New" w:hAnsi="Courier New" w:cs="Courier New"/>
          <w:sz w:val="24"/>
          <w:szCs w:val="24"/>
        </w:rPr>
        <w:t xml:space="preserve"> Public Law 86-272 </w:t>
      </w:r>
      <w:r>
        <w:rPr>
          <w:rFonts w:ascii="Courier New" w:hAnsi="Courier New" w:cs="Courier New"/>
          <w:sz w:val="24"/>
          <w:szCs w:val="24"/>
        </w:rPr>
        <w:t>to pharmaceutical companies in</w:t>
      </w:r>
      <w:r w:rsidRPr="001A743D">
        <w:rPr>
          <w:rFonts w:ascii="Courier New" w:hAnsi="Courier New" w:cs="Courier New"/>
          <w:sz w:val="24"/>
          <w:szCs w:val="24"/>
        </w:rPr>
        <w:t xml:space="preserve"> </w:t>
      </w:r>
      <w:r w:rsidRPr="00224A20">
        <w:rPr>
          <w:rFonts w:ascii="Courier New" w:hAnsi="Courier New" w:cs="Courier New"/>
          <w:b/>
          <w:i/>
          <w:sz w:val="24"/>
          <w:szCs w:val="24"/>
        </w:rPr>
        <w:t xml:space="preserve">Amgen, Inc. </w:t>
      </w:r>
      <w:r>
        <w:rPr>
          <w:rFonts w:ascii="Courier New" w:hAnsi="Courier New" w:cs="Courier New"/>
          <w:b/>
          <w:i/>
          <w:sz w:val="24"/>
          <w:szCs w:val="24"/>
        </w:rPr>
        <w:t>v. Commissioner of Revenue</w:t>
      </w:r>
      <w:r w:rsidRPr="001A743D">
        <w:rPr>
          <w:rFonts w:ascii="Courier New" w:hAnsi="Courier New" w:cs="Courier New"/>
          <w:sz w:val="24"/>
          <w:szCs w:val="24"/>
        </w:rPr>
        <w:t>,</w:t>
      </w:r>
      <w:r>
        <w:rPr>
          <w:rFonts w:ascii="Courier New" w:hAnsi="Courier New" w:cs="Courier New"/>
          <w:sz w:val="24"/>
          <w:szCs w:val="24"/>
        </w:rPr>
        <w:t xml:space="preserve"> Mass. ATB Findings of Fact and Reports 1997-539. The taxpayer, Amgen, Inc. (“Amgen”), was a California-based pharmaceutical manufacturer, which had no physical operations in Massachusetts but had a number of employees here, including “Professional Sales Representatives” (“PSRs”) and</w:t>
      </w:r>
      <w:r w:rsidRPr="001A743D">
        <w:rPr>
          <w:rFonts w:ascii="Courier New" w:hAnsi="Courier New" w:cs="Courier New"/>
          <w:sz w:val="24"/>
          <w:szCs w:val="24"/>
        </w:rPr>
        <w:t xml:space="preserve"> </w:t>
      </w:r>
      <w:r>
        <w:rPr>
          <w:rFonts w:ascii="Courier New" w:hAnsi="Courier New" w:cs="Courier New"/>
          <w:sz w:val="24"/>
          <w:szCs w:val="24"/>
        </w:rPr>
        <w:t>“</w:t>
      </w:r>
      <w:r w:rsidRPr="001A743D">
        <w:rPr>
          <w:rFonts w:ascii="Courier New" w:hAnsi="Courier New" w:cs="Courier New"/>
          <w:sz w:val="24"/>
          <w:szCs w:val="24"/>
        </w:rPr>
        <w:t>Clinical Support Specialists</w:t>
      </w:r>
      <w:r>
        <w:rPr>
          <w:rFonts w:ascii="Courier New" w:hAnsi="Courier New" w:cs="Courier New"/>
          <w:sz w:val="24"/>
          <w:szCs w:val="24"/>
        </w:rPr>
        <w:t>”</w:t>
      </w:r>
      <w:r w:rsidRPr="001A743D">
        <w:rPr>
          <w:rFonts w:ascii="Courier New" w:hAnsi="Courier New" w:cs="Courier New"/>
          <w:sz w:val="24"/>
          <w:szCs w:val="24"/>
        </w:rPr>
        <w:t xml:space="preserve"> (“CSSs”)</w:t>
      </w:r>
      <w:r>
        <w:rPr>
          <w:rFonts w:ascii="Courier New" w:hAnsi="Courier New" w:cs="Courier New"/>
          <w:sz w:val="24"/>
          <w:szCs w:val="24"/>
        </w:rPr>
        <w:t xml:space="preserve">. </w:t>
      </w:r>
      <w:r>
        <w:rPr>
          <w:rFonts w:ascii="Courier New" w:hAnsi="Courier New" w:cs="Courier New"/>
          <w:b/>
          <w:i/>
          <w:sz w:val="24"/>
          <w:szCs w:val="24"/>
        </w:rPr>
        <w:t>Id.</w:t>
      </w:r>
      <w:r w:rsidR="00D4018F">
        <w:rPr>
          <w:rFonts w:ascii="Courier New" w:hAnsi="Courier New" w:cs="Courier New"/>
          <w:b/>
          <w:i/>
          <w:sz w:val="24"/>
          <w:szCs w:val="24"/>
        </w:rPr>
        <w:t> </w:t>
      </w:r>
      <w:r w:rsidR="00D4018F" w:rsidRPr="008B2A79">
        <w:rPr>
          <w:rFonts w:ascii="Courier New" w:hAnsi="Courier New" w:cs="Courier New"/>
          <w:sz w:val="24"/>
          <w:szCs w:val="24"/>
        </w:rPr>
        <w:t>A</w:t>
      </w:r>
      <w:r w:rsidRPr="008B2A79">
        <w:rPr>
          <w:rFonts w:ascii="Courier New" w:hAnsi="Courier New" w:cs="Courier New"/>
          <w:sz w:val="24"/>
          <w:szCs w:val="24"/>
        </w:rPr>
        <w:t>t</w:t>
      </w:r>
      <w:r w:rsidR="00D4018F">
        <w:rPr>
          <w:rFonts w:ascii="Courier New" w:hAnsi="Courier New" w:cs="Courier New"/>
          <w:sz w:val="24"/>
          <w:szCs w:val="24"/>
        </w:rPr>
        <w:t> </w:t>
      </w:r>
      <w:r w:rsidRPr="008B2A79">
        <w:rPr>
          <w:rFonts w:ascii="Courier New" w:hAnsi="Courier New" w:cs="Courier New"/>
          <w:sz w:val="24"/>
          <w:szCs w:val="24"/>
        </w:rPr>
        <w:t>542</w:t>
      </w:r>
      <w:r>
        <w:rPr>
          <w:rFonts w:ascii="Courier New" w:hAnsi="Courier New" w:cs="Courier New"/>
          <w:b/>
          <w:i/>
          <w:sz w:val="24"/>
          <w:szCs w:val="24"/>
        </w:rPr>
        <w:t xml:space="preserve">. </w:t>
      </w:r>
      <w:r>
        <w:rPr>
          <w:rFonts w:ascii="Courier New" w:hAnsi="Courier New" w:cs="Courier New"/>
          <w:sz w:val="24"/>
          <w:szCs w:val="24"/>
        </w:rPr>
        <w:t xml:space="preserve">PSRs performed a function similar to Genentech’s clinical specialists, while the CSSs were registered nurses </w:t>
      </w:r>
      <w:r w:rsidRPr="001A743D">
        <w:rPr>
          <w:rFonts w:ascii="Courier New" w:hAnsi="Courier New" w:cs="Courier New"/>
          <w:sz w:val="24"/>
          <w:szCs w:val="24"/>
        </w:rPr>
        <w:t xml:space="preserve">who </w:t>
      </w:r>
      <w:r>
        <w:rPr>
          <w:rFonts w:ascii="Courier New" w:hAnsi="Courier New" w:cs="Courier New"/>
          <w:sz w:val="24"/>
          <w:szCs w:val="24"/>
        </w:rPr>
        <w:t>assisted the PSRs in their sales efforts, but who performed additional clinical services due to their increased level of expertise</w:t>
      </w:r>
      <w:r w:rsidRPr="001A743D">
        <w:rPr>
          <w:rFonts w:ascii="Courier New" w:hAnsi="Courier New" w:cs="Courier New"/>
          <w:sz w:val="24"/>
          <w:szCs w:val="24"/>
        </w:rPr>
        <w:t>.</w:t>
      </w:r>
      <w:r>
        <w:rPr>
          <w:rFonts w:ascii="Courier New" w:hAnsi="Courier New" w:cs="Courier New"/>
          <w:sz w:val="24"/>
          <w:szCs w:val="24"/>
        </w:rPr>
        <w:t xml:space="preserve"> </w:t>
      </w:r>
      <w:r>
        <w:rPr>
          <w:rFonts w:ascii="Courier New" w:hAnsi="Courier New" w:cs="Courier New"/>
          <w:b/>
          <w:i/>
          <w:sz w:val="24"/>
          <w:szCs w:val="24"/>
        </w:rPr>
        <w:t xml:space="preserve">Id. </w:t>
      </w:r>
      <w:r w:rsidRPr="008B2A79">
        <w:rPr>
          <w:rFonts w:ascii="Courier New" w:hAnsi="Courier New" w:cs="Courier New"/>
          <w:sz w:val="24"/>
          <w:szCs w:val="24"/>
        </w:rPr>
        <w:t>at 54</w:t>
      </w:r>
      <w:r>
        <w:rPr>
          <w:rFonts w:ascii="Courier New" w:hAnsi="Courier New" w:cs="Courier New"/>
          <w:sz w:val="24"/>
          <w:szCs w:val="24"/>
        </w:rPr>
        <w:t xml:space="preserve">3 and 546-547. </w:t>
      </w:r>
    </w:p>
    <w:p w:rsidR="008627C1" w:rsidRDefault="008627C1" w:rsidP="008627C1">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The Board ruled that the solicitation of doctors by the PSRs was within the boundaries of Public Law 86-272. </w:t>
      </w:r>
      <w:r w:rsidRPr="004319CF">
        <w:rPr>
          <w:rFonts w:ascii="Courier New" w:hAnsi="Courier New" w:cs="Courier New"/>
          <w:b/>
          <w:i/>
          <w:sz w:val="24"/>
          <w:szCs w:val="24"/>
        </w:rPr>
        <w:t>Id</w:t>
      </w:r>
      <w:r>
        <w:rPr>
          <w:rFonts w:ascii="Courier New" w:hAnsi="Courier New" w:cs="Courier New"/>
          <w:b/>
          <w:sz w:val="24"/>
          <w:szCs w:val="24"/>
        </w:rPr>
        <w:t xml:space="preserve">. </w:t>
      </w:r>
      <w:r w:rsidRPr="004319CF">
        <w:rPr>
          <w:rFonts w:ascii="Courier New" w:hAnsi="Courier New" w:cs="Courier New"/>
          <w:sz w:val="24"/>
          <w:szCs w:val="24"/>
        </w:rPr>
        <w:t>at</w:t>
      </w:r>
      <w:r>
        <w:rPr>
          <w:rFonts w:ascii="Courier New" w:hAnsi="Courier New" w:cs="Courier New"/>
          <w:sz w:val="24"/>
          <w:szCs w:val="24"/>
        </w:rPr>
        <w:t xml:space="preserve"> 556-557. The SJC, in upholding the Board’s ruling, indicated that, because nurses may also have significant input into the purchasing decision, the PSRs solicitation of nurses and demonstration made to them, without more, could be a permitted indirect form of solicitation of orders under Public Law 86-272. </w:t>
      </w:r>
      <w:r>
        <w:rPr>
          <w:rFonts w:ascii="Courier New" w:hAnsi="Courier New" w:cs="Courier New"/>
          <w:b/>
          <w:i/>
          <w:sz w:val="24"/>
          <w:szCs w:val="24"/>
        </w:rPr>
        <w:t>Amgen</w:t>
      </w:r>
      <w:r>
        <w:rPr>
          <w:rFonts w:ascii="Courier New" w:hAnsi="Courier New" w:cs="Courier New"/>
          <w:sz w:val="24"/>
          <w:szCs w:val="24"/>
        </w:rPr>
        <w:t>, 427 Mass. 357, 362, n. 5.</w:t>
      </w:r>
      <w:r w:rsidRPr="005E00C9">
        <w:rPr>
          <w:rFonts w:ascii="Courier New" w:hAnsi="Courier New" w:cs="Courier New"/>
          <w:sz w:val="24"/>
          <w:szCs w:val="24"/>
        </w:rPr>
        <w:t xml:space="preserve"> </w:t>
      </w:r>
      <w:r>
        <w:rPr>
          <w:rFonts w:ascii="Courier New" w:hAnsi="Courier New" w:cs="Courier New"/>
          <w:sz w:val="24"/>
          <w:szCs w:val="24"/>
        </w:rPr>
        <w:t xml:space="preserve">(1998). Thus, the Board likewise ruled that the activities of Genentech’s clinical specialists were </w:t>
      </w:r>
      <w:r>
        <w:rPr>
          <w:rFonts w:ascii="Courier New" w:hAnsi="Courier New" w:cs="Courier New"/>
          <w:sz w:val="24"/>
          <w:szCs w:val="24"/>
        </w:rPr>
        <w:lastRenderedPageBreak/>
        <w:t>similarly protected activities within the purview of Public Law 86-272.</w:t>
      </w:r>
      <w:r>
        <w:rPr>
          <w:rStyle w:val="FootnoteReference"/>
          <w:rFonts w:ascii="Courier New" w:hAnsi="Courier New" w:cs="Courier New"/>
          <w:sz w:val="24"/>
          <w:szCs w:val="24"/>
        </w:rPr>
        <w:footnoteReference w:id="12"/>
      </w:r>
    </w:p>
    <w:p w:rsidR="008627C1" w:rsidRPr="001A743D" w:rsidRDefault="008627C1" w:rsidP="008627C1">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While the activities of the PSRs in </w:t>
      </w:r>
      <w:r>
        <w:rPr>
          <w:rFonts w:ascii="Courier New" w:hAnsi="Courier New" w:cs="Courier New"/>
          <w:b/>
          <w:i/>
          <w:sz w:val="24"/>
          <w:szCs w:val="24"/>
        </w:rPr>
        <w:t xml:space="preserve">Amgen </w:t>
      </w:r>
      <w:r w:rsidRPr="007D5B3B">
        <w:rPr>
          <w:rFonts w:ascii="Courier New" w:hAnsi="Courier New" w:cs="Courier New"/>
          <w:sz w:val="24"/>
          <w:szCs w:val="24"/>
        </w:rPr>
        <w:t>were</w:t>
      </w:r>
      <w:r>
        <w:rPr>
          <w:rFonts w:ascii="Courier New" w:hAnsi="Courier New" w:cs="Courier New"/>
          <w:b/>
          <w:i/>
          <w:sz w:val="24"/>
          <w:szCs w:val="24"/>
        </w:rPr>
        <w:t xml:space="preserve"> </w:t>
      </w:r>
      <w:r>
        <w:rPr>
          <w:rFonts w:ascii="Courier New" w:hAnsi="Courier New" w:cs="Courier New"/>
          <w:sz w:val="24"/>
          <w:szCs w:val="24"/>
        </w:rPr>
        <w:t xml:space="preserve">found to be the solicitation of sales, the activities of the CSSs, which included reviewing patient charts and answering patient specific questions, exceeded the solicitation of orders. </w:t>
      </w:r>
      <w:r>
        <w:rPr>
          <w:rFonts w:ascii="Courier New" w:hAnsi="Courier New" w:cs="Courier New"/>
          <w:b/>
          <w:i/>
          <w:sz w:val="24"/>
          <w:szCs w:val="24"/>
        </w:rPr>
        <w:t>Id.</w:t>
      </w:r>
      <w:r>
        <w:rPr>
          <w:rFonts w:ascii="Courier New" w:hAnsi="Courier New" w:cs="Courier New"/>
          <w:sz w:val="24"/>
          <w:szCs w:val="24"/>
        </w:rPr>
        <w:t xml:space="preserve"> at 361. </w:t>
      </w:r>
      <w:r w:rsidRPr="001A743D">
        <w:rPr>
          <w:rFonts w:ascii="Courier New" w:hAnsi="Courier New" w:cs="Courier New"/>
          <w:sz w:val="24"/>
          <w:szCs w:val="24"/>
        </w:rPr>
        <w:t xml:space="preserve">In explaining its ruling, the </w:t>
      </w:r>
      <w:r>
        <w:rPr>
          <w:rFonts w:ascii="Courier New" w:hAnsi="Courier New" w:cs="Courier New"/>
          <w:sz w:val="24"/>
          <w:szCs w:val="24"/>
        </w:rPr>
        <w:t>SJC</w:t>
      </w:r>
      <w:r w:rsidRPr="001A743D">
        <w:rPr>
          <w:rFonts w:ascii="Courier New" w:hAnsi="Courier New" w:cs="Courier New"/>
          <w:sz w:val="24"/>
          <w:szCs w:val="24"/>
        </w:rPr>
        <w:t xml:space="preserve"> addressed Amgen’s argument that the CSSs</w:t>
      </w:r>
      <w:r>
        <w:rPr>
          <w:rFonts w:ascii="Courier New" w:hAnsi="Courier New" w:cs="Courier New"/>
          <w:sz w:val="24"/>
          <w:szCs w:val="24"/>
        </w:rPr>
        <w:t>’</w:t>
      </w:r>
      <w:r w:rsidRPr="001A743D">
        <w:rPr>
          <w:rFonts w:ascii="Courier New" w:hAnsi="Courier New" w:cs="Courier New"/>
          <w:sz w:val="24"/>
          <w:szCs w:val="24"/>
        </w:rPr>
        <w:t xml:space="preserve"> activities were part of the overall solicitation effort:</w:t>
      </w:r>
    </w:p>
    <w:p w:rsidR="008627C1" w:rsidRDefault="008627C1" w:rsidP="008627C1">
      <w:pPr>
        <w:spacing w:line="276" w:lineRule="auto"/>
        <w:ind w:left="720" w:right="720"/>
        <w:jc w:val="both"/>
        <w:rPr>
          <w:rFonts w:ascii="Courier New" w:hAnsi="Courier New" w:cs="Courier New"/>
          <w:sz w:val="24"/>
          <w:szCs w:val="24"/>
        </w:rPr>
      </w:pPr>
      <w:r w:rsidRPr="001A743D">
        <w:rPr>
          <w:rFonts w:ascii="Courier New" w:hAnsi="Courier New" w:cs="Courier New"/>
          <w:sz w:val="24"/>
          <w:szCs w:val="24"/>
        </w:rPr>
        <w:t xml:space="preserve">Amgen is misreading the proper standard for determining whether an activity is protected from the Massachusetts excise by Pub. L. 86-272. Amgen has indicated how the activities of its CSSs might tend to increase general sales. Amgen's brief even states that the activities of its sales force were exclusively dedicated to the goal of increasing orders. Amgen has not indicated how such activities increase the actual solicitation of orders. Pub. L. 86-272 protects only the latter from the Massachusetts excise. </w:t>
      </w:r>
      <w:r w:rsidRPr="00087619">
        <w:rPr>
          <w:rFonts w:ascii="Courier New" w:hAnsi="Courier New" w:cs="Courier New"/>
          <w:b/>
          <w:i/>
          <w:sz w:val="24"/>
          <w:szCs w:val="24"/>
        </w:rPr>
        <w:t>Id</w:t>
      </w:r>
      <w:r w:rsidRPr="001A743D">
        <w:rPr>
          <w:rFonts w:ascii="Courier New" w:hAnsi="Courier New" w:cs="Courier New"/>
          <w:sz w:val="24"/>
          <w:szCs w:val="24"/>
        </w:rPr>
        <w:t>.</w:t>
      </w:r>
      <w:r>
        <w:rPr>
          <w:rFonts w:ascii="Courier New" w:hAnsi="Courier New" w:cs="Courier New"/>
          <w:sz w:val="24"/>
          <w:szCs w:val="24"/>
        </w:rPr>
        <w:t xml:space="preserve"> at 362.</w:t>
      </w:r>
    </w:p>
    <w:p w:rsidR="008627C1" w:rsidRPr="001A743D" w:rsidRDefault="008627C1" w:rsidP="008627C1">
      <w:pPr>
        <w:spacing w:line="276" w:lineRule="auto"/>
        <w:ind w:left="720" w:right="720"/>
        <w:jc w:val="both"/>
        <w:rPr>
          <w:rFonts w:ascii="Courier New" w:hAnsi="Courier New" w:cs="Courier New"/>
          <w:sz w:val="24"/>
          <w:szCs w:val="24"/>
        </w:rPr>
      </w:pPr>
    </w:p>
    <w:p w:rsidR="008627C1" w:rsidRDefault="008627C1" w:rsidP="008627C1">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Although the activities of Genentech’s MSLs and managed care division are geared toward increasing the use </w:t>
      </w:r>
      <w:r>
        <w:rPr>
          <w:rFonts w:ascii="Courier New" w:hAnsi="Courier New" w:cs="Courier New"/>
          <w:sz w:val="24"/>
          <w:szCs w:val="24"/>
        </w:rPr>
        <w:lastRenderedPageBreak/>
        <w:t>of Genentech’s drugs, their activities do not involve the solicitation of doctors and nurses. MSLs are individuals with specialized medical or scientific training who are not in the sales organization but who serve as “liaisons” between Genentech, clinical treatment providers, and thought leaders in the field. They did not have any sales accounts, but supported the overall sales efforts by answering technical, clinical questions from providers, meeting with thought leaders, and coordinating educational presentations. John Mastrianni and his predecessor covering Massachusetts as part of Genentech’s managed care division did</w:t>
      </w:r>
      <w:r w:rsidRPr="001A743D">
        <w:rPr>
          <w:rFonts w:ascii="Courier New" w:hAnsi="Courier New" w:cs="Courier New"/>
          <w:sz w:val="24"/>
          <w:szCs w:val="24"/>
        </w:rPr>
        <w:t xml:space="preserve"> not call on anyone </w:t>
      </w:r>
      <w:r>
        <w:rPr>
          <w:rFonts w:ascii="Courier New" w:hAnsi="Courier New" w:cs="Courier New"/>
          <w:sz w:val="24"/>
          <w:szCs w:val="24"/>
        </w:rPr>
        <w:t>involved in clinical treatment of patients who might be in a position to prescribe drugs</w:t>
      </w:r>
      <w:r w:rsidRPr="001A743D">
        <w:rPr>
          <w:rFonts w:ascii="Courier New" w:hAnsi="Courier New" w:cs="Courier New"/>
          <w:sz w:val="24"/>
          <w:szCs w:val="24"/>
        </w:rPr>
        <w:t xml:space="preserve">. </w:t>
      </w:r>
      <w:r>
        <w:rPr>
          <w:rFonts w:ascii="Courier New" w:hAnsi="Courier New" w:cs="Courier New"/>
          <w:sz w:val="24"/>
          <w:szCs w:val="24"/>
        </w:rPr>
        <w:t xml:space="preserve">Health insurance companies are not the party that chooses which drug is prescribed or the party which makes the purchase of the drug at the pharmacy, but in many cases they are the party that bears the ultimate cost of the drugs. As such, whether a drug is covered under an insurance plan and to what extent can have a material impact on whether it can be chosen as a treatment. </w:t>
      </w:r>
    </w:p>
    <w:p w:rsidR="008627C1" w:rsidRDefault="008627C1" w:rsidP="008627C1">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However, the Board did not ultimately reach the issue of whether the activities of MSLs or the managed care division exceeded the boundaries of Public Law 86-272 for each of the periods at issue as it found that the ownership </w:t>
      </w:r>
      <w:r>
        <w:rPr>
          <w:rFonts w:ascii="Courier New" w:hAnsi="Courier New" w:cs="Courier New"/>
          <w:sz w:val="24"/>
          <w:szCs w:val="24"/>
        </w:rPr>
        <w:lastRenderedPageBreak/>
        <w:t>of property was sufficient to subject Genentech to Massachusetts corporate excise tax for all of the periods at issue.</w:t>
      </w:r>
    </w:p>
    <w:p w:rsidR="008627C1" w:rsidRDefault="008627C1" w:rsidP="008627C1">
      <w:pPr>
        <w:pStyle w:val="ListParagraph"/>
        <w:numPr>
          <w:ilvl w:val="0"/>
          <w:numId w:val="16"/>
        </w:numPr>
        <w:jc w:val="both"/>
        <w:rPr>
          <w:rFonts w:ascii="Courier New" w:hAnsi="Courier New" w:cs="Courier New"/>
          <w:b/>
          <w:sz w:val="24"/>
          <w:szCs w:val="24"/>
        </w:rPr>
      </w:pPr>
      <w:r w:rsidRPr="00DF5E0C">
        <w:rPr>
          <w:rFonts w:ascii="Courier New" w:hAnsi="Courier New" w:cs="Courier New"/>
          <w:b/>
          <w:sz w:val="24"/>
          <w:szCs w:val="24"/>
        </w:rPr>
        <w:t xml:space="preserve">Genentech’s Production of Biologically Derived Pharmaceuticals </w:t>
      </w:r>
      <w:r>
        <w:rPr>
          <w:rFonts w:ascii="Courier New" w:hAnsi="Courier New" w:cs="Courier New"/>
          <w:b/>
          <w:sz w:val="24"/>
          <w:szCs w:val="24"/>
        </w:rPr>
        <w:t>is Manufacturing</w:t>
      </w:r>
    </w:p>
    <w:p w:rsidR="008627C1" w:rsidRPr="00DF5E0C" w:rsidRDefault="008627C1" w:rsidP="008627C1">
      <w:pPr>
        <w:pStyle w:val="ListParagraph"/>
        <w:ind w:left="1080"/>
        <w:jc w:val="both"/>
        <w:rPr>
          <w:rFonts w:ascii="Courier New" w:hAnsi="Courier New" w:cs="Courier New"/>
          <w:b/>
          <w:sz w:val="24"/>
          <w:szCs w:val="24"/>
        </w:rPr>
      </w:pPr>
    </w:p>
    <w:p w:rsidR="008627C1" w:rsidRPr="00DA328A" w:rsidRDefault="008627C1" w:rsidP="008627C1">
      <w:pPr>
        <w:spacing w:line="480" w:lineRule="auto"/>
        <w:ind w:firstLine="720"/>
        <w:jc w:val="both"/>
        <w:rPr>
          <w:rFonts w:ascii="Courier New" w:hAnsi="Courier New" w:cs="Courier New"/>
          <w:sz w:val="24"/>
          <w:szCs w:val="24"/>
        </w:rPr>
      </w:pPr>
      <w:r>
        <w:rPr>
          <w:rFonts w:ascii="Courier New" w:hAnsi="Courier New" w:cs="Courier New"/>
          <w:sz w:val="24"/>
          <w:szCs w:val="24"/>
        </w:rPr>
        <w:t>Pursuant to G.L. c. 63, § 38(</w:t>
      </w:r>
      <w:r w:rsidRPr="00607487">
        <w:rPr>
          <w:rFonts w:ascii="Courier New" w:hAnsi="Courier New" w:cs="Courier New"/>
          <w:i/>
          <w:sz w:val="24"/>
          <w:szCs w:val="24"/>
        </w:rPr>
        <w:t>l</w:t>
      </w:r>
      <w:r>
        <w:rPr>
          <w:rFonts w:ascii="Courier New" w:hAnsi="Courier New" w:cs="Courier New"/>
          <w:sz w:val="24"/>
          <w:szCs w:val="24"/>
        </w:rPr>
        <w:t xml:space="preserve">), a “manufacturing corporation” is required to apportion its income to Massachusetts using a single sales factor apportionment formula. A manufacturing corporation is defined as one that is “engaged in manufacturing,” which means being “engaged, in substantial part, in transforming raw or finished physical materials by hand or machinery, and through human skill and knowledge into a new product possessing a new name, nature, and adapted to a new use.” </w:t>
      </w:r>
      <w:r w:rsidRPr="00AA4C9B">
        <w:rPr>
          <w:rFonts w:ascii="Courier New" w:hAnsi="Courier New" w:cs="Courier New"/>
          <w:b/>
          <w:i/>
          <w:sz w:val="24"/>
          <w:szCs w:val="24"/>
        </w:rPr>
        <w:t>Id</w:t>
      </w:r>
      <w:r>
        <w:rPr>
          <w:rFonts w:ascii="Courier New" w:hAnsi="Courier New" w:cs="Courier New"/>
          <w:b/>
          <w:sz w:val="24"/>
          <w:szCs w:val="24"/>
        </w:rPr>
        <w:t xml:space="preserve">.; </w:t>
      </w:r>
      <w:r w:rsidRPr="000A1D4E">
        <w:rPr>
          <w:rFonts w:ascii="Courier New" w:hAnsi="Courier New" w:cs="Courier New"/>
          <w:i/>
          <w:sz w:val="24"/>
          <w:szCs w:val="24"/>
        </w:rPr>
        <w:t>See</w:t>
      </w:r>
      <w:r>
        <w:rPr>
          <w:rFonts w:ascii="Courier New" w:hAnsi="Courier New" w:cs="Courier New"/>
          <w:b/>
          <w:sz w:val="24"/>
          <w:szCs w:val="24"/>
        </w:rPr>
        <w:t xml:space="preserve"> </w:t>
      </w:r>
      <w:r>
        <w:rPr>
          <w:rFonts w:ascii="Courier New" w:hAnsi="Courier New" w:cs="Courier New"/>
          <w:b/>
          <w:i/>
          <w:sz w:val="24"/>
          <w:szCs w:val="24"/>
        </w:rPr>
        <w:t>Boston &amp; Me. R.R. v. Billerica</w:t>
      </w:r>
      <w:r>
        <w:rPr>
          <w:rFonts w:ascii="Courier New" w:hAnsi="Courier New" w:cs="Courier New"/>
          <w:sz w:val="24"/>
          <w:szCs w:val="24"/>
        </w:rPr>
        <w:t xml:space="preserve">, 262 Mass. 439, 444-445 (1928)(manufacturing is “[c]hange wrought through the application of forces directed by the human mind, which results in the transformation of some pre-existing substance or element into something different, with a new name, nature or use”). Massachusetts courts have historically “construed the phrase ‘engaged in manufacturing’ as having a flexible meaning that should not be narrowly restricted.” </w:t>
      </w:r>
      <w:r>
        <w:rPr>
          <w:rFonts w:ascii="Courier New" w:hAnsi="Courier New" w:cs="Courier New"/>
          <w:b/>
          <w:i/>
          <w:sz w:val="24"/>
          <w:szCs w:val="24"/>
        </w:rPr>
        <w:t>Onex Communications Corp. v. Commissioner of Revenue</w:t>
      </w:r>
      <w:r>
        <w:rPr>
          <w:rFonts w:ascii="Courier New" w:hAnsi="Courier New" w:cs="Courier New"/>
          <w:sz w:val="24"/>
          <w:szCs w:val="24"/>
        </w:rPr>
        <w:t xml:space="preserve">, 457 Mass. 419, 425 (2010)(citing </w:t>
      </w:r>
      <w:r>
        <w:rPr>
          <w:rFonts w:ascii="Courier New" w:hAnsi="Courier New" w:cs="Courier New"/>
          <w:b/>
          <w:i/>
          <w:sz w:val="24"/>
          <w:szCs w:val="24"/>
        </w:rPr>
        <w:lastRenderedPageBreak/>
        <w:t>William F. Sullivan &amp; Co. v. Commissioner of Revenue</w:t>
      </w:r>
      <w:r>
        <w:rPr>
          <w:rFonts w:ascii="Courier New" w:hAnsi="Courier New" w:cs="Courier New"/>
          <w:sz w:val="24"/>
          <w:szCs w:val="24"/>
        </w:rPr>
        <w:t>, 413</w:t>
      </w:r>
      <w:r w:rsidR="00D4018F">
        <w:rPr>
          <w:rFonts w:ascii="Courier New" w:hAnsi="Courier New" w:cs="Courier New"/>
          <w:sz w:val="24"/>
          <w:szCs w:val="24"/>
        </w:rPr>
        <w:t> </w:t>
      </w:r>
      <w:r>
        <w:rPr>
          <w:rFonts w:ascii="Courier New" w:hAnsi="Courier New" w:cs="Courier New"/>
          <w:sz w:val="24"/>
          <w:szCs w:val="24"/>
        </w:rPr>
        <w:t xml:space="preserve">Mass. 576, 579 (1992) </w:t>
      </w:r>
      <w:r w:rsidRPr="00F7122D">
        <w:rPr>
          <w:rFonts w:ascii="Courier New" w:hAnsi="Courier New" w:cs="Courier New"/>
          <w:sz w:val="24"/>
          <w:szCs w:val="24"/>
        </w:rPr>
        <w:t>and</w:t>
      </w:r>
      <w:r>
        <w:rPr>
          <w:rFonts w:ascii="Courier New" w:hAnsi="Courier New" w:cs="Courier New"/>
          <w:sz w:val="24"/>
          <w:szCs w:val="24"/>
        </w:rPr>
        <w:t xml:space="preserve"> </w:t>
      </w:r>
      <w:r>
        <w:rPr>
          <w:rFonts w:ascii="Courier New" w:hAnsi="Courier New" w:cs="Courier New"/>
          <w:b/>
          <w:i/>
          <w:sz w:val="24"/>
          <w:szCs w:val="24"/>
        </w:rPr>
        <w:t>Commissioner of Corps. &amp; Taxation v. Assessors of Boston</w:t>
      </w:r>
      <w:r>
        <w:rPr>
          <w:rFonts w:ascii="Courier New" w:hAnsi="Courier New" w:cs="Courier New"/>
          <w:sz w:val="24"/>
          <w:szCs w:val="24"/>
        </w:rPr>
        <w:t xml:space="preserve">, 324 Mass. 32, 36 (1949)). </w:t>
      </w:r>
    </w:p>
    <w:p w:rsidR="008627C1" w:rsidRDefault="008627C1" w:rsidP="008627C1">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A determination as to whether a corporation is engaged in manufacturing depends on the facts and circumstances of each taxpayer. </w:t>
      </w:r>
      <w:r>
        <w:rPr>
          <w:rFonts w:ascii="Courier New" w:hAnsi="Courier New" w:cs="Courier New"/>
          <w:b/>
          <w:i/>
          <w:sz w:val="24"/>
          <w:szCs w:val="24"/>
        </w:rPr>
        <w:t>Commissioner v. Houghton Mifflin Co.</w:t>
      </w:r>
      <w:r>
        <w:rPr>
          <w:rFonts w:ascii="Courier New" w:hAnsi="Courier New" w:cs="Courier New"/>
          <w:sz w:val="24"/>
          <w:szCs w:val="24"/>
        </w:rPr>
        <w:t>, 423</w:t>
      </w:r>
      <w:r w:rsidR="005B6F7A">
        <w:rPr>
          <w:rFonts w:ascii="Courier New" w:hAnsi="Courier New" w:cs="Courier New"/>
          <w:sz w:val="24"/>
          <w:szCs w:val="24"/>
        </w:rPr>
        <w:t> </w:t>
      </w:r>
      <w:r>
        <w:rPr>
          <w:rFonts w:ascii="Courier New" w:hAnsi="Courier New" w:cs="Courier New"/>
          <w:sz w:val="24"/>
          <w:szCs w:val="24"/>
        </w:rPr>
        <w:t>Mass</w:t>
      </w:r>
      <w:r w:rsidR="005B6F7A">
        <w:rPr>
          <w:rFonts w:ascii="Courier New" w:hAnsi="Courier New" w:cs="Courier New"/>
          <w:sz w:val="24"/>
          <w:szCs w:val="24"/>
        </w:rPr>
        <w:t>.</w:t>
      </w:r>
      <w:r>
        <w:rPr>
          <w:rFonts w:ascii="Courier New" w:hAnsi="Courier New" w:cs="Courier New"/>
          <w:sz w:val="24"/>
          <w:szCs w:val="24"/>
        </w:rPr>
        <w:t xml:space="preserve"> 42, 45 (1997); </w:t>
      </w:r>
      <w:r>
        <w:rPr>
          <w:rFonts w:ascii="Courier New" w:hAnsi="Courier New" w:cs="Courier New"/>
          <w:b/>
          <w:i/>
          <w:sz w:val="24"/>
          <w:szCs w:val="24"/>
        </w:rPr>
        <w:t xml:space="preserve">William F. Sullivan &amp; Co. </w:t>
      </w:r>
      <w:r>
        <w:rPr>
          <w:rFonts w:ascii="Courier New" w:hAnsi="Courier New" w:cs="Courier New"/>
          <w:sz w:val="24"/>
          <w:szCs w:val="24"/>
        </w:rPr>
        <w:t>413 Mass at 581;</w:t>
      </w:r>
      <w:r>
        <w:rPr>
          <w:rFonts w:ascii="Courier New" w:hAnsi="Courier New" w:cs="Courier New"/>
          <w:b/>
          <w:i/>
          <w:sz w:val="24"/>
          <w:szCs w:val="24"/>
        </w:rPr>
        <w:t xml:space="preserve"> Commissioner of Corps. &amp; Taxation</w:t>
      </w:r>
      <w:r>
        <w:rPr>
          <w:rFonts w:ascii="Courier New" w:hAnsi="Courier New" w:cs="Courier New"/>
          <w:sz w:val="24"/>
          <w:szCs w:val="24"/>
        </w:rPr>
        <w:t xml:space="preserve">, 324 Mass. at 733. This case-by-case analysis has prompted a large body of case law through which a variety of activities have been determined to be manufacturing. </w:t>
      </w:r>
      <w:r w:rsidRPr="000A1D4E">
        <w:rPr>
          <w:rFonts w:ascii="Courier New" w:hAnsi="Courier New" w:cs="Courier New"/>
          <w:i/>
          <w:sz w:val="24"/>
          <w:szCs w:val="24"/>
        </w:rPr>
        <w:t>See</w:t>
      </w:r>
      <w:r>
        <w:rPr>
          <w:rFonts w:ascii="Courier New" w:hAnsi="Courier New" w:cs="Courier New"/>
          <w:sz w:val="24"/>
          <w:szCs w:val="24"/>
        </w:rPr>
        <w:t xml:space="preserve"> </w:t>
      </w:r>
      <w:r w:rsidRPr="001C2C94">
        <w:rPr>
          <w:rFonts w:ascii="Courier New" w:hAnsi="Courier New" w:cs="Courier New"/>
          <w:i/>
          <w:sz w:val="24"/>
          <w:szCs w:val="24"/>
        </w:rPr>
        <w:t>e.g.</w:t>
      </w:r>
      <w:r>
        <w:rPr>
          <w:rFonts w:ascii="Courier New" w:hAnsi="Courier New" w:cs="Courier New"/>
          <w:sz w:val="24"/>
          <w:szCs w:val="24"/>
        </w:rPr>
        <w:t xml:space="preserve">, </w:t>
      </w:r>
      <w:r>
        <w:rPr>
          <w:rFonts w:ascii="Courier New" w:hAnsi="Courier New" w:cs="Courier New"/>
          <w:b/>
          <w:i/>
          <w:sz w:val="24"/>
          <w:szCs w:val="24"/>
        </w:rPr>
        <w:t>William F. Sullivan &amp; Co.,</w:t>
      </w:r>
      <w:r w:rsidRPr="00615FF1">
        <w:rPr>
          <w:rFonts w:ascii="Courier New" w:hAnsi="Courier New" w:cs="Courier New"/>
          <w:sz w:val="24"/>
          <w:szCs w:val="24"/>
        </w:rPr>
        <w:t xml:space="preserve"> </w:t>
      </w:r>
      <w:r>
        <w:rPr>
          <w:rFonts w:ascii="Courier New" w:hAnsi="Courier New" w:cs="Courier New"/>
          <w:sz w:val="24"/>
          <w:szCs w:val="24"/>
        </w:rPr>
        <w:t xml:space="preserve">413 Mass. at 579 (cleaning and sorting scrap metal and processing into blocks); </w:t>
      </w:r>
      <w:r>
        <w:rPr>
          <w:rFonts w:ascii="Courier New" w:hAnsi="Courier New" w:cs="Courier New"/>
          <w:b/>
          <w:i/>
          <w:sz w:val="24"/>
          <w:szCs w:val="24"/>
        </w:rPr>
        <w:t>Joseph T. Rossi Corp. v. Commissioner of Revenue</w:t>
      </w:r>
      <w:r>
        <w:rPr>
          <w:rFonts w:ascii="Courier New" w:hAnsi="Courier New" w:cs="Courier New"/>
          <w:b/>
          <w:sz w:val="24"/>
          <w:szCs w:val="24"/>
        </w:rPr>
        <w:t xml:space="preserve">, </w:t>
      </w:r>
      <w:r w:rsidRPr="00615FF1">
        <w:rPr>
          <w:rFonts w:ascii="Courier New" w:hAnsi="Courier New" w:cs="Courier New"/>
          <w:sz w:val="24"/>
          <w:szCs w:val="24"/>
        </w:rPr>
        <w:t xml:space="preserve">369 Mass. 178, </w:t>
      </w:r>
      <w:r>
        <w:rPr>
          <w:rFonts w:ascii="Courier New" w:hAnsi="Courier New" w:cs="Courier New"/>
          <w:sz w:val="24"/>
          <w:szCs w:val="24"/>
        </w:rPr>
        <w:t xml:space="preserve">182 (1975)(converting standing timber into cut lumber); </w:t>
      </w:r>
      <w:r>
        <w:rPr>
          <w:rFonts w:ascii="Courier New" w:hAnsi="Courier New" w:cs="Courier New"/>
          <w:b/>
          <w:i/>
          <w:sz w:val="24"/>
          <w:szCs w:val="24"/>
        </w:rPr>
        <w:t>Assessors of Boston v. Commissioner of Corps. &amp; Taxation</w:t>
      </w:r>
      <w:r>
        <w:rPr>
          <w:rFonts w:ascii="Courier New" w:hAnsi="Courier New" w:cs="Courier New"/>
          <w:sz w:val="24"/>
          <w:szCs w:val="24"/>
        </w:rPr>
        <w:t xml:space="preserve">, 323 Mass. 730, 741-748 (1949) (roasting and grinding coffee, producing soft drinks, juice, and chocolate milk, scouring wool); </w:t>
      </w:r>
      <w:r>
        <w:rPr>
          <w:rFonts w:ascii="Courier New" w:hAnsi="Courier New" w:cs="Courier New"/>
          <w:b/>
          <w:i/>
          <w:sz w:val="24"/>
          <w:szCs w:val="24"/>
        </w:rPr>
        <w:t>Random House, Inc. v. Commissioner of Revenue</w:t>
      </w:r>
      <w:r>
        <w:rPr>
          <w:rFonts w:ascii="Courier New" w:hAnsi="Courier New" w:cs="Courier New"/>
          <w:sz w:val="24"/>
          <w:szCs w:val="24"/>
        </w:rPr>
        <w:t xml:space="preserve">, Mass. ATB Findings of Fact and Reports 2012-973, 982 (creating electronic files used to print books). The Commissioner has promulgated a regulation, 830 CMR 58.2.1, which outlines certain principles derived from these cases to serve as guidelines for what constitutes manufacturing, </w:t>
      </w:r>
      <w:r>
        <w:rPr>
          <w:rFonts w:ascii="Courier New" w:hAnsi="Courier New" w:cs="Courier New"/>
          <w:sz w:val="24"/>
          <w:szCs w:val="24"/>
        </w:rPr>
        <w:lastRenderedPageBreak/>
        <w:t xml:space="preserve">including, </w:t>
      </w:r>
      <w:r>
        <w:rPr>
          <w:rFonts w:ascii="Courier New" w:hAnsi="Courier New" w:cs="Courier New"/>
          <w:i/>
          <w:sz w:val="24"/>
          <w:szCs w:val="24"/>
        </w:rPr>
        <w:t>inter alia</w:t>
      </w:r>
      <w:r>
        <w:rPr>
          <w:rFonts w:ascii="Courier New" w:hAnsi="Courier New" w:cs="Courier New"/>
          <w:sz w:val="24"/>
          <w:szCs w:val="24"/>
        </w:rPr>
        <w:t>, that: (1) if the process involves chemical change to property rather than only physical change, it is more likely to be manufacturing; (2) if the process involves only physical change to property, the greater the degree of physical change, the more likely the process is manufacturing; and (3) a process which merely makes an item more attractive for sale without substantially altering the item is not manufacturing. 830</w:t>
      </w:r>
      <w:r w:rsidR="00D4018F">
        <w:rPr>
          <w:rFonts w:ascii="Courier New" w:hAnsi="Courier New" w:cs="Courier New"/>
          <w:sz w:val="24"/>
          <w:szCs w:val="24"/>
        </w:rPr>
        <w:t> </w:t>
      </w:r>
      <w:r>
        <w:rPr>
          <w:rFonts w:ascii="Courier New" w:hAnsi="Courier New" w:cs="Courier New"/>
          <w:sz w:val="24"/>
          <w:szCs w:val="24"/>
        </w:rPr>
        <w:t xml:space="preserve">CMR 58.2.1(6)(b). </w:t>
      </w:r>
    </w:p>
    <w:p w:rsidR="008627C1" w:rsidRDefault="008627C1" w:rsidP="008627C1">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Genentech characterizes its activities as harvesting naturally occurring proteins that were secreted by naturally reproducing cells and selling them for human use without alteration. Thus, in the appellant’s view, its activities are akin to a farmer who harvests corn or tomatoes produced by plants, which even if it is often done with the aid of heavy machinery, is not manufacturing. </w:t>
      </w:r>
      <w:r w:rsidRPr="00FD525E">
        <w:rPr>
          <w:rFonts w:ascii="Courier New" w:hAnsi="Courier New" w:cs="Courier New"/>
          <w:sz w:val="24"/>
          <w:szCs w:val="24"/>
        </w:rPr>
        <w:t>The Board found the appellant’s analogy to farming to be facile at best.</w:t>
      </w:r>
      <w:r>
        <w:rPr>
          <w:rFonts w:ascii="Courier New" w:hAnsi="Courier New" w:cs="Courier New"/>
          <w:sz w:val="24"/>
          <w:szCs w:val="24"/>
        </w:rPr>
        <w:t xml:space="preserve"> </w:t>
      </w:r>
    </w:p>
    <w:p w:rsidR="008627C1" w:rsidRDefault="008627C1" w:rsidP="008627C1">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While it is true that the proteins which comprise Genentech’s drugs are naturally occurring, they certainly do not naturally occur in the environment where Genentech harvests them. Genentech scientists implanted DNA molecules into a bacteria cell or Chinese hamster ovary to genetically transform that medium to behave in ways other </w:t>
      </w:r>
      <w:r>
        <w:rPr>
          <w:rFonts w:ascii="Courier New" w:hAnsi="Courier New" w:cs="Courier New"/>
          <w:sz w:val="24"/>
          <w:szCs w:val="24"/>
        </w:rPr>
        <w:lastRenderedPageBreak/>
        <w:t xml:space="preserve">than what its natural genetic code would dictate. Genentech then took the original genetically altered cells developed to produce each of their drugs and let them reproduce billions of times over, each time replicating the same strand of DNA necessary to make the desired protein. </w:t>
      </w:r>
    </w:p>
    <w:p w:rsidR="008627C1" w:rsidRPr="003F3DCD" w:rsidRDefault="008627C1" w:rsidP="008627C1">
      <w:pPr>
        <w:spacing w:line="480" w:lineRule="auto"/>
        <w:ind w:firstLine="720"/>
        <w:jc w:val="both"/>
      </w:pPr>
      <w:r>
        <w:rPr>
          <w:rFonts w:ascii="Courier New" w:hAnsi="Courier New" w:cs="Courier New"/>
          <w:sz w:val="24"/>
          <w:szCs w:val="24"/>
        </w:rPr>
        <w:t xml:space="preserve">Genentech does not take any action to replicate the cells – that is the natural action of what a cell does. In that way, the appellant argues that its activities are analogous to those in </w:t>
      </w:r>
      <w:r>
        <w:rPr>
          <w:rFonts w:ascii="Courier New" w:hAnsi="Courier New" w:cs="Courier New"/>
          <w:b/>
          <w:i/>
          <w:sz w:val="24"/>
          <w:szCs w:val="24"/>
        </w:rPr>
        <w:t>The Charles River Breeding Laboratories, Inc. v. State Tax Commission</w:t>
      </w:r>
      <w:r>
        <w:rPr>
          <w:rFonts w:ascii="Courier New" w:hAnsi="Courier New" w:cs="Courier New"/>
          <w:sz w:val="24"/>
          <w:szCs w:val="24"/>
        </w:rPr>
        <w:t>, 374 Mass. 333 (1978) (“</w:t>
      </w:r>
      <w:r>
        <w:rPr>
          <w:rFonts w:ascii="Courier New" w:hAnsi="Courier New" w:cs="Courier New"/>
          <w:b/>
          <w:i/>
          <w:sz w:val="24"/>
          <w:szCs w:val="24"/>
        </w:rPr>
        <w:t>Charles River Labs”</w:t>
      </w:r>
      <w:r>
        <w:rPr>
          <w:rFonts w:ascii="Courier New" w:hAnsi="Courier New" w:cs="Courier New"/>
          <w:sz w:val="24"/>
          <w:szCs w:val="24"/>
        </w:rPr>
        <w:t xml:space="preserve">), which involved a taxpayer engaged in the production of laboratory animals in Massachusetts. Unlike normal animals, the animals sold by Charles River Labs were intended to be used in biomedical research and were accordingly born and raised in rigidly controlled, germ-free conditions. </w:t>
      </w:r>
      <w:r>
        <w:rPr>
          <w:rFonts w:ascii="Courier New" w:hAnsi="Courier New" w:cs="Courier New"/>
          <w:b/>
          <w:i/>
          <w:sz w:val="24"/>
          <w:szCs w:val="24"/>
        </w:rPr>
        <w:t>Id</w:t>
      </w:r>
      <w:r>
        <w:rPr>
          <w:rFonts w:ascii="Courier New" w:hAnsi="Courier New" w:cs="Courier New"/>
          <w:sz w:val="24"/>
          <w:szCs w:val="24"/>
        </w:rPr>
        <w:t xml:space="preserve">. at 334. The mice or rats introduced into the sterile environment were originally delivered via cesarean section; however, once in the environment, the animals continued to breed normally. </w:t>
      </w:r>
      <w:r>
        <w:rPr>
          <w:rFonts w:ascii="Courier New" w:hAnsi="Courier New" w:cs="Courier New"/>
          <w:b/>
          <w:i/>
          <w:sz w:val="24"/>
          <w:szCs w:val="24"/>
        </w:rPr>
        <w:t>Id.</w:t>
      </w:r>
      <w:r>
        <w:rPr>
          <w:rFonts w:ascii="Courier New" w:hAnsi="Courier New" w:cs="Courier New"/>
          <w:sz w:val="24"/>
          <w:szCs w:val="24"/>
        </w:rPr>
        <w:t xml:space="preserve"> The SJC held that the breeding of these sterile animals was not manufacturing as there was no change of any substance, element, or material into something different, “[n]o matter how intricately [the breeding process was] carried on.”  </w:t>
      </w:r>
      <w:r>
        <w:rPr>
          <w:rFonts w:ascii="Courier New" w:hAnsi="Courier New" w:cs="Courier New"/>
          <w:b/>
          <w:i/>
          <w:sz w:val="24"/>
          <w:szCs w:val="24"/>
        </w:rPr>
        <w:t xml:space="preserve">Id. </w:t>
      </w:r>
      <w:r>
        <w:rPr>
          <w:rFonts w:ascii="Courier New" w:hAnsi="Courier New" w:cs="Courier New"/>
          <w:sz w:val="24"/>
          <w:szCs w:val="24"/>
        </w:rPr>
        <w:t>at 335.</w:t>
      </w:r>
    </w:p>
    <w:p w:rsidR="008627C1" w:rsidRDefault="008627C1" w:rsidP="008627C1">
      <w:pPr>
        <w:spacing w:line="480" w:lineRule="auto"/>
        <w:ind w:firstLine="720"/>
        <w:jc w:val="both"/>
        <w:rPr>
          <w:rFonts w:ascii="Courier New" w:hAnsi="Courier New" w:cs="Courier New"/>
          <w:sz w:val="24"/>
          <w:szCs w:val="24"/>
        </w:rPr>
      </w:pPr>
      <w:r>
        <w:rPr>
          <w:rFonts w:ascii="Courier New" w:hAnsi="Courier New" w:cs="Courier New"/>
          <w:sz w:val="24"/>
          <w:szCs w:val="24"/>
        </w:rPr>
        <w:lastRenderedPageBreak/>
        <w:t xml:space="preserve">However, the SJC added a caveat its holding, specifying that the Court “[left] to another day, if it comes, the question whether processes which alter the genetic structure of animals fall within the statutory concept of manufacturing.” </w:t>
      </w:r>
      <w:r>
        <w:rPr>
          <w:rFonts w:ascii="Courier New" w:hAnsi="Courier New" w:cs="Courier New"/>
          <w:b/>
          <w:i/>
          <w:sz w:val="24"/>
          <w:szCs w:val="24"/>
        </w:rPr>
        <w:t xml:space="preserve">Id. </w:t>
      </w:r>
      <w:r>
        <w:rPr>
          <w:rFonts w:ascii="Courier New" w:hAnsi="Courier New" w:cs="Courier New"/>
          <w:sz w:val="24"/>
          <w:szCs w:val="24"/>
        </w:rPr>
        <w:t>n. 4. As the SJC recognized in explicitly making a distinction between the two scenarios, there is a difference between simple reproduction as a naturally occurring process and a process where something is transformed by human knowledge or skill through the means of genetic modification. Charles River Labs did not alter the animals themselves in any way; it let nature take its course, allowing the animals to procreate. Genentech did not simply identify a cell that naturally produces a certain desirable protein and allow that cell to reproduce in a controlled environment. Genentech took a naturally occurring organism and modified its DNA, physically transforming it into something that does not occur in nature.</w:t>
      </w:r>
    </w:p>
    <w:p w:rsidR="008627C1" w:rsidRDefault="008627C1" w:rsidP="008627C1">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Moreover, the initial implantation of the DNA is not the end of the manufacturing steps in the production of Genentech drugs. This is because the genetically modified replicated E. coli or Chinese hamster ovary cell is of no medical use to a patient until the protein of interest is extracted and purified. Genentech likens this process of </w:t>
      </w:r>
      <w:r>
        <w:rPr>
          <w:rFonts w:ascii="Courier New" w:hAnsi="Courier New" w:cs="Courier New"/>
          <w:sz w:val="24"/>
          <w:szCs w:val="24"/>
        </w:rPr>
        <w:lastRenderedPageBreak/>
        <w:t>harvesting of protein from a cell to the act of farming plants from the soil and further argued that, because there is no physical transformation to the protein itself, the process is not tantamount to manufacturing. However, in order to extract the expressed proteins, Genentech in many instances must disrupt or break down the cell walls, effectively breaking the cell apart and releasing all of its contents. Regardless of whether cells must be disrupted, in every case, the appellant must take the cell mixture and through physical change separate out a product through purification and separation into something fit for consumption. The Board therefore found and ruled Genentech’s processes, from the creation and implanting of genes through harvesting and purification, constituted manufacturing.</w:t>
      </w:r>
    </w:p>
    <w:p w:rsidR="008627C1" w:rsidRDefault="008627C1" w:rsidP="008627C1">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Genentech also points to a line of cases which involved mining and quarry operations that were found not to be manufacturing, including </w:t>
      </w:r>
      <w:r>
        <w:rPr>
          <w:rFonts w:ascii="Courier New" w:hAnsi="Courier New" w:cs="Courier New"/>
          <w:b/>
          <w:i/>
          <w:sz w:val="24"/>
          <w:szCs w:val="24"/>
        </w:rPr>
        <w:t>Tilcon-Warren Quarries, Inc. v. Commissioner of Revenue</w:t>
      </w:r>
      <w:r>
        <w:rPr>
          <w:rFonts w:ascii="Courier New" w:hAnsi="Courier New" w:cs="Courier New"/>
          <w:sz w:val="24"/>
          <w:szCs w:val="24"/>
        </w:rPr>
        <w:t xml:space="preserve">, 392 Mass. 670 (1984) and </w:t>
      </w:r>
      <w:r>
        <w:rPr>
          <w:rFonts w:ascii="Courier New" w:hAnsi="Courier New" w:cs="Courier New"/>
          <w:b/>
          <w:i/>
          <w:sz w:val="24"/>
          <w:szCs w:val="24"/>
        </w:rPr>
        <w:t>Se. Sand and Gravel v. Commissioner of Revenue</w:t>
      </w:r>
      <w:r>
        <w:rPr>
          <w:rFonts w:ascii="Courier New" w:hAnsi="Courier New" w:cs="Courier New"/>
          <w:sz w:val="24"/>
          <w:szCs w:val="24"/>
        </w:rPr>
        <w:t xml:space="preserve">, 384 Mass. 794 (1981). The taxpayer in </w:t>
      </w:r>
      <w:r>
        <w:rPr>
          <w:rFonts w:ascii="Courier New" w:hAnsi="Courier New" w:cs="Courier New"/>
          <w:b/>
          <w:i/>
          <w:sz w:val="24"/>
          <w:szCs w:val="24"/>
        </w:rPr>
        <w:t xml:space="preserve">Tilcon-Warren Quarries, Inc. </w:t>
      </w:r>
      <w:r>
        <w:rPr>
          <w:rFonts w:ascii="Courier New" w:hAnsi="Courier New" w:cs="Courier New"/>
          <w:sz w:val="24"/>
          <w:szCs w:val="24"/>
        </w:rPr>
        <w:t>blasted rock from its quarries using dynamite, which it then crushed into smaller pieces, sorted by size, or crushed further into sand. 392 Mass</w:t>
      </w:r>
      <w:r>
        <w:rPr>
          <w:rFonts w:ascii="Courier New" w:hAnsi="Courier New" w:cs="Courier New"/>
          <w:b/>
          <w:i/>
          <w:sz w:val="24"/>
          <w:szCs w:val="24"/>
        </w:rPr>
        <w:t xml:space="preserve">. </w:t>
      </w:r>
      <w:r>
        <w:rPr>
          <w:rFonts w:ascii="Courier New" w:hAnsi="Courier New" w:cs="Courier New"/>
          <w:sz w:val="24"/>
          <w:szCs w:val="24"/>
        </w:rPr>
        <w:t xml:space="preserve">at 671 – 672. Quoting </w:t>
      </w:r>
      <w:r>
        <w:rPr>
          <w:rFonts w:ascii="Courier New" w:hAnsi="Courier New" w:cs="Courier New"/>
          <w:sz w:val="24"/>
          <w:szCs w:val="24"/>
        </w:rPr>
        <w:lastRenderedPageBreak/>
        <w:t xml:space="preserve">the observation of the Virginia Supreme Court that in the case of quarrying and crushing stone, “the sand is still sand and the rock is still rock” after processing, the SJC found that there was not sufficient change to render the crushing to be manufacturing. </w:t>
      </w:r>
      <w:r>
        <w:rPr>
          <w:rFonts w:ascii="Courier New" w:hAnsi="Courier New" w:cs="Courier New"/>
          <w:b/>
          <w:i/>
          <w:sz w:val="24"/>
          <w:szCs w:val="24"/>
        </w:rPr>
        <w:t>Id</w:t>
      </w:r>
      <w:r>
        <w:rPr>
          <w:rFonts w:ascii="Courier New" w:hAnsi="Courier New" w:cs="Courier New"/>
          <w:sz w:val="24"/>
          <w:szCs w:val="24"/>
        </w:rPr>
        <w:t xml:space="preserve">. at 673 (quoting </w:t>
      </w:r>
      <w:r>
        <w:rPr>
          <w:rFonts w:ascii="Courier New" w:hAnsi="Courier New" w:cs="Courier New"/>
          <w:b/>
          <w:i/>
          <w:sz w:val="24"/>
          <w:szCs w:val="24"/>
        </w:rPr>
        <w:t xml:space="preserve">Solite Corp. v. County of King George, </w:t>
      </w:r>
      <w:r>
        <w:rPr>
          <w:rFonts w:ascii="Courier New" w:hAnsi="Courier New" w:cs="Courier New"/>
          <w:sz w:val="24"/>
          <w:szCs w:val="24"/>
        </w:rPr>
        <w:t xml:space="preserve">220 Va. 661, 663 (1980)). </w:t>
      </w:r>
    </w:p>
    <w:p w:rsidR="008627C1" w:rsidRPr="007C196A" w:rsidRDefault="008627C1" w:rsidP="008627C1">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The Board found that Genentech’s disruption of cells and separation of specific proteins through an extensive purification process to be completely different from quarrying stone. Instead of breaking down an extant substance into smaller pieces where the intrinsic properties of the substance remain the same, Genentech’s purification process takes a substance - - the cell mixture solution - - and subjects it to physical change to derive a new product fit for human use - - the purified protein. Such processes have been found on multiple occasions to be manufacturing. </w:t>
      </w:r>
      <w:r w:rsidRPr="000A1D4E">
        <w:rPr>
          <w:rFonts w:ascii="Courier New" w:hAnsi="Courier New" w:cs="Courier New"/>
          <w:i/>
          <w:sz w:val="24"/>
          <w:szCs w:val="24"/>
        </w:rPr>
        <w:t>See</w:t>
      </w:r>
      <w:r>
        <w:rPr>
          <w:rFonts w:ascii="Courier New" w:hAnsi="Courier New" w:cs="Courier New"/>
          <w:sz w:val="24"/>
          <w:szCs w:val="24"/>
        </w:rPr>
        <w:t xml:space="preserve"> </w:t>
      </w:r>
      <w:r w:rsidRPr="007131B0">
        <w:rPr>
          <w:rFonts w:ascii="Courier New" w:hAnsi="Courier New" w:cs="Courier New"/>
          <w:i/>
          <w:sz w:val="24"/>
          <w:szCs w:val="24"/>
        </w:rPr>
        <w:t>e.g.,</w:t>
      </w:r>
      <w:r>
        <w:rPr>
          <w:rFonts w:ascii="Courier New" w:hAnsi="Courier New" w:cs="Courier New"/>
          <w:sz w:val="24"/>
          <w:szCs w:val="24"/>
        </w:rPr>
        <w:t xml:space="preserve"> </w:t>
      </w:r>
      <w:r>
        <w:rPr>
          <w:rFonts w:ascii="Courier New" w:hAnsi="Courier New" w:cs="Courier New"/>
          <w:b/>
          <w:i/>
          <w:sz w:val="24"/>
          <w:szCs w:val="24"/>
        </w:rPr>
        <w:t xml:space="preserve">Joseph T. Rossi v. State Tax Comm’n, </w:t>
      </w:r>
      <w:r>
        <w:rPr>
          <w:rFonts w:ascii="Courier New" w:hAnsi="Courier New" w:cs="Courier New"/>
          <w:sz w:val="24"/>
          <w:szCs w:val="24"/>
        </w:rPr>
        <w:t xml:space="preserve">369 Mass. at 182 (1975) (transforming standing timber into usable lumber is manufacturing); </w:t>
      </w:r>
      <w:r>
        <w:rPr>
          <w:rFonts w:ascii="Courier New" w:hAnsi="Courier New" w:cs="Courier New"/>
          <w:b/>
          <w:i/>
          <w:sz w:val="24"/>
          <w:szCs w:val="24"/>
        </w:rPr>
        <w:t>Noreast Fresh, Inc. v. Commissioner of Revenue</w:t>
      </w:r>
      <w:r>
        <w:rPr>
          <w:rFonts w:ascii="Courier New" w:hAnsi="Courier New" w:cs="Courier New"/>
          <w:sz w:val="24"/>
          <w:szCs w:val="24"/>
        </w:rPr>
        <w:t>, 50 Mass. App. Ct. 352, 357 (2000) (processing of bulk lettuce, cabbage, and carrots into cut pieces which are rinsed, sanitized, and mixed to make salad is manufacturing as it resulted in a new article and a new use);</w:t>
      </w:r>
      <w:r>
        <w:rPr>
          <w:rFonts w:ascii="Courier New" w:hAnsi="Courier New" w:cs="Courier New"/>
          <w:b/>
          <w:i/>
          <w:sz w:val="24"/>
          <w:szCs w:val="24"/>
        </w:rPr>
        <w:t xml:space="preserve"> Golden Eye Seafood, Inc. v. State Tax </w:t>
      </w:r>
      <w:r>
        <w:rPr>
          <w:rFonts w:ascii="Courier New" w:hAnsi="Courier New" w:cs="Courier New"/>
          <w:b/>
          <w:i/>
          <w:sz w:val="24"/>
          <w:szCs w:val="24"/>
        </w:rPr>
        <w:lastRenderedPageBreak/>
        <w:t xml:space="preserve">Comm’n </w:t>
      </w:r>
      <w:r>
        <w:rPr>
          <w:rFonts w:ascii="Courier New" w:hAnsi="Courier New" w:cs="Courier New"/>
          <w:sz w:val="24"/>
          <w:szCs w:val="24"/>
        </w:rPr>
        <w:t xml:space="preserve">Mass. ATB Findings of Fact and Reports 1980-268, 270 (processing of whole, scaled fish which is inedible into fillets which are saleable for human consumption is manufacturing). Accordingly, the Board found and ruled that Genentech was engaged in manufacturing activities.  </w:t>
      </w:r>
    </w:p>
    <w:p w:rsidR="008627C1" w:rsidRDefault="008627C1" w:rsidP="008627C1">
      <w:pPr>
        <w:pStyle w:val="ListParagraph"/>
        <w:numPr>
          <w:ilvl w:val="0"/>
          <w:numId w:val="16"/>
        </w:numPr>
        <w:jc w:val="both"/>
        <w:rPr>
          <w:rFonts w:ascii="Courier New" w:hAnsi="Courier New" w:cs="Courier New"/>
          <w:b/>
          <w:sz w:val="24"/>
          <w:szCs w:val="24"/>
        </w:rPr>
      </w:pPr>
      <w:r w:rsidRPr="00F51177">
        <w:rPr>
          <w:rFonts w:ascii="Courier New" w:hAnsi="Courier New" w:cs="Courier New"/>
          <w:b/>
          <w:sz w:val="24"/>
          <w:szCs w:val="24"/>
        </w:rPr>
        <w:t>Genentech’s Measure of Substantial Manufacturing Activity</w:t>
      </w:r>
      <w:r>
        <w:rPr>
          <w:rFonts w:ascii="Courier New" w:hAnsi="Courier New" w:cs="Courier New"/>
          <w:b/>
          <w:sz w:val="24"/>
          <w:szCs w:val="24"/>
        </w:rPr>
        <w:t xml:space="preserve"> May Not Include Proceeds from Redemption or Maturity of Short-Term Securities</w:t>
      </w:r>
    </w:p>
    <w:p w:rsidR="008627C1" w:rsidRPr="00F51177" w:rsidRDefault="008627C1" w:rsidP="008627C1">
      <w:pPr>
        <w:pStyle w:val="ListParagraph"/>
        <w:ind w:left="1080"/>
        <w:jc w:val="both"/>
        <w:rPr>
          <w:rFonts w:ascii="Courier New" w:hAnsi="Courier New" w:cs="Courier New"/>
          <w:b/>
          <w:sz w:val="24"/>
          <w:szCs w:val="24"/>
        </w:rPr>
      </w:pPr>
    </w:p>
    <w:p w:rsidR="008627C1" w:rsidRDefault="008627C1" w:rsidP="008627C1">
      <w:pPr>
        <w:spacing w:line="480" w:lineRule="auto"/>
        <w:jc w:val="both"/>
        <w:rPr>
          <w:rFonts w:ascii="Courier New" w:hAnsi="Courier New" w:cs="Courier New"/>
          <w:sz w:val="24"/>
          <w:szCs w:val="24"/>
        </w:rPr>
      </w:pPr>
      <w:r>
        <w:rPr>
          <w:rFonts w:ascii="Courier New" w:hAnsi="Courier New" w:cs="Courier New"/>
          <w:sz w:val="24"/>
          <w:szCs w:val="24"/>
        </w:rPr>
        <w:tab/>
        <w:t>A corporation is only required to use a single sales factor apportionment formula if it is “substantially engaged” in manufacturing activities. G.L. c. 63, § 38(</w:t>
      </w:r>
      <w:r>
        <w:rPr>
          <w:rFonts w:ascii="Courier New" w:hAnsi="Courier New" w:cs="Courier New"/>
          <w:i/>
          <w:sz w:val="24"/>
          <w:szCs w:val="24"/>
        </w:rPr>
        <w:t>l</w:t>
      </w:r>
      <w:r>
        <w:rPr>
          <w:rFonts w:ascii="Courier New" w:hAnsi="Courier New" w:cs="Courier New"/>
          <w:sz w:val="24"/>
          <w:szCs w:val="24"/>
        </w:rPr>
        <w:t xml:space="preserve">)(1). Manufacturing activities will be deemed to be substantial if any one of the following four numeric tests are met, with a fifth catch-all provision: </w:t>
      </w:r>
    </w:p>
    <w:p w:rsidR="008627C1" w:rsidRDefault="008627C1" w:rsidP="008627C1">
      <w:pPr>
        <w:ind w:left="720"/>
        <w:jc w:val="both"/>
        <w:rPr>
          <w:rFonts w:ascii="Courier New" w:hAnsi="Courier New" w:cs="Courier New"/>
          <w:sz w:val="24"/>
          <w:szCs w:val="24"/>
        </w:rPr>
      </w:pPr>
      <w:r>
        <w:rPr>
          <w:rFonts w:ascii="Courier New" w:hAnsi="Courier New" w:cs="Courier New"/>
          <w:sz w:val="24"/>
          <w:szCs w:val="24"/>
        </w:rPr>
        <w:t>(1) 25%</w:t>
      </w:r>
      <w:r w:rsidRPr="00F82ABB">
        <w:rPr>
          <w:rFonts w:ascii="Courier New" w:hAnsi="Courier New" w:cs="Courier New"/>
          <w:sz w:val="24"/>
          <w:szCs w:val="24"/>
        </w:rPr>
        <w:t xml:space="preserve"> or more of its gross receipts are derived from the sale of manufactured goods that it manufactures; </w:t>
      </w:r>
    </w:p>
    <w:p w:rsidR="008627C1" w:rsidRDefault="008627C1" w:rsidP="008627C1">
      <w:pPr>
        <w:ind w:left="720"/>
        <w:jc w:val="both"/>
        <w:rPr>
          <w:rFonts w:ascii="Courier New" w:hAnsi="Courier New" w:cs="Courier New"/>
          <w:sz w:val="24"/>
          <w:szCs w:val="24"/>
        </w:rPr>
      </w:pPr>
      <w:r>
        <w:rPr>
          <w:rFonts w:ascii="Courier New" w:hAnsi="Courier New" w:cs="Courier New"/>
          <w:sz w:val="24"/>
          <w:szCs w:val="24"/>
        </w:rPr>
        <w:t>(2)</w:t>
      </w:r>
      <w:r w:rsidRPr="00F82ABB">
        <w:rPr>
          <w:rFonts w:ascii="Courier New" w:hAnsi="Courier New" w:cs="Courier New"/>
          <w:sz w:val="24"/>
          <w:szCs w:val="24"/>
        </w:rPr>
        <w:t xml:space="preserve"> </w:t>
      </w:r>
      <w:r>
        <w:rPr>
          <w:rFonts w:ascii="Courier New" w:hAnsi="Courier New" w:cs="Courier New"/>
          <w:sz w:val="24"/>
          <w:szCs w:val="24"/>
        </w:rPr>
        <w:t>25%</w:t>
      </w:r>
      <w:r w:rsidRPr="00F82ABB">
        <w:rPr>
          <w:rFonts w:ascii="Courier New" w:hAnsi="Courier New" w:cs="Courier New"/>
          <w:sz w:val="24"/>
          <w:szCs w:val="24"/>
        </w:rPr>
        <w:t xml:space="preserve"> or more of its payroll is paid to employees working in its manufacturing operations and </w:t>
      </w:r>
      <w:r>
        <w:rPr>
          <w:rFonts w:ascii="Courier New" w:hAnsi="Courier New" w:cs="Courier New"/>
          <w:sz w:val="24"/>
          <w:szCs w:val="24"/>
        </w:rPr>
        <w:t xml:space="preserve">15% </w:t>
      </w:r>
      <w:r w:rsidRPr="00F82ABB">
        <w:rPr>
          <w:rFonts w:ascii="Courier New" w:hAnsi="Courier New" w:cs="Courier New"/>
          <w:sz w:val="24"/>
          <w:szCs w:val="24"/>
        </w:rPr>
        <w:t xml:space="preserve">or more of its gross receipts are derived from the sale of manufactured goods that it manufactures; </w:t>
      </w:r>
    </w:p>
    <w:p w:rsidR="008627C1" w:rsidRDefault="008627C1" w:rsidP="008627C1">
      <w:pPr>
        <w:ind w:left="720"/>
        <w:jc w:val="both"/>
        <w:rPr>
          <w:rFonts w:ascii="Courier New" w:hAnsi="Courier New" w:cs="Courier New"/>
          <w:sz w:val="24"/>
          <w:szCs w:val="24"/>
        </w:rPr>
      </w:pPr>
      <w:r>
        <w:rPr>
          <w:rFonts w:ascii="Courier New" w:hAnsi="Courier New" w:cs="Courier New"/>
          <w:sz w:val="24"/>
          <w:szCs w:val="24"/>
        </w:rPr>
        <w:t>(3)</w:t>
      </w:r>
      <w:r w:rsidRPr="00F82ABB">
        <w:rPr>
          <w:rFonts w:ascii="Courier New" w:hAnsi="Courier New" w:cs="Courier New"/>
          <w:sz w:val="24"/>
          <w:szCs w:val="24"/>
        </w:rPr>
        <w:t xml:space="preserve"> </w:t>
      </w:r>
      <w:r>
        <w:rPr>
          <w:rFonts w:ascii="Courier New" w:hAnsi="Courier New" w:cs="Courier New"/>
          <w:sz w:val="24"/>
          <w:szCs w:val="24"/>
        </w:rPr>
        <w:t>25%</w:t>
      </w:r>
      <w:r w:rsidRPr="00F82ABB">
        <w:rPr>
          <w:rFonts w:ascii="Courier New" w:hAnsi="Courier New" w:cs="Courier New"/>
          <w:sz w:val="24"/>
          <w:szCs w:val="24"/>
        </w:rPr>
        <w:t xml:space="preserve"> or more of its tangible property is used in its manufacturing operations and </w:t>
      </w:r>
      <w:r>
        <w:rPr>
          <w:rFonts w:ascii="Courier New" w:hAnsi="Courier New" w:cs="Courier New"/>
          <w:sz w:val="24"/>
          <w:szCs w:val="24"/>
        </w:rPr>
        <w:t>15%</w:t>
      </w:r>
      <w:r w:rsidRPr="00F82ABB">
        <w:rPr>
          <w:rFonts w:ascii="Courier New" w:hAnsi="Courier New" w:cs="Courier New"/>
          <w:sz w:val="24"/>
          <w:szCs w:val="24"/>
        </w:rPr>
        <w:t xml:space="preserve"> or more of its gross receipts are derived from the sale of manufactured goods that it manufactures;</w:t>
      </w:r>
      <w:r>
        <w:rPr>
          <w:rFonts w:ascii="Courier New" w:hAnsi="Courier New" w:cs="Courier New"/>
          <w:sz w:val="24"/>
          <w:szCs w:val="24"/>
        </w:rPr>
        <w:t xml:space="preserve"> </w:t>
      </w:r>
    </w:p>
    <w:p w:rsidR="008627C1" w:rsidRDefault="008627C1" w:rsidP="008627C1">
      <w:pPr>
        <w:ind w:left="720"/>
        <w:jc w:val="both"/>
        <w:rPr>
          <w:rFonts w:ascii="Courier New" w:hAnsi="Courier New" w:cs="Courier New"/>
          <w:sz w:val="24"/>
          <w:szCs w:val="24"/>
        </w:rPr>
      </w:pPr>
      <w:r>
        <w:rPr>
          <w:rFonts w:ascii="Courier New" w:hAnsi="Courier New" w:cs="Courier New"/>
          <w:sz w:val="24"/>
          <w:szCs w:val="24"/>
        </w:rPr>
        <w:t>(4)</w:t>
      </w:r>
      <w:r w:rsidRPr="00F82ABB">
        <w:rPr>
          <w:rFonts w:ascii="Courier New" w:hAnsi="Courier New" w:cs="Courier New"/>
          <w:sz w:val="24"/>
          <w:szCs w:val="24"/>
        </w:rPr>
        <w:t xml:space="preserve"> </w:t>
      </w:r>
      <w:r>
        <w:rPr>
          <w:rFonts w:ascii="Courier New" w:hAnsi="Courier New" w:cs="Courier New"/>
          <w:sz w:val="24"/>
          <w:szCs w:val="24"/>
        </w:rPr>
        <w:t>35%</w:t>
      </w:r>
      <w:r w:rsidRPr="00F82ABB">
        <w:rPr>
          <w:rFonts w:ascii="Courier New" w:hAnsi="Courier New" w:cs="Courier New"/>
          <w:sz w:val="24"/>
          <w:szCs w:val="24"/>
        </w:rPr>
        <w:t xml:space="preserve"> or more of its tangible property is used in its manufacturing operations; or</w:t>
      </w:r>
      <w:r>
        <w:rPr>
          <w:rFonts w:ascii="Courier New" w:hAnsi="Courier New" w:cs="Courier New"/>
          <w:sz w:val="24"/>
          <w:szCs w:val="24"/>
        </w:rPr>
        <w:t xml:space="preserve"> </w:t>
      </w:r>
    </w:p>
    <w:p w:rsidR="008627C1" w:rsidRDefault="008627C1" w:rsidP="008627C1">
      <w:pPr>
        <w:ind w:left="720"/>
        <w:jc w:val="both"/>
        <w:rPr>
          <w:rFonts w:ascii="Courier New" w:hAnsi="Courier New" w:cs="Courier New"/>
          <w:b/>
          <w:sz w:val="24"/>
          <w:szCs w:val="24"/>
        </w:rPr>
      </w:pPr>
      <w:r>
        <w:rPr>
          <w:rFonts w:ascii="Courier New" w:hAnsi="Courier New" w:cs="Courier New"/>
          <w:sz w:val="24"/>
          <w:szCs w:val="24"/>
        </w:rPr>
        <w:t>(5)</w:t>
      </w:r>
      <w:r w:rsidRPr="00F82ABB">
        <w:rPr>
          <w:rFonts w:ascii="Courier New" w:hAnsi="Courier New" w:cs="Courier New"/>
          <w:sz w:val="24"/>
          <w:szCs w:val="24"/>
        </w:rPr>
        <w:t xml:space="preserve"> the corporation's manufacturing activities are deemed substantial under relevant regulations promulgated by the commissioner.</w:t>
      </w:r>
      <w:r>
        <w:rPr>
          <w:rFonts w:ascii="Courier New" w:hAnsi="Courier New" w:cs="Courier New"/>
          <w:sz w:val="24"/>
          <w:szCs w:val="24"/>
        </w:rPr>
        <w:t xml:space="preserve"> </w:t>
      </w:r>
      <w:r>
        <w:rPr>
          <w:rFonts w:ascii="Courier New" w:hAnsi="Courier New" w:cs="Courier New"/>
          <w:b/>
          <w:i/>
          <w:sz w:val="24"/>
          <w:szCs w:val="24"/>
        </w:rPr>
        <w:t>Id</w:t>
      </w:r>
      <w:r>
        <w:rPr>
          <w:rFonts w:ascii="Courier New" w:hAnsi="Courier New" w:cs="Courier New"/>
          <w:b/>
          <w:sz w:val="24"/>
          <w:szCs w:val="24"/>
        </w:rPr>
        <w:t>.</w:t>
      </w:r>
    </w:p>
    <w:p w:rsidR="008627C1" w:rsidRDefault="008627C1" w:rsidP="008627C1">
      <w:pPr>
        <w:ind w:left="720"/>
        <w:jc w:val="both"/>
        <w:rPr>
          <w:rFonts w:ascii="Courier New" w:hAnsi="Courier New" w:cs="Courier New"/>
          <w:b/>
          <w:sz w:val="24"/>
          <w:szCs w:val="24"/>
        </w:rPr>
      </w:pPr>
    </w:p>
    <w:p w:rsidR="008627C1" w:rsidRDefault="008627C1" w:rsidP="008627C1">
      <w:pPr>
        <w:spacing w:line="480" w:lineRule="auto"/>
        <w:jc w:val="both"/>
        <w:rPr>
          <w:rFonts w:ascii="Courier New" w:hAnsi="Courier New" w:cs="Courier New"/>
          <w:sz w:val="24"/>
          <w:szCs w:val="24"/>
        </w:rPr>
      </w:pPr>
      <w:r w:rsidRPr="00935142">
        <w:rPr>
          <w:rFonts w:ascii="Courier New" w:hAnsi="Courier New" w:cs="Courier New"/>
          <w:sz w:val="24"/>
          <w:szCs w:val="24"/>
        </w:rPr>
        <w:t xml:space="preserve">During the </w:t>
      </w:r>
      <w:r>
        <w:rPr>
          <w:rFonts w:ascii="Courier New" w:hAnsi="Courier New" w:cs="Courier New"/>
          <w:sz w:val="24"/>
          <w:szCs w:val="24"/>
        </w:rPr>
        <w:t xml:space="preserve">periods at issue, the parties agreed that the proportion of Genentech’s property and payroll involved in manufacturing were both below the requisite thresholds. </w:t>
      </w:r>
      <w:r>
        <w:rPr>
          <w:rFonts w:ascii="Courier New" w:hAnsi="Courier New" w:cs="Courier New"/>
          <w:sz w:val="24"/>
          <w:szCs w:val="24"/>
        </w:rPr>
        <w:lastRenderedPageBreak/>
        <w:t>Accordingly, the determination rests on whether 25 percent</w:t>
      </w:r>
      <w:r w:rsidRPr="00F82ABB">
        <w:rPr>
          <w:rFonts w:ascii="Courier New" w:hAnsi="Courier New" w:cs="Courier New"/>
          <w:sz w:val="24"/>
          <w:szCs w:val="24"/>
        </w:rPr>
        <w:t xml:space="preserve"> or more of </w:t>
      </w:r>
      <w:r>
        <w:rPr>
          <w:rFonts w:ascii="Courier New" w:hAnsi="Courier New" w:cs="Courier New"/>
          <w:sz w:val="24"/>
          <w:szCs w:val="24"/>
        </w:rPr>
        <w:t>Genentech’s</w:t>
      </w:r>
      <w:r w:rsidRPr="00F82ABB">
        <w:rPr>
          <w:rFonts w:ascii="Courier New" w:hAnsi="Courier New" w:cs="Courier New"/>
          <w:sz w:val="24"/>
          <w:szCs w:val="24"/>
        </w:rPr>
        <w:t xml:space="preserve"> gross receipts </w:t>
      </w:r>
      <w:r>
        <w:rPr>
          <w:rFonts w:ascii="Courier New" w:hAnsi="Courier New" w:cs="Courier New"/>
          <w:sz w:val="24"/>
          <w:szCs w:val="24"/>
        </w:rPr>
        <w:t>we</w:t>
      </w:r>
      <w:r w:rsidRPr="00F82ABB">
        <w:rPr>
          <w:rFonts w:ascii="Courier New" w:hAnsi="Courier New" w:cs="Courier New"/>
          <w:sz w:val="24"/>
          <w:szCs w:val="24"/>
        </w:rPr>
        <w:t>re derived from the sale of goods that it manufacture</w:t>
      </w:r>
      <w:r>
        <w:rPr>
          <w:rFonts w:ascii="Courier New" w:hAnsi="Courier New" w:cs="Courier New"/>
          <w:sz w:val="24"/>
          <w:szCs w:val="24"/>
        </w:rPr>
        <w:t xml:space="preserve">d (“Receipts Test”). The disagreement between the parties hinges on what is included in the definition of “gross receipts” for purposes of the Receipts Test, as no definition of “gross receipts” is given in the statute. </w:t>
      </w:r>
    </w:p>
    <w:p w:rsidR="008627C1" w:rsidRDefault="008627C1" w:rsidP="008627C1">
      <w:pPr>
        <w:spacing w:line="480" w:lineRule="auto"/>
        <w:ind w:firstLine="720"/>
        <w:jc w:val="both"/>
        <w:rPr>
          <w:rFonts w:ascii="Courier New" w:hAnsi="Courier New" w:cs="Courier New"/>
          <w:sz w:val="24"/>
          <w:szCs w:val="24"/>
        </w:rPr>
      </w:pPr>
      <w:r>
        <w:rPr>
          <w:rFonts w:ascii="Courier New" w:hAnsi="Courier New" w:cs="Courier New"/>
          <w:sz w:val="24"/>
          <w:szCs w:val="24"/>
        </w:rPr>
        <w:t>The Commissioner promulgated 830 CMR 58.2.1, which outlines the qualifications of a manufacturing corporation for property tax purposes, which hews to the same tests, but for the fact that only the taxpayer’s Massachusetts activities are included in the analysis. Pursuant to 830</w:t>
      </w:r>
      <w:r w:rsidR="00D4018F">
        <w:rPr>
          <w:rFonts w:ascii="Courier New" w:hAnsi="Courier New" w:cs="Courier New"/>
          <w:sz w:val="24"/>
          <w:szCs w:val="24"/>
        </w:rPr>
        <w:t> </w:t>
      </w:r>
      <w:r>
        <w:rPr>
          <w:rFonts w:ascii="Courier New" w:hAnsi="Courier New" w:cs="Courier New"/>
          <w:sz w:val="24"/>
          <w:szCs w:val="24"/>
        </w:rPr>
        <w:t xml:space="preserve">CMR 63.38.1(10)(b)(3), the percentage of receipts derived from the sale of manufactured goods for purposes of the Receipts Test is to be determined using the receipts fraction for property tax purposes delineated in 830 CMR 58.2.1, except that gross receipts attributable to manufacturing performed outside of Massachusetts are to be included in both the numerator and denominator of the receipts fraction. </w:t>
      </w:r>
    </w:p>
    <w:p w:rsidR="008627C1" w:rsidRDefault="008627C1" w:rsidP="008627C1">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The denominator of the receipts fraction defined in 830 CMR 58.2.1(e)(1)(b) for property tax purposes is the sum of (1) gross receipts derived from the sales of products manufactured in Massachusetts; (2) gross receipts </w:t>
      </w:r>
      <w:r>
        <w:rPr>
          <w:rFonts w:ascii="Courier New" w:hAnsi="Courier New" w:cs="Courier New"/>
          <w:sz w:val="24"/>
          <w:szCs w:val="24"/>
        </w:rPr>
        <w:lastRenderedPageBreak/>
        <w:t>derived from all non-manufacturing business activities in Massachusetts; and (3) the sum of all gross interest, dividends, and capital gains, except those gains attributable to an extraordinary event, multiplied by the taxpayer’s Massachusetts apportionment.</w:t>
      </w:r>
      <w:r>
        <w:rPr>
          <w:rStyle w:val="FootnoteReference"/>
          <w:rFonts w:ascii="Courier New" w:hAnsi="Courier New" w:cs="Courier New"/>
          <w:sz w:val="24"/>
          <w:szCs w:val="24"/>
        </w:rPr>
        <w:footnoteReference w:id="13"/>
      </w:r>
      <w:r>
        <w:rPr>
          <w:rFonts w:ascii="Courier New" w:hAnsi="Courier New" w:cs="Courier New"/>
          <w:sz w:val="24"/>
          <w:szCs w:val="24"/>
        </w:rPr>
        <w:t xml:space="preserve"> Thus, by explicitly limiting the third category of includable receipts to “interest, dividends, and capital gains,” the applicable regulation clearly dictates that only the interest and dividends earned by Genentech through the use of its capital are to be taken into account as a receipt, not the return of that underlying capital itself.</w:t>
      </w:r>
    </w:p>
    <w:p w:rsidR="008627C1" w:rsidRPr="00055F85" w:rsidRDefault="008627C1" w:rsidP="008627C1">
      <w:pPr>
        <w:spacing w:line="480" w:lineRule="auto"/>
        <w:ind w:firstLine="720"/>
        <w:jc w:val="both"/>
        <w:rPr>
          <w:rFonts w:ascii="Courier New" w:hAnsi="Courier New" w:cs="Courier New"/>
          <w:sz w:val="24"/>
          <w:szCs w:val="24"/>
        </w:rPr>
      </w:pPr>
      <w:r>
        <w:rPr>
          <w:rFonts w:ascii="Courier New" w:hAnsi="Courier New" w:cs="Courier New"/>
          <w:sz w:val="24"/>
          <w:szCs w:val="24"/>
        </w:rPr>
        <w:t>Genentech argues that this is inconsistent with G.L.</w:t>
      </w:r>
      <w:r w:rsidR="00D4018F">
        <w:rPr>
          <w:rFonts w:ascii="Courier New" w:hAnsi="Courier New" w:cs="Courier New"/>
          <w:sz w:val="24"/>
          <w:szCs w:val="24"/>
        </w:rPr>
        <w:t> </w:t>
      </w:r>
      <w:r>
        <w:rPr>
          <w:rFonts w:ascii="Courier New" w:hAnsi="Courier New" w:cs="Courier New"/>
          <w:sz w:val="24"/>
          <w:szCs w:val="24"/>
        </w:rPr>
        <w:t>c. 63, § 38(</w:t>
      </w:r>
      <w:r>
        <w:rPr>
          <w:rFonts w:ascii="Courier New" w:hAnsi="Courier New" w:cs="Courier New"/>
          <w:i/>
          <w:sz w:val="24"/>
          <w:szCs w:val="24"/>
        </w:rPr>
        <w:t>l</w:t>
      </w:r>
      <w:r>
        <w:rPr>
          <w:rFonts w:ascii="Courier New" w:hAnsi="Courier New" w:cs="Courier New"/>
          <w:sz w:val="24"/>
          <w:szCs w:val="24"/>
        </w:rPr>
        <w:t xml:space="preserve">), which only broadly states that activity should be measured against all “gross receipts.” </w:t>
      </w:r>
      <w:r w:rsidRPr="00421A74">
        <w:rPr>
          <w:rFonts w:ascii="Courier New" w:hAnsi="Courier New" w:cs="Courier New"/>
          <w:sz w:val="24"/>
          <w:szCs w:val="24"/>
        </w:rPr>
        <w:t>In general, "[w]here a regulation is consis</w:t>
      </w:r>
      <w:r>
        <w:rPr>
          <w:rFonts w:ascii="Courier New" w:hAnsi="Courier New" w:cs="Courier New"/>
          <w:sz w:val="24"/>
          <w:szCs w:val="24"/>
        </w:rPr>
        <w:t xml:space="preserve">tent with the statute which it </w:t>
      </w:r>
      <w:r w:rsidRPr="00421A74">
        <w:rPr>
          <w:rFonts w:ascii="Courier New" w:hAnsi="Courier New" w:cs="Courier New"/>
          <w:sz w:val="24"/>
          <w:szCs w:val="24"/>
        </w:rPr>
        <w:t xml:space="preserve">interprets and represents a reasonable interpretation of that statute, the administrative interpretation is entitled to deference." </w:t>
      </w:r>
      <w:r w:rsidRPr="00C20376">
        <w:rPr>
          <w:rFonts w:ascii="Courier New" w:hAnsi="Courier New" w:cs="Courier New"/>
          <w:b/>
          <w:i/>
          <w:sz w:val="24"/>
          <w:szCs w:val="24"/>
        </w:rPr>
        <w:t xml:space="preserve">Holyoke Gas and </w:t>
      </w:r>
      <w:r w:rsidRPr="00C20376">
        <w:rPr>
          <w:rFonts w:ascii="Courier New" w:hAnsi="Courier New" w:cs="Courier New"/>
          <w:b/>
          <w:i/>
          <w:sz w:val="24"/>
          <w:szCs w:val="24"/>
        </w:rPr>
        <w:lastRenderedPageBreak/>
        <w:t>Electric Dept. v. Commissioner of Revenue</w:t>
      </w:r>
      <w:r w:rsidRPr="00421A74">
        <w:rPr>
          <w:rFonts w:ascii="Courier New" w:hAnsi="Courier New" w:cs="Courier New"/>
          <w:sz w:val="24"/>
          <w:szCs w:val="24"/>
        </w:rPr>
        <w:t xml:space="preserve">, </w:t>
      </w:r>
      <w:r>
        <w:rPr>
          <w:rFonts w:ascii="Courier New" w:hAnsi="Courier New" w:cs="Courier New"/>
          <w:sz w:val="24"/>
          <w:szCs w:val="24"/>
        </w:rPr>
        <w:t xml:space="preserve">Mass. </w:t>
      </w:r>
      <w:r w:rsidRPr="00421A74">
        <w:rPr>
          <w:rFonts w:ascii="Courier New" w:hAnsi="Courier New" w:cs="Courier New"/>
          <w:sz w:val="24"/>
          <w:szCs w:val="24"/>
        </w:rPr>
        <w:t>ATB Findings of Fact and Reports 2002-262, 277-78</w:t>
      </w:r>
      <w:r>
        <w:rPr>
          <w:rFonts w:ascii="Courier New" w:hAnsi="Courier New" w:cs="Courier New"/>
          <w:sz w:val="24"/>
          <w:szCs w:val="24"/>
        </w:rPr>
        <w:t xml:space="preserve">. </w:t>
      </w:r>
      <w:r w:rsidRPr="00055F85">
        <w:rPr>
          <w:rFonts w:ascii="Courier New" w:hAnsi="Courier New" w:cs="Courier New"/>
          <w:sz w:val="24"/>
          <w:szCs w:val="24"/>
        </w:rPr>
        <w:t xml:space="preserve">The burden is on the party challenging the regulation to demonstrate that </w:t>
      </w:r>
      <w:r>
        <w:rPr>
          <w:rFonts w:ascii="Courier New" w:hAnsi="Courier New" w:cs="Courier New"/>
          <w:sz w:val="24"/>
          <w:szCs w:val="24"/>
        </w:rPr>
        <w:t>it</w:t>
      </w:r>
      <w:r w:rsidRPr="00055F85">
        <w:rPr>
          <w:rFonts w:ascii="Courier New" w:hAnsi="Courier New" w:cs="Courier New"/>
          <w:sz w:val="24"/>
          <w:szCs w:val="24"/>
        </w:rPr>
        <w:t xml:space="preserve"> is invalid</w:t>
      </w:r>
      <w:r>
        <w:rPr>
          <w:rFonts w:ascii="Courier New" w:hAnsi="Courier New" w:cs="Courier New"/>
          <w:sz w:val="24"/>
          <w:szCs w:val="24"/>
        </w:rPr>
        <w:t>,</w:t>
      </w:r>
      <w:r w:rsidRPr="00055F85">
        <w:rPr>
          <w:rFonts w:ascii="Courier New" w:hAnsi="Courier New" w:cs="Courier New"/>
          <w:sz w:val="24"/>
          <w:szCs w:val="24"/>
        </w:rPr>
        <w:t xml:space="preserve"> </w:t>
      </w:r>
      <w:r>
        <w:rPr>
          <w:rFonts w:ascii="Courier New" w:hAnsi="Courier New" w:cs="Courier New"/>
          <w:sz w:val="24"/>
          <w:szCs w:val="24"/>
        </w:rPr>
        <w:t>such as where it is</w:t>
      </w:r>
      <w:r w:rsidRPr="00055F85">
        <w:rPr>
          <w:rFonts w:ascii="Courier New" w:hAnsi="Courier New" w:cs="Courier New"/>
          <w:sz w:val="24"/>
          <w:szCs w:val="24"/>
        </w:rPr>
        <w:t xml:space="preserve"> in conflict with the statute or exceed</w:t>
      </w:r>
      <w:r>
        <w:rPr>
          <w:rFonts w:ascii="Courier New" w:hAnsi="Courier New" w:cs="Courier New"/>
          <w:sz w:val="24"/>
          <w:szCs w:val="24"/>
        </w:rPr>
        <w:t>s</w:t>
      </w:r>
      <w:r w:rsidRPr="00055F85">
        <w:rPr>
          <w:rFonts w:ascii="Courier New" w:hAnsi="Courier New" w:cs="Courier New"/>
          <w:sz w:val="24"/>
          <w:szCs w:val="24"/>
        </w:rPr>
        <w:t xml:space="preserve"> the authorit</w:t>
      </w:r>
      <w:r>
        <w:rPr>
          <w:rFonts w:ascii="Courier New" w:hAnsi="Courier New" w:cs="Courier New"/>
          <w:sz w:val="24"/>
          <w:szCs w:val="24"/>
        </w:rPr>
        <w:t xml:space="preserve">y of the agency which promulgated it. </w:t>
      </w:r>
      <w:r w:rsidRPr="00C20376">
        <w:rPr>
          <w:rFonts w:ascii="Courier New" w:hAnsi="Courier New" w:cs="Courier New"/>
          <w:b/>
          <w:i/>
          <w:sz w:val="24"/>
          <w:szCs w:val="24"/>
        </w:rPr>
        <w:t>Entergy Nuclear Generation Co. v. Department of Envtl. Protection</w:t>
      </w:r>
      <w:r w:rsidRPr="00055F85">
        <w:rPr>
          <w:rFonts w:ascii="Courier New" w:hAnsi="Courier New" w:cs="Courier New"/>
          <w:sz w:val="24"/>
          <w:szCs w:val="24"/>
        </w:rPr>
        <w:t>, 459 Mass. 319, 329 (2011</w:t>
      </w:r>
      <w:r>
        <w:rPr>
          <w:rFonts w:ascii="Courier New" w:hAnsi="Courier New" w:cs="Courier New"/>
          <w:sz w:val="24"/>
          <w:szCs w:val="24"/>
        </w:rPr>
        <w:t>)</w:t>
      </w:r>
      <w:r w:rsidRPr="00055F85">
        <w:rPr>
          <w:rFonts w:ascii="Courier New" w:hAnsi="Courier New" w:cs="Courier New"/>
          <w:sz w:val="24"/>
          <w:szCs w:val="24"/>
        </w:rPr>
        <w:t>.</w:t>
      </w:r>
    </w:p>
    <w:p w:rsidR="008627C1" w:rsidRDefault="008627C1" w:rsidP="008627C1">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The Legislature created a specially weighted apportionment formula for manufacturing corporations, including the Receipts Test by amending G.L. c. 63, § 38 on November 28, 1995. </w:t>
      </w:r>
      <w:r w:rsidRPr="00595772">
        <w:rPr>
          <w:rFonts w:ascii="Courier New" w:hAnsi="Courier New" w:cs="Courier New"/>
          <w:i/>
          <w:sz w:val="24"/>
          <w:szCs w:val="24"/>
        </w:rPr>
        <w:t>See</w:t>
      </w:r>
      <w:r>
        <w:rPr>
          <w:rFonts w:ascii="Courier New" w:hAnsi="Courier New" w:cs="Courier New"/>
          <w:sz w:val="24"/>
          <w:szCs w:val="24"/>
        </w:rPr>
        <w:t xml:space="preserve"> St. 1995, c. 280, § 2. The formula was to be phased in for manufacturers beginning with the tax year beginning on or after January 1, 1996. </w:t>
      </w:r>
      <w:r>
        <w:rPr>
          <w:rFonts w:ascii="Courier New" w:hAnsi="Courier New" w:cs="Courier New"/>
          <w:b/>
          <w:i/>
          <w:sz w:val="24"/>
          <w:szCs w:val="24"/>
        </w:rPr>
        <w:t>Id</w:t>
      </w:r>
      <w:r>
        <w:rPr>
          <w:rFonts w:ascii="Courier New" w:hAnsi="Courier New" w:cs="Courier New"/>
          <w:sz w:val="24"/>
          <w:szCs w:val="24"/>
        </w:rPr>
        <w:t xml:space="preserve">. The Commissioner’s first version of a regulation under       G.L. c. 63, § 38, promulgated in August 1995, predated that amendment by a few months and therefore did not address the issue. </w:t>
      </w:r>
      <w:r w:rsidRPr="004A7A8D">
        <w:rPr>
          <w:rFonts w:ascii="Courier New" w:hAnsi="Courier New" w:cs="Courier New"/>
          <w:i/>
          <w:sz w:val="24"/>
          <w:szCs w:val="24"/>
        </w:rPr>
        <w:t>See</w:t>
      </w:r>
      <w:r>
        <w:rPr>
          <w:rFonts w:ascii="Courier New" w:hAnsi="Courier New" w:cs="Courier New"/>
          <w:sz w:val="24"/>
          <w:szCs w:val="24"/>
        </w:rPr>
        <w:t xml:space="preserve"> 771 Mass. Reg. 145 (Aug. 11, 1995). In February 1999, the Commissioner issued a new version of the regulation specifically in order to “take into account the single sales factor apportionment provisions of St. 1995, c. 280.” 862 Mass. Reg. 95 (Feb. 5, 1999). The revised regulation contained the direction to rely on the tests outlined in 830 CMR 58.2.1, which had been in place for a number of years, and was applied retroactively to 1996. </w:t>
      </w:r>
      <w:r w:rsidRPr="00805D6E">
        <w:rPr>
          <w:rFonts w:ascii="Courier New" w:hAnsi="Courier New" w:cs="Courier New"/>
          <w:b/>
          <w:i/>
          <w:sz w:val="24"/>
          <w:szCs w:val="24"/>
        </w:rPr>
        <w:t>Id.</w:t>
      </w:r>
      <w:r>
        <w:rPr>
          <w:rFonts w:ascii="Courier New" w:hAnsi="Courier New" w:cs="Courier New"/>
          <w:sz w:val="24"/>
          <w:szCs w:val="24"/>
        </w:rPr>
        <w:t xml:space="preserve"> </w:t>
      </w:r>
      <w:r w:rsidRPr="00805D6E">
        <w:rPr>
          <w:rFonts w:ascii="Courier New" w:hAnsi="Courier New" w:cs="Courier New"/>
          <w:sz w:val="24"/>
          <w:szCs w:val="24"/>
        </w:rPr>
        <w:lastRenderedPageBreak/>
        <w:t>Therefore</w:t>
      </w:r>
      <w:r>
        <w:rPr>
          <w:rFonts w:ascii="Courier New" w:hAnsi="Courier New" w:cs="Courier New"/>
          <w:sz w:val="24"/>
          <w:szCs w:val="24"/>
        </w:rPr>
        <w:t>, the Board ruled that the Commissioner’s regulations were due the deference of a contemporaneously promulgated regulation and that the regulation is consistent with the Receipts Test.</w:t>
      </w:r>
      <w:r>
        <w:rPr>
          <w:rStyle w:val="FootnoteReference"/>
          <w:rFonts w:ascii="Courier New" w:hAnsi="Courier New" w:cs="Courier New"/>
          <w:sz w:val="24"/>
          <w:szCs w:val="24"/>
        </w:rPr>
        <w:footnoteReference w:id="14"/>
      </w:r>
    </w:p>
    <w:p w:rsidR="008627C1" w:rsidRDefault="008627C1" w:rsidP="008627C1">
      <w:pPr>
        <w:spacing w:line="480" w:lineRule="auto"/>
        <w:jc w:val="both"/>
        <w:rPr>
          <w:rFonts w:ascii="Courier New" w:hAnsi="Courier New" w:cs="Courier New"/>
          <w:sz w:val="24"/>
          <w:szCs w:val="24"/>
        </w:rPr>
      </w:pPr>
      <w:r>
        <w:rPr>
          <w:rFonts w:ascii="Courier New" w:hAnsi="Courier New" w:cs="Courier New"/>
          <w:sz w:val="24"/>
          <w:szCs w:val="24"/>
        </w:rPr>
        <w:tab/>
        <w:t xml:space="preserve"> The appellant nevertheless argues that the Board should disregard the Commissioner’s regulation because as a matter of statutory construction, “gross receipts” must be given its plain meaning to encompass revenue from any source. Furthermore, the appellant argues that G.L. c. 63, § 38(</w:t>
      </w:r>
      <w:r>
        <w:rPr>
          <w:rFonts w:ascii="Courier New" w:hAnsi="Courier New" w:cs="Courier New"/>
          <w:i/>
          <w:sz w:val="24"/>
          <w:szCs w:val="24"/>
        </w:rPr>
        <w:t>l</w:t>
      </w:r>
      <w:r>
        <w:rPr>
          <w:rFonts w:ascii="Courier New" w:hAnsi="Courier New" w:cs="Courier New"/>
          <w:sz w:val="24"/>
          <w:szCs w:val="24"/>
        </w:rPr>
        <w:t>) must be construed in harmony with G.L. c. 63, §</w:t>
      </w:r>
      <w:r w:rsidR="00D4018F">
        <w:rPr>
          <w:rFonts w:ascii="Courier New" w:hAnsi="Courier New" w:cs="Courier New"/>
          <w:sz w:val="24"/>
          <w:szCs w:val="24"/>
        </w:rPr>
        <w:t> </w:t>
      </w:r>
      <w:r>
        <w:rPr>
          <w:rFonts w:ascii="Courier New" w:hAnsi="Courier New" w:cs="Courier New"/>
          <w:sz w:val="24"/>
          <w:szCs w:val="24"/>
        </w:rPr>
        <w:t xml:space="preserve">38(f), which provides that the sales factor includes all “gross receipts” less “gross receipts from the maturity, redemption, sale, exchange or other disposition of securities” and thus by inference every time “gross receipts” is mentioned in G.L. c. 63, § 38 it would include all gross receipts from the sale of securities. </w:t>
      </w:r>
    </w:p>
    <w:p w:rsidR="008627C1" w:rsidRPr="00817C57" w:rsidRDefault="008627C1" w:rsidP="008627C1">
      <w:pPr>
        <w:spacing w:line="480" w:lineRule="auto"/>
        <w:ind w:firstLine="720"/>
        <w:jc w:val="both"/>
        <w:rPr>
          <w:rFonts w:ascii="Courier New" w:hAnsi="Courier New" w:cs="Courier New"/>
          <w:sz w:val="24"/>
          <w:szCs w:val="24"/>
        </w:rPr>
      </w:pPr>
      <w:r w:rsidRPr="009F2BAE">
        <w:rPr>
          <w:rFonts w:ascii="Courier New" w:hAnsi="Courier New" w:cs="Courier New"/>
          <w:sz w:val="24"/>
          <w:szCs w:val="24"/>
        </w:rPr>
        <w:t xml:space="preserve">Where the language of a statute is clear and unambiguous, it is conclusive as to legislative intent and courts </w:t>
      </w:r>
      <w:r>
        <w:rPr>
          <w:rFonts w:ascii="Courier New" w:hAnsi="Courier New" w:cs="Courier New"/>
          <w:sz w:val="24"/>
          <w:szCs w:val="24"/>
        </w:rPr>
        <w:t xml:space="preserve">will </w:t>
      </w:r>
      <w:r w:rsidRPr="009F2BAE">
        <w:rPr>
          <w:rFonts w:ascii="Courier New" w:hAnsi="Courier New" w:cs="Courier New"/>
          <w:sz w:val="24"/>
          <w:szCs w:val="24"/>
        </w:rPr>
        <w:t>enforce the statute according to its plain wording</w:t>
      </w:r>
      <w:r>
        <w:rPr>
          <w:rFonts w:ascii="Courier New" w:hAnsi="Courier New" w:cs="Courier New"/>
          <w:sz w:val="24"/>
          <w:szCs w:val="24"/>
        </w:rPr>
        <w:t>; however, this is only the case</w:t>
      </w:r>
      <w:r w:rsidRPr="009F2BAE">
        <w:rPr>
          <w:rFonts w:ascii="Courier New" w:hAnsi="Courier New" w:cs="Courier New"/>
          <w:sz w:val="24"/>
          <w:szCs w:val="24"/>
        </w:rPr>
        <w:t xml:space="preserve"> so long as </w:t>
      </w:r>
      <w:r>
        <w:rPr>
          <w:rFonts w:ascii="Courier New" w:hAnsi="Courier New" w:cs="Courier New"/>
          <w:sz w:val="24"/>
          <w:szCs w:val="24"/>
        </w:rPr>
        <w:t>its</w:t>
      </w:r>
      <w:r w:rsidRPr="009F2BAE">
        <w:rPr>
          <w:rFonts w:ascii="Courier New" w:hAnsi="Courier New" w:cs="Courier New"/>
          <w:sz w:val="24"/>
          <w:szCs w:val="24"/>
        </w:rPr>
        <w:t xml:space="preserve"> </w:t>
      </w:r>
      <w:r w:rsidRPr="009F2BAE">
        <w:rPr>
          <w:rFonts w:ascii="Courier New" w:hAnsi="Courier New" w:cs="Courier New"/>
          <w:sz w:val="24"/>
          <w:szCs w:val="24"/>
        </w:rPr>
        <w:lastRenderedPageBreak/>
        <w:t>application would not lead to an absurd result.</w:t>
      </w:r>
      <w:r>
        <w:rPr>
          <w:rFonts w:ascii="Courier New" w:hAnsi="Courier New" w:cs="Courier New"/>
          <w:sz w:val="24"/>
          <w:szCs w:val="24"/>
        </w:rPr>
        <w:t xml:space="preserve"> </w:t>
      </w:r>
      <w:r w:rsidRPr="009F2BAE">
        <w:rPr>
          <w:rFonts w:ascii="Courier New" w:hAnsi="Courier New" w:cs="Courier New"/>
          <w:b/>
          <w:i/>
          <w:sz w:val="24"/>
          <w:szCs w:val="24"/>
        </w:rPr>
        <w:t>City of Worcester v. College Hill Props., LLC</w:t>
      </w:r>
      <w:r w:rsidRPr="009F2BAE">
        <w:rPr>
          <w:rFonts w:ascii="Courier New" w:hAnsi="Courier New" w:cs="Courier New"/>
          <w:sz w:val="24"/>
          <w:szCs w:val="24"/>
        </w:rPr>
        <w:t>, 465 Mass. 134</w:t>
      </w:r>
      <w:r>
        <w:rPr>
          <w:rFonts w:ascii="Courier New" w:hAnsi="Courier New" w:cs="Courier New"/>
          <w:sz w:val="24"/>
          <w:szCs w:val="24"/>
        </w:rPr>
        <w:t xml:space="preserve">, 138 (2013); </w:t>
      </w:r>
      <w:r w:rsidRPr="009F2BAE">
        <w:rPr>
          <w:rFonts w:ascii="Courier New" w:hAnsi="Courier New" w:cs="Courier New"/>
          <w:b/>
          <w:i/>
          <w:sz w:val="24"/>
          <w:szCs w:val="24"/>
        </w:rPr>
        <w:t>Pyle v. School Comm. of S. Hadley</w:t>
      </w:r>
      <w:r>
        <w:rPr>
          <w:rFonts w:ascii="Courier New" w:hAnsi="Courier New" w:cs="Courier New"/>
          <w:sz w:val="24"/>
          <w:szCs w:val="24"/>
        </w:rPr>
        <w:t xml:space="preserve">, 423 Mass. 283, 285 </w:t>
      </w:r>
      <w:r w:rsidRPr="009F2BAE">
        <w:rPr>
          <w:rFonts w:ascii="Courier New" w:hAnsi="Courier New" w:cs="Courier New"/>
          <w:sz w:val="24"/>
          <w:szCs w:val="24"/>
        </w:rPr>
        <w:t>(1996</w:t>
      </w:r>
      <w:r>
        <w:rPr>
          <w:rFonts w:ascii="Courier New" w:hAnsi="Courier New" w:cs="Courier New"/>
          <w:sz w:val="24"/>
          <w:szCs w:val="24"/>
        </w:rPr>
        <w:t>)</w:t>
      </w:r>
      <w:r w:rsidRPr="009F2BAE">
        <w:rPr>
          <w:rFonts w:ascii="Courier New" w:hAnsi="Courier New" w:cs="Courier New"/>
          <w:sz w:val="24"/>
          <w:szCs w:val="24"/>
        </w:rPr>
        <w:t>.</w:t>
      </w:r>
      <w:r>
        <w:rPr>
          <w:rFonts w:ascii="Courier New" w:hAnsi="Courier New" w:cs="Courier New"/>
          <w:sz w:val="24"/>
          <w:szCs w:val="24"/>
        </w:rPr>
        <w:t xml:space="preserve"> The Board found and ruled that the obvious purpose inherent in comparing a taxpayer’s manufacturing property, payroll, and sales to its overall property, payroll, and sales to test whether its manufacturing activity is “substantial” is to use those figures as a proxy to represent what portion of the taxpayer’s overall business activities comprises manufacturing. </w:t>
      </w:r>
      <w:r w:rsidRPr="000A1D4E">
        <w:rPr>
          <w:rFonts w:ascii="Courier New" w:hAnsi="Courier New" w:cs="Courier New"/>
          <w:i/>
          <w:sz w:val="24"/>
          <w:szCs w:val="24"/>
        </w:rPr>
        <w:t>See</w:t>
      </w:r>
      <w:r>
        <w:rPr>
          <w:rFonts w:ascii="Courier New" w:hAnsi="Courier New" w:cs="Courier New"/>
          <w:sz w:val="24"/>
          <w:szCs w:val="24"/>
        </w:rPr>
        <w:t xml:space="preserve"> </w:t>
      </w:r>
      <w:r>
        <w:rPr>
          <w:rFonts w:ascii="Courier New" w:hAnsi="Courier New" w:cs="Courier New"/>
          <w:b/>
          <w:i/>
          <w:sz w:val="24"/>
          <w:szCs w:val="24"/>
        </w:rPr>
        <w:t>First Marblehead Corp. v. Commissioner of Revenue</w:t>
      </w:r>
      <w:r>
        <w:rPr>
          <w:rFonts w:ascii="Courier New" w:hAnsi="Courier New" w:cs="Courier New"/>
          <w:sz w:val="24"/>
          <w:szCs w:val="24"/>
        </w:rPr>
        <w:t>, Mass. ATB Findings of Fact and Reports 2013-241, 280 (</w:t>
      </w:r>
      <w:r w:rsidRPr="002F053B">
        <w:rPr>
          <w:rFonts w:ascii="Courier New" w:hAnsi="Courier New" w:cs="Courier New"/>
          <w:sz w:val="24"/>
          <w:szCs w:val="24"/>
        </w:rPr>
        <w:t xml:space="preserve">portion of </w:t>
      </w:r>
      <w:r>
        <w:rPr>
          <w:rFonts w:ascii="Courier New" w:hAnsi="Courier New" w:cs="Courier New"/>
          <w:sz w:val="24"/>
          <w:szCs w:val="24"/>
        </w:rPr>
        <w:t xml:space="preserve">taxpayer’s </w:t>
      </w:r>
      <w:r w:rsidRPr="002F053B">
        <w:rPr>
          <w:rFonts w:ascii="Courier New" w:hAnsi="Courier New" w:cs="Courier New"/>
          <w:sz w:val="24"/>
          <w:szCs w:val="24"/>
        </w:rPr>
        <w:t xml:space="preserve">annual receipts that are derived from manufacturing is a </w:t>
      </w:r>
      <w:r>
        <w:rPr>
          <w:rFonts w:ascii="Courier New" w:hAnsi="Courier New" w:cs="Courier New"/>
          <w:sz w:val="24"/>
          <w:szCs w:val="24"/>
        </w:rPr>
        <w:t xml:space="preserve">reasonable </w:t>
      </w:r>
      <w:r w:rsidRPr="002F053B">
        <w:rPr>
          <w:rFonts w:ascii="Courier New" w:hAnsi="Courier New" w:cs="Courier New"/>
          <w:sz w:val="24"/>
          <w:szCs w:val="24"/>
        </w:rPr>
        <w:t>reflection of the amount of available resources that a taxpayer devotes to the activity</w:t>
      </w:r>
      <w:r>
        <w:rPr>
          <w:rFonts w:ascii="Courier New" w:hAnsi="Courier New" w:cs="Courier New"/>
          <w:sz w:val="24"/>
          <w:szCs w:val="24"/>
        </w:rPr>
        <w:t xml:space="preserve">). </w:t>
      </w:r>
    </w:p>
    <w:p w:rsidR="008627C1" w:rsidRDefault="008627C1" w:rsidP="008627C1">
      <w:pPr>
        <w:spacing w:line="480" w:lineRule="auto"/>
        <w:ind w:firstLine="720"/>
        <w:jc w:val="both"/>
        <w:rPr>
          <w:rFonts w:ascii="Courier New" w:hAnsi="Courier New" w:cs="Courier New"/>
          <w:sz w:val="24"/>
          <w:szCs w:val="24"/>
        </w:rPr>
      </w:pPr>
      <w:r>
        <w:rPr>
          <w:rFonts w:ascii="Courier New" w:hAnsi="Courier New" w:cs="Courier New"/>
          <w:sz w:val="24"/>
          <w:szCs w:val="24"/>
        </w:rPr>
        <w:t>If the Board were to follow Genentech’s approach for the 2004 tax year as an example, the appellant would have generated $</w:t>
      </w:r>
      <w:r w:rsidRPr="009A3ECF">
        <w:rPr>
          <w:rFonts w:ascii="Courier New" w:hAnsi="Courier New" w:cs="Courier New"/>
          <w:sz w:val="24"/>
          <w:szCs w:val="24"/>
        </w:rPr>
        <w:t>39,226,839,298</w:t>
      </w:r>
      <w:r>
        <w:rPr>
          <w:rFonts w:ascii="Courier New" w:hAnsi="Courier New" w:cs="Courier New"/>
          <w:sz w:val="24"/>
          <w:szCs w:val="24"/>
        </w:rPr>
        <w:t xml:space="preserve"> in gross receipts, of which only $</w:t>
      </w:r>
      <w:r w:rsidRPr="009A3ECF">
        <w:rPr>
          <w:rFonts w:ascii="Courier New" w:hAnsi="Courier New" w:cs="Courier New"/>
          <w:sz w:val="24"/>
          <w:szCs w:val="24"/>
        </w:rPr>
        <w:t>4,</w:t>
      </w:r>
      <w:r>
        <w:rPr>
          <w:rFonts w:ascii="Courier New" w:hAnsi="Courier New" w:cs="Courier New"/>
          <w:sz w:val="24"/>
          <w:szCs w:val="24"/>
        </w:rPr>
        <w:t xml:space="preserve">578,096,817 came from ordinary business income, such as revenue from the sale of drugs, royalties from the license of intellectual property, contract revenue, and investment income in the form of interest, dividends, and capital gains. The remainder of those “gross receipts” would have </w:t>
      </w:r>
      <w:r>
        <w:rPr>
          <w:rFonts w:ascii="Courier New" w:hAnsi="Courier New" w:cs="Courier New"/>
          <w:sz w:val="24"/>
          <w:szCs w:val="24"/>
        </w:rPr>
        <w:lastRenderedPageBreak/>
        <w:t>been derived from redeeming money market funds or commercial paper for their cash equivalent, receipts that were not included for accounting purposes in the measures of revenue reported to shareholders or included in the computation of taxable income. Using these figures as a proxy would mean that approximately 88% of Genentech’s overall business activities in 2004 consisted of a handful of employees in the treasury department managing Genentech’s day-to-day cash flow. The Board found and ruled that including these receipts, therefore, would lead to the conclusion that instead of being in the business of developing and selling drugs, Genentech’s primary activity was acting as a cash management company in the business of purchasing and selling money market funds and commercial paper. The Board declined to reach this absurd result.</w:t>
      </w:r>
    </w:p>
    <w:p w:rsidR="008627C1" w:rsidRDefault="008627C1" w:rsidP="008627C1">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The appellant urged the Board to follow the California Supreme Court’s decision in </w:t>
      </w:r>
      <w:r>
        <w:rPr>
          <w:rFonts w:ascii="Courier New" w:hAnsi="Courier New" w:cs="Courier New"/>
          <w:b/>
          <w:i/>
          <w:sz w:val="24"/>
          <w:szCs w:val="24"/>
        </w:rPr>
        <w:t>Microsoft Corporation v. Franchise Tax Board</w:t>
      </w:r>
      <w:r>
        <w:rPr>
          <w:rFonts w:ascii="Courier New" w:hAnsi="Courier New" w:cs="Courier New"/>
          <w:sz w:val="24"/>
          <w:szCs w:val="24"/>
        </w:rPr>
        <w:t>, 39 Cal. 4</w:t>
      </w:r>
      <w:r w:rsidRPr="00504CFC">
        <w:rPr>
          <w:rFonts w:ascii="Courier New" w:hAnsi="Courier New" w:cs="Courier New"/>
          <w:sz w:val="24"/>
          <w:szCs w:val="24"/>
          <w:vertAlign w:val="superscript"/>
        </w:rPr>
        <w:t>th</w:t>
      </w:r>
      <w:r>
        <w:rPr>
          <w:rFonts w:ascii="Courier New" w:hAnsi="Courier New" w:cs="Courier New"/>
          <w:sz w:val="24"/>
          <w:szCs w:val="24"/>
        </w:rPr>
        <w:t xml:space="preserve"> 750 (2006). The taxpayer, Microsoft Corporation (“Microsoft”), was a large computer software company based in Seattle, which had a treasury function, similar to Genentech’s, that invested its excess cash in short-term securities. </w:t>
      </w:r>
      <w:r>
        <w:rPr>
          <w:rFonts w:ascii="Courier New" w:hAnsi="Courier New" w:cs="Courier New"/>
          <w:b/>
          <w:i/>
          <w:sz w:val="24"/>
          <w:szCs w:val="24"/>
        </w:rPr>
        <w:t>Id.</w:t>
      </w:r>
      <w:r>
        <w:rPr>
          <w:rFonts w:ascii="Courier New" w:hAnsi="Courier New" w:cs="Courier New"/>
          <w:sz w:val="24"/>
          <w:szCs w:val="24"/>
        </w:rPr>
        <w:t xml:space="preserve"> at 757. Microsoft argued that its gross proceeds from redemption and maturity of those securities should be included in its sales factor </w:t>
      </w:r>
      <w:r>
        <w:rPr>
          <w:rFonts w:ascii="Courier New" w:hAnsi="Courier New" w:cs="Courier New"/>
          <w:sz w:val="24"/>
          <w:szCs w:val="24"/>
        </w:rPr>
        <w:lastRenderedPageBreak/>
        <w:t xml:space="preserve">denominator for California corporate income tax apportionment purposes, which by statute was defined to include all “gross receipts.” </w:t>
      </w:r>
      <w:r>
        <w:rPr>
          <w:rFonts w:ascii="Courier New" w:hAnsi="Courier New" w:cs="Courier New"/>
          <w:b/>
          <w:i/>
          <w:sz w:val="24"/>
          <w:szCs w:val="24"/>
        </w:rPr>
        <w:t>Id.</w:t>
      </w:r>
      <w:r>
        <w:rPr>
          <w:rFonts w:ascii="Courier New" w:hAnsi="Courier New" w:cs="Courier New"/>
          <w:sz w:val="24"/>
          <w:szCs w:val="24"/>
        </w:rPr>
        <w:t xml:space="preserve"> Because Microsoft’s treasury function was located outside of California, inclusion of the receipts would have had the effect of decreasing its California sales factor from 11 percent to 3 percent and cutting its tax nearly in half. </w:t>
      </w:r>
      <w:r>
        <w:rPr>
          <w:rFonts w:ascii="Courier New" w:hAnsi="Courier New" w:cs="Courier New"/>
          <w:b/>
          <w:i/>
          <w:sz w:val="24"/>
          <w:szCs w:val="24"/>
        </w:rPr>
        <w:t>Id</w:t>
      </w:r>
      <w:r>
        <w:rPr>
          <w:rFonts w:ascii="Courier New" w:hAnsi="Courier New" w:cs="Courier New"/>
          <w:sz w:val="24"/>
          <w:szCs w:val="24"/>
        </w:rPr>
        <w:t xml:space="preserve">. As the appellant notes, the California Supreme Court found that while the statute was “not unambiguous,” the term “gross receipts” should be deemed to include the gross proceeds from redemption or maturity of securities. </w:t>
      </w:r>
      <w:r>
        <w:rPr>
          <w:rFonts w:ascii="Courier New" w:hAnsi="Courier New" w:cs="Courier New"/>
          <w:b/>
          <w:i/>
          <w:sz w:val="24"/>
          <w:szCs w:val="24"/>
        </w:rPr>
        <w:t>Id</w:t>
      </w:r>
      <w:r>
        <w:rPr>
          <w:rFonts w:ascii="Courier New" w:hAnsi="Courier New" w:cs="Courier New"/>
          <w:sz w:val="24"/>
          <w:szCs w:val="24"/>
        </w:rPr>
        <w:t xml:space="preserve">. at 759.  </w:t>
      </w:r>
    </w:p>
    <w:p w:rsidR="008627C1" w:rsidRPr="00595772" w:rsidRDefault="008627C1" w:rsidP="008627C1">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However, in that case, the Court was “unable to accept, even for a moment, the notion that” a significant portion of a taxpayer’s entire unitary business activities “should be attributed to </w:t>
      </w:r>
      <w:r>
        <w:rPr>
          <w:rFonts w:ascii="Courier New" w:hAnsi="Courier New" w:cs="Courier New"/>
          <w:b/>
          <w:sz w:val="24"/>
          <w:szCs w:val="24"/>
        </w:rPr>
        <w:t>any</w:t>
      </w:r>
      <w:r>
        <w:rPr>
          <w:rFonts w:ascii="Courier New" w:hAnsi="Courier New" w:cs="Courier New"/>
          <w:sz w:val="24"/>
          <w:szCs w:val="24"/>
        </w:rPr>
        <w:t xml:space="preserve"> single state solely because it is the center of working capital investment activities that are clearly only an incidental part of one of America’s largest, and most widespread, businesses.” </w:t>
      </w:r>
      <w:r>
        <w:rPr>
          <w:rFonts w:ascii="Courier New" w:hAnsi="Courier New" w:cs="Courier New"/>
          <w:b/>
          <w:i/>
          <w:sz w:val="24"/>
          <w:szCs w:val="24"/>
        </w:rPr>
        <w:t>Id</w:t>
      </w:r>
      <w:r>
        <w:rPr>
          <w:rFonts w:ascii="Courier New" w:hAnsi="Courier New" w:cs="Courier New"/>
          <w:sz w:val="24"/>
          <w:szCs w:val="24"/>
        </w:rPr>
        <w:t xml:space="preserve">. at 765 (emphasis in original)(quoting </w:t>
      </w:r>
      <w:r>
        <w:rPr>
          <w:rFonts w:ascii="Courier New" w:hAnsi="Courier New" w:cs="Courier New"/>
          <w:b/>
          <w:i/>
          <w:sz w:val="24"/>
          <w:szCs w:val="24"/>
        </w:rPr>
        <w:t>Appeal of Pacific Telephone and Telegraph</w:t>
      </w:r>
      <w:r>
        <w:rPr>
          <w:rFonts w:ascii="Courier New" w:hAnsi="Courier New" w:cs="Courier New"/>
          <w:sz w:val="24"/>
          <w:szCs w:val="24"/>
        </w:rPr>
        <w:t>, 1978 Cal. Tax LEXIS 91, *30 (1978)). The fact that “modern corporate treasury departments...</w:t>
      </w:r>
      <w:r w:rsidR="00D4018F">
        <w:rPr>
          <w:rFonts w:ascii="Courier New" w:hAnsi="Courier New" w:cs="Courier New"/>
          <w:sz w:val="24"/>
          <w:szCs w:val="24"/>
        </w:rPr>
        <w:t> </w:t>
      </w:r>
      <w:r>
        <w:rPr>
          <w:rFonts w:ascii="Courier New" w:hAnsi="Courier New" w:cs="Courier New"/>
          <w:sz w:val="24"/>
          <w:szCs w:val="24"/>
        </w:rPr>
        <w:t xml:space="preserve">are qualitatively different from the rest of a corporation’s business and [their] typical margins may be quantitatively several orders or magnitude different from the rest of a </w:t>
      </w:r>
      <w:r>
        <w:rPr>
          <w:rFonts w:ascii="Courier New" w:hAnsi="Courier New" w:cs="Courier New"/>
          <w:sz w:val="24"/>
          <w:szCs w:val="24"/>
        </w:rPr>
        <w:lastRenderedPageBreak/>
        <w:t xml:space="preserve">corporations’ business...” led to a situation where Microsoft’s short-term investments produced less than 2 percent of its income but accounted for 73 percent of all gross receipts. </w:t>
      </w:r>
      <w:r>
        <w:rPr>
          <w:rFonts w:ascii="Courier New" w:hAnsi="Courier New" w:cs="Courier New"/>
          <w:b/>
          <w:i/>
          <w:sz w:val="24"/>
          <w:szCs w:val="24"/>
        </w:rPr>
        <w:t xml:space="preserve">Id. </w:t>
      </w:r>
      <w:r>
        <w:rPr>
          <w:rFonts w:ascii="Courier New" w:hAnsi="Courier New" w:cs="Courier New"/>
          <w:sz w:val="24"/>
          <w:szCs w:val="24"/>
        </w:rPr>
        <w:t>at 768, 765. Accordingly, the Court held that inclusion of the receipts would result in an overly distorted measure of the taxpayer’s sales attributable to California and invoked a statute that authorized the use of an alternative apportionment formula for a specific taxpayer, which in Microsoft’s case meant only including net receipts to the extent the redemption or maturity price was greater than the original purchase price.</w:t>
      </w:r>
      <w:r>
        <w:rPr>
          <w:rStyle w:val="FootnoteReference"/>
          <w:rFonts w:ascii="Courier New" w:hAnsi="Courier New" w:cs="Courier New"/>
          <w:sz w:val="24"/>
          <w:szCs w:val="24"/>
        </w:rPr>
        <w:footnoteReference w:id="15"/>
      </w:r>
      <w:r>
        <w:rPr>
          <w:rFonts w:ascii="Courier New" w:hAnsi="Courier New" w:cs="Courier New"/>
          <w:sz w:val="24"/>
          <w:szCs w:val="24"/>
        </w:rPr>
        <w:t xml:space="preserve"> </w:t>
      </w:r>
      <w:r>
        <w:rPr>
          <w:rFonts w:ascii="Courier New" w:hAnsi="Courier New" w:cs="Courier New"/>
          <w:b/>
          <w:i/>
          <w:sz w:val="24"/>
          <w:szCs w:val="24"/>
        </w:rPr>
        <w:t xml:space="preserve">Id. </w:t>
      </w:r>
      <w:r>
        <w:rPr>
          <w:rFonts w:ascii="Courier New" w:hAnsi="Courier New" w:cs="Courier New"/>
          <w:sz w:val="24"/>
          <w:szCs w:val="24"/>
        </w:rPr>
        <w:t>at 771.</w:t>
      </w:r>
    </w:p>
    <w:p w:rsidR="008627C1" w:rsidRPr="00173D93" w:rsidRDefault="008627C1" w:rsidP="008627C1">
      <w:pPr>
        <w:spacing w:line="480" w:lineRule="auto"/>
        <w:ind w:firstLine="720"/>
        <w:jc w:val="both"/>
        <w:rPr>
          <w:rFonts w:ascii="Courier New" w:hAnsi="Courier New" w:cs="Courier New"/>
          <w:i/>
          <w:sz w:val="24"/>
          <w:szCs w:val="24"/>
        </w:rPr>
      </w:pPr>
      <w:r>
        <w:rPr>
          <w:rFonts w:ascii="Courier New" w:hAnsi="Courier New" w:cs="Courier New"/>
          <w:sz w:val="24"/>
          <w:szCs w:val="24"/>
        </w:rPr>
        <w:t xml:space="preserve">The Board agreed with California in so far as its conclusion that labeling proceeds from the daily redemption of short-term securities for their cash equivalent is distortive. Thus, in accordance with the applicable regulation and the legislative purpose behind the Receipts Test, the Board found and ruled that only interest, dividends, and capital gains generated by investing activity are properly included in the denominator Receipts </w:t>
      </w:r>
      <w:r>
        <w:rPr>
          <w:rFonts w:ascii="Courier New" w:hAnsi="Courier New" w:cs="Courier New"/>
          <w:sz w:val="24"/>
          <w:szCs w:val="24"/>
        </w:rPr>
        <w:lastRenderedPageBreak/>
        <w:t>Test. Accordingly, as greater than 25 percent of Genentech’s receipts under that measure were derived from the sale of manufactured drugs, Genentech was required by G.L. c. 63, § 38(</w:t>
      </w:r>
      <w:r>
        <w:rPr>
          <w:rFonts w:ascii="Courier New" w:hAnsi="Courier New" w:cs="Courier New"/>
          <w:i/>
          <w:sz w:val="24"/>
          <w:szCs w:val="24"/>
        </w:rPr>
        <w:t>l</w:t>
      </w:r>
      <w:r w:rsidRPr="00173D93">
        <w:rPr>
          <w:rFonts w:ascii="Courier New" w:hAnsi="Courier New" w:cs="Courier New"/>
          <w:sz w:val="24"/>
          <w:szCs w:val="24"/>
        </w:rPr>
        <w:t>)</w:t>
      </w:r>
      <w:r>
        <w:rPr>
          <w:rFonts w:ascii="Courier New" w:hAnsi="Courier New" w:cs="Courier New"/>
          <w:sz w:val="24"/>
          <w:szCs w:val="24"/>
        </w:rPr>
        <w:t xml:space="preserve"> to apportion its income using a single sales factor.</w:t>
      </w:r>
    </w:p>
    <w:p w:rsidR="008627C1" w:rsidRDefault="008627C1" w:rsidP="008627C1">
      <w:pPr>
        <w:pStyle w:val="ListParagraph"/>
        <w:numPr>
          <w:ilvl w:val="0"/>
          <w:numId w:val="16"/>
        </w:numPr>
        <w:spacing w:after="120" w:line="276" w:lineRule="auto"/>
        <w:jc w:val="both"/>
        <w:rPr>
          <w:rFonts w:ascii="Courier New" w:hAnsi="Courier New" w:cs="Courier New"/>
          <w:b/>
          <w:sz w:val="24"/>
          <w:szCs w:val="24"/>
        </w:rPr>
      </w:pPr>
      <w:r>
        <w:rPr>
          <w:rFonts w:ascii="Courier New" w:hAnsi="Courier New" w:cs="Courier New"/>
          <w:b/>
          <w:sz w:val="24"/>
          <w:szCs w:val="24"/>
        </w:rPr>
        <w:t>Investment Tax Credits and Research and Development Tax Credits</w:t>
      </w:r>
    </w:p>
    <w:p w:rsidR="008627C1" w:rsidRDefault="008627C1" w:rsidP="008627C1">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Massachusetts provides a credit against corporate excise for corporations engaged in manufacturing which purchase eligible tangible property placed in service in Massachusetts or which undertake research and development activities in the Commonwealth. G.L. c. 63, §§ 31A and 38M. The credits are calculated as a fixed percentage of the related qualified expenditure. </w:t>
      </w:r>
      <w:r w:rsidRPr="004B36A5">
        <w:rPr>
          <w:rFonts w:ascii="Courier New" w:hAnsi="Courier New" w:cs="Courier New"/>
          <w:b/>
          <w:i/>
          <w:sz w:val="24"/>
          <w:szCs w:val="24"/>
        </w:rPr>
        <w:t>Id</w:t>
      </w:r>
      <w:r>
        <w:rPr>
          <w:rFonts w:ascii="Courier New" w:hAnsi="Courier New" w:cs="Courier New"/>
          <w:sz w:val="24"/>
          <w:szCs w:val="24"/>
        </w:rPr>
        <w:t xml:space="preserve">. These incentives are available to any corporations which meet the statutory requirements, regardless of their place of domicile; however, in order to claim the credit, the underlying activity must take place in Massachusetts. </w:t>
      </w:r>
      <w:r>
        <w:rPr>
          <w:rFonts w:ascii="Courier New" w:hAnsi="Courier New" w:cs="Courier New"/>
          <w:b/>
          <w:i/>
          <w:sz w:val="24"/>
          <w:szCs w:val="24"/>
        </w:rPr>
        <w:t xml:space="preserve">Id. </w:t>
      </w:r>
      <w:r>
        <w:rPr>
          <w:rFonts w:ascii="Courier New" w:hAnsi="Courier New" w:cs="Courier New"/>
          <w:sz w:val="24"/>
          <w:szCs w:val="24"/>
        </w:rPr>
        <w:t xml:space="preserve">The appellant argued that this renders the Massachusetts ITC and R&amp;D Credit regimes to be in violation of the Commerce Clause of the U.S. Constitution by unfairly discriminating against interstate commerce. Therefore, Genentech asserts that it should have been entitled to claim Massachusetts ITC and R&amp;D Credits for its activities conducted in </w:t>
      </w:r>
      <w:r>
        <w:rPr>
          <w:rFonts w:ascii="Courier New" w:hAnsi="Courier New" w:cs="Courier New"/>
          <w:sz w:val="24"/>
          <w:szCs w:val="24"/>
        </w:rPr>
        <w:lastRenderedPageBreak/>
        <w:t xml:space="preserve">California that would otherwise have qualified for a credit if conducted in Massachusetts. </w:t>
      </w:r>
    </w:p>
    <w:p w:rsidR="008627C1" w:rsidRDefault="008627C1" w:rsidP="008627C1">
      <w:pPr>
        <w:spacing w:line="480" w:lineRule="auto"/>
        <w:ind w:firstLine="720"/>
        <w:jc w:val="both"/>
        <w:rPr>
          <w:rFonts w:ascii="Courier New" w:hAnsi="Courier New" w:cs="Courier New"/>
          <w:sz w:val="24"/>
          <w:szCs w:val="24"/>
        </w:rPr>
      </w:pPr>
      <w:r>
        <w:rPr>
          <w:rFonts w:ascii="Courier New" w:hAnsi="Courier New" w:cs="Courier New"/>
          <w:sz w:val="24"/>
          <w:szCs w:val="24"/>
        </w:rPr>
        <w:t xml:space="preserve">The Board recently found this argument to be unpersuasive in </w:t>
      </w:r>
      <w:r>
        <w:rPr>
          <w:rFonts w:ascii="Courier New" w:hAnsi="Courier New" w:cs="Courier New"/>
          <w:b/>
          <w:i/>
          <w:sz w:val="24"/>
          <w:szCs w:val="24"/>
        </w:rPr>
        <w:t>Random House, Inc. v. Commissioner of Revenue</w:t>
      </w:r>
      <w:r>
        <w:rPr>
          <w:rFonts w:ascii="Courier New" w:hAnsi="Courier New" w:cs="Courier New"/>
          <w:sz w:val="24"/>
          <w:szCs w:val="24"/>
        </w:rPr>
        <w:t>, Mass. ATB Findings of Fact and Reports 2012-973 (“</w:t>
      </w:r>
      <w:r>
        <w:rPr>
          <w:rFonts w:ascii="Courier New" w:hAnsi="Courier New" w:cs="Courier New"/>
          <w:b/>
          <w:i/>
          <w:sz w:val="24"/>
          <w:szCs w:val="24"/>
        </w:rPr>
        <w:t>Random House</w:t>
      </w:r>
      <w:r>
        <w:rPr>
          <w:rFonts w:ascii="Courier New" w:hAnsi="Courier New" w:cs="Courier New"/>
          <w:sz w:val="24"/>
          <w:szCs w:val="24"/>
        </w:rPr>
        <w:t xml:space="preserve">”). There the taxpayer, like Genentech, had made otherwise qualifying investments outside of the Commonwealth and had also argued that the ITC was unconstitutional because it only extended benefits to companies that made qualifying investments in Massachusetts. </w:t>
      </w:r>
      <w:r>
        <w:rPr>
          <w:rFonts w:ascii="Courier New" w:hAnsi="Courier New" w:cs="Courier New"/>
          <w:b/>
          <w:i/>
          <w:sz w:val="24"/>
          <w:szCs w:val="24"/>
        </w:rPr>
        <w:t xml:space="preserve">Id. </w:t>
      </w:r>
      <w:r w:rsidRPr="00137EDE">
        <w:rPr>
          <w:rFonts w:ascii="Courier New" w:hAnsi="Courier New" w:cs="Courier New"/>
          <w:sz w:val="24"/>
          <w:szCs w:val="24"/>
        </w:rPr>
        <w:t xml:space="preserve">at 980. </w:t>
      </w:r>
      <w:r>
        <w:rPr>
          <w:rFonts w:ascii="Courier New" w:hAnsi="Courier New" w:cs="Courier New"/>
          <w:sz w:val="24"/>
          <w:szCs w:val="24"/>
        </w:rPr>
        <w:t xml:space="preserve">After extensive analysis, the Board ruled ITC to be constitutional, </w:t>
      </w:r>
      <w:r>
        <w:rPr>
          <w:rFonts w:ascii="Courier New" w:hAnsi="Courier New" w:cs="Courier New"/>
          <w:b/>
          <w:i/>
          <w:sz w:val="24"/>
          <w:szCs w:val="24"/>
        </w:rPr>
        <w:t>Id.</w:t>
      </w:r>
      <w:r>
        <w:rPr>
          <w:rFonts w:ascii="Courier New" w:hAnsi="Courier New" w:cs="Courier New"/>
          <w:i/>
          <w:sz w:val="24"/>
          <w:szCs w:val="24"/>
        </w:rPr>
        <w:t xml:space="preserve"> </w:t>
      </w:r>
      <w:r w:rsidRPr="00631495">
        <w:rPr>
          <w:rFonts w:ascii="Courier New" w:hAnsi="Courier New" w:cs="Courier New"/>
          <w:sz w:val="24"/>
          <w:szCs w:val="24"/>
        </w:rPr>
        <w:t xml:space="preserve">at </w:t>
      </w:r>
      <w:r>
        <w:rPr>
          <w:rFonts w:ascii="Courier New" w:hAnsi="Courier New" w:cs="Courier New"/>
          <w:sz w:val="24"/>
          <w:szCs w:val="24"/>
        </w:rPr>
        <w:t xml:space="preserve">999, a ruling whose logic naturally extends to R&amp;D Credits and which the Board reaffirms today. As the Board explained in </w:t>
      </w:r>
      <w:r>
        <w:rPr>
          <w:rFonts w:ascii="Courier New" w:hAnsi="Courier New" w:cs="Courier New"/>
          <w:b/>
          <w:i/>
          <w:sz w:val="24"/>
          <w:szCs w:val="24"/>
        </w:rPr>
        <w:t xml:space="preserve">Random House, </w:t>
      </w:r>
      <w:r>
        <w:rPr>
          <w:rFonts w:ascii="Courier New" w:hAnsi="Courier New" w:cs="Courier New"/>
          <w:sz w:val="24"/>
          <w:szCs w:val="24"/>
        </w:rPr>
        <w:t>“</w:t>
      </w:r>
      <w:r w:rsidRPr="001B0146">
        <w:rPr>
          <w:rFonts w:ascii="Courier New" w:hAnsi="Courier New" w:cs="Courier New"/>
          <w:sz w:val="24"/>
          <w:szCs w:val="24"/>
        </w:rPr>
        <w:t>the crucial factor in a Dormant Commerce Clause analysis is whether the differential treatment is imposed, not simply on an out-of-state taxpayer, but on interstate commerce, which entails the movement of goods and services.</w:t>
      </w:r>
      <w:r>
        <w:rPr>
          <w:rFonts w:ascii="Courier New" w:hAnsi="Courier New" w:cs="Courier New"/>
          <w:sz w:val="24"/>
          <w:szCs w:val="24"/>
        </w:rPr>
        <w:t>”</w:t>
      </w:r>
      <w:r w:rsidRPr="001B0146">
        <w:rPr>
          <w:rFonts w:ascii="Courier New" w:hAnsi="Courier New" w:cs="Courier New"/>
          <w:sz w:val="24"/>
          <w:szCs w:val="24"/>
        </w:rPr>
        <w:t xml:space="preserve">  </w:t>
      </w:r>
      <w:r>
        <w:rPr>
          <w:rFonts w:ascii="Courier New" w:hAnsi="Courier New" w:cs="Courier New"/>
          <w:b/>
          <w:i/>
          <w:sz w:val="24"/>
          <w:szCs w:val="24"/>
        </w:rPr>
        <w:t>Id.</w:t>
      </w:r>
      <w:r>
        <w:rPr>
          <w:rFonts w:ascii="Courier New" w:hAnsi="Courier New" w:cs="Courier New"/>
          <w:i/>
          <w:sz w:val="24"/>
          <w:szCs w:val="24"/>
        </w:rPr>
        <w:t xml:space="preserve"> </w:t>
      </w:r>
      <w:r w:rsidRPr="00631495">
        <w:rPr>
          <w:rFonts w:ascii="Courier New" w:hAnsi="Courier New" w:cs="Courier New"/>
          <w:sz w:val="24"/>
          <w:szCs w:val="24"/>
        </w:rPr>
        <w:t xml:space="preserve">at </w:t>
      </w:r>
      <w:r>
        <w:rPr>
          <w:rFonts w:ascii="Courier New" w:hAnsi="Courier New" w:cs="Courier New"/>
          <w:sz w:val="24"/>
          <w:szCs w:val="24"/>
        </w:rPr>
        <w:t>998-999. The credit was</w:t>
      </w:r>
      <w:r w:rsidRPr="001B0146">
        <w:rPr>
          <w:rFonts w:ascii="Courier New" w:hAnsi="Courier New" w:cs="Courier New"/>
          <w:sz w:val="24"/>
          <w:szCs w:val="24"/>
        </w:rPr>
        <w:t xml:space="preserve"> denied to Random House </w:t>
      </w:r>
      <w:r>
        <w:rPr>
          <w:rFonts w:ascii="Courier New" w:hAnsi="Courier New" w:cs="Courier New"/>
          <w:sz w:val="24"/>
          <w:szCs w:val="24"/>
        </w:rPr>
        <w:t>“</w:t>
      </w:r>
      <w:r w:rsidRPr="001B0146">
        <w:rPr>
          <w:rFonts w:ascii="Courier New" w:hAnsi="Courier New" w:cs="Courier New"/>
          <w:sz w:val="24"/>
          <w:szCs w:val="24"/>
        </w:rPr>
        <w:t>because it failed to make a qualifying one-time investment in Massachusetts, not because it moved its goods or services across state lines.</w:t>
      </w:r>
      <w:r>
        <w:rPr>
          <w:rFonts w:ascii="Courier New" w:hAnsi="Courier New" w:cs="Courier New"/>
          <w:sz w:val="24"/>
          <w:szCs w:val="24"/>
        </w:rPr>
        <w:t>”</w:t>
      </w:r>
      <w:r w:rsidRPr="001B0146">
        <w:rPr>
          <w:rFonts w:ascii="Courier New" w:hAnsi="Courier New" w:cs="Courier New"/>
          <w:sz w:val="24"/>
          <w:szCs w:val="24"/>
        </w:rPr>
        <w:t xml:space="preserve"> </w:t>
      </w:r>
      <w:r>
        <w:rPr>
          <w:rFonts w:ascii="Courier New" w:hAnsi="Courier New" w:cs="Courier New"/>
          <w:b/>
          <w:i/>
          <w:sz w:val="24"/>
          <w:szCs w:val="24"/>
        </w:rPr>
        <w:t xml:space="preserve">Id. </w:t>
      </w:r>
      <w:r>
        <w:rPr>
          <w:rFonts w:ascii="Courier New" w:hAnsi="Courier New" w:cs="Courier New"/>
          <w:sz w:val="24"/>
          <w:szCs w:val="24"/>
        </w:rPr>
        <w:t>at 999.</w:t>
      </w:r>
      <w:r w:rsidRPr="001B0146">
        <w:rPr>
          <w:rFonts w:ascii="Courier New" w:hAnsi="Courier New" w:cs="Courier New"/>
          <w:sz w:val="24"/>
          <w:szCs w:val="24"/>
        </w:rPr>
        <w:t xml:space="preserve"> </w:t>
      </w:r>
      <w:r>
        <w:rPr>
          <w:rFonts w:ascii="Courier New" w:hAnsi="Courier New" w:cs="Courier New"/>
          <w:sz w:val="24"/>
          <w:szCs w:val="24"/>
        </w:rPr>
        <w:t xml:space="preserve">Massachusetts provides a credit to corporations offsetting the cost of making a qualifying investment or undertaking qualifying </w:t>
      </w:r>
      <w:r>
        <w:rPr>
          <w:rFonts w:ascii="Courier New" w:hAnsi="Courier New" w:cs="Courier New"/>
          <w:sz w:val="24"/>
          <w:szCs w:val="24"/>
        </w:rPr>
        <w:lastRenderedPageBreak/>
        <w:t>research in Massachusetts, but does not disparately treat taxpayers in the marketplace or otherwise distort interstate commerce in favor of in-state businesses.</w:t>
      </w:r>
    </w:p>
    <w:p w:rsidR="008627C1" w:rsidRDefault="008627C1" w:rsidP="008627C1">
      <w:pPr>
        <w:pStyle w:val="ListParagraph"/>
        <w:numPr>
          <w:ilvl w:val="0"/>
          <w:numId w:val="16"/>
        </w:numPr>
        <w:spacing w:line="480" w:lineRule="auto"/>
        <w:jc w:val="both"/>
        <w:rPr>
          <w:rFonts w:ascii="Courier New" w:hAnsi="Courier New" w:cs="Courier New"/>
          <w:b/>
          <w:sz w:val="24"/>
          <w:szCs w:val="24"/>
        </w:rPr>
      </w:pPr>
      <w:r>
        <w:rPr>
          <w:rFonts w:ascii="Courier New" w:hAnsi="Courier New" w:cs="Courier New"/>
          <w:b/>
          <w:sz w:val="24"/>
          <w:szCs w:val="24"/>
        </w:rPr>
        <w:t>Conclusion</w:t>
      </w:r>
    </w:p>
    <w:p w:rsidR="008627C1" w:rsidRDefault="008627C1" w:rsidP="008627C1">
      <w:pPr>
        <w:spacing w:line="480" w:lineRule="auto"/>
        <w:ind w:firstLine="720"/>
        <w:jc w:val="both"/>
        <w:rPr>
          <w:rFonts w:ascii="Courier New" w:hAnsi="Courier New" w:cs="Courier New"/>
          <w:sz w:val="24"/>
          <w:szCs w:val="24"/>
        </w:rPr>
      </w:pPr>
      <w:r>
        <w:rPr>
          <w:rFonts w:ascii="Courier New" w:hAnsi="Courier New" w:cs="Courier New"/>
          <w:sz w:val="24"/>
          <w:szCs w:val="24"/>
        </w:rPr>
        <w:t>Based on the foregoing, the Board found and ruled that the appellant was not entitled to an abatement of corporate excise as assessed by the Commissioner and it therefore issued D</w:t>
      </w:r>
      <w:r w:rsidRPr="00C7016B">
        <w:rPr>
          <w:rFonts w:ascii="Courier New" w:hAnsi="Courier New" w:cs="Courier New"/>
          <w:sz w:val="24"/>
          <w:szCs w:val="24"/>
        </w:rPr>
        <w:t>ecision</w:t>
      </w:r>
      <w:r>
        <w:rPr>
          <w:rFonts w:ascii="Courier New" w:hAnsi="Courier New" w:cs="Courier New"/>
          <w:sz w:val="24"/>
          <w:szCs w:val="24"/>
        </w:rPr>
        <w:t>s</w:t>
      </w:r>
      <w:r w:rsidRPr="00C7016B">
        <w:rPr>
          <w:rFonts w:ascii="Courier New" w:hAnsi="Courier New" w:cs="Courier New"/>
          <w:sz w:val="24"/>
          <w:szCs w:val="24"/>
        </w:rPr>
        <w:t xml:space="preserve"> for the appell</w:t>
      </w:r>
      <w:r>
        <w:rPr>
          <w:rFonts w:ascii="Courier New" w:hAnsi="Courier New" w:cs="Courier New"/>
          <w:sz w:val="24"/>
          <w:szCs w:val="24"/>
        </w:rPr>
        <w:t>ee</w:t>
      </w:r>
      <w:r w:rsidRPr="00C7016B">
        <w:rPr>
          <w:rFonts w:ascii="Courier New" w:hAnsi="Courier New" w:cs="Courier New"/>
          <w:sz w:val="24"/>
          <w:szCs w:val="24"/>
        </w:rPr>
        <w:t xml:space="preserve"> in th</w:t>
      </w:r>
      <w:r>
        <w:rPr>
          <w:rFonts w:ascii="Courier New" w:hAnsi="Courier New" w:cs="Courier New"/>
          <w:sz w:val="24"/>
          <w:szCs w:val="24"/>
        </w:rPr>
        <w:t>ese</w:t>
      </w:r>
      <w:r w:rsidRPr="00C7016B">
        <w:rPr>
          <w:rFonts w:ascii="Courier New" w:hAnsi="Courier New" w:cs="Courier New"/>
          <w:sz w:val="24"/>
          <w:szCs w:val="24"/>
        </w:rPr>
        <w:t xml:space="preserve"> appeal</w:t>
      </w:r>
      <w:r>
        <w:rPr>
          <w:rFonts w:ascii="Courier New" w:hAnsi="Courier New" w:cs="Courier New"/>
          <w:sz w:val="24"/>
          <w:szCs w:val="24"/>
        </w:rPr>
        <w:t>s</w:t>
      </w:r>
      <w:r w:rsidRPr="00C7016B">
        <w:rPr>
          <w:rFonts w:ascii="Courier New" w:hAnsi="Courier New" w:cs="Courier New"/>
          <w:sz w:val="24"/>
          <w:szCs w:val="24"/>
        </w:rPr>
        <w:t>.</w:t>
      </w:r>
    </w:p>
    <w:p w:rsidR="008627C1" w:rsidRDefault="008627C1" w:rsidP="008627C1">
      <w:pPr>
        <w:spacing w:line="480" w:lineRule="auto"/>
        <w:ind w:firstLine="720"/>
        <w:jc w:val="both"/>
        <w:rPr>
          <w:rFonts w:ascii="Courier New" w:hAnsi="Courier New" w:cs="Courier New"/>
          <w:sz w:val="24"/>
          <w:szCs w:val="24"/>
        </w:rPr>
      </w:pPr>
    </w:p>
    <w:p w:rsidR="008627C1" w:rsidRDefault="008627C1" w:rsidP="008627C1">
      <w:pPr>
        <w:spacing w:line="480" w:lineRule="atLeast"/>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bookmarkStart w:id="0" w:name="_GoBack"/>
      <w:bookmarkEnd w:id="0"/>
    </w:p>
    <w:p w:rsidR="008627C1" w:rsidRDefault="00D4018F" w:rsidP="00D4018F">
      <w:pPr>
        <w:spacing w:line="480" w:lineRule="atLeast"/>
        <w:jc w:val="both"/>
        <w:rPr>
          <w:rFonts w:ascii="Courier New" w:hAnsi="Courier New" w:cs="Courier New"/>
          <w:b/>
          <w:bCs/>
          <w:sz w:val="24"/>
          <w:szCs w:val="24"/>
        </w:rPr>
      </w:pPr>
      <w:r>
        <w:rPr>
          <w:rFonts w:ascii="Courier New" w:hAnsi="Courier New" w:cs="Courier New"/>
          <w:b/>
          <w:bCs/>
          <w:sz w:val="24"/>
          <w:szCs w:val="24"/>
        </w:rPr>
        <w:t xml:space="preserve">                           </w:t>
      </w:r>
      <w:r w:rsidR="008627C1" w:rsidRPr="00AE3637">
        <w:rPr>
          <w:rFonts w:ascii="Courier New" w:hAnsi="Courier New" w:cs="Courier New"/>
          <w:b/>
          <w:bCs/>
          <w:sz w:val="24"/>
          <w:szCs w:val="24"/>
        </w:rPr>
        <w:t>THE APPELLATE TAX BOARD</w:t>
      </w:r>
    </w:p>
    <w:p w:rsidR="00D4018F" w:rsidRPr="00AE3637" w:rsidRDefault="00D4018F" w:rsidP="008627C1">
      <w:pPr>
        <w:spacing w:line="480" w:lineRule="atLeast"/>
        <w:ind w:left="2880" w:firstLine="720"/>
        <w:jc w:val="both"/>
        <w:rPr>
          <w:rFonts w:ascii="Courier New" w:hAnsi="Courier New" w:cs="Courier New"/>
          <w:b/>
          <w:bCs/>
          <w:sz w:val="24"/>
          <w:szCs w:val="24"/>
        </w:rPr>
      </w:pPr>
    </w:p>
    <w:p w:rsidR="008627C1" w:rsidRDefault="008627C1" w:rsidP="008627C1">
      <w:pPr>
        <w:spacing w:line="480" w:lineRule="atLeast"/>
        <w:jc w:val="both"/>
        <w:rPr>
          <w:rFonts w:ascii="Courier New" w:hAnsi="Courier New" w:cs="Courier New"/>
          <w:b/>
          <w:bCs/>
        </w:rPr>
      </w:pPr>
    </w:p>
    <w:p w:rsidR="008627C1" w:rsidRDefault="00D4018F" w:rsidP="00D4018F">
      <w:pPr>
        <w:ind w:left="2880"/>
        <w:rPr>
          <w:rFonts w:ascii="Courier New" w:hAnsi="Courier New" w:cs="Courier New"/>
          <w:b/>
          <w:bCs/>
          <w:sz w:val="22"/>
          <w:szCs w:val="22"/>
        </w:rPr>
      </w:pPr>
      <w:r>
        <w:rPr>
          <w:rFonts w:ascii="Courier New" w:hAnsi="Courier New" w:cs="Courier New"/>
          <w:b/>
          <w:bCs/>
          <w:sz w:val="22"/>
          <w:szCs w:val="22"/>
        </w:rPr>
        <w:t>   </w:t>
      </w:r>
      <w:r w:rsidR="008627C1" w:rsidRPr="00A5326F">
        <w:rPr>
          <w:rFonts w:ascii="Courier New" w:hAnsi="Courier New" w:cs="Courier New"/>
          <w:b/>
          <w:bCs/>
          <w:sz w:val="22"/>
          <w:szCs w:val="22"/>
        </w:rPr>
        <w:t>By</w:t>
      </w:r>
      <w:r w:rsidRPr="00A5326F">
        <w:rPr>
          <w:rFonts w:ascii="Courier New" w:hAnsi="Courier New" w:cs="Courier New"/>
          <w:b/>
          <w:bCs/>
          <w:sz w:val="22"/>
          <w:szCs w:val="22"/>
        </w:rPr>
        <w:t>: _</w:t>
      </w:r>
      <w:r w:rsidR="008627C1" w:rsidRPr="00A5326F">
        <w:rPr>
          <w:rFonts w:ascii="Courier New" w:hAnsi="Courier New" w:cs="Courier New"/>
          <w:b/>
          <w:bCs/>
          <w:sz w:val="22"/>
          <w:szCs w:val="22"/>
        </w:rPr>
        <w:t>____________________________</w:t>
      </w:r>
      <w:r>
        <w:rPr>
          <w:rFonts w:ascii="Courier New" w:hAnsi="Courier New" w:cs="Courier New"/>
          <w:b/>
          <w:bCs/>
          <w:sz w:val="22"/>
          <w:szCs w:val="22"/>
        </w:rPr>
        <w:t>_____</w:t>
      </w:r>
    </w:p>
    <w:p w:rsidR="008627C1" w:rsidRPr="00A5326F" w:rsidRDefault="00D4018F" w:rsidP="00D4018F">
      <w:pPr>
        <w:ind w:left="2880"/>
        <w:rPr>
          <w:rFonts w:ascii="Courier New" w:hAnsi="Courier New" w:cs="Courier New"/>
          <w:b/>
          <w:bCs/>
          <w:sz w:val="22"/>
          <w:szCs w:val="22"/>
        </w:rPr>
      </w:pPr>
      <w:r>
        <w:rPr>
          <w:rFonts w:ascii="Courier New" w:hAnsi="Courier New" w:cs="Courier New"/>
          <w:b/>
          <w:bCs/>
          <w:sz w:val="22"/>
          <w:szCs w:val="22"/>
        </w:rPr>
        <w:t xml:space="preserve">       Thomas W. Hammond, Jr., Chairman</w:t>
      </w:r>
    </w:p>
    <w:p w:rsidR="008627C1" w:rsidRDefault="008627C1" w:rsidP="008627C1">
      <w:pPr>
        <w:ind w:left="2880" w:right="-360"/>
        <w:rPr>
          <w:rFonts w:ascii="Courier New" w:hAnsi="Courier New" w:cs="Courier New"/>
          <w:b/>
          <w:bCs/>
        </w:rPr>
      </w:pPr>
      <w:r>
        <w:rPr>
          <w:rFonts w:ascii="Courier New" w:hAnsi="Courier New" w:cs="Courier New"/>
          <w:b/>
          <w:bCs/>
          <w:sz w:val="22"/>
          <w:szCs w:val="22"/>
        </w:rPr>
        <w:t xml:space="preserve">   </w:t>
      </w:r>
    </w:p>
    <w:p w:rsidR="008627C1" w:rsidRDefault="008627C1" w:rsidP="008627C1">
      <w:pPr>
        <w:jc w:val="both"/>
        <w:rPr>
          <w:rFonts w:ascii="Courier New" w:hAnsi="Courier New" w:cs="Courier New"/>
          <w:b/>
          <w:bCs/>
        </w:rPr>
      </w:pPr>
    </w:p>
    <w:p w:rsidR="005B6F7A" w:rsidRPr="00A5326F" w:rsidRDefault="005B6F7A" w:rsidP="005B6F7A">
      <w:pPr>
        <w:jc w:val="both"/>
        <w:rPr>
          <w:rFonts w:ascii="Courier New" w:hAnsi="Courier New" w:cs="Courier New"/>
          <w:b/>
          <w:bCs/>
          <w:sz w:val="22"/>
          <w:szCs w:val="22"/>
        </w:rPr>
      </w:pPr>
    </w:p>
    <w:p w:rsidR="005B6F7A" w:rsidRPr="00A5326F" w:rsidRDefault="005B6F7A" w:rsidP="005B6F7A">
      <w:pPr>
        <w:jc w:val="both"/>
        <w:rPr>
          <w:rFonts w:ascii="Courier New" w:hAnsi="Courier New" w:cs="Courier New"/>
          <w:b/>
          <w:bCs/>
          <w:sz w:val="22"/>
          <w:szCs w:val="22"/>
        </w:rPr>
      </w:pPr>
      <w:r w:rsidRPr="00A5326F">
        <w:rPr>
          <w:rFonts w:ascii="Courier New" w:hAnsi="Courier New" w:cs="Courier New"/>
          <w:b/>
          <w:bCs/>
          <w:sz w:val="22"/>
          <w:szCs w:val="22"/>
        </w:rPr>
        <w:t>Attest: ____________________________</w:t>
      </w:r>
      <w:r>
        <w:rPr>
          <w:rFonts w:ascii="Courier New" w:hAnsi="Courier New" w:cs="Courier New"/>
          <w:b/>
          <w:bCs/>
          <w:sz w:val="22"/>
          <w:szCs w:val="22"/>
        </w:rPr>
        <w:t>_</w:t>
      </w:r>
    </w:p>
    <w:p w:rsidR="005B6F7A" w:rsidRDefault="005B6F7A" w:rsidP="005B6F7A">
      <w:pPr>
        <w:spacing w:line="480" w:lineRule="auto"/>
        <w:jc w:val="both"/>
        <w:rPr>
          <w:rFonts w:ascii="Courier New" w:hAnsi="Courier New" w:cs="Courier New"/>
          <w:sz w:val="24"/>
          <w:szCs w:val="24"/>
          <w:u w:val="single"/>
        </w:rPr>
      </w:pPr>
      <w:r w:rsidRPr="00A5326F">
        <w:t xml:space="preserve">  </w:t>
      </w:r>
      <w:r>
        <w:tab/>
        <w:t xml:space="preserve">              </w:t>
      </w:r>
      <w:r w:rsidRPr="001A6AA4">
        <w:rPr>
          <w:rFonts w:ascii="Courier New" w:hAnsi="Courier New" w:cs="Courier New"/>
          <w:b/>
          <w:sz w:val="22"/>
          <w:szCs w:val="22"/>
        </w:rPr>
        <w:t>Clerk of the Board</w:t>
      </w:r>
    </w:p>
    <w:p w:rsidR="00217F41" w:rsidRPr="001345F5" w:rsidRDefault="00217F41" w:rsidP="001345F5">
      <w:pPr>
        <w:jc w:val="both"/>
        <w:rPr>
          <w:rFonts w:ascii="Arial" w:hAnsi="Arial" w:cs="Arial"/>
          <w:sz w:val="24"/>
          <w:szCs w:val="24"/>
        </w:rPr>
      </w:pPr>
    </w:p>
    <w:sectPr w:rsidR="00217F41" w:rsidRPr="001345F5" w:rsidSect="00D4018F">
      <w:footerReference w:type="even" r:id="rId9"/>
      <w:footerReference w:type="default" r:id="rId10"/>
      <w:pgSz w:w="12240" w:h="15840"/>
      <w:pgMar w:top="1440" w:right="1800" w:bottom="1440" w:left="1800" w:header="720" w:footer="432" w:gutter="0"/>
      <w:pgNumType w:start="87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7C1" w:rsidRDefault="008627C1" w:rsidP="008627C1">
      <w:r>
        <w:separator/>
      </w:r>
    </w:p>
  </w:endnote>
  <w:endnote w:type="continuationSeparator" w:id="0">
    <w:p w:rsidR="008627C1" w:rsidRDefault="008627C1" w:rsidP="00862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817" w:rsidRDefault="00214819" w:rsidP="005823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C5817" w:rsidRDefault="005A7EFB" w:rsidP="008014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ourier New" w:hAnsi="Courier New" w:cs="Courier New"/>
        <w:b/>
        <w:sz w:val="24"/>
        <w:szCs w:val="24"/>
      </w:rPr>
      <w:id w:val="-1647807247"/>
      <w:docPartObj>
        <w:docPartGallery w:val="Page Numbers (Bottom of Page)"/>
        <w:docPartUnique/>
      </w:docPartObj>
    </w:sdtPr>
    <w:sdtEndPr>
      <w:rPr>
        <w:noProof/>
      </w:rPr>
    </w:sdtEndPr>
    <w:sdtContent>
      <w:p w:rsidR="00BC5817" w:rsidRPr="00D4018F" w:rsidRDefault="00D4018F" w:rsidP="00D4018F">
        <w:pPr>
          <w:pStyle w:val="Footer"/>
          <w:jc w:val="center"/>
          <w:rPr>
            <w:rFonts w:ascii="Courier New" w:hAnsi="Courier New" w:cs="Courier New"/>
            <w:b/>
            <w:sz w:val="24"/>
            <w:szCs w:val="24"/>
          </w:rPr>
        </w:pPr>
        <w:r w:rsidRPr="00D4018F">
          <w:rPr>
            <w:rFonts w:ascii="Courier New" w:hAnsi="Courier New" w:cs="Courier New"/>
            <w:b/>
            <w:sz w:val="24"/>
            <w:szCs w:val="24"/>
          </w:rPr>
          <w:t>ATB 2014-</w:t>
        </w:r>
        <w:r w:rsidR="00214819" w:rsidRPr="00D4018F">
          <w:rPr>
            <w:rFonts w:ascii="Courier New" w:hAnsi="Courier New" w:cs="Courier New"/>
            <w:b/>
            <w:sz w:val="24"/>
            <w:szCs w:val="24"/>
          </w:rPr>
          <w:fldChar w:fldCharType="begin"/>
        </w:r>
        <w:r w:rsidR="00214819" w:rsidRPr="00D4018F">
          <w:rPr>
            <w:rFonts w:ascii="Courier New" w:hAnsi="Courier New" w:cs="Courier New"/>
            <w:b/>
            <w:sz w:val="24"/>
            <w:szCs w:val="24"/>
          </w:rPr>
          <w:instrText xml:space="preserve"> PAGE  \* Arabic  \* MERGEFORMAT </w:instrText>
        </w:r>
        <w:r w:rsidR="00214819" w:rsidRPr="00D4018F">
          <w:rPr>
            <w:rFonts w:ascii="Courier New" w:hAnsi="Courier New" w:cs="Courier New"/>
            <w:b/>
            <w:sz w:val="24"/>
            <w:szCs w:val="24"/>
          </w:rPr>
          <w:fldChar w:fldCharType="separate"/>
        </w:r>
        <w:r w:rsidR="005A7EFB">
          <w:rPr>
            <w:rFonts w:ascii="Courier New" w:hAnsi="Courier New" w:cs="Courier New"/>
            <w:b/>
            <w:noProof/>
            <w:sz w:val="24"/>
            <w:szCs w:val="24"/>
          </w:rPr>
          <w:t>937</w:t>
        </w:r>
        <w:r w:rsidR="00214819" w:rsidRPr="00D4018F">
          <w:rPr>
            <w:rFonts w:ascii="Courier New" w:hAnsi="Courier New" w:cs="Courier New"/>
            <w:b/>
            <w:sz w:val="24"/>
            <w:szCs w:val="24"/>
          </w:rPr>
          <w:fldChar w:fldCharType="end"/>
        </w:r>
      </w:p>
    </w:sdtContent>
  </w:sdt>
  <w:p w:rsidR="00BC5817" w:rsidRPr="00D4018F" w:rsidRDefault="005A7EFB" w:rsidP="00801444">
    <w:pPr>
      <w:pStyle w:val="Footer"/>
      <w:ind w:right="360"/>
      <w:rPr>
        <w:rFonts w:ascii="Courier New" w:hAnsi="Courier New" w:cs="Courier New"/>
        <w:b/>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7C1" w:rsidRDefault="008627C1" w:rsidP="008627C1">
      <w:r>
        <w:separator/>
      </w:r>
    </w:p>
  </w:footnote>
  <w:footnote w:type="continuationSeparator" w:id="0">
    <w:p w:rsidR="008627C1" w:rsidRDefault="008627C1" w:rsidP="008627C1">
      <w:r>
        <w:continuationSeparator/>
      </w:r>
    </w:p>
  </w:footnote>
  <w:footnote w:id="1">
    <w:p w:rsidR="008627C1" w:rsidRDefault="008627C1" w:rsidP="00E74DDD">
      <w:pPr>
        <w:pStyle w:val="FootnoteText"/>
        <w:jc w:val="both"/>
      </w:pPr>
      <w:r>
        <w:rPr>
          <w:rStyle w:val="FootnoteReference"/>
        </w:rPr>
        <w:footnoteRef/>
      </w:r>
      <w:r>
        <w:t xml:space="preserve"> The appellant signed a succession of Forms A-37, Consent Extending the Time for Assessment of Taxes for the tax years ended December 31, 1998 through December 31, 2001, resulting in the extension of the statute of limitations for those tax years ultimately to December 31, 2005. </w:t>
      </w:r>
    </w:p>
  </w:footnote>
  <w:footnote w:id="2">
    <w:p w:rsidR="008627C1" w:rsidRDefault="008627C1" w:rsidP="008627C1">
      <w:pPr>
        <w:pStyle w:val="FootnoteText"/>
        <w:jc w:val="both"/>
      </w:pPr>
      <w:r>
        <w:rPr>
          <w:rStyle w:val="FootnoteReference"/>
        </w:rPr>
        <w:footnoteRef/>
      </w:r>
      <w:r>
        <w:t xml:space="preserve"> “Bulk” product refers to a drug or pharmaceutical that has been produced into a raw or “bulk” state that is ready for further processing and to be packaged into its final dosage form.</w:t>
      </w:r>
    </w:p>
  </w:footnote>
  <w:footnote w:id="3">
    <w:p w:rsidR="008627C1" w:rsidRDefault="008627C1" w:rsidP="008627C1">
      <w:pPr>
        <w:pStyle w:val="FootnoteText"/>
        <w:jc w:val="both"/>
      </w:pPr>
      <w:r>
        <w:rPr>
          <w:rStyle w:val="FootnoteReference"/>
        </w:rPr>
        <w:footnoteRef/>
      </w:r>
      <w:r>
        <w:t xml:space="preserve"> A subsequent version of the License Agreement between Alkermes and Genentech was entered into on April 14, 1999. However, there was no </w:t>
      </w:r>
      <w:r w:rsidRPr="004E545B">
        <w:t xml:space="preserve">material change to the terms outlined above. </w:t>
      </w:r>
      <w:r>
        <w:t xml:space="preserve"> </w:t>
      </w:r>
    </w:p>
  </w:footnote>
  <w:footnote w:id="4">
    <w:p w:rsidR="008627C1" w:rsidRDefault="008627C1" w:rsidP="00E74DDD">
      <w:pPr>
        <w:pStyle w:val="FootnoteText"/>
        <w:jc w:val="both"/>
      </w:pPr>
      <w:r>
        <w:rPr>
          <w:rStyle w:val="FootnoteReference"/>
        </w:rPr>
        <w:footnoteRef/>
      </w:r>
      <w:r>
        <w:t xml:space="preserve"> An Amended</w:t>
      </w:r>
      <w:r w:rsidRPr="00BC1155">
        <w:t xml:space="preserve"> Manufactur</w:t>
      </w:r>
      <w:r>
        <w:t>ing</w:t>
      </w:r>
      <w:r w:rsidRPr="00BC1155">
        <w:t xml:space="preserve"> and Supply Agreement</w:t>
      </w:r>
      <w:r>
        <w:t xml:space="preserve"> was executed by the parties on February 20, 2002, but the amendments did not affect any of the provisions described below. </w:t>
      </w:r>
    </w:p>
  </w:footnote>
  <w:footnote w:id="5">
    <w:p w:rsidR="008627C1" w:rsidRDefault="008627C1" w:rsidP="00E74DDD">
      <w:pPr>
        <w:pStyle w:val="FootnoteText"/>
        <w:jc w:val="both"/>
      </w:pPr>
      <w:r>
        <w:rPr>
          <w:rStyle w:val="FootnoteReference"/>
        </w:rPr>
        <w:footnoteRef/>
      </w:r>
      <w:r>
        <w:t xml:space="preserve"> This figure varies immaterially from the amount of property reported on Genentech’s Schedule F of its Form 355 of $86,969. </w:t>
      </w:r>
    </w:p>
  </w:footnote>
  <w:footnote w:id="6">
    <w:p w:rsidR="008627C1" w:rsidRDefault="008627C1" w:rsidP="008627C1">
      <w:pPr>
        <w:pStyle w:val="FootnoteText"/>
        <w:jc w:val="both"/>
      </w:pPr>
      <w:r>
        <w:rPr>
          <w:rStyle w:val="FootnoteReference"/>
        </w:rPr>
        <w:footnoteRef/>
      </w:r>
      <w:r>
        <w:t xml:space="preserve"> </w:t>
      </w:r>
      <w:r w:rsidRPr="009D7156">
        <w:t>Stephen Fauci, a former Genentech senior clinical specialist based in Massachusetts, alleged</w:t>
      </w:r>
      <w:r>
        <w:t xml:space="preserve"> that </w:t>
      </w:r>
      <w:r w:rsidRPr="009D7156">
        <w:t xml:space="preserve">there was a widespread practice </w:t>
      </w:r>
      <w:r>
        <w:t>among clinical specialists</w:t>
      </w:r>
      <w:r w:rsidRPr="009D7156">
        <w:t xml:space="preserve"> to complete Statements of Medical Necessity (“SMNs”). SMNs are statements </w:t>
      </w:r>
      <w:r>
        <w:t xml:space="preserve">issued by a doctor </w:t>
      </w:r>
      <w:r w:rsidRPr="009D7156">
        <w:t>to a patient’s insurance provider. Mr. Fauci was terminated by Genentech in 2005 and has subsequently filed a wrongful termination suit in federal court, alleging that his firing was due to his repeated reporting to supervisors of alleged illegitimate sales tactics. Genentech contested Mr. Fauci’s allegations and maintained that the completion of SMNs by clinical specialists would be improper, against corporate policy, and did not occur to Genentech’s management’s knowledge. The Board did not make a determination as to whether Genentech clinical specialists engaged in this behavior in Massachusetts during the period</w:t>
      </w:r>
      <w:r>
        <w:t>s</w:t>
      </w:r>
      <w:r w:rsidRPr="009D7156">
        <w:t xml:space="preserve"> at issue as it found and ruled that other activities were sufficient to create nexus.</w:t>
      </w:r>
    </w:p>
  </w:footnote>
  <w:footnote w:id="7">
    <w:p w:rsidR="008627C1" w:rsidRDefault="008627C1" w:rsidP="008627C1">
      <w:pPr>
        <w:pStyle w:val="FootnoteText"/>
        <w:jc w:val="both"/>
      </w:pPr>
      <w:r>
        <w:rPr>
          <w:rStyle w:val="FootnoteReference"/>
        </w:rPr>
        <w:footnoteRef/>
      </w:r>
      <w:r>
        <w:t xml:space="preserve"> Genentech leased office space for Kelli Wilson to use instead of a home office during 2003 and 2004 because she could not receive internet access at her home. Because the Board found and ruled that nexus was present for those years due to the Alkermes inventory, it did not need to reach a conclusion as to whether this office created nexus in Massachusetts. </w:t>
      </w:r>
    </w:p>
  </w:footnote>
  <w:footnote w:id="8">
    <w:p w:rsidR="008627C1" w:rsidRDefault="008627C1" w:rsidP="008627C1">
      <w:pPr>
        <w:pStyle w:val="FootnoteText"/>
        <w:jc w:val="both"/>
      </w:pPr>
      <w:r>
        <w:rPr>
          <w:rStyle w:val="FootnoteReference"/>
        </w:rPr>
        <w:footnoteRef/>
      </w:r>
      <w:r>
        <w:t xml:space="preserve"> </w:t>
      </w:r>
      <w:r w:rsidRPr="009D7156">
        <w:t>Per the employee roster provided (which only covered the 2004 tax year), Genentech also employed individuals with the following job descriptions that would appear on their face to fall outside of the sales organization: (1) Senior Professional Education Liaison; (2) Professional Education Liaison; (3) Vice President, Manufacturing Collaboration and Contract Manufacturing; (4) Senior Manager, Quality; and (5) Product Manager. The appellant did not provide any evidence</w:t>
      </w:r>
      <w:r w:rsidRPr="0089206D">
        <w:t xml:space="preserve"> regarding the duties of these individuals or when these individuals began working for </w:t>
      </w:r>
      <w:r>
        <w:t>Genentech</w:t>
      </w:r>
      <w:r w:rsidRPr="0089206D">
        <w:t xml:space="preserve"> in Massachusetts.</w:t>
      </w:r>
    </w:p>
  </w:footnote>
  <w:footnote w:id="9">
    <w:p w:rsidR="008627C1" w:rsidRDefault="008627C1" w:rsidP="008627C1">
      <w:pPr>
        <w:pStyle w:val="FootnoteText"/>
        <w:jc w:val="both"/>
      </w:pPr>
      <w:r>
        <w:rPr>
          <w:rStyle w:val="FootnoteReference"/>
        </w:rPr>
        <w:footnoteRef/>
      </w:r>
      <w:r>
        <w:t xml:space="preserve"> The appellant highlighted that a money market fund is not an investment without risk as the value of its shares may fall. </w:t>
      </w:r>
      <w:r w:rsidRPr="00B51C3F">
        <w:t xml:space="preserve">While there is a risk that the NAV </w:t>
      </w:r>
      <w:r>
        <w:t xml:space="preserve">of a money market fund </w:t>
      </w:r>
      <w:r w:rsidRPr="00B51C3F">
        <w:t xml:space="preserve">will fall below $1 per share, known as “breaking the buck,” this has only actually </w:t>
      </w:r>
      <w:r>
        <w:t>happened</w:t>
      </w:r>
      <w:r w:rsidRPr="00B51C3F">
        <w:t xml:space="preserve"> </w:t>
      </w:r>
      <w:r>
        <w:t>three times, with</w:t>
      </w:r>
      <w:r w:rsidRPr="00B51C3F">
        <w:t xml:space="preserve"> the most recent occurrence in September 2008</w:t>
      </w:r>
      <w:r>
        <w:t>,</w:t>
      </w:r>
      <w:r w:rsidRPr="00B51C3F">
        <w:t xml:space="preserve"> at the nadir of the financial crisis, when the NAV of a money market fund called Reserve Primary Fund fell temporarily to 97 cents. Diya Gullapalli, Shefali Anand, and Daisy Maxey, </w:t>
      </w:r>
      <w:r w:rsidRPr="00B51C3F">
        <w:rPr>
          <w:b/>
          <w:i/>
        </w:rPr>
        <w:t>Money Fund, Hurt by Debt Tied to Lehman, Breaks the Buck</w:t>
      </w:r>
      <w:r w:rsidRPr="00B51C3F">
        <w:t>, Wall Street Journal, Sept. 17, 2008, at C3.</w:t>
      </w:r>
    </w:p>
  </w:footnote>
  <w:footnote w:id="10">
    <w:p w:rsidR="008627C1" w:rsidRDefault="008627C1" w:rsidP="00214819">
      <w:pPr>
        <w:pStyle w:val="FootnoteText"/>
        <w:jc w:val="both"/>
      </w:pPr>
      <w:r>
        <w:rPr>
          <w:rStyle w:val="FootnoteReference"/>
        </w:rPr>
        <w:footnoteRef/>
      </w:r>
      <w:r>
        <w:t xml:space="preserve"> The Massachusetts property was equal to approximately .003% of all of the appellant’s end of year assets of $2,906,451,261, including intangible assets. </w:t>
      </w:r>
    </w:p>
  </w:footnote>
  <w:footnote w:id="11">
    <w:p w:rsidR="008627C1" w:rsidRDefault="008627C1" w:rsidP="008627C1">
      <w:pPr>
        <w:pStyle w:val="FootnoteText"/>
        <w:jc w:val="both"/>
      </w:pPr>
      <w:r>
        <w:rPr>
          <w:rStyle w:val="FootnoteReference"/>
        </w:rPr>
        <w:footnoteRef/>
      </w:r>
      <w:r>
        <w:t xml:space="preserve"> </w:t>
      </w:r>
      <w:r w:rsidRPr="00F268CA">
        <w:t xml:space="preserve">In ruling that the appellant’s ownership of inventory and clinical trial drugs was sufficient to create nexus, the Board rejected Genentech’s argument that because the activities of an independent contractor cannot be attributed for corporate excise tax nexus purposes, the </w:t>
      </w:r>
      <w:r>
        <w:t>activities performed by Alkermens</w:t>
      </w:r>
      <w:r w:rsidRPr="00F268CA">
        <w:t xml:space="preserve"> or the CROs cannot impute nexus back to Genentech. </w:t>
      </w:r>
      <w:r w:rsidRPr="00B034F2">
        <w:rPr>
          <w:i/>
        </w:rPr>
        <w:t>See</w:t>
      </w:r>
      <w:r w:rsidRPr="00F268CA">
        <w:t xml:space="preserve"> 830 CMR 63.39.1(7). It is not the activities of Alkermes or the CROs that were nexus creating; it was the ownership of the underlying property in Massachusetts itself that created nexus.</w:t>
      </w:r>
    </w:p>
  </w:footnote>
  <w:footnote w:id="12">
    <w:p w:rsidR="008627C1" w:rsidRDefault="008627C1" w:rsidP="008627C1">
      <w:pPr>
        <w:pStyle w:val="FootnoteText"/>
        <w:jc w:val="both"/>
      </w:pPr>
      <w:r>
        <w:rPr>
          <w:rStyle w:val="FootnoteReference"/>
        </w:rPr>
        <w:footnoteRef/>
      </w:r>
      <w:r>
        <w:t xml:space="preserve"> </w:t>
      </w:r>
      <w:r w:rsidRPr="000C33FE">
        <w:t>The Commissioner suggests that the fact that some of the solicitation of doctors took place outside</w:t>
      </w:r>
      <w:r>
        <w:t xml:space="preserve"> of</w:t>
      </w:r>
      <w:r w:rsidRPr="000C33FE">
        <w:t xml:space="preserve"> a clinical setting, such as lunch meetings and baseball outings that Genentech paid for, somehow changes the nature of the meeting into something other than the solicitation of sales. The Board recognizes that the sales profession </w:t>
      </w:r>
      <w:r>
        <w:t xml:space="preserve">frequently </w:t>
      </w:r>
      <w:r w:rsidRPr="000C33FE">
        <w:t xml:space="preserve">involves the social entertainment of potential customers and that meetings may take place over lunch or dinner </w:t>
      </w:r>
      <w:r>
        <w:t>at the seller’s expense</w:t>
      </w:r>
      <w:r w:rsidRPr="000C33FE">
        <w:t xml:space="preserve">. As the Supreme Court stated in </w:t>
      </w:r>
      <w:r w:rsidRPr="00595772">
        <w:rPr>
          <w:b/>
          <w:i/>
        </w:rPr>
        <w:t>Wrigley</w:t>
      </w:r>
      <w:r w:rsidRPr="000C33FE">
        <w:t xml:space="preserve">, if “[t]he purpose of an activity... [is] to ingratiate the salesman with the customer, thereby facilitating requests for purchases,” it will fall within the scope of permitted solicitation. </w:t>
      </w:r>
      <w:r w:rsidRPr="000A1D4E">
        <w:rPr>
          <w:b/>
          <w:i/>
        </w:rPr>
        <w:t>Wrigley</w:t>
      </w:r>
      <w:r w:rsidRPr="000C33FE">
        <w:t xml:space="preserve">, 505 U.S. at 235. The Board found that the added social aspect of some of the outings hosted by Genentech was not outside the bounds of </w:t>
      </w:r>
      <w:r>
        <w:t>permitted</w:t>
      </w:r>
      <w:r w:rsidRPr="000C33FE">
        <w:t xml:space="preserve"> solicitation.</w:t>
      </w:r>
    </w:p>
  </w:footnote>
  <w:footnote w:id="13">
    <w:p w:rsidR="008627C1" w:rsidRDefault="008627C1" w:rsidP="008627C1">
      <w:pPr>
        <w:pStyle w:val="FootnoteText"/>
        <w:jc w:val="both"/>
      </w:pPr>
      <w:r>
        <w:rPr>
          <w:rStyle w:val="FootnoteReference"/>
        </w:rPr>
        <w:footnoteRef/>
      </w:r>
      <w:r>
        <w:t xml:space="preserve"> The appellant correctly points out that if the direction of 830 CMR 63.38.1(10) to add non-Massachusetts manufacturing receipts to the numerator and denominator to the gross receipts fraction described in 830 CMR 58.2.1(d) is followed</w:t>
      </w:r>
      <w:r w:rsidRPr="00C0546D">
        <w:t xml:space="preserve"> </w:t>
      </w:r>
      <w:r>
        <w:t xml:space="preserve">literally, the result is to compare manufacturing receipts everywhere to the sum of manufacturing receipts everywhere, non-manufacturing activities in Massachusetts, and investment income apportioned to Massachusetts. The Commissioner’s approach during the course of the audit appears to have consistently been to examine Genentech’s manufacturing receipts everywhere compared to its total business receipts everywhere. As Genentech’s manufacturing receipts exceeded 25% under either of those two measures, the Board did not reach the question of whether there is any unfairness inherent in the Commissioner’s regulation to out-of-state taxpayers by only including Massachusetts non-manufacturing receipts in the denominator. </w:t>
      </w:r>
    </w:p>
  </w:footnote>
  <w:footnote w:id="14">
    <w:p w:rsidR="008627C1" w:rsidRDefault="008627C1" w:rsidP="008627C1">
      <w:pPr>
        <w:pStyle w:val="FootnoteText"/>
        <w:jc w:val="both"/>
      </w:pPr>
      <w:r>
        <w:rPr>
          <w:rStyle w:val="FootnoteReference"/>
        </w:rPr>
        <w:footnoteRef/>
      </w:r>
      <w:r>
        <w:t xml:space="preserve"> The Board rejected Genentech’s contention that the February 1999 version of 830 CMR 63.38.1 can only extend to periods after its promulgation, despite the express provision for its retroactive application. The amendment to the regulation did not introduce any substantive changes to the existing statute, but merely provided additional clarification. </w:t>
      </w:r>
      <w:r w:rsidRPr="000A1D4E">
        <w:rPr>
          <w:i/>
        </w:rPr>
        <w:t>See</w:t>
      </w:r>
      <w:r>
        <w:t xml:space="preserve"> </w:t>
      </w:r>
      <w:r w:rsidRPr="006324D2">
        <w:rPr>
          <w:b/>
          <w:i/>
        </w:rPr>
        <w:t>Cohen v. Board of Water Com</w:t>
      </w:r>
      <w:r>
        <w:rPr>
          <w:b/>
          <w:i/>
        </w:rPr>
        <w:t>missione</w:t>
      </w:r>
      <w:r w:rsidRPr="006324D2">
        <w:rPr>
          <w:b/>
          <w:i/>
        </w:rPr>
        <w:t>rs</w:t>
      </w:r>
      <w:r w:rsidRPr="006324D2">
        <w:t>, 411 Mass. 744</w:t>
      </w:r>
      <w:r>
        <w:t xml:space="preserve">,752 (1992).  </w:t>
      </w:r>
    </w:p>
  </w:footnote>
  <w:footnote w:id="15">
    <w:p w:rsidR="008627C1" w:rsidRDefault="008627C1" w:rsidP="008627C1">
      <w:pPr>
        <w:pStyle w:val="FootnoteText"/>
        <w:jc w:val="both"/>
      </w:pPr>
      <w:r>
        <w:rPr>
          <w:rStyle w:val="FootnoteReference"/>
        </w:rPr>
        <w:footnoteRef/>
      </w:r>
      <w:r>
        <w:t xml:space="preserve"> After the California Supreme Court’s holding in </w:t>
      </w:r>
      <w:r>
        <w:rPr>
          <w:b/>
          <w:i/>
        </w:rPr>
        <w:t xml:space="preserve">Microsoft Corp., </w:t>
      </w:r>
      <w:r>
        <w:t>the state’s legislature amended the relevant statute to make clear that “[r]</w:t>
      </w:r>
      <w:r w:rsidRPr="003E20D2">
        <w:t>epayment, maturity, or redemption of the principal of a loan, bond, mutual fund, certificate of deposit, or similar marketable instrument</w:t>
      </w:r>
      <w:r>
        <w:t>” and “[a]</w:t>
      </w:r>
      <w:r w:rsidRPr="00BC6A9C">
        <w:t>mounts received from transactions in intangible assets held in connection with a treasury function</w:t>
      </w:r>
      <w:r>
        <w:t>”</w:t>
      </w:r>
      <w:r w:rsidRPr="00BC6A9C">
        <w:t xml:space="preserve"> </w:t>
      </w:r>
      <w:r>
        <w:t>did not constitute gross receipts, which it explicitly stated “</w:t>
      </w:r>
      <w:r w:rsidRPr="003E20D2">
        <w:t>constitute</w:t>
      </w:r>
      <w:r>
        <w:t>[d] [a]</w:t>
      </w:r>
      <w:r w:rsidRPr="003E20D2">
        <w:t xml:space="preserve"> clarifying</w:t>
      </w:r>
      <w:r>
        <w:t xml:space="preserve">, nonsubstantive [change].” Cal. Rev. &amp; Tax. Code § 25120(f).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324AA"/>
    <w:multiLevelType w:val="hybridMultilevel"/>
    <w:tmpl w:val="6860AD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B861EA"/>
    <w:multiLevelType w:val="hybridMultilevel"/>
    <w:tmpl w:val="29FAD828"/>
    <w:lvl w:ilvl="0" w:tplc="4D5876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9E5EF6"/>
    <w:multiLevelType w:val="multilevel"/>
    <w:tmpl w:val="BA2EF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8B95528"/>
    <w:multiLevelType w:val="hybridMultilevel"/>
    <w:tmpl w:val="5FBC38EE"/>
    <w:lvl w:ilvl="0" w:tplc="61268D12">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22A75DE"/>
    <w:multiLevelType w:val="hybridMultilevel"/>
    <w:tmpl w:val="645C8E70"/>
    <w:lvl w:ilvl="0" w:tplc="BF1E8400">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D247AD"/>
    <w:multiLevelType w:val="hybridMultilevel"/>
    <w:tmpl w:val="D87A3F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31D60F9"/>
    <w:multiLevelType w:val="hybridMultilevel"/>
    <w:tmpl w:val="FD74FE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ED038F7"/>
    <w:multiLevelType w:val="multilevel"/>
    <w:tmpl w:val="2C32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3D272DB"/>
    <w:multiLevelType w:val="hybridMultilevel"/>
    <w:tmpl w:val="2F5EB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5F125C"/>
    <w:multiLevelType w:val="hybridMultilevel"/>
    <w:tmpl w:val="009A5A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ECF070F"/>
    <w:multiLevelType w:val="hybridMultilevel"/>
    <w:tmpl w:val="00507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6CA2D81"/>
    <w:multiLevelType w:val="hybridMultilevel"/>
    <w:tmpl w:val="A4E6BBD6"/>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nsid w:val="69441BA0"/>
    <w:multiLevelType w:val="hybridMultilevel"/>
    <w:tmpl w:val="314805CE"/>
    <w:lvl w:ilvl="0" w:tplc="0636AC40">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1B15A0D"/>
    <w:multiLevelType w:val="hybridMultilevel"/>
    <w:tmpl w:val="A11C5486"/>
    <w:lvl w:ilvl="0" w:tplc="765620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C10908"/>
    <w:multiLevelType w:val="hybridMultilevel"/>
    <w:tmpl w:val="645C8E70"/>
    <w:lvl w:ilvl="0" w:tplc="BF1E8400">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6BB3517"/>
    <w:multiLevelType w:val="hybridMultilevel"/>
    <w:tmpl w:val="C51674FE"/>
    <w:lvl w:ilvl="0" w:tplc="69322C5A">
      <w:start w:val="1"/>
      <w:numFmt w:val="lowerLetter"/>
      <w:lvlText w:val="(%1)"/>
      <w:lvlJc w:val="left"/>
      <w:pPr>
        <w:ind w:left="1500" w:hanging="7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5"/>
  </w:num>
  <w:num w:numId="3">
    <w:abstractNumId w:val="6"/>
  </w:num>
  <w:num w:numId="4">
    <w:abstractNumId w:val="10"/>
  </w:num>
  <w:num w:numId="5">
    <w:abstractNumId w:val="5"/>
  </w:num>
  <w:num w:numId="6">
    <w:abstractNumId w:val="0"/>
  </w:num>
  <w:num w:numId="7">
    <w:abstractNumId w:val="2"/>
  </w:num>
  <w:num w:numId="8">
    <w:abstractNumId w:val="7"/>
  </w:num>
  <w:num w:numId="9">
    <w:abstractNumId w:val="9"/>
  </w:num>
  <w:num w:numId="10">
    <w:abstractNumId w:val="8"/>
  </w:num>
  <w:num w:numId="11">
    <w:abstractNumId w:val="13"/>
  </w:num>
  <w:num w:numId="12">
    <w:abstractNumId w:val="12"/>
  </w:num>
  <w:num w:numId="13">
    <w:abstractNumId w:val="3"/>
  </w:num>
  <w:num w:numId="14">
    <w:abstractNumId w:val="14"/>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7C1"/>
    <w:rsid w:val="001345F5"/>
    <w:rsid w:val="00143E8A"/>
    <w:rsid w:val="001B7825"/>
    <w:rsid w:val="00214819"/>
    <w:rsid w:val="00217F41"/>
    <w:rsid w:val="00240118"/>
    <w:rsid w:val="003A1299"/>
    <w:rsid w:val="00425959"/>
    <w:rsid w:val="005A7EFB"/>
    <w:rsid w:val="005B6F7A"/>
    <w:rsid w:val="008627C1"/>
    <w:rsid w:val="00D4018F"/>
    <w:rsid w:val="00E74DDD"/>
    <w:rsid w:val="00EC3BAD"/>
    <w:rsid w:val="00F91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7C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627C1"/>
    <w:pPr>
      <w:spacing w:line="480" w:lineRule="auto"/>
      <w:jc w:val="both"/>
    </w:pPr>
    <w:rPr>
      <w:rFonts w:ascii="Courier New" w:hAnsi="Courier New"/>
      <w:sz w:val="24"/>
    </w:rPr>
  </w:style>
  <w:style w:type="character" w:customStyle="1" w:styleId="BodyTextChar">
    <w:name w:val="Body Text Char"/>
    <w:basedOn w:val="DefaultParagraphFont"/>
    <w:link w:val="BodyText"/>
    <w:rsid w:val="008627C1"/>
    <w:rPr>
      <w:rFonts w:ascii="Courier New" w:eastAsia="Times New Roman" w:hAnsi="Courier New" w:cs="Times New Roman"/>
      <w:sz w:val="24"/>
      <w:szCs w:val="20"/>
    </w:rPr>
  </w:style>
  <w:style w:type="character" w:customStyle="1" w:styleId="term1">
    <w:name w:val="term1"/>
    <w:rsid w:val="008627C1"/>
    <w:rPr>
      <w:b/>
      <w:bCs/>
    </w:rPr>
  </w:style>
  <w:style w:type="character" w:customStyle="1" w:styleId="pmterms11">
    <w:name w:val="pmterms11"/>
    <w:rsid w:val="008627C1"/>
    <w:rPr>
      <w:b/>
      <w:bCs/>
      <w:i w:val="0"/>
      <w:iCs w:val="0"/>
      <w:color w:val="000000"/>
    </w:rPr>
  </w:style>
  <w:style w:type="paragraph" w:styleId="BalloonText">
    <w:name w:val="Balloon Text"/>
    <w:basedOn w:val="Normal"/>
    <w:link w:val="BalloonTextChar"/>
    <w:semiHidden/>
    <w:rsid w:val="008627C1"/>
    <w:rPr>
      <w:rFonts w:ascii="Tahoma" w:hAnsi="Tahoma" w:cs="Tahoma"/>
      <w:sz w:val="16"/>
      <w:szCs w:val="16"/>
    </w:rPr>
  </w:style>
  <w:style w:type="character" w:customStyle="1" w:styleId="BalloonTextChar">
    <w:name w:val="Balloon Text Char"/>
    <w:basedOn w:val="DefaultParagraphFont"/>
    <w:link w:val="BalloonText"/>
    <w:semiHidden/>
    <w:rsid w:val="008627C1"/>
    <w:rPr>
      <w:rFonts w:ascii="Tahoma" w:eastAsia="Times New Roman" w:hAnsi="Tahoma" w:cs="Tahoma"/>
      <w:sz w:val="16"/>
      <w:szCs w:val="16"/>
    </w:rPr>
  </w:style>
  <w:style w:type="paragraph" w:styleId="Footer">
    <w:name w:val="footer"/>
    <w:basedOn w:val="Normal"/>
    <w:link w:val="FooterChar"/>
    <w:uiPriority w:val="99"/>
    <w:rsid w:val="008627C1"/>
    <w:pPr>
      <w:tabs>
        <w:tab w:val="center" w:pos="4320"/>
        <w:tab w:val="right" w:pos="8640"/>
      </w:tabs>
    </w:pPr>
  </w:style>
  <w:style w:type="character" w:customStyle="1" w:styleId="FooterChar">
    <w:name w:val="Footer Char"/>
    <w:basedOn w:val="DefaultParagraphFont"/>
    <w:link w:val="Footer"/>
    <w:uiPriority w:val="99"/>
    <w:rsid w:val="008627C1"/>
    <w:rPr>
      <w:rFonts w:ascii="Times New Roman" w:eastAsia="Times New Roman" w:hAnsi="Times New Roman" w:cs="Times New Roman"/>
      <w:sz w:val="20"/>
      <w:szCs w:val="20"/>
    </w:rPr>
  </w:style>
  <w:style w:type="character" w:styleId="PageNumber">
    <w:name w:val="page number"/>
    <w:basedOn w:val="DefaultParagraphFont"/>
    <w:rsid w:val="008627C1"/>
  </w:style>
  <w:style w:type="paragraph" w:styleId="Header">
    <w:name w:val="header"/>
    <w:basedOn w:val="Normal"/>
    <w:link w:val="HeaderChar"/>
    <w:rsid w:val="008627C1"/>
    <w:pPr>
      <w:tabs>
        <w:tab w:val="center" w:pos="4320"/>
        <w:tab w:val="right" w:pos="8640"/>
      </w:tabs>
    </w:pPr>
  </w:style>
  <w:style w:type="character" w:customStyle="1" w:styleId="HeaderChar">
    <w:name w:val="Header Char"/>
    <w:basedOn w:val="DefaultParagraphFont"/>
    <w:link w:val="Header"/>
    <w:rsid w:val="008627C1"/>
    <w:rPr>
      <w:rFonts w:ascii="Times New Roman" w:eastAsia="Times New Roman" w:hAnsi="Times New Roman" w:cs="Times New Roman"/>
      <w:sz w:val="20"/>
      <w:szCs w:val="20"/>
    </w:rPr>
  </w:style>
  <w:style w:type="paragraph" w:styleId="Revision">
    <w:name w:val="Revision"/>
    <w:hidden/>
    <w:uiPriority w:val="99"/>
    <w:semiHidden/>
    <w:rsid w:val="008627C1"/>
    <w:pPr>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rsid w:val="008627C1"/>
    <w:rPr>
      <w:rFonts w:ascii="Courier New" w:hAnsi="Courier New"/>
    </w:rPr>
  </w:style>
  <w:style w:type="character" w:customStyle="1" w:styleId="FootnoteTextChar">
    <w:name w:val="Footnote Text Char"/>
    <w:basedOn w:val="DefaultParagraphFont"/>
    <w:link w:val="FootnoteText"/>
    <w:rsid w:val="008627C1"/>
    <w:rPr>
      <w:rFonts w:ascii="Courier New" w:eastAsia="Times New Roman" w:hAnsi="Courier New" w:cs="Times New Roman"/>
      <w:sz w:val="20"/>
      <w:szCs w:val="20"/>
    </w:rPr>
  </w:style>
  <w:style w:type="character" w:styleId="FootnoteReference">
    <w:name w:val="footnote reference"/>
    <w:rsid w:val="008627C1"/>
    <w:rPr>
      <w:vertAlign w:val="superscript"/>
    </w:rPr>
  </w:style>
  <w:style w:type="character" w:styleId="Hyperlink">
    <w:name w:val="Hyperlink"/>
    <w:rsid w:val="008627C1"/>
    <w:rPr>
      <w:color w:val="0000FF"/>
      <w:u w:val="single"/>
    </w:rPr>
  </w:style>
  <w:style w:type="paragraph" w:styleId="ListParagraph">
    <w:name w:val="List Paragraph"/>
    <w:basedOn w:val="Normal"/>
    <w:uiPriority w:val="34"/>
    <w:qFormat/>
    <w:rsid w:val="008627C1"/>
    <w:pPr>
      <w:ind w:left="720"/>
      <w:contextualSpacing/>
    </w:pPr>
  </w:style>
  <w:style w:type="table" w:styleId="TableGrid">
    <w:name w:val="Table Grid"/>
    <w:basedOn w:val="TableNormal"/>
    <w:rsid w:val="008627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7C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627C1"/>
    <w:pPr>
      <w:spacing w:line="480" w:lineRule="auto"/>
      <w:jc w:val="both"/>
    </w:pPr>
    <w:rPr>
      <w:rFonts w:ascii="Courier New" w:hAnsi="Courier New"/>
      <w:sz w:val="24"/>
    </w:rPr>
  </w:style>
  <w:style w:type="character" w:customStyle="1" w:styleId="BodyTextChar">
    <w:name w:val="Body Text Char"/>
    <w:basedOn w:val="DefaultParagraphFont"/>
    <w:link w:val="BodyText"/>
    <w:rsid w:val="008627C1"/>
    <w:rPr>
      <w:rFonts w:ascii="Courier New" w:eastAsia="Times New Roman" w:hAnsi="Courier New" w:cs="Times New Roman"/>
      <w:sz w:val="24"/>
      <w:szCs w:val="20"/>
    </w:rPr>
  </w:style>
  <w:style w:type="character" w:customStyle="1" w:styleId="term1">
    <w:name w:val="term1"/>
    <w:rsid w:val="008627C1"/>
    <w:rPr>
      <w:b/>
      <w:bCs/>
    </w:rPr>
  </w:style>
  <w:style w:type="character" w:customStyle="1" w:styleId="pmterms11">
    <w:name w:val="pmterms11"/>
    <w:rsid w:val="008627C1"/>
    <w:rPr>
      <w:b/>
      <w:bCs/>
      <w:i w:val="0"/>
      <w:iCs w:val="0"/>
      <w:color w:val="000000"/>
    </w:rPr>
  </w:style>
  <w:style w:type="paragraph" w:styleId="BalloonText">
    <w:name w:val="Balloon Text"/>
    <w:basedOn w:val="Normal"/>
    <w:link w:val="BalloonTextChar"/>
    <w:semiHidden/>
    <w:rsid w:val="008627C1"/>
    <w:rPr>
      <w:rFonts w:ascii="Tahoma" w:hAnsi="Tahoma" w:cs="Tahoma"/>
      <w:sz w:val="16"/>
      <w:szCs w:val="16"/>
    </w:rPr>
  </w:style>
  <w:style w:type="character" w:customStyle="1" w:styleId="BalloonTextChar">
    <w:name w:val="Balloon Text Char"/>
    <w:basedOn w:val="DefaultParagraphFont"/>
    <w:link w:val="BalloonText"/>
    <w:semiHidden/>
    <w:rsid w:val="008627C1"/>
    <w:rPr>
      <w:rFonts w:ascii="Tahoma" w:eastAsia="Times New Roman" w:hAnsi="Tahoma" w:cs="Tahoma"/>
      <w:sz w:val="16"/>
      <w:szCs w:val="16"/>
    </w:rPr>
  </w:style>
  <w:style w:type="paragraph" w:styleId="Footer">
    <w:name w:val="footer"/>
    <w:basedOn w:val="Normal"/>
    <w:link w:val="FooterChar"/>
    <w:uiPriority w:val="99"/>
    <w:rsid w:val="008627C1"/>
    <w:pPr>
      <w:tabs>
        <w:tab w:val="center" w:pos="4320"/>
        <w:tab w:val="right" w:pos="8640"/>
      </w:tabs>
    </w:pPr>
  </w:style>
  <w:style w:type="character" w:customStyle="1" w:styleId="FooterChar">
    <w:name w:val="Footer Char"/>
    <w:basedOn w:val="DefaultParagraphFont"/>
    <w:link w:val="Footer"/>
    <w:uiPriority w:val="99"/>
    <w:rsid w:val="008627C1"/>
    <w:rPr>
      <w:rFonts w:ascii="Times New Roman" w:eastAsia="Times New Roman" w:hAnsi="Times New Roman" w:cs="Times New Roman"/>
      <w:sz w:val="20"/>
      <w:szCs w:val="20"/>
    </w:rPr>
  </w:style>
  <w:style w:type="character" w:styleId="PageNumber">
    <w:name w:val="page number"/>
    <w:basedOn w:val="DefaultParagraphFont"/>
    <w:rsid w:val="008627C1"/>
  </w:style>
  <w:style w:type="paragraph" w:styleId="Header">
    <w:name w:val="header"/>
    <w:basedOn w:val="Normal"/>
    <w:link w:val="HeaderChar"/>
    <w:rsid w:val="008627C1"/>
    <w:pPr>
      <w:tabs>
        <w:tab w:val="center" w:pos="4320"/>
        <w:tab w:val="right" w:pos="8640"/>
      </w:tabs>
    </w:pPr>
  </w:style>
  <w:style w:type="character" w:customStyle="1" w:styleId="HeaderChar">
    <w:name w:val="Header Char"/>
    <w:basedOn w:val="DefaultParagraphFont"/>
    <w:link w:val="Header"/>
    <w:rsid w:val="008627C1"/>
    <w:rPr>
      <w:rFonts w:ascii="Times New Roman" w:eastAsia="Times New Roman" w:hAnsi="Times New Roman" w:cs="Times New Roman"/>
      <w:sz w:val="20"/>
      <w:szCs w:val="20"/>
    </w:rPr>
  </w:style>
  <w:style w:type="paragraph" w:styleId="Revision">
    <w:name w:val="Revision"/>
    <w:hidden/>
    <w:uiPriority w:val="99"/>
    <w:semiHidden/>
    <w:rsid w:val="008627C1"/>
    <w:pPr>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rsid w:val="008627C1"/>
    <w:rPr>
      <w:rFonts w:ascii="Courier New" w:hAnsi="Courier New"/>
    </w:rPr>
  </w:style>
  <w:style w:type="character" w:customStyle="1" w:styleId="FootnoteTextChar">
    <w:name w:val="Footnote Text Char"/>
    <w:basedOn w:val="DefaultParagraphFont"/>
    <w:link w:val="FootnoteText"/>
    <w:rsid w:val="008627C1"/>
    <w:rPr>
      <w:rFonts w:ascii="Courier New" w:eastAsia="Times New Roman" w:hAnsi="Courier New" w:cs="Times New Roman"/>
      <w:sz w:val="20"/>
      <w:szCs w:val="20"/>
    </w:rPr>
  </w:style>
  <w:style w:type="character" w:styleId="FootnoteReference">
    <w:name w:val="footnote reference"/>
    <w:rsid w:val="008627C1"/>
    <w:rPr>
      <w:vertAlign w:val="superscript"/>
    </w:rPr>
  </w:style>
  <w:style w:type="character" w:styleId="Hyperlink">
    <w:name w:val="Hyperlink"/>
    <w:rsid w:val="008627C1"/>
    <w:rPr>
      <w:color w:val="0000FF"/>
      <w:u w:val="single"/>
    </w:rPr>
  </w:style>
  <w:style w:type="paragraph" w:styleId="ListParagraph">
    <w:name w:val="List Paragraph"/>
    <w:basedOn w:val="Normal"/>
    <w:uiPriority w:val="34"/>
    <w:qFormat/>
    <w:rsid w:val="008627C1"/>
    <w:pPr>
      <w:ind w:left="720"/>
      <w:contextualSpacing/>
    </w:pPr>
  </w:style>
  <w:style w:type="table" w:styleId="TableGrid">
    <w:name w:val="Table Grid"/>
    <w:basedOn w:val="TableNormal"/>
    <w:rsid w:val="008627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52278-226F-4FAA-A435-C15B1282C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11153</Words>
  <Characters>63577</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74581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2014-11-17T16:38:00Z</dcterms:created>
  <dc:creator>Defrancisco, Mark (ATB)</dc:creator>
  <lastModifiedBy>ANF</lastModifiedBy>
  <lastPrinted>2014-11-17T15:38:00Z</lastPrinted>
  <dcterms:modified xsi:type="dcterms:W3CDTF">2014-11-17T16:38:00Z</dcterms:modified>
  <revision>2</revision>
</coreProperties>
</file>