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3BF28" w14:textId="77777777" w:rsidR="00B76181" w:rsidRDefault="00B76181">
      <w:pPr>
        <w:pStyle w:val="BodyText"/>
        <w:rPr>
          <w:sz w:val="56"/>
        </w:rPr>
      </w:pPr>
    </w:p>
    <w:p w14:paraId="6DE93FF0" w14:textId="77777777" w:rsidR="00B76181" w:rsidRDefault="00B76181">
      <w:pPr>
        <w:pStyle w:val="BodyText"/>
        <w:rPr>
          <w:sz w:val="56"/>
        </w:rPr>
      </w:pPr>
    </w:p>
    <w:p w14:paraId="2846D54C" w14:textId="77777777" w:rsidR="00B76181" w:rsidRDefault="00B76181">
      <w:pPr>
        <w:pStyle w:val="BodyText"/>
        <w:spacing w:before="448"/>
        <w:rPr>
          <w:sz w:val="56"/>
        </w:rPr>
      </w:pPr>
    </w:p>
    <w:p w14:paraId="407188DF" w14:textId="77777777" w:rsidR="00B76181" w:rsidRDefault="006C6FDE">
      <w:pPr>
        <w:pStyle w:val="Title"/>
      </w:pPr>
      <w:r>
        <w:t>قسم طعون القانون الإداري</w:t>
      </w:r>
    </w:p>
    <w:p w14:paraId="5E9C98B2" w14:textId="77777777" w:rsidR="00B76181" w:rsidRDefault="00B76181">
      <w:pPr>
        <w:pStyle w:val="BodyText"/>
        <w:rPr>
          <w:sz w:val="56"/>
        </w:rPr>
      </w:pPr>
    </w:p>
    <w:p w14:paraId="389ABBA8" w14:textId="77777777" w:rsidR="00B76181" w:rsidRDefault="00B76181">
      <w:pPr>
        <w:pStyle w:val="BodyText"/>
        <w:spacing w:before="91"/>
        <w:rPr>
          <w:sz w:val="56"/>
        </w:rPr>
      </w:pPr>
    </w:p>
    <w:p w14:paraId="231DF174" w14:textId="232F0C2C" w:rsidR="00B76181" w:rsidRDefault="006C6FDE">
      <w:pPr>
        <w:pStyle w:val="Title"/>
        <w:ind w:left="506" w:right="488" w:firstLine="2"/>
      </w:pPr>
      <w:r>
        <w:t xml:space="preserve">دليل للأشخاص الذين </w:t>
      </w:r>
      <w:r w:rsidR="000426D5" w:rsidRPr="000426D5">
        <w:t>يمثلون</w:t>
      </w:r>
      <w:r w:rsidR="000426D5" w:rsidRPr="000426D5" w:rsidDel="000426D5">
        <w:t xml:space="preserve"> </w:t>
      </w:r>
      <w:r>
        <w:t>بدون محام</w:t>
      </w:r>
      <w:r w:rsidR="000426D5">
        <w:rPr>
          <w:rFonts w:hint="cs"/>
        </w:rPr>
        <w:t>ٍ</w:t>
      </w:r>
      <w:r>
        <w:t xml:space="preserve"> («PRO SE»)</w:t>
      </w:r>
    </w:p>
    <w:p w14:paraId="4EC4A550" w14:textId="77777777" w:rsidR="00B76181" w:rsidRDefault="00B76181">
      <w:pPr>
        <w:pStyle w:val="BodyText"/>
        <w:rPr>
          <w:sz w:val="56"/>
        </w:rPr>
      </w:pPr>
    </w:p>
    <w:p w14:paraId="6906D46A" w14:textId="77777777" w:rsidR="00B76181" w:rsidRDefault="00B76181">
      <w:pPr>
        <w:pStyle w:val="BodyText"/>
        <w:spacing w:before="91"/>
        <w:rPr>
          <w:sz w:val="56"/>
        </w:rPr>
      </w:pPr>
    </w:p>
    <w:p w14:paraId="460FC4FE" w14:textId="77777777" w:rsidR="00B76181" w:rsidRDefault="006C6FDE">
      <w:pPr>
        <w:pStyle w:val="P68B1DB1-Normal1"/>
        <w:spacing w:before="1"/>
        <w:ind w:left="64" w:right="49"/>
        <w:jc w:val="center"/>
      </w:pPr>
      <w:r>
        <w:rPr>
          <w:iCs/>
        </w:rPr>
        <w:t xml:space="preserve">(تم التحديث في مايو </w:t>
      </w:r>
      <w:r>
        <w:rPr>
          <w:spacing w:val="-4"/>
        </w:rPr>
        <w:t>2023)</w:t>
      </w:r>
    </w:p>
    <w:p w14:paraId="66051FFC" w14:textId="77777777" w:rsidR="00B76181" w:rsidRDefault="00B76181">
      <w:pPr>
        <w:jc w:val="center"/>
        <w:rPr>
          <w:sz w:val="24"/>
        </w:rPr>
        <w:sectPr w:rsidR="00B76181">
          <w:type w:val="continuous"/>
          <w:pgSz w:w="12240" w:h="15840"/>
          <w:pgMar w:top="1820" w:right="1340" w:bottom="280" w:left="1320" w:header="720" w:footer="720" w:gutter="0"/>
          <w:cols w:space="720"/>
        </w:sectPr>
      </w:pPr>
    </w:p>
    <w:p w14:paraId="6DA8ECF9" w14:textId="4A577A39" w:rsidR="00B76181" w:rsidRDefault="00697DD4">
      <w:pPr>
        <w:pStyle w:val="Heading1"/>
        <w:numPr>
          <w:ilvl w:val="0"/>
          <w:numId w:val="1"/>
        </w:numPr>
        <w:tabs>
          <w:tab w:val="left" w:pos="839"/>
        </w:tabs>
        <w:spacing w:before="79"/>
        <w:ind w:left="839" w:hanging="719"/>
      </w:pPr>
      <w:r>
        <w:rPr>
          <w:rFonts w:hint="cs"/>
          <w:spacing w:val="-2"/>
        </w:rPr>
        <w:lastRenderedPageBreak/>
        <w:t>أمور</w:t>
      </w:r>
      <w:r>
        <w:t xml:space="preserve"> عامة</w:t>
      </w:r>
    </w:p>
    <w:p w14:paraId="0497F1EA" w14:textId="41C94A38" w:rsidR="00B76181" w:rsidRDefault="006C6FDE" w:rsidP="00F81826">
      <w:pPr>
        <w:pStyle w:val="P68B1DB1-ListParagraph2"/>
        <w:numPr>
          <w:ilvl w:val="1"/>
          <w:numId w:val="1"/>
        </w:numPr>
        <w:tabs>
          <w:tab w:val="left" w:pos="1559"/>
        </w:tabs>
        <w:spacing w:before="242"/>
        <w:ind w:right="227" w:firstLine="720"/>
        <w:jc w:val="lowKashida"/>
      </w:pPr>
      <w:r>
        <w:rPr>
          <w:b/>
          <w:bCs/>
        </w:rPr>
        <w:t>تقديم المستندات إلى</w:t>
      </w:r>
      <w:r w:rsidR="00697DD4">
        <w:rPr>
          <w:rFonts w:hint="cs"/>
          <w:b/>
          <w:bCs/>
          <w:lang w:bidi="ar-EG"/>
        </w:rPr>
        <w:t xml:space="preserve"> قسم طعون القانون الإداري</w:t>
      </w:r>
      <w:r>
        <w:rPr>
          <w:b/>
          <w:bCs/>
        </w:rPr>
        <w:t>:</w:t>
      </w:r>
      <w:r>
        <w:t xml:space="preserve"> يمكنك إرسال المستندات </w:t>
      </w:r>
      <w:r w:rsidRPr="00697DD4">
        <w:t xml:space="preserve">إلى </w:t>
      </w:r>
      <w:r w:rsidR="00697DD4" w:rsidRPr="00F81826">
        <w:rPr>
          <w:rFonts w:hint="cs"/>
          <w:lang w:bidi="ar-EG"/>
        </w:rPr>
        <w:t>قسم طعون القانون الإداري</w:t>
      </w:r>
      <w:r w:rsidR="00697DD4">
        <w:rPr>
          <w:b/>
          <w:bCs/>
        </w:rPr>
        <w:t xml:space="preserve"> </w:t>
      </w:r>
      <w:r>
        <w:t xml:space="preserve">عن طريق البريد </w:t>
      </w:r>
      <w:r>
        <w:t>الإلكتروني أو الفاكس أو البريد الأمريكي (أو ما يعادله، مثل</w:t>
      </w:r>
      <w:r w:rsidR="00697DD4">
        <w:rPr>
          <w:rFonts w:hint="cs"/>
        </w:rPr>
        <w:t xml:space="preserve"> </w:t>
      </w:r>
      <w:r w:rsidR="00697DD4" w:rsidRPr="00697DD4">
        <w:t>فيد إكس</w:t>
      </w:r>
      <w:r>
        <w:t xml:space="preserve"> Fed Ex)، أو التسليم الشخصي. عنوان البريد الإلكتروني هو </w:t>
      </w:r>
      <w:hyperlink r:id="rId7">
        <w:r>
          <w:rPr>
            <w:color w:val="0000FF"/>
            <w:u w:val="single" w:color="0000FF"/>
          </w:rPr>
          <w:t>dalapleadings@mass.gov</w:t>
        </w:r>
      </w:hyperlink>
      <w:r>
        <w:t>. رقم الفاكس هو</w:t>
      </w:r>
      <w:r w:rsidR="00697DD4">
        <w:rPr>
          <w:rFonts w:hint="cs"/>
        </w:rPr>
        <w:t xml:space="preserve"> 4720-397 (781)</w:t>
      </w:r>
      <w:r>
        <w:t xml:space="preserve"> </w:t>
      </w:r>
      <w:r w:rsidR="00697DD4">
        <w:rPr>
          <w:rFonts w:hint="cs"/>
        </w:rPr>
        <w:t>ع</w:t>
      </w:r>
      <w:r>
        <w:t>نوان الشارع هو:</w:t>
      </w:r>
    </w:p>
    <w:p w14:paraId="54284F62" w14:textId="77777777" w:rsidR="00B76181" w:rsidRDefault="00B76181">
      <w:pPr>
        <w:pStyle w:val="BodyText"/>
      </w:pPr>
    </w:p>
    <w:p w14:paraId="73102043" w14:textId="77777777" w:rsidR="00697DD4" w:rsidRDefault="006C6FDE">
      <w:pPr>
        <w:pStyle w:val="BodyText"/>
        <w:ind w:left="2280" w:right="3203"/>
      </w:pPr>
      <w:r>
        <w:t>قسم استئناف القانون الإداري</w:t>
      </w:r>
    </w:p>
    <w:p w14:paraId="297A5757" w14:textId="62312880" w:rsidR="00B76181" w:rsidRDefault="006C6FDE">
      <w:pPr>
        <w:pStyle w:val="BodyText"/>
        <w:ind w:left="2280" w:right="3203"/>
      </w:pPr>
      <w:r>
        <w:t xml:space="preserve"> </w:t>
      </w:r>
      <w:r>
        <w:t>14 شارع سمر، الطابق</w:t>
      </w:r>
      <w:r w:rsidR="00697DD4">
        <w:rPr>
          <w:rFonts w:hint="cs"/>
        </w:rPr>
        <w:t xml:space="preserve"> الرابع</w:t>
      </w:r>
      <w:r>
        <w:t xml:space="preserve"> </w:t>
      </w:r>
    </w:p>
    <w:p w14:paraId="55757E4B" w14:textId="77777777" w:rsidR="00B76181" w:rsidRDefault="006C6FDE">
      <w:pPr>
        <w:pStyle w:val="BodyText"/>
        <w:ind w:left="2280"/>
        <w:rPr>
          <w:spacing w:val="-2"/>
          <w:rtl w:val="0"/>
        </w:rPr>
      </w:pPr>
      <w:r>
        <w:rPr>
          <w:spacing w:val="-2"/>
        </w:rPr>
        <w:t>مالدن، ماساتشوستس 02148</w:t>
      </w:r>
    </w:p>
    <w:p w14:paraId="6E162BCD" w14:textId="77777777" w:rsidR="006C6FDE" w:rsidRDefault="006C6FDE" w:rsidP="006C6FDE">
      <w:pPr>
        <w:pStyle w:val="Default"/>
        <w:jc w:val="center"/>
        <w:rPr>
          <w:sz w:val="23"/>
          <w:szCs w:val="23"/>
        </w:rPr>
      </w:pPr>
      <w:r>
        <w:rPr>
          <w:sz w:val="23"/>
          <w:szCs w:val="23"/>
        </w:rPr>
        <w:t xml:space="preserve">                                                     </w:t>
      </w:r>
    </w:p>
    <w:p w14:paraId="4D7D9735" w14:textId="2943057D" w:rsidR="006C6FDE" w:rsidRDefault="006C6FDE" w:rsidP="006C6FDE">
      <w:pPr>
        <w:pStyle w:val="Default"/>
        <w:jc w:val="center"/>
        <w:rPr>
          <w:sz w:val="23"/>
          <w:szCs w:val="23"/>
          <w:rtl/>
        </w:rPr>
      </w:pPr>
      <w:r>
        <w:rPr>
          <w:sz w:val="23"/>
          <w:szCs w:val="23"/>
        </w:rPr>
        <w:t xml:space="preserve">                                                         </w:t>
      </w:r>
      <w:r>
        <w:rPr>
          <w:sz w:val="23"/>
          <w:szCs w:val="23"/>
          <w:rtl/>
        </w:rPr>
        <w:t>14</w:t>
      </w:r>
      <w:r>
        <w:rPr>
          <w:sz w:val="23"/>
          <w:szCs w:val="23"/>
        </w:rPr>
        <w:t xml:space="preserve"> Summer Street, 4</w:t>
      </w:r>
      <w:r>
        <w:rPr>
          <w:sz w:val="16"/>
          <w:szCs w:val="16"/>
        </w:rPr>
        <w:t xml:space="preserve">th </w:t>
      </w:r>
      <w:r>
        <w:rPr>
          <w:sz w:val="23"/>
          <w:szCs w:val="23"/>
        </w:rPr>
        <w:t>Floor</w:t>
      </w:r>
    </w:p>
    <w:p w14:paraId="0C6876A1" w14:textId="661EAF02" w:rsidR="006C6FDE" w:rsidRDefault="006C6FDE" w:rsidP="006C6FDE">
      <w:pPr>
        <w:pStyle w:val="BodyText"/>
        <w:ind w:left="2280"/>
      </w:pPr>
      <w:r>
        <w:rPr>
          <w:sz w:val="23"/>
          <w:szCs w:val="23"/>
          <w:rtl w:val="0"/>
        </w:rPr>
        <w:t>Malden, MA 02148</w:t>
      </w:r>
    </w:p>
    <w:p w14:paraId="177AED59" w14:textId="71C26EA3" w:rsidR="00B76181" w:rsidRDefault="006C6FDE" w:rsidP="00697DD4">
      <w:pPr>
        <w:pStyle w:val="P68B1DB1-ListParagraph2"/>
        <w:numPr>
          <w:ilvl w:val="1"/>
          <w:numId w:val="1"/>
        </w:numPr>
        <w:tabs>
          <w:tab w:val="left" w:pos="1559"/>
        </w:tabs>
        <w:spacing w:before="274"/>
        <w:ind w:left="119" w:right="576" w:firstLine="720"/>
      </w:pPr>
      <w:r>
        <w:rPr>
          <w:b/>
          <w:bCs/>
        </w:rPr>
        <w:t>ا</w:t>
      </w:r>
      <w:r>
        <w:rPr>
          <w:b/>
          <w:bCs/>
        </w:rPr>
        <w:t xml:space="preserve">لمشورة القانونية: </w:t>
      </w:r>
      <w:r>
        <w:t xml:space="preserve">لا يمكن للقاضي أو الموظف في </w:t>
      </w:r>
      <w:r w:rsidR="00697DD4" w:rsidRPr="00576AD4">
        <w:rPr>
          <w:rFonts w:hint="cs"/>
          <w:lang w:bidi="ar-EG"/>
        </w:rPr>
        <w:t>قسم طعون القانون الإداري</w:t>
      </w:r>
      <w:r w:rsidR="00697DD4" w:rsidDel="00697DD4">
        <w:t xml:space="preserve"> </w:t>
      </w:r>
      <w:r>
        <w:t>تقديم المشورة القانونية لك أو العمل كممثل</w:t>
      </w:r>
      <w:r w:rsidR="00697DD4">
        <w:rPr>
          <w:rFonts w:hint="cs"/>
          <w:lang w:bidi="ar-EG"/>
        </w:rPr>
        <w:t xml:space="preserve"> بالنيابة عنك</w:t>
      </w:r>
      <w:r>
        <w:t>.</w:t>
      </w:r>
    </w:p>
    <w:p w14:paraId="61F02A99" w14:textId="77777777" w:rsidR="00B76181" w:rsidRDefault="00B76181">
      <w:pPr>
        <w:pStyle w:val="BodyText"/>
      </w:pPr>
    </w:p>
    <w:p w14:paraId="559F236C" w14:textId="737FE019" w:rsidR="00B76181" w:rsidRDefault="006C6FDE">
      <w:pPr>
        <w:pStyle w:val="P68B1DB1-ListParagraph2"/>
        <w:numPr>
          <w:ilvl w:val="1"/>
          <w:numId w:val="1"/>
        </w:numPr>
        <w:tabs>
          <w:tab w:val="left" w:pos="1499"/>
        </w:tabs>
        <w:ind w:left="119" w:right="216" w:firstLine="720"/>
      </w:pPr>
      <w:r>
        <w:rPr>
          <w:b/>
          <w:bCs/>
        </w:rPr>
        <w:t xml:space="preserve">التواصل من </w:t>
      </w:r>
      <w:r w:rsidR="00697DD4">
        <w:rPr>
          <w:rFonts w:hint="cs"/>
          <w:b/>
          <w:bCs/>
        </w:rPr>
        <w:t>طرف</w:t>
      </w:r>
      <w:r w:rsidR="00697DD4">
        <w:rPr>
          <w:b/>
          <w:bCs/>
        </w:rPr>
        <w:t xml:space="preserve"> </w:t>
      </w:r>
      <w:r>
        <w:rPr>
          <w:b/>
          <w:bCs/>
        </w:rPr>
        <w:t xml:space="preserve">واحد مع </w:t>
      </w:r>
      <w:r>
        <w:rPr>
          <w:b/>
          <w:bCs/>
        </w:rPr>
        <w:t>القاضي:</w:t>
      </w:r>
      <w:r>
        <w:t xml:space="preserve"> يُطلق على التواصل مع القاضي دون أن يكون محامي الوكالة الحكومية جزءًا من الاتصال «التواصل من </w:t>
      </w:r>
      <w:r w:rsidR="00697DD4">
        <w:rPr>
          <w:rFonts w:hint="cs"/>
        </w:rPr>
        <w:t>طرف</w:t>
      </w:r>
      <w:r w:rsidR="00697DD4">
        <w:t xml:space="preserve"> </w:t>
      </w:r>
      <w:r>
        <w:t>واحد». لا يمكنك التواصل من جانب واحد مع القاضي - ليس شخصيًا ولا عبر الهاتف ولا كتابيًا.</w:t>
      </w:r>
    </w:p>
    <w:p w14:paraId="551EB907" w14:textId="77777777" w:rsidR="00B76181" w:rsidRDefault="00B76181">
      <w:pPr>
        <w:pStyle w:val="BodyText"/>
      </w:pPr>
    </w:p>
    <w:p w14:paraId="16AD36BC" w14:textId="24BB58C9" w:rsidR="00B76181" w:rsidRDefault="006C6FDE" w:rsidP="00F81826">
      <w:pPr>
        <w:pStyle w:val="P68B1DB1-ListParagraph2"/>
        <w:numPr>
          <w:ilvl w:val="1"/>
          <w:numId w:val="1"/>
        </w:numPr>
        <w:tabs>
          <w:tab w:val="left" w:pos="1499"/>
        </w:tabs>
        <w:ind w:left="119" w:right="101" w:firstLine="720"/>
        <w:jc w:val="both"/>
      </w:pPr>
      <w:r>
        <w:rPr>
          <w:b/>
          <w:bCs/>
        </w:rPr>
        <w:t xml:space="preserve">إرسال نسخ من جميع الطلبات إلى محامي </w:t>
      </w:r>
      <w:r w:rsidR="00697DD4">
        <w:rPr>
          <w:rFonts w:hint="cs"/>
          <w:b/>
          <w:bCs/>
        </w:rPr>
        <w:t>ال</w:t>
      </w:r>
      <w:r>
        <w:rPr>
          <w:b/>
          <w:bCs/>
        </w:rPr>
        <w:t>وكالة ال</w:t>
      </w:r>
      <w:r w:rsidR="00697DD4">
        <w:rPr>
          <w:rFonts w:hint="cs"/>
          <w:b/>
          <w:bCs/>
        </w:rPr>
        <w:t>حكومية</w:t>
      </w:r>
      <w:r>
        <w:rPr>
          <w:b/>
          <w:bCs/>
        </w:rPr>
        <w:t>:</w:t>
      </w:r>
      <w:r>
        <w:t xml:space="preserve"> عند تقديم المستندات إلى </w:t>
      </w:r>
      <w:r w:rsidR="00697DD4" w:rsidRPr="00576AD4">
        <w:rPr>
          <w:rFonts w:hint="cs"/>
          <w:lang w:bidi="ar-EG"/>
        </w:rPr>
        <w:t>قسم طعون القانون الإداري</w:t>
      </w:r>
      <w:r>
        <w:t xml:space="preserve">، يجب عليك القيام بأمرين. أولاً، أرسل نسخة إلى محامي </w:t>
      </w:r>
      <w:r w:rsidR="000C55C7">
        <w:rPr>
          <w:rFonts w:hint="cs"/>
        </w:rPr>
        <w:t>ال</w:t>
      </w:r>
      <w:r>
        <w:t>وكالة ال</w:t>
      </w:r>
      <w:r w:rsidR="000C55C7">
        <w:rPr>
          <w:rFonts w:hint="cs"/>
        </w:rPr>
        <w:t>حكومية</w:t>
      </w:r>
      <w:r>
        <w:t xml:space="preserve">. ثانيًا، </w:t>
      </w:r>
      <w:r w:rsidR="000C55C7">
        <w:rPr>
          <w:rFonts w:hint="cs"/>
        </w:rPr>
        <w:t>اطلاع</w:t>
      </w:r>
      <w:r w:rsidR="000C55C7">
        <w:t xml:space="preserve"> </w:t>
      </w:r>
      <w:r w:rsidR="000C55C7" w:rsidRPr="00576AD4">
        <w:rPr>
          <w:rFonts w:hint="cs"/>
          <w:lang w:bidi="ar-EG"/>
        </w:rPr>
        <w:t>قسم طعون القانون الإداري</w:t>
      </w:r>
      <w:r w:rsidR="000C55C7">
        <w:rPr>
          <w:b/>
          <w:bCs/>
        </w:rPr>
        <w:t xml:space="preserve"> </w:t>
      </w:r>
      <w:r w:rsidR="000C55C7" w:rsidRPr="00F81826">
        <w:rPr>
          <w:rFonts w:hint="cs"/>
        </w:rPr>
        <w:t>بأنك</w:t>
      </w:r>
      <w:r>
        <w:t xml:space="preserve"> أرسلت النسخة إلى محامي الوكالة الحكومية. ما لم تفعل كلا الأمرين، قد لا </w:t>
      </w:r>
      <w:r w:rsidR="000C55C7">
        <w:rPr>
          <w:rFonts w:hint="cs"/>
        </w:rPr>
        <w:t>ي</w:t>
      </w:r>
      <w:r>
        <w:t xml:space="preserve">قبل </w:t>
      </w:r>
      <w:r w:rsidR="000C55C7" w:rsidRPr="00576AD4">
        <w:rPr>
          <w:rFonts w:hint="cs"/>
          <w:lang w:bidi="ar-EG"/>
        </w:rPr>
        <w:t>قسم طعون القانون الإداري</w:t>
      </w:r>
      <w:r w:rsidR="000C55C7">
        <w:rPr>
          <w:b/>
          <w:bCs/>
        </w:rPr>
        <w:t xml:space="preserve"> </w:t>
      </w:r>
      <w:r w:rsidR="000C55C7">
        <w:rPr>
          <w:rFonts w:hint="cs"/>
        </w:rPr>
        <w:t>المستندات التي قدمتها</w:t>
      </w:r>
      <w:r>
        <w:t>.</w:t>
      </w:r>
    </w:p>
    <w:p w14:paraId="0E198113" w14:textId="77777777" w:rsidR="00B76181" w:rsidRDefault="00B76181">
      <w:pPr>
        <w:pStyle w:val="BodyText"/>
      </w:pPr>
    </w:p>
    <w:p w14:paraId="037960EA" w14:textId="03D8ED06" w:rsidR="00B76181" w:rsidRDefault="006C6FDE" w:rsidP="00F81826">
      <w:pPr>
        <w:pStyle w:val="P68B1DB1-ListParagraph2"/>
        <w:numPr>
          <w:ilvl w:val="1"/>
          <w:numId w:val="1"/>
        </w:numPr>
        <w:tabs>
          <w:tab w:val="left" w:pos="1499"/>
        </w:tabs>
        <w:ind w:left="119" w:right="145" w:firstLine="720"/>
        <w:jc w:val="both"/>
      </w:pPr>
      <w:r>
        <w:rPr>
          <w:b/>
          <w:bCs/>
        </w:rPr>
        <w:t xml:space="preserve">اتباع القواعد: </w:t>
      </w:r>
      <w:r>
        <w:t xml:space="preserve">يجب اتباع قواعد </w:t>
      </w:r>
      <w:r w:rsidR="00697DD4" w:rsidRPr="00576AD4">
        <w:rPr>
          <w:rFonts w:hint="cs"/>
          <w:lang w:bidi="ar-EG"/>
        </w:rPr>
        <w:t>قسم طعون القانون الإداري</w:t>
      </w:r>
      <w:r>
        <w:t xml:space="preserve">. يمكنك العثور على القواعد الخاصة بمسائل ما قبل الاستماع وجلسات الاستماع بدءًا من </w:t>
      </w:r>
      <w:hyperlink r:id="rId8">
        <w:r>
          <w:rPr>
            <w:color w:val="0000FF"/>
            <w:u w:val="single" w:color="0000FF"/>
          </w:rPr>
          <w:t>C.M.R. § 1.01</w:t>
        </w:r>
        <w:r w:rsidR="000C55C7">
          <w:rPr>
            <w:color w:val="0000FF"/>
            <w:u w:val="single" w:color="0000FF"/>
            <w:rtl w:val="0"/>
          </w:rPr>
          <w:t xml:space="preserve">801 </w:t>
        </w:r>
        <w:r>
          <w:rPr>
            <w:color w:val="0000FF"/>
            <w:u w:val="single" w:color="0000FF"/>
          </w:rPr>
          <w:t>.</w:t>
        </w:r>
      </w:hyperlink>
      <w:r w:rsidR="000C55C7">
        <w:rPr>
          <w:rFonts w:hint="cs"/>
        </w:rPr>
        <w:t xml:space="preserve"> "</w:t>
      </w:r>
      <w:r w:rsidR="000C55C7">
        <w:t>C.M.R</w:t>
      </w:r>
      <w:r w:rsidR="000C55C7">
        <w:rPr>
          <w:rFonts w:hint="cs"/>
        </w:rPr>
        <w:t>"</w:t>
      </w:r>
      <w:r w:rsidR="000C55C7" w:rsidDel="000C55C7">
        <w:t xml:space="preserve"> </w:t>
      </w:r>
      <w:r>
        <w:t xml:space="preserve"> تعني «قانون لوائح ماساتشوستس». الرمز «§» يعني «القسم». يجب عليك مراجعة هذه القواعد واتباعها، على الرغم من أنك لست محاميًا وليس لديك محامٍ معك.</w:t>
      </w:r>
    </w:p>
    <w:p w14:paraId="6287AE86" w14:textId="77777777" w:rsidR="00B76181" w:rsidRDefault="00B76181">
      <w:pPr>
        <w:pStyle w:val="BodyText"/>
      </w:pPr>
    </w:p>
    <w:p w14:paraId="0A3F2965" w14:textId="3409C2D7" w:rsidR="00B76181" w:rsidRDefault="006C6FDE">
      <w:pPr>
        <w:pStyle w:val="P68B1DB1-ListParagraph2"/>
        <w:numPr>
          <w:ilvl w:val="1"/>
          <w:numId w:val="1"/>
        </w:numPr>
        <w:tabs>
          <w:tab w:val="left" w:pos="1499"/>
        </w:tabs>
        <w:ind w:left="119" w:right="149" w:firstLine="720"/>
      </w:pPr>
      <w:r>
        <w:rPr>
          <w:b/>
          <w:bCs/>
        </w:rPr>
        <w:t>بعد الحدود الزمنية والأوامر:</w:t>
      </w:r>
      <w:r>
        <w:t xml:space="preserve"> 801 </w:t>
      </w:r>
      <w:r w:rsidR="000C55C7">
        <w:rPr>
          <w:rFonts w:hint="cs"/>
        </w:rPr>
        <w:t xml:space="preserve">قانون لوائح </w:t>
      </w:r>
      <w:r w:rsidR="000C55C7">
        <w:t xml:space="preserve">ماساتشوستس </w:t>
      </w:r>
      <w:r>
        <w:t xml:space="preserve">يفرض مواعيد نهائية لمراحل مختلفة من القضية. قد يحدد </w:t>
      </w:r>
      <w:r>
        <w:t>القاضي مواعيد نهائية إضافية لقضيتك المحددة. إذا لم تتمكن من الوفاء بالموعد النهائي، يجب عليك طلب التأجيل، وهو ما يسمى «الاستمرار»، في اقتراح. إذا فاتك الموعد النهائي، يمكن رفض قضيتك.</w:t>
      </w:r>
    </w:p>
    <w:p w14:paraId="3423AB95" w14:textId="77777777" w:rsidR="00B76181" w:rsidRDefault="00B76181" w:rsidP="000C55C7">
      <w:pPr>
        <w:pStyle w:val="BodyText"/>
      </w:pPr>
    </w:p>
    <w:p w14:paraId="577A4D31" w14:textId="1E4AD61C" w:rsidR="00B76181" w:rsidRDefault="00CB140A" w:rsidP="00F81826">
      <w:pPr>
        <w:pStyle w:val="P68B1DB1-ListParagraph2"/>
        <w:numPr>
          <w:ilvl w:val="1"/>
          <w:numId w:val="1"/>
        </w:numPr>
        <w:tabs>
          <w:tab w:val="left" w:pos="1499"/>
        </w:tabs>
        <w:spacing w:before="1"/>
        <w:ind w:left="119" w:right="400" w:firstLine="720"/>
        <w:jc w:val="both"/>
      </w:pPr>
      <w:r>
        <w:rPr>
          <w:rFonts w:hint="cs"/>
          <w:b/>
          <w:bCs/>
        </w:rPr>
        <w:t>الالتماسات</w:t>
      </w:r>
      <w:r>
        <w:rPr>
          <w:b/>
          <w:bCs/>
        </w:rPr>
        <w:t>:</w:t>
      </w:r>
      <w:r>
        <w:t xml:space="preserve"> </w:t>
      </w:r>
      <w:r w:rsidR="00FC65F9">
        <w:rPr>
          <w:rFonts w:hint="cs"/>
        </w:rPr>
        <w:t xml:space="preserve">يعد </w:t>
      </w:r>
      <w:r>
        <w:rPr>
          <w:rFonts w:hint="cs"/>
        </w:rPr>
        <w:t>الالتماس</w:t>
      </w:r>
      <w:r w:rsidR="00FC65F9">
        <w:rPr>
          <w:rFonts w:hint="cs"/>
        </w:rPr>
        <w:t xml:space="preserve"> بمثابة</w:t>
      </w:r>
      <w:r w:rsidR="00FC65F9">
        <w:t xml:space="preserve"> </w:t>
      </w:r>
      <w:r>
        <w:t>طلب. يجب أن تكون جميع اقتراحات ما قبل جلسة الاستماع مكتوبة. قد يتم تقديم بعض الاقتراحات شفهيًا أثناء جلسة الاستماع. لا يمكنك تقديم اقتراحات عبر الهاتف أو من خلال التحدث إلى كاتب جدول</w:t>
      </w:r>
      <w:r w:rsidR="00FC65F9">
        <w:rPr>
          <w:rFonts w:hint="cs"/>
        </w:rPr>
        <w:t xml:space="preserve"> الأعمال</w:t>
      </w:r>
      <w:r>
        <w:t xml:space="preserve"> </w:t>
      </w:r>
      <w:r w:rsidR="00FC65F9">
        <w:rPr>
          <w:rFonts w:hint="cs"/>
        </w:rPr>
        <w:t>ب</w:t>
      </w:r>
      <w:r w:rsidR="00FC65F9" w:rsidRPr="00576AD4">
        <w:rPr>
          <w:rFonts w:hint="cs"/>
          <w:lang w:bidi="ar-EG"/>
        </w:rPr>
        <w:t>قسم طعون القانون الإداري</w:t>
      </w:r>
      <w:r w:rsidR="00FC65F9" w:rsidDel="00697DD4">
        <w:t xml:space="preserve"> </w:t>
      </w:r>
      <w:r>
        <w:t>شخصيًا. إذا كنت بحاجة إلى تمديد الموعد النهائي أو إعادة جدولة جلسة الاستماع أو أي شيء آخر، ف</w:t>
      </w:r>
      <w:r w:rsidR="00FC65F9">
        <w:rPr>
          <w:rFonts w:hint="cs"/>
        </w:rPr>
        <w:t>يمكنك</w:t>
      </w:r>
      <w:r>
        <w:t xml:space="preserve"> تقديم اقتراح يشرح ما تطلبه ولماذا.</w:t>
      </w:r>
    </w:p>
    <w:p w14:paraId="09F03762" w14:textId="3804BC26" w:rsidR="00B76181" w:rsidRDefault="006C6FDE">
      <w:pPr>
        <w:pStyle w:val="P68B1DB1-ListParagraph2"/>
        <w:numPr>
          <w:ilvl w:val="1"/>
          <w:numId w:val="1"/>
        </w:numPr>
        <w:tabs>
          <w:tab w:val="left" w:pos="1499"/>
        </w:tabs>
        <w:spacing w:before="276"/>
        <w:ind w:left="119" w:right="178" w:firstLine="720"/>
      </w:pPr>
      <w:r>
        <w:rPr>
          <w:b/>
          <w:bCs/>
        </w:rPr>
        <w:t xml:space="preserve">الاتصال بمحامي </w:t>
      </w:r>
      <w:r w:rsidR="00FC65F9">
        <w:rPr>
          <w:rFonts w:hint="cs"/>
          <w:b/>
          <w:bCs/>
        </w:rPr>
        <w:t>ال</w:t>
      </w:r>
      <w:r>
        <w:rPr>
          <w:b/>
          <w:bCs/>
        </w:rPr>
        <w:t>وكالة ال</w:t>
      </w:r>
      <w:r w:rsidR="00FC65F9">
        <w:rPr>
          <w:rFonts w:hint="cs"/>
          <w:b/>
          <w:bCs/>
        </w:rPr>
        <w:t>حكومية</w:t>
      </w:r>
      <w:r>
        <w:rPr>
          <w:b/>
          <w:bCs/>
        </w:rPr>
        <w:t xml:space="preserve">: </w:t>
      </w:r>
      <w:r>
        <w:t>يُسمح لك بالتفاوض مباشرة مع محامي الوكالة الحكومية.</w:t>
      </w:r>
    </w:p>
    <w:p w14:paraId="5F895143" w14:textId="77777777" w:rsidR="00B76181" w:rsidRDefault="00B76181">
      <w:pPr>
        <w:pStyle w:val="BodyText"/>
      </w:pPr>
    </w:p>
    <w:p w14:paraId="31FF6D0E" w14:textId="28B2DEB0" w:rsidR="00B76181" w:rsidRDefault="006C6FDE" w:rsidP="00F81826">
      <w:pPr>
        <w:pStyle w:val="P68B1DB1-ListParagraph2"/>
        <w:numPr>
          <w:ilvl w:val="1"/>
          <w:numId w:val="1"/>
        </w:numPr>
        <w:tabs>
          <w:tab w:val="left" w:pos="1559"/>
        </w:tabs>
        <w:ind w:left="119" w:right="320" w:firstLine="720"/>
        <w:jc w:val="both"/>
      </w:pPr>
      <w:r>
        <w:rPr>
          <w:b/>
          <w:bCs/>
        </w:rPr>
        <w:t>السلوك العام:</w:t>
      </w:r>
      <w:r>
        <w:t xml:space="preserve"> في معظم النواحي، ستتم معاملتك في </w:t>
      </w:r>
      <w:r w:rsidR="00FC65F9" w:rsidRPr="00576AD4">
        <w:rPr>
          <w:rFonts w:hint="cs"/>
          <w:lang w:bidi="ar-EG"/>
        </w:rPr>
        <w:t>قسم طعون القانون الإداري</w:t>
      </w:r>
      <w:r w:rsidR="00FC65F9" w:rsidDel="00FC65F9">
        <w:t xml:space="preserve"> </w:t>
      </w:r>
      <w:r>
        <w:t>كما لو كنت محاميًا. يجب أن تكون مستعدًا ومحترمًا وصادقًا ومتعاونًا ودقيقًا. إذا كنت لا تتفق مع محامٍ أو شاهد، فيجب عليك القيام بذلك باحترام ودون انقطاع. قد يضر السلوك غير المحترم أو التخريبي بقضيتك، وقد يتسبب في رفض قضيتك.</w:t>
      </w:r>
    </w:p>
    <w:p w14:paraId="2F077346" w14:textId="77777777" w:rsidR="00B76181" w:rsidRDefault="00B76181">
      <w:pPr>
        <w:rPr>
          <w:sz w:val="24"/>
        </w:rPr>
        <w:sectPr w:rsidR="00B76181">
          <w:footerReference w:type="default" r:id="rId9"/>
          <w:pgSz w:w="12240" w:h="15840"/>
          <w:pgMar w:top="1360" w:right="1340" w:bottom="1260" w:left="1320" w:header="0" w:footer="1063" w:gutter="0"/>
          <w:pgNumType w:start="2"/>
          <w:cols w:space="720"/>
        </w:sectPr>
      </w:pPr>
    </w:p>
    <w:p w14:paraId="4BDE1F51" w14:textId="7D4BB408" w:rsidR="00B76181" w:rsidRDefault="006C6FDE">
      <w:pPr>
        <w:pStyle w:val="Heading1"/>
        <w:numPr>
          <w:ilvl w:val="0"/>
          <w:numId w:val="1"/>
        </w:numPr>
        <w:tabs>
          <w:tab w:val="left" w:pos="839"/>
        </w:tabs>
        <w:spacing w:before="79"/>
        <w:ind w:left="839" w:hanging="719"/>
      </w:pPr>
      <w:r>
        <w:lastRenderedPageBreak/>
        <w:t xml:space="preserve">كيفية </w:t>
      </w:r>
      <w:r w:rsidR="00CB140A">
        <w:rPr>
          <w:rFonts w:hint="cs"/>
          <w:spacing w:val="-2"/>
        </w:rPr>
        <w:t>الاستئناف</w:t>
      </w:r>
    </w:p>
    <w:p w14:paraId="23644CEE" w14:textId="77777777" w:rsidR="00B76181" w:rsidRDefault="00B76181">
      <w:pPr>
        <w:pStyle w:val="BodyText"/>
        <w:rPr>
          <w:b/>
        </w:rPr>
      </w:pPr>
    </w:p>
    <w:p w14:paraId="59E80C85" w14:textId="3A5C2F07" w:rsidR="00B76181" w:rsidRDefault="006C6FDE" w:rsidP="00F81826">
      <w:pPr>
        <w:pStyle w:val="BodyText"/>
        <w:ind w:left="120" w:right="195" w:firstLine="720"/>
        <w:jc w:val="both"/>
      </w:pPr>
      <w:r>
        <w:t xml:space="preserve">عندما تتخذ وكالة حكومية قرارًا تريد الطعن فيه، فإنها عادة ما تشرح كتابيًا، </w:t>
      </w:r>
      <w:r w:rsidR="00CB140A">
        <w:rPr>
          <w:rFonts w:hint="cs"/>
        </w:rPr>
        <w:t>بالإضافة إلى</w:t>
      </w:r>
      <w:r>
        <w:t xml:space="preserve"> القرار، كيفية الاستئناف. إذا لم تشرح الوكالة الحكومية كيفية الاستئناف، </w:t>
      </w:r>
      <w:r w:rsidR="00CB140A">
        <w:rPr>
          <w:rFonts w:hint="cs"/>
        </w:rPr>
        <w:t>يمكنك الا</w:t>
      </w:r>
      <w:r>
        <w:t>تص</w:t>
      </w:r>
      <w:r w:rsidR="00CB140A">
        <w:rPr>
          <w:rFonts w:hint="cs"/>
        </w:rPr>
        <w:t>ا</w:t>
      </w:r>
      <w:r>
        <w:t>ل بالوكالة وا</w:t>
      </w:r>
      <w:r w:rsidR="00CB140A">
        <w:rPr>
          <w:rFonts w:hint="cs"/>
        </w:rPr>
        <w:t>لسؤال</w:t>
      </w:r>
      <w:r>
        <w:t xml:space="preserve">. </w:t>
      </w:r>
      <w:r w:rsidR="00CB140A">
        <w:rPr>
          <w:rFonts w:hint="cs"/>
        </w:rPr>
        <w:t xml:space="preserve">ومن ثم </w:t>
      </w:r>
      <w:r>
        <w:t>اتب</w:t>
      </w:r>
      <w:r w:rsidR="00CB140A">
        <w:rPr>
          <w:rFonts w:hint="cs"/>
        </w:rPr>
        <w:t>ا</w:t>
      </w:r>
      <w:r>
        <w:t>ع القواعد (مثل إرسال الاستئناف إلى المكان الصحيح) والتزم بالموعد النهائي للاستئناف. وإلا، فقد تنتهي قضيتك قبل استئنافها.</w:t>
      </w:r>
    </w:p>
    <w:p w14:paraId="36351DCA" w14:textId="77777777" w:rsidR="00B76181" w:rsidRDefault="00B76181">
      <w:pPr>
        <w:pStyle w:val="BodyText"/>
      </w:pPr>
    </w:p>
    <w:p w14:paraId="2EC48F32" w14:textId="77777777" w:rsidR="00B76181" w:rsidRDefault="006C6FDE">
      <w:pPr>
        <w:pStyle w:val="Heading1"/>
        <w:numPr>
          <w:ilvl w:val="0"/>
          <w:numId w:val="1"/>
        </w:numPr>
        <w:tabs>
          <w:tab w:val="left" w:pos="839"/>
        </w:tabs>
        <w:ind w:left="839" w:hanging="719"/>
      </w:pPr>
      <w:r>
        <w:t xml:space="preserve">قبل جلسة </w:t>
      </w:r>
      <w:r>
        <w:rPr>
          <w:spacing w:val="-2"/>
        </w:rPr>
        <w:t>الاستماع</w:t>
      </w:r>
    </w:p>
    <w:p w14:paraId="45B64F93" w14:textId="77777777" w:rsidR="00B76181" w:rsidRDefault="00B76181">
      <w:pPr>
        <w:pStyle w:val="BodyText"/>
        <w:rPr>
          <w:b/>
        </w:rPr>
      </w:pPr>
    </w:p>
    <w:p w14:paraId="7E178F25" w14:textId="77777777" w:rsidR="00B76181" w:rsidRDefault="006C6FDE" w:rsidP="00F81826">
      <w:pPr>
        <w:pStyle w:val="P68B1DB1-ListParagraph2"/>
        <w:numPr>
          <w:ilvl w:val="1"/>
          <w:numId w:val="1"/>
        </w:numPr>
        <w:tabs>
          <w:tab w:val="left" w:pos="1619"/>
        </w:tabs>
        <w:ind w:right="639" w:firstLine="720"/>
        <w:jc w:val="both"/>
      </w:pPr>
      <w:r>
        <w:rPr>
          <w:b/>
          <w:bCs/>
        </w:rPr>
        <w:t>مذكرة ما قبل جلسة الاستماع:</w:t>
      </w:r>
      <w:r>
        <w:t xml:space="preserve"> قبل جلسة الاستماع، قد تتاح لك الفرصة لتقديم مذكرة ما قبل جلسة الاستماع لمساعدة القاضي على فهم موقفك في جلسة الاستماع. يجب عليك اتباع أي تعليمات حول المذكرة التي يصدرها القاضي.</w:t>
      </w:r>
    </w:p>
    <w:p w14:paraId="68DB68FD" w14:textId="77777777" w:rsidR="00B76181" w:rsidRDefault="00B76181">
      <w:pPr>
        <w:pStyle w:val="BodyText"/>
      </w:pPr>
    </w:p>
    <w:p w14:paraId="44579723" w14:textId="6F1B5065" w:rsidR="00B76181" w:rsidRDefault="00CB140A" w:rsidP="00F81826">
      <w:pPr>
        <w:pStyle w:val="P68B1DB1-ListParagraph2"/>
        <w:numPr>
          <w:ilvl w:val="1"/>
          <w:numId w:val="1"/>
        </w:numPr>
        <w:tabs>
          <w:tab w:val="left" w:pos="1559"/>
        </w:tabs>
        <w:ind w:right="170" w:firstLine="720"/>
        <w:jc w:val="both"/>
      </w:pPr>
      <w:r>
        <w:rPr>
          <w:rFonts w:hint="cs"/>
          <w:b/>
          <w:bCs/>
        </w:rPr>
        <w:t>المستندات</w:t>
      </w:r>
      <w:r>
        <w:rPr>
          <w:b/>
          <w:bCs/>
        </w:rPr>
        <w:t>:</w:t>
      </w:r>
      <w:r>
        <w:t xml:space="preserve"> يجب عليك أيضًا الاتصال بالطرف (الأطراف) المعارض لتحديد ما إذا كان بإمكانك الاتفاق على </w:t>
      </w:r>
      <w:r>
        <w:rPr>
          <w:rFonts w:hint="cs"/>
        </w:rPr>
        <w:t>المستندات</w:t>
      </w:r>
      <w:r>
        <w:t xml:space="preserve"> التي سيتم تقديمها في جلسة الاستماع. إذا استطعت، يجب ترقيم المستندات مسبقًا وتقديمها إلى القاضي قبل جلسة الاستماع. سواء توصلت إلى اتفاق أم لا، فإن أي معارض مقترحة من 5 صفحات أو أكثر يجب أن تكون مرقمة بالصفحات.</w:t>
      </w:r>
    </w:p>
    <w:p w14:paraId="6F4E02C3" w14:textId="77777777" w:rsidR="00B76181" w:rsidRDefault="00B76181">
      <w:pPr>
        <w:pStyle w:val="BodyText"/>
      </w:pPr>
    </w:p>
    <w:p w14:paraId="1ECCE602" w14:textId="77777777" w:rsidR="00B76181" w:rsidRDefault="006C6FDE">
      <w:pPr>
        <w:pStyle w:val="Heading1"/>
        <w:numPr>
          <w:ilvl w:val="0"/>
          <w:numId w:val="1"/>
        </w:numPr>
        <w:tabs>
          <w:tab w:val="left" w:pos="839"/>
        </w:tabs>
        <w:ind w:left="839" w:hanging="719"/>
      </w:pPr>
      <w:r>
        <w:t xml:space="preserve">جلسة </w:t>
      </w:r>
      <w:r>
        <w:rPr>
          <w:spacing w:val="-2"/>
        </w:rPr>
        <w:t>الاستماع</w:t>
      </w:r>
    </w:p>
    <w:p w14:paraId="35A0953F" w14:textId="77777777" w:rsidR="00B76181" w:rsidRDefault="00B76181">
      <w:pPr>
        <w:pStyle w:val="BodyText"/>
        <w:rPr>
          <w:b/>
        </w:rPr>
      </w:pPr>
    </w:p>
    <w:p w14:paraId="6C8A6667" w14:textId="68CC6B85" w:rsidR="00B76181" w:rsidRDefault="006C6FDE" w:rsidP="00F81826">
      <w:pPr>
        <w:pStyle w:val="P68B1DB1-ListParagraph2"/>
        <w:numPr>
          <w:ilvl w:val="1"/>
          <w:numId w:val="1"/>
        </w:numPr>
        <w:tabs>
          <w:tab w:val="left" w:pos="1559"/>
        </w:tabs>
        <w:ind w:right="312" w:firstLine="720"/>
        <w:jc w:val="both"/>
      </w:pPr>
      <w:r>
        <w:t xml:space="preserve">قبل بدء جلسة الاستماع رسميًا، غالبًا ما يسأل القاضي عما إذا كان هناك أي «تدبير </w:t>
      </w:r>
      <w:r w:rsidR="00A873A3">
        <w:rPr>
          <w:rFonts w:hint="cs"/>
        </w:rPr>
        <w:t>إداري</w:t>
      </w:r>
      <w:r>
        <w:t xml:space="preserve">» أو أي شيء يجب مناقشته لجعل جلسة الاستماع تسير بشكل أكثر سلاسة. يجب عليك إخبار القاضي إذا كان أي من شهودك لديه قيود على الجدول الزمني، أو إذا كنت تواجه مشاكل مع </w:t>
      </w:r>
      <w:r w:rsidR="00A873A3">
        <w:rPr>
          <w:rFonts w:hint="cs"/>
        </w:rPr>
        <w:t>المستندات</w:t>
      </w:r>
      <w:r w:rsidR="00A873A3">
        <w:t xml:space="preserve"> </w:t>
      </w:r>
      <w:r>
        <w:t>(</w:t>
      </w:r>
      <w:r w:rsidR="00A873A3">
        <w:rPr>
          <w:rFonts w:hint="cs"/>
        </w:rPr>
        <w:t>الخاصة بك</w:t>
      </w:r>
      <w:r>
        <w:t xml:space="preserve"> أو </w:t>
      </w:r>
      <w:r w:rsidR="00A873A3">
        <w:rPr>
          <w:rFonts w:hint="cs"/>
        </w:rPr>
        <w:t>ب</w:t>
      </w:r>
      <w:r>
        <w:t>الطرف الآخر)، أو إذا كنت بحاجة إلى الاستراحة في أوقات معينة لأسباب طبية، أو أي شيء آخر قد يؤثر على تدفق سماع.</w:t>
      </w:r>
    </w:p>
    <w:p w14:paraId="1487796D" w14:textId="77777777" w:rsidR="00B76181" w:rsidRDefault="00B76181">
      <w:pPr>
        <w:pStyle w:val="BodyText"/>
      </w:pPr>
    </w:p>
    <w:p w14:paraId="2C4A15C1" w14:textId="77777777" w:rsidR="00B76181" w:rsidRDefault="006C6FDE" w:rsidP="00F81826">
      <w:pPr>
        <w:pStyle w:val="P68B1DB1-ListParagraph2"/>
        <w:numPr>
          <w:ilvl w:val="1"/>
          <w:numId w:val="1"/>
        </w:numPr>
        <w:tabs>
          <w:tab w:val="left" w:pos="1559"/>
        </w:tabs>
        <w:ind w:right="460" w:firstLine="720"/>
        <w:jc w:val="both"/>
      </w:pPr>
      <w:r>
        <w:t>تتبع جلسة الاستماع صيغة المحاكمة، ولكنها قد تكون أقل رسمية. سيتم تسجيلها. قد يكون هناك أيضًا كاتب اختزال إذا طلب أحد الأطراف ذلك وقدمه.</w:t>
      </w:r>
    </w:p>
    <w:p w14:paraId="313147B5" w14:textId="77777777" w:rsidR="00B76181" w:rsidRDefault="00B76181">
      <w:pPr>
        <w:pStyle w:val="BodyText"/>
      </w:pPr>
    </w:p>
    <w:p w14:paraId="4A98C63E" w14:textId="77777777" w:rsidR="00B76181" w:rsidRDefault="006C6FDE" w:rsidP="00F81826">
      <w:pPr>
        <w:pStyle w:val="P68B1DB1-ListParagraph2"/>
        <w:numPr>
          <w:ilvl w:val="1"/>
          <w:numId w:val="1"/>
        </w:numPr>
        <w:tabs>
          <w:tab w:val="left" w:pos="1559"/>
        </w:tabs>
        <w:spacing w:before="1"/>
        <w:ind w:right="429" w:firstLine="720"/>
        <w:jc w:val="both"/>
      </w:pPr>
      <w:r>
        <w:t>تبدأ جلسة الاستماع عادة على النحو التالي: يرحب القاضي بالمشاركين ويقرأ المعلومات الإجرائية في السجل. يقبل القاضي رسميًا المستندات كأدلة كمعروضات. لديك أنت والطرف الآخر فرصة للإدلاء ببيانات افتتاحية. من طلب جلسة الاستماع يذهب أولاً.</w:t>
      </w:r>
    </w:p>
    <w:p w14:paraId="61FA0A0B" w14:textId="5E132537" w:rsidR="00B76181" w:rsidRDefault="006C6FDE" w:rsidP="00F81826">
      <w:pPr>
        <w:pStyle w:val="P68B1DB1-ListParagraph2"/>
        <w:numPr>
          <w:ilvl w:val="1"/>
          <w:numId w:val="1"/>
        </w:numPr>
        <w:tabs>
          <w:tab w:val="left" w:pos="1619"/>
        </w:tabs>
        <w:spacing w:before="276"/>
        <w:ind w:right="280" w:firstLine="720"/>
        <w:jc w:val="both"/>
      </w:pPr>
      <w:r>
        <w:t xml:space="preserve">على افتراض أنك </w:t>
      </w:r>
      <w:r>
        <w:t>طلبت جلسة الاستماع، فإنك تقدم شهودك واحدًا تلو الآخر. أولاً تطرح الأسئلة (</w:t>
      </w:r>
      <w:r w:rsidR="000C522C">
        <w:rPr>
          <w:rFonts w:hint="cs"/>
        </w:rPr>
        <w:t>الاستجواب</w:t>
      </w:r>
      <w:r w:rsidR="000C522C">
        <w:t xml:space="preserve"> </w:t>
      </w:r>
      <w:r>
        <w:t>المباشر). ثم يقوم الطرف الآخر بطرح أسئلة</w:t>
      </w:r>
      <w:r w:rsidR="000C522C">
        <w:rPr>
          <w:rFonts w:hint="cs"/>
        </w:rPr>
        <w:t xml:space="preserve"> على</w:t>
      </w:r>
      <w:r>
        <w:t xml:space="preserve"> الشاهد (استجواب</w:t>
      </w:r>
      <w:r w:rsidR="000C522C">
        <w:rPr>
          <w:rFonts w:hint="cs"/>
        </w:rPr>
        <w:t xml:space="preserve"> الشهود</w:t>
      </w:r>
      <w:r>
        <w:t>). قد يطرح القاضي أيضًا أسئلة. إذا كنت تدلي بشهاداتك، فمن المرجح أن يسمح لك القاضي بالشهادة في شكل سردي بدون صيغة السؤال/الإجابة. عندما تنتهي من تقديم جميع شهودك، سيقدم الطرف الآخر شهوده من خلال طرح الجولة الأولى من الأسئلة. ثم يمكنك طرح الأسئلة. قد يطرح القاضي أيضًا أسئلة. عندما ينتهي جميع الشهود، سيسألك القاضي عما إذا كنت ترغب في الإدلاء ببيان ختامي. ثم ستن</w:t>
      </w:r>
      <w:r>
        <w:t>تهي جلسة الاستماع.</w:t>
      </w:r>
    </w:p>
    <w:p w14:paraId="506039D0" w14:textId="77777777" w:rsidR="00B76181" w:rsidRDefault="00B76181">
      <w:pPr>
        <w:rPr>
          <w:sz w:val="24"/>
        </w:rPr>
        <w:sectPr w:rsidR="00B76181">
          <w:pgSz w:w="12240" w:h="15840"/>
          <w:pgMar w:top="1360" w:right="1340" w:bottom="1260" w:left="1320" w:header="0" w:footer="1063" w:gutter="0"/>
          <w:cols w:space="720"/>
        </w:sectPr>
      </w:pPr>
    </w:p>
    <w:p w14:paraId="1696B708" w14:textId="77777777" w:rsidR="00B76181" w:rsidRDefault="006C6FDE">
      <w:pPr>
        <w:pStyle w:val="P68B1DB1-ListParagraph2"/>
        <w:numPr>
          <w:ilvl w:val="1"/>
          <w:numId w:val="1"/>
        </w:numPr>
        <w:tabs>
          <w:tab w:val="left" w:pos="1619"/>
        </w:tabs>
        <w:spacing w:before="79"/>
        <w:ind w:right="354" w:firstLine="720"/>
      </w:pPr>
      <w:r>
        <w:lastRenderedPageBreak/>
        <w:t>لن يتخذ القاضي قرارًا على الفور. سوف تتلقى قرارًا مكتوبًا عبر البريد.</w:t>
      </w:r>
    </w:p>
    <w:p w14:paraId="2EF878E9" w14:textId="77777777" w:rsidR="00B76181" w:rsidRDefault="00B76181">
      <w:pPr>
        <w:pStyle w:val="BodyText"/>
      </w:pPr>
    </w:p>
    <w:p w14:paraId="0D4355AB" w14:textId="77777777" w:rsidR="00B76181" w:rsidRDefault="006C6FDE" w:rsidP="00F81826">
      <w:pPr>
        <w:pStyle w:val="P68B1DB1-ListParagraph2"/>
        <w:numPr>
          <w:ilvl w:val="1"/>
          <w:numId w:val="1"/>
        </w:numPr>
        <w:tabs>
          <w:tab w:val="left" w:pos="1619"/>
        </w:tabs>
        <w:ind w:right="123" w:firstLine="720"/>
        <w:jc w:val="both"/>
      </w:pPr>
      <w:r>
        <w:t>الغرض من جلسة الاستماع هو جمع الأدلة. دور القاضي هو إدارة تدفق الأدلة والتأكد من أن كل طرف يمكن أن يشارك في العملية. يدرك القاضي مدى صعوبة تمثيل نفسك. القاضي محايد في جميع الأوقات. لا يمكنه تمثيلك أو تقديم أي مشورة قانونية لك.</w:t>
      </w:r>
    </w:p>
    <w:p w14:paraId="6B3A3E7C" w14:textId="77777777" w:rsidR="00B76181" w:rsidRDefault="00B76181">
      <w:pPr>
        <w:pStyle w:val="BodyText"/>
      </w:pPr>
    </w:p>
    <w:p w14:paraId="347C122F" w14:textId="1F87A4B2" w:rsidR="00B76181" w:rsidRDefault="006C6FDE" w:rsidP="00F81826">
      <w:pPr>
        <w:pStyle w:val="P68B1DB1-ListParagraph2"/>
        <w:numPr>
          <w:ilvl w:val="1"/>
          <w:numId w:val="1"/>
        </w:numPr>
        <w:tabs>
          <w:tab w:val="left" w:pos="1619"/>
        </w:tabs>
        <w:ind w:right="210" w:firstLine="720"/>
        <w:jc w:val="both"/>
      </w:pPr>
      <w:r>
        <w:t>إذا كنت ترغب في الإدلاء بشهادتك، فسيقوم القاضي</w:t>
      </w:r>
      <w:r w:rsidR="00345E8A">
        <w:rPr>
          <w:rFonts w:hint="cs"/>
        </w:rPr>
        <w:t xml:space="preserve"> بالسماح لك</w:t>
      </w:r>
      <w:r>
        <w:t xml:space="preserve"> بأداء اليمين والذي قد ينطبق على معظم خطابك في جلسة الاستماع. قد يتم استجوابك من قبل كل من الطرف الآخر والقاضي.</w:t>
      </w:r>
    </w:p>
    <w:p w14:paraId="16D267B9" w14:textId="77777777" w:rsidR="00B76181" w:rsidRDefault="00B76181">
      <w:pPr>
        <w:pStyle w:val="BodyText"/>
      </w:pPr>
    </w:p>
    <w:p w14:paraId="20E1E519" w14:textId="77777777" w:rsidR="00B76181" w:rsidRDefault="006C6FDE">
      <w:pPr>
        <w:pStyle w:val="P68B1DB1-Heading13"/>
        <w:numPr>
          <w:ilvl w:val="0"/>
          <w:numId w:val="1"/>
        </w:numPr>
        <w:tabs>
          <w:tab w:val="left" w:pos="839"/>
        </w:tabs>
        <w:ind w:left="839" w:hanging="719"/>
      </w:pPr>
      <w:r>
        <w:t>تعريفات</w:t>
      </w:r>
    </w:p>
    <w:p w14:paraId="151EAF1A" w14:textId="77777777" w:rsidR="00B76181" w:rsidRDefault="00B76181">
      <w:pPr>
        <w:pStyle w:val="BodyText"/>
        <w:rPr>
          <w:b/>
        </w:rPr>
      </w:pPr>
    </w:p>
    <w:p w14:paraId="553022B4" w14:textId="77777777" w:rsidR="00B76181" w:rsidRDefault="006C6FDE" w:rsidP="00F81826">
      <w:pPr>
        <w:pStyle w:val="BodyText"/>
        <w:ind w:left="120" w:right="195"/>
        <w:jc w:val="both"/>
      </w:pPr>
      <w:r>
        <w:t>قد ترى هذه الشروط في قواعد جلسة الاستماع أو في المستندات الأخرى المتعلقة بقضيتك. يمكنك أيضًا سماعها أثناء المكالمات الجماعية أو المفاوضات أو جلسة الاستماع.</w:t>
      </w:r>
    </w:p>
    <w:p w14:paraId="32B03E50" w14:textId="77777777" w:rsidR="00B76181" w:rsidRDefault="00B76181">
      <w:pPr>
        <w:pStyle w:val="BodyText"/>
      </w:pPr>
    </w:p>
    <w:p w14:paraId="2E53649F" w14:textId="77777777" w:rsidR="00B76181" w:rsidRDefault="006C6FDE" w:rsidP="00F81826">
      <w:pPr>
        <w:pStyle w:val="BodyText"/>
        <w:ind w:left="120" w:right="195"/>
        <w:jc w:val="both"/>
      </w:pPr>
      <w:r>
        <w:rPr>
          <w:u w:val="single"/>
        </w:rPr>
        <w:t>مقبولة</w:t>
      </w:r>
      <w:r>
        <w:t xml:space="preserve">: أصبحت جزءًا من السجل الرسمي للجلسة التي سينظر فيها القاضي عند اتخاذ القرار. </w:t>
      </w:r>
      <w:r>
        <w:t>يمكن للقاضي فقط الانتباه إلى الأدلة «المقبولة» في السجل.</w:t>
      </w:r>
    </w:p>
    <w:p w14:paraId="5047EE45" w14:textId="77777777" w:rsidR="00B76181" w:rsidRDefault="00B76181">
      <w:pPr>
        <w:pStyle w:val="BodyText"/>
      </w:pPr>
    </w:p>
    <w:p w14:paraId="187BC900" w14:textId="3B007569" w:rsidR="00B76181" w:rsidRDefault="006C6FDE" w:rsidP="00F32EF5">
      <w:pPr>
        <w:pStyle w:val="BodyText"/>
        <w:ind w:left="120" w:right="195"/>
        <w:jc w:val="both"/>
      </w:pPr>
      <w:r>
        <w:rPr>
          <w:u w:val="single"/>
        </w:rPr>
        <w:t xml:space="preserve">عبء </w:t>
      </w:r>
      <w:r w:rsidR="00345E8A">
        <w:rPr>
          <w:rFonts w:hint="cs"/>
          <w:u w:val="single"/>
        </w:rPr>
        <w:t>تقديم الأدلة</w:t>
      </w:r>
      <w:r>
        <w:t xml:space="preserve">: يتحمل طرف واحد في كل حالة عبء </w:t>
      </w:r>
      <w:r w:rsidR="00345E8A">
        <w:rPr>
          <w:rFonts w:hint="cs"/>
        </w:rPr>
        <w:t>تقديم الأدلة</w:t>
      </w:r>
      <w:r>
        <w:t xml:space="preserve">، </w:t>
      </w:r>
      <w:r w:rsidR="00F32EF5" w:rsidRPr="00F32EF5">
        <w:t>مما يعني أنه يقع على عاتق ذلك الطرف مسؤولية إثبات صحة ادعاءاته الرئيسية. يقع عبء الإثبات عادةً على الطرف الذي طلب عقد جلسة الاستماع. إذا لم تستوفِ عبء الإثبات، فلن ”</w:t>
      </w:r>
      <w:r w:rsidR="00F32EF5">
        <w:rPr>
          <w:rFonts w:hint="cs"/>
          <w:lang w:bidi="ar-EG"/>
        </w:rPr>
        <w:t xml:space="preserve">تحرز </w:t>
      </w:r>
      <w:r w:rsidR="00F32EF5">
        <w:rPr>
          <w:rFonts w:hint="cs"/>
        </w:rPr>
        <w:t>الفوز</w:t>
      </w:r>
      <w:r w:rsidR="00F32EF5" w:rsidRPr="00F32EF5">
        <w:t>“</w:t>
      </w:r>
      <w:r w:rsidR="00F32EF5">
        <w:rPr>
          <w:rFonts w:hint="cs"/>
        </w:rPr>
        <w:t xml:space="preserve"> في </w:t>
      </w:r>
      <w:r w:rsidR="00F32EF5" w:rsidRPr="00F32EF5">
        <w:t>استئنافك</w:t>
      </w:r>
      <w:r w:rsidR="00F32EF5">
        <w:rPr>
          <w:rFonts w:hint="cs"/>
          <w:lang w:bidi="ar-EG"/>
        </w:rPr>
        <w:t>.</w:t>
      </w:r>
    </w:p>
    <w:p w14:paraId="5FDABF5E" w14:textId="77777777" w:rsidR="00B76181" w:rsidRDefault="006C6FDE">
      <w:pPr>
        <w:pStyle w:val="BodyText"/>
        <w:ind w:left="120"/>
      </w:pPr>
      <w:r>
        <w:rPr>
          <w:u w:val="single"/>
        </w:rPr>
        <w:t>البيان الختامي</w:t>
      </w:r>
      <w:r>
        <w:t xml:space="preserve">: الحجة النهائية في نهاية </w:t>
      </w:r>
      <w:r>
        <w:rPr>
          <w:spacing w:val="-2"/>
        </w:rPr>
        <w:t>جلسة الاستماع.</w:t>
      </w:r>
    </w:p>
    <w:p w14:paraId="65EC6618" w14:textId="77777777" w:rsidR="00B76181" w:rsidRDefault="00B76181">
      <w:pPr>
        <w:pStyle w:val="BodyText"/>
      </w:pPr>
    </w:p>
    <w:p w14:paraId="3915849B" w14:textId="267B3E37" w:rsidR="00B76181" w:rsidRDefault="00F32EF5" w:rsidP="00F32EF5">
      <w:pPr>
        <w:pStyle w:val="BodyText"/>
        <w:ind w:left="120" w:right="429"/>
        <w:jc w:val="both"/>
      </w:pPr>
      <w:r>
        <w:rPr>
          <w:rFonts w:hint="cs"/>
          <w:u w:val="single"/>
        </w:rPr>
        <w:t>التحقيق</w:t>
      </w:r>
      <w:r>
        <w:t xml:space="preserve">: العملية التي تطلب فيها الأطراف المعلومات وتتبادلها مع بعضها البعض. يتم الاكتشاف بعد تقديم طلب جلسة الاستماع وقبل بدء جلسة الاستماع. تعد الاستجوابات وطلبات المستندات والإفادات كلها أدوات مختلفة </w:t>
      </w:r>
      <w:r>
        <w:rPr>
          <w:rFonts w:hint="cs"/>
        </w:rPr>
        <w:t>لإجراء التحقيق</w:t>
      </w:r>
      <w:r>
        <w:t>.</w:t>
      </w:r>
    </w:p>
    <w:p w14:paraId="098CF8A4" w14:textId="77777777" w:rsidR="00B76181" w:rsidRDefault="00B76181">
      <w:pPr>
        <w:pStyle w:val="BodyText"/>
      </w:pPr>
    </w:p>
    <w:p w14:paraId="002B6640" w14:textId="6873F411" w:rsidR="00B76181" w:rsidRDefault="006C6FDE">
      <w:pPr>
        <w:pStyle w:val="BodyText"/>
        <w:spacing w:before="1"/>
        <w:ind w:left="120"/>
        <w:jc w:val="both"/>
      </w:pPr>
      <w:r>
        <w:rPr>
          <w:u w:val="single"/>
        </w:rPr>
        <w:t>رفض</w:t>
      </w:r>
      <w:r w:rsidR="00F32EF5">
        <w:rPr>
          <w:rFonts w:hint="cs"/>
          <w:u w:val="single"/>
        </w:rPr>
        <w:t xml:space="preserve"> الدعوى</w:t>
      </w:r>
      <w:r>
        <w:t xml:space="preserve">: يغلق القاضي الملف. لن </w:t>
      </w:r>
      <w:r w:rsidR="00F32EF5">
        <w:rPr>
          <w:rFonts w:hint="cs"/>
        </w:rPr>
        <w:t>ي</w:t>
      </w:r>
      <w:r>
        <w:t xml:space="preserve">تخذ </w:t>
      </w:r>
      <w:r w:rsidR="00F32EF5" w:rsidRPr="00576AD4">
        <w:rPr>
          <w:rFonts w:hint="cs"/>
          <w:lang w:bidi="ar-EG"/>
        </w:rPr>
        <w:t>قسم طعون القانون الإداري</w:t>
      </w:r>
      <w:r w:rsidR="00F32EF5" w:rsidDel="00697DD4">
        <w:t xml:space="preserve"> </w:t>
      </w:r>
      <w:r>
        <w:t xml:space="preserve">أي إجراء آخر بشأن </w:t>
      </w:r>
      <w:r>
        <w:rPr>
          <w:spacing w:val="-2"/>
        </w:rPr>
        <w:t>الاستئناف</w:t>
      </w:r>
      <w:r>
        <w:t>.</w:t>
      </w:r>
    </w:p>
    <w:p w14:paraId="1BFE6158" w14:textId="07068C19" w:rsidR="00B76181" w:rsidRDefault="006C6FDE">
      <w:pPr>
        <w:pStyle w:val="BodyText"/>
        <w:spacing w:before="276"/>
        <w:ind w:left="120"/>
      </w:pPr>
      <w:r>
        <w:rPr>
          <w:u w:val="single"/>
        </w:rPr>
        <w:t>رفض</w:t>
      </w:r>
      <w:r w:rsidR="00F32EF5">
        <w:rPr>
          <w:rFonts w:hint="cs"/>
          <w:u w:val="single"/>
        </w:rPr>
        <w:t xml:space="preserve"> الدعوى</w:t>
      </w:r>
      <w:r>
        <w:rPr>
          <w:u w:val="single"/>
        </w:rPr>
        <w:t xml:space="preserve"> مع التحيز</w:t>
      </w:r>
      <w:r>
        <w:t xml:space="preserve">: </w:t>
      </w:r>
      <w:r w:rsidR="00F32EF5">
        <w:rPr>
          <w:rFonts w:hint="cs"/>
        </w:rPr>
        <w:t>ي</w:t>
      </w:r>
      <w:r>
        <w:t>تم إغلاق القضية ولا يمكن ل</w:t>
      </w:r>
      <w:r w:rsidR="00F32EF5" w:rsidRPr="00576AD4">
        <w:rPr>
          <w:rFonts w:hint="cs"/>
          <w:lang w:bidi="ar-EG"/>
        </w:rPr>
        <w:t>قسم طعون القانون الإداري</w:t>
      </w:r>
      <w:r w:rsidR="00F32EF5" w:rsidDel="00697DD4">
        <w:t xml:space="preserve"> </w:t>
      </w:r>
      <w:r>
        <w:t xml:space="preserve">النظر في </w:t>
      </w:r>
      <w:r w:rsidR="00F32EF5">
        <w:rPr>
          <w:rFonts w:hint="cs"/>
        </w:rPr>
        <w:t>القضايا</w:t>
      </w:r>
      <w:r w:rsidR="00F32EF5">
        <w:t xml:space="preserve"> </w:t>
      </w:r>
      <w:r>
        <w:rPr>
          <w:spacing w:val="-2"/>
        </w:rPr>
        <w:t>مرة أخرى</w:t>
      </w:r>
      <w:r>
        <w:t>.</w:t>
      </w:r>
    </w:p>
    <w:p w14:paraId="08E93A60" w14:textId="55432E9B" w:rsidR="00B76181" w:rsidRDefault="006C6FDE" w:rsidP="00F81826">
      <w:pPr>
        <w:pStyle w:val="BodyText"/>
        <w:spacing w:before="276"/>
        <w:ind w:left="120" w:right="195"/>
        <w:jc w:val="both"/>
      </w:pPr>
      <w:r>
        <w:rPr>
          <w:u w:val="single"/>
        </w:rPr>
        <w:t>رفض</w:t>
      </w:r>
      <w:r w:rsidR="00F32EF5">
        <w:rPr>
          <w:rFonts w:hint="cs"/>
          <w:u w:val="single"/>
        </w:rPr>
        <w:t xml:space="preserve"> الدعوى</w:t>
      </w:r>
      <w:r>
        <w:rPr>
          <w:u w:val="single"/>
        </w:rPr>
        <w:t xml:space="preserve"> دون تحيز</w:t>
      </w:r>
      <w:r>
        <w:t xml:space="preserve">: </w:t>
      </w:r>
      <w:r w:rsidR="00F32EF5">
        <w:rPr>
          <w:rFonts w:hint="cs"/>
        </w:rPr>
        <w:t>ي</w:t>
      </w:r>
      <w:r>
        <w:t xml:space="preserve">تم إغلاق القضية ولكن قد </w:t>
      </w:r>
      <w:r w:rsidR="00F32EF5">
        <w:rPr>
          <w:rFonts w:hint="cs"/>
        </w:rPr>
        <w:t>ي</w:t>
      </w:r>
      <w:r>
        <w:t xml:space="preserve">نظر </w:t>
      </w:r>
      <w:r w:rsidR="00F32EF5" w:rsidRPr="00576AD4">
        <w:rPr>
          <w:rFonts w:hint="cs"/>
          <w:lang w:bidi="ar-EG"/>
        </w:rPr>
        <w:t>قسم طعون القانون الإداري</w:t>
      </w:r>
      <w:r w:rsidR="00F32EF5" w:rsidDel="00697DD4">
        <w:t xml:space="preserve"> </w:t>
      </w:r>
      <w:r>
        <w:t xml:space="preserve">في المشكلات مرة أخرى إذا أعيد فتح القضية أو أثيرت </w:t>
      </w:r>
      <w:r w:rsidR="00F32EF5">
        <w:rPr>
          <w:rFonts w:hint="cs"/>
        </w:rPr>
        <w:t>القضايا</w:t>
      </w:r>
      <w:r w:rsidR="00F32EF5">
        <w:t xml:space="preserve"> </w:t>
      </w:r>
      <w:r>
        <w:t>بشكل صحيح مرة أخرى.</w:t>
      </w:r>
    </w:p>
    <w:p w14:paraId="767128B9" w14:textId="77777777" w:rsidR="00B76181" w:rsidRDefault="00B76181">
      <w:pPr>
        <w:pStyle w:val="BodyText"/>
      </w:pPr>
    </w:p>
    <w:p w14:paraId="6E3435B8" w14:textId="77777777" w:rsidR="00B76181" w:rsidRDefault="006C6FDE" w:rsidP="00F81826">
      <w:pPr>
        <w:pStyle w:val="BodyText"/>
        <w:ind w:left="120"/>
        <w:jc w:val="both"/>
      </w:pPr>
      <w:r>
        <w:rPr>
          <w:u w:val="single"/>
        </w:rPr>
        <w:t>الأدلة</w:t>
      </w:r>
      <w:r>
        <w:t xml:space="preserve">: الشهادة في جلسة الاستماع، والوثائق التي يتم تقديمها كدليل، وأحيانًا، </w:t>
      </w:r>
      <w:r>
        <w:t>الاتفاقات بين الطرفين بشأن الحقائق غير المثيرة للجدل.</w:t>
      </w:r>
    </w:p>
    <w:p w14:paraId="63FDBF10" w14:textId="77777777" w:rsidR="00B76181" w:rsidRDefault="00B76181">
      <w:pPr>
        <w:pStyle w:val="BodyText"/>
      </w:pPr>
    </w:p>
    <w:p w14:paraId="1897C652" w14:textId="0137D15F" w:rsidR="00B76181" w:rsidRDefault="00F32EF5" w:rsidP="00F81826">
      <w:pPr>
        <w:pStyle w:val="BodyText"/>
        <w:ind w:left="120" w:right="7"/>
        <w:jc w:val="both"/>
      </w:pPr>
      <w:r>
        <w:rPr>
          <w:rFonts w:hint="cs"/>
          <w:u w:val="single"/>
        </w:rPr>
        <w:t>الاستجواب</w:t>
      </w:r>
      <w:r>
        <w:t xml:space="preserve">: الاستجواب الرسمي. </w:t>
      </w:r>
      <w:r>
        <w:rPr>
          <w:rFonts w:hint="cs"/>
        </w:rPr>
        <w:t>الاستجواب</w:t>
      </w:r>
      <w:r>
        <w:t xml:space="preserve"> المباشر هو استجواب شهودك.</w:t>
      </w:r>
      <w:r>
        <w:rPr>
          <w:rFonts w:hint="cs"/>
        </w:rPr>
        <w:t xml:space="preserve"> </w:t>
      </w:r>
      <w:r>
        <w:t>استجواب</w:t>
      </w:r>
      <w:r>
        <w:rPr>
          <w:rFonts w:hint="cs"/>
        </w:rPr>
        <w:t xml:space="preserve"> الشهود</w:t>
      </w:r>
      <w:r>
        <w:t xml:space="preserve"> </w:t>
      </w:r>
      <w:r>
        <w:rPr>
          <w:rFonts w:hint="cs"/>
        </w:rPr>
        <w:t>هو</w:t>
      </w:r>
      <w:r>
        <w:t xml:space="preserve"> استجواب شهود الوكالة الحكومية، أو محامي الوكالة الحكومية الذي يستجوب شهودك (بما في ذلك أنت).</w:t>
      </w:r>
    </w:p>
    <w:p w14:paraId="119FF4C9" w14:textId="77777777" w:rsidR="00B76181" w:rsidRDefault="00B76181">
      <w:pPr>
        <w:sectPr w:rsidR="00B76181">
          <w:pgSz w:w="12240" w:h="15840"/>
          <w:pgMar w:top="1360" w:right="1340" w:bottom="1260" w:left="1320" w:header="0" w:footer="1063" w:gutter="0"/>
          <w:cols w:space="720"/>
        </w:sectPr>
      </w:pPr>
    </w:p>
    <w:p w14:paraId="407E70F3" w14:textId="77777777" w:rsidR="00B76181" w:rsidRDefault="006C6FDE">
      <w:pPr>
        <w:pStyle w:val="BodyText"/>
        <w:spacing w:before="79"/>
        <w:ind w:left="120"/>
      </w:pPr>
      <w:r>
        <w:rPr>
          <w:u w:val="single"/>
        </w:rPr>
        <w:lastRenderedPageBreak/>
        <w:t>الاستبعاد</w:t>
      </w:r>
      <w:r>
        <w:t xml:space="preserve">: الاحتفاظ بوثيقة أو جزء من شهادة الشاهد بعيدًا عن </w:t>
      </w:r>
      <w:r>
        <w:rPr>
          <w:spacing w:val="-2"/>
        </w:rPr>
        <w:t>الأدلة.</w:t>
      </w:r>
    </w:p>
    <w:p w14:paraId="4DC00161" w14:textId="77777777" w:rsidR="00B76181" w:rsidRDefault="00B76181">
      <w:pPr>
        <w:pStyle w:val="BodyText"/>
      </w:pPr>
    </w:p>
    <w:p w14:paraId="5A01BDAE" w14:textId="09C1482D" w:rsidR="00B76181" w:rsidRDefault="00F32EF5">
      <w:pPr>
        <w:pStyle w:val="BodyText"/>
        <w:ind w:left="120"/>
      </w:pPr>
      <w:r>
        <w:rPr>
          <w:rFonts w:hint="cs"/>
          <w:u w:val="single"/>
        </w:rPr>
        <w:t>المستندات</w:t>
      </w:r>
      <w:r>
        <w:t xml:space="preserve">: </w:t>
      </w:r>
      <w:r>
        <w:rPr>
          <w:rFonts w:hint="cs"/>
        </w:rPr>
        <w:t>الوثائق</w:t>
      </w:r>
      <w:r>
        <w:t xml:space="preserve"> التي يتم تقديمها وقبولها </w:t>
      </w:r>
      <w:r>
        <w:rPr>
          <w:spacing w:val="-2"/>
        </w:rPr>
        <w:t>كأدلة.</w:t>
      </w:r>
    </w:p>
    <w:p w14:paraId="0FD69514" w14:textId="77777777" w:rsidR="00B76181" w:rsidRDefault="00B76181">
      <w:pPr>
        <w:pStyle w:val="BodyText"/>
      </w:pPr>
    </w:p>
    <w:p w14:paraId="3621E414" w14:textId="77777777" w:rsidR="00B76181" w:rsidRDefault="006C6FDE">
      <w:pPr>
        <w:pStyle w:val="BodyText"/>
        <w:ind w:left="120"/>
      </w:pPr>
      <w:r>
        <w:rPr>
          <w:u w:val="single"/>
        </w:rPr>
        <w:t>جلسة الاستماع المعجلة</w:t>
      </w:r>
      <w:r>
        <w:t>: جلسة استماع تمت جدولتها وحلها بسرعة أكبر من المعتاد، بسبب الظروف الملحة.</w:t>
      </w:r>
    </w:p>
    <w:p w14:paraId="4D379580" w14:textId="77777777" w:rsidR="00B76181" w:rsidRDefault="00B76181">
      <w:pPr>
        <w:pStyle w:val="BodyText"/>
      </w:pPr>
    </w:p>
    <w:p w14:paraId="686F3F37" w14:textId="77777777" w:rsidR="00B76181" w:rsidRDefault="006C6FDE">
      <w:pPr>
        <w:pStyle w:val="BodyText"/>
        <w:ind w:left="120" w:right="7"/>
      </w:pPr>
      <w:r>
        <w:rPr>
          <w:u w:val="single"/>
        </w:rPr>
        <w:t>غير مقبولة</w:t>
      </w:r>
      <w:r>
        <w:t>: المستندات أو الشهادات التي لا تستوفي معايير الإدراج في سجل الجلسة.</w:t>
      </w:r>
    </w:p>
    <w:p w14:paraId="0ED91A84" w14:textId="77777777" w:rsidR="00B76181" w:rsidRDefault="00B76181">
      <w:pPr>
        <w:pStyle w:val="BodyText"/>
      </w:pPr>
    </w:p>
    <w:p w14:paraId="39DB0542" w14:textId="56FAA789" w:rsidR="00B76181" w:rsidRDefault="00F32EF5">
      <w:pPr>
        <w:pStyle w:val="BodyText"/>
        <w:ind w:left="120"/>
      </w:pPr>
      <w:r>
        <w:rPr>
          <w:rFonts w:hint="cs"/>
          <w:u w:val="single"/>
        </w:rPr>
        <w:t>ضم الدعاوى</w:t>
      </w:r>
      <w:r>
        <w:t xml:space="preserve">: إضافة طرف آخر إلى الإجراء قد يكون لديه مصلحة في </w:t>
      </w:r>
      <w:r>
        <w:rPr>
          <w:spacing w:val="-2"/>
        </w:rPr>
        <w:t>النتيجة</w:t>
      </w:r>
      <w:r>
        <w:t>.</w:t>
      </w:r>
    </w:p>
    <w:p w14:paraId="22657D82" w14:textId="77777777" w:rsidR="00B76181" w:rsidRDefault="00B76181">
      <w:pPr>
        <w:pStyle w:val="BodyText"/>
      </w:pPr>
    </w:p>
    <w:p w14:paraId="2A8CB779" w14:textId="77777777" w:rsidR="00B76181" w:rsidRDefault="006C6FDE" w:rsidP="00F81826">
      <w:pPr>
        <w:pStyle w:val="BodyText"/>
        <w:ind w:left="120"/>
        <w:jc w:val="both"/>
      </w:pPr>
      <w:r>
        <w:rPr>
          <w:u w:val="single"/>
        </w:rPr>
        <w:t>الاعتراضات</w:t>
      </w:r>
      <w:r>
        <w:t>: بيان يتم الإدلاء به عندما تريد أن يتجاهل القاضي مستندًا أو جزءًا من شهادة الشاهد. يجب أن يكون هناك سبب قانوني جيد للاعتراض. إن اعتقادك بأن الشهادة خاطئة ليس سببًا قانونيًا جيدًا للاعتراض.</w:t>
      </w:r>
    </w:p>
    <w:p w14:paraId="73676F3A" w14:textId="77777777" w:rsidR="00B76181" w:rsidRDefault="00B76181">
      <w:pPr>
        <w:pStyle w:val="BodyText"/>
      </w:pPr>
    </w:p>
    <w:p w14:paraId="6222EED7" w14:textId="77777777" w:rsidR="00B76181" w:rsidRDefault="006C6FDE">
      <w:pPr>
        <w:pStyle w:val="BodyText"/>
        <w:ind w:left="120"/>
      </w:pPr>
      <w:r>
        <w:rPr>
          <w:u w:val="single"/>
        </w:rPr>
        <w:t>البيان الافتتاحي</w:t>
      </w:r>
      <w:r>
        <w:t xml:space="preserve">: تقديمك الرسمي للقضايا والحقائق إلى </w:t>
      </w:r>
      <w:r>
        <w:rPr>
          <w:spacing w:val="-2"/>
        </w:rPr>
        <w:t>القاضي.</w:t>
      </w:r>
    </w:p>
    <w:p w14:paraId="7131A829" w14:textId="77777777" w:rsidR="00B76181" w:rsidRDefault="00B76181">
      <w:pPr>
        <w:pStyle w:val="BodyText"/>
      </w:pPr>
    </w:p>
    <w:p w14:paraId="190D28FA" w14:textId="77777777" w:rsidR="00B76181" w:rsidRDefault="006C6FDE">
      <w:pPr>
        <w:pStyle w:val="BodyText"/>
        <w:ind w:left="120"/>
      </w:pPr>
      <w:r>
        <w:rPr>
          <w:u w:val="single"/>
        </w:rPr>
        <w:t>الطرف</w:t>
      </w:r>
      <w:r>
        <w:t xml:space="preserve">: أحد المشاركين في القضية؛ أحد طرفي </w:t>
      </w:r>
      <w:r>
        <w:rPr>
          <w:spacing w:val="-2"/>
        </w:rPr>
        <w:t>القضية.</w:t>
      </w:r>
    </w:p>
    <w:p w14:paraId="28E9D0DE" w14:textId="77777777" w:rsidR="00B76181" w:rsidRDefault="00B76181">
      <w:pPr>
        <w:pStyle w:val="BodyText"/>
      </w:pPr>
    </w:p>
    <w:p w14:paraId="2CFEAA85" w14:textId="1FA9BD7D" w:rsidR="00B76181" w:rsidRDefault="001D1820" w:rsidP="00F81826">
      <w:pPr>
        <w:pStyle w:val="BodyText"/>
        <w:ind w:left="120"/>
        <w:jc w:val="both"/>
      </w:pPr>
      <w:r>
        <w:rPr>
          <w:rFonts w:hint="cs"/>
          <w:i/>
          <w:u w:val="single"/>
        </w:rPr>
        <w:t>مرافعة</w:t>
      </w:r>
      <w:r w:rsidR="00F32EF5">
        <w:rPr>
          <w:rFonts w:hint="cs"/>
          <w:i/>
          <w:u w:val="single"/>
        </w:rPr>
        <w:t xml:space="preserve"> الشخص بنفسه</w:t>
      </w:r>
      <w:r>
        <w:t>: «</w:t>
      </w:r>
      <w:r>
        <w:rPr>
          <w:rFonts w:hint="cs"/>
        </w:rPr>
        <w:t>المثول بنفسك</w:t>
      </w:r>
      <w:r>
        <w:t xml:space="preserve">». الطرف </w:t>
      </w:r>
      <w:r>
        <w:rPr>
          <w:rFonts w:hint="cs"/>
          <w:i/>
          <w:iCs/>
        </w:rPr>
        <w:t>الذي يترافع بنفسه بدون محامٍ</w:t>
      </w:r>
      <w:r>
        <w:t xml:space="preserve"> هو الشخص الذي يمثل نفسه في جلسة الاستماع، بدلاً من أن يمثله محامٍ أو ممثل آخر.</w:t>
      </w:r>
    </w:p>
    <w:p w14:paraId="40E069F0" w14:textId="77777777" w:rsidR="00B76181" w:rsidRDefault="00B76181">
      <w:pPr>
        <w:pStyle w:val="BodyText"/>
      </w:pPr>
    </w:p>
    <w:p w14:paraId="7C4CE9CF" w14:textId="77777777" w:rsidR="00B76181" w:rsidRDefault="006C6FDE">
      <w:pPr>
        <w:pStyle w:val="BodyText"/>
        <w:ind w:left="120"/>
      </w:pPr>
      <w:r>
        <w:rPr>
          <w:u w:val="single"/>
        </w:rPr>
        <w:t>العطلة</w:t>
      </w:r>
      <w:r>
        <w:t xml:space="preserve">: استراحة أو توقف في </w:t>
      </w:r>
      <w:r>
        <w:rPr>
          <w:spacing w:val="-2"/>
        </w:rPr>
        <w:t>جلسة الاستماع.</w:t>
      </w:r>
    </w:p>
    <w:p w14:paraId="2DB2B14C" w14:textId="77777777" w:rsidR="00B76181" w:rsidRDefault="00B76181">
      <w:pPr>
        <w:pStyle w:val="BodyText"/>
      </w:pPr>
    </w:p>
    <w:p w14:paraId="3B487744" w14:textId="77777777" w:rsidR="00B76181" w:rsidRDefault="006C6FDE" w:rsidP="00F81826">
      <w:pPr>
        <w:pStyle w:val="BodyText"/>
        <w:ind w:left="120" w:right="128"/>
        <w:jc w:val="both"/>
      </w:pPr>
      <w:r>
        <w:rPr>
          <w:u w:val="single"/>
        </w:rPr>
        <w:t>سبب العرض</w:t>
      </w:r>
      <w:r>
        <w:t xml:space="preserve">: «أخبرني لماذا». يطلب أمر </w:t>
      </w:r>
      <w:r>
        <w:t>إظهار السبب من الأطراف أن يذكروا كتابيًا سبب عدم اتخاذ إجراء معين اقترحه القاضي. إذا لم تستجب الأطراف، أو لم تقدم أسبابًا مقنعة للقاضي لعدم اتخاذ الإجراء، فمن المرجح أن يتم اتخاذه. في أغلب الأحيان، يتم إصدار أمر إظهار السبب إذا اعتقد القاضي أن هناك سببًا لرفض الدعوى.</w:t>
      </w:r>
    </w:p>
    <w:p w14:paraId="6614508E" w14:textId="77777777" w:rsidR="00B76181" w:rsidRDefault="00B76181">
      <w:pPr>
        <w:pStyle w:val="BodyText"/>
      </w:pPr>
    </w:p>
    <w:p w14:paraId="34634428" w14:textId="196C4B82" w:rsidR="00B76181" w:rsidRDefault="00A84007" w:rsidP="00F81826">
      <w:pPr>
        <w:pStyle w:val="BodyText"/>
        <w:spacing w:before="1"/>
        <w:ind w:left="120"/>
        <w:jc w:val="both"/>
      </w:pPr>
      <w:r>
        <w:rPr>
          <w:rFonts w:hint="cs"/>
          <w:u w:val="single"/>
        </w:rPr>
        <w:t>أمر</w:t>
      </w:r>
      <w:r w:rsidR="001D1820">
        <w:rPr>
          <w:rFonts w:hint="cs"/>
          <w:u w:val="single"/>
        </w:rPr>
        <w:t xml:space="preserve"> </w:t>
      </w:r>
      <w:r>
        <w:rPr>
          <w:u w:val="single"/>
        </w:rPr>
        <w:t>استدعاء:</w:t>
      </w:r>
      <w:r w:rsidRPr="00F81826">
        <w:t xml:space="preserve"> </w:t>
      </w:r>
      <w:r w:rsidR="00A74D0C">
        <w:rPr>
          <w:rFonts w:hint="cs"/>
        </w:rPr>
        <w:t xml:space="preserve">هو </w:t>
      </w:r>
      <w:r w:rsidRPr="00F81826">
        <w:t xml:space="preserve">أمر </w:t>
      </w:r>
      <w:r w:rsidR="00A74D0C">
        <w:rPr>
          <w:rFonts w:hint="cs"/>
        </w:rPr>
        <w:t>يطلب من</w:t>
      </w:r>
      <w:r>
        <w:t xml:space="preserve"> شخصًا المثول في تاريخ ووقت معين، في مكان معين، من أجل الإدلاء بشهادته في </w:t>
      </w:r>
      <w:r>
        <w:rPr>
          <w:rFonts w:hint="cs"/>
        </w:rPr>
        <w:t>دعوى</w:t>
      </w:r>
      <w:r>
        <w:t xml:space="preserve"> ق</w:t>
      </w:r>
      <w:r>
        <w:rPr>
          <w:rFonts w:hint="cs"/>
        </w:rPr>
        <w:t>ضائية</w:t>
      </w:r>
      <w:r>
        <w:t>.</w:t>
      </w:r>
    </w:p>
    <w:p w14:paraId="5F3A93F0" w14:textId="19FB1A34" w:rsidR="00B76181" w:rsidRDefault="00A84007">
      <w:pPr>
        <w:pStyle w:val="BodyText"/>
        <w:spacing w:before="276"/>
        <w:ind w:left="120" w:right="195"/>
      </w:pPr>
      <w:r>
        <w:rPr>
          <w:rFonts w:hint="cs"/>
          <w:u w:val="single"/>
        </w:rPr>
        <w:t xml:space="preserve">أمر </w:t>
      </w:r>
      <w:r>
        <w:rPr>
          <w:u w:val="single"/>
        </w:rPr>
        <w:t xml:space="preserve">استدعاء </w:t>
      </w:r>
      <w:r>
        <w:rPr>
          <w:rFonts w:hint="cs"/>
          <w:u w:val="single"/>
        </w:rPr>
        <w:t>رسمي بإحضار المستندات</w:t>
      </w:r>
      <w:r>
        <w:t xml:space="preserve">: أمر يتطلب تسليم المستندات المحددة إلى طرف لاستخدامها في </w:t>
      </w:r>
      <w:r>
        <w:rPr>
          <w:rFonts w:hint="cs"/>
        </w:rPr>
        <w:t>دعوى</w:t>
      </w:r>
      <w:r>
        <w:t xml:space="preserve"> </w:t>
      </w:r>
      <w:r>
        <w:rPr>
          <w:rFonts w:hint="cs"/>
        </w:rPr>
        <w:t>قضائية</w:t>
      </w:r>
      <w:r>
        <w:t>.</w:t>
      </w:r>
    </w:p>
    <w:sectPr w:rsidR="00B76181">
      <w:pgSz w:w="12240" w:h="15840"/>
      <w:pgMar w:top="1360" w:right="1340" w:bottom="1260" w:left="132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FBABC" w14:textId="77777777" w:rsidR="00F33ABC" w:rsidRDefault="00F33ABC">
      <w:r>
        <w:separator/>
      </w:r>
    </w:p>
  </w:endnote>
  <w:endnote w:type="continuationSeparator" w:id="0">
    <w:p w14:paraId="5D67C19B" w14:textId="77777777" w:rsidR="00F33ABC" w:rsidRDefault="00F3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3E894" w14:textId="77777777" w:rsidR="00B76181" w:rsidRDefault="006C6FDE">
    <w:pPr>
      <w:pStyle w:val="BodyText"/>
      <w:spacing w:line="14" w:lineRule="auto"/>
      <w:rPr>
        <w:sz w:val="20"/>
      </w:rPr>
    </w:pPr>
    <w:r>
      <w:rPr>
        <w:noProof/>
      </w:rPr>
      <mc:AlternateContent>
        <mc:Choice Requires="wps">
          <w:drawing>
            <wp:anchor distT="0" distB="0" distL="0" distR="0" simplePos="0" relativeHeight="487516160" behindDoc="1" locked="0" layoutInCell="1" allowOverlap="1" wp14:anchorId="0941871D" wp14:editId="31E91CB5">
              <wp:simplePos x="0" y="0"/>
              <wp:positionH relativeFrom="page">
                <wp:posOffset>3810000</wp:posOffset>
              </wp:positionH>
              <wp:positionV relativeFrom="page">
                <wp:posOffset>9243906</wp:posOffset>
              </wp:positionV>
              <wp:extent cx="165100" cy="194310"/>
              <wp:effectExtent l="0" t="0" r="0" b="0"/>
              <wp:wrapNone/>
              <wp:docPr id="1" name="مربع ال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6FF15EF" w14:textId="77777777" w:rsidR="00B76181" w:rsidRDefault="006C6FDE">
                          <w:pPr>
                            <w:pStyle w:val="P68B1DB1-BodyText4"/>
                            <w:spacing w:before="10"/>
                            <w:ind w:left="60"/>
                          </w:pPr>
                          <w:r>
                            <w:fldChar w:fldCharType="begin"/>
                          </w:r>
                          <w:r>
                            <w:instrText xml:space="preserve"> PAGE </w:instrText>
                          </w:r>
                          <w:r>
                            <w:fldChar w:fldCharType="separate"/>
                          </w:r>
                          <w:r>
                            <w:t>2</w:t>
                          </w:r>
                          <w:r>
                            <w:fldChar w:fldCharType="end"/>
                          </w:r>
                        </w:p>
                      </w:txbxContent>
                    </wps:txbx>
                    <wps:bodyPr wrap="square" lIns="0" tIns="0" rIns="0" bIns="0" rtlCol="0">
                      <a:noAutofit/>
                    </wps:bodyPr>
                  </wps:wsp>
                </a:graphicData>
              </a:graphic>
            </wp:anchor>
          </w:drawing>
        </mc:Choice>
        <mc:Fallback>
          <w:pict>
            <v:shapetype w14:anchorId="0941871D" id="_x0000_t202" coordsize="21600,21600" o:spt="202" path="m,l,21600r21600,l21600,xe">
              <v:stroke joinstyle="miter"/>
              <v:path gradientshapeok="t" o:connecttype="rect"/>
            </v:shapetype>
            <v:shape id="مربع النص 1" o:spid="_x0000_s1026" type="#_x0000_t202" style="position:absolute;left:0;text-align:left;margin-left:300pt;margin-top:727.85pt;width:13pt;height:15.3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" filled="f" stroked="f">
              <v:textbox inset="0,0,0,0">
                <w:txbxContent>
                  <w:p w14:paraId="56FF15EF" w14:textId="77777777" w:rsidR="00B76181" w:rsidRDefault="006C6FDE">
                    <w:pPr>
                      <w:pStyle w:val="P68B1DB1-BodyText4"/>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47622" w14:textId="77777777" w:rsidR="00F33ABC" w:rsidRDefault="00F33ABC">
      <w:r>
        <w:separator/>
      </w:r>
    </w:p>
  </w:footnote>
  <w:footnote w:type="continuationSeparator" w:id="0">
    <w:p w14:paraId="05196283" w14:textId="77777777" w:rsidR="00F33ABC" w:rsidRDefault="00F33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8724F0"/>
    <w:multiLevelType w:val="hybridMultilevel"/>
    <w:tmpl w:val="96EE9014"/>
    <w:lvl w:ilvl="0" w:tplc="E64C83B0">
      <w:start w:val="1"/>
      <w:numFmt w:val="upperRoman"/>
      <w:lvlText w:val="%1."/>
      <w:lvlJc w:val="left"/>
      <w:pPr>
        <w:ind w:left="840" w:hanging="720"/>
      </w:pPr>
      <w:rPr>
        <w:rFonts w:ascii="Times New Roman" w:eastAsia="Times New Roman" w:hAnsi="Times New Roman" w:cs="Times New Roman" w:hint="default"/>
        <w:b/>
        <w:bCs/>
        <w:i w:val="0"/>
        <w:iCs w:val="0"/>
        <w:spacing w:val="0"/>
        <w:w w:val="100"/>
        <w:sz w:val="24"/>
        <w:szCs w:val="24"/>
        <w:lang w:val="en-US" w:eastAsia="en-US" w:bidi="ar-SA"/>
      </w:rPr>
    </w:lvl>
    <w:lvl w:ilvl="1" w:tplc="9620CAFA">
      <w:start w:val="1"/>
      <w:numFmt w:val="decimal"/>
      <w:lvlText w:val="%2."/>
      <w:lvlJc w:val="left"/>
      <w:pPr>
        <w:ind w:left="120" w:hanging="720"/>
      </w:pPr>
      <w:rPr>
        <w:rFonts w:ascii="Times New Roman" w:eastAsia="Times New Roman" w:hAnsi="Times New Roman" w:cs="Times New Roman" w:hint="default"/>
        <w:b/>
        <w:bCs/>
        <w:i w:val="0"/>
        <w:iCs w:val="0"/>
        <w:spacing w:val="0"/>
        <w:w w:val="100"/>
        <w:sz w:val="24"/>
        <w:szCs w:val="24"/>
        <w:lang w:val="en-US" w:eastAsia="en-US" w:bidi="ar-SA"/>
      </w:rPr>
    </w:lvl>
    <w:lvl w:ilvl="2" w:tplc="865E34DC">
      <w:numFmt w:val="bullet"/>
      <w:lvlText w:val="•"/>
      <w:lvlJc w:val="left"/>
      <w:pPr>
        <w:ind w:left="1811" w:hanging="720"/>
      </w:pPr>
      <w:rPr>
        <w:rFonts w:hint="default"/>
        <w:lang w:val="en-US" w:eastAsia="en-US" w:bidi="ar-SA"/>
      </w:rPr>
    </w:lvl>
    <w:lvl w:ilvl="3" w:tplc="29309D14">
      <w:numFmt w:val="bullet"/>
      <w:lvlText w:val="•"/>
      <w:lvlJc w:val="left"/>
      <w:pPr>
        <w:ind w:left="2782" w:hanging="720"/>
      </w:pPr>
      <w:rPr>
        <w:rFonts w:hint="default"/>
        <w:lang w:val="en-US" w:eastAsia="en-US" w:bidi="ar-SA"/>
      </w:rPr>
    </w:lvl>
    <w:lvl w:ilvl="4" w:tplc="75FA8A10">
      <w:numFmt w:val="bullet"/>
      <w:lvlText w:val="•"/>
      <w:lvlJc w:val="left"/>
      <w:pPr>
        <w:ind w:left="3753" w:hanging="720"/>
      </w:pPr>
      <w:rPr>
        <w:rFonts w:hint="default"/>
        <w:lang w:val="en-US" w:eastAsia="en-US" w:bidi="ar-SA"/>
      </w:rPr>
    </w:lvl>
    <w:lvl w:ilvl="5" w:tplc="168E83BE">
      <w:numFmt w:val="bullet"/>
      <w:lvlText w:val="•"/>
      <w:lvlJc w:val="left"/>
      <w:pPr>
        <w:ind w:left="4724" w:hanging="720"/>
      </w:pPr>
      <w:rPr>
        <w:rFonts w:hint="default"/>
        <w:lang w:val="en-US" w:eastAsia="en-US" w:bidi="ar-SA"/>
      </w:rPr>
    </w:lvl>
    <w:lvl w:ilvl="6" w:tplc="A8FC75B2">
      <w:numFmt w:val="bullet"/>
      <w:lvlText w:val="•"/>
      <w:lvlJc w:val="left"/>
      <w:pPr>
        <w:ind w:left="5695" w:hanging="720"/>
      </w:pPr>
      <w:rPr>
        <w:rFonts w:hint="default"/>
        <w:lang w:val="en-US" w:eastAsia="en-US" w:bidi="ar-SA"/>
      </w:rPr>
    </w:lvl>
    <w:lvl w:ilvl="7" w:tplc="B10E010C">
      <w:numFmt w:val="bullet"/>
      <w:lvlText w:val="•"/>
      <w:lvlJc w:val="left"/>
      <w:pPr>
        <w:ind w:left="6666" w:hanging="720"/>
      </w:pPr>
      <w:rPr>
        <w:rFonts w:hint="default"/>
        <w:lang w:val="en-US" w:eastAsia="en-US" w:bidi="ar-SA"/>
      </w:rPr>
    </w:lvl>
    <w:lvl w:ilvl="8" w:tplc="8B5CD6CC">
      <w:numFmt w:val="bullet"/>
      <w:lvlText w:val="•"/>
      <w:lvlJc w:val="left"/>
      <w:pPr>
        <w:ind w:left="7637" w:hanging="720"/>
      </w:pPr>
      <w:rPr>
        <w:rFonts w:hint="default"/>
        <w:lang w:val="en-US" w:eastAsia="en-US" w:bidi="ar-SA"/>
      </w:rPr>
    </w:lvl>
  </w:abstractNum>
  <w:num w:numId="1" w16cid:durableId="202547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81"/>
    <w:rsid w:val="000426D5"/>
    <w:rsid w:val="000C522C"/>
    <w:rsid w:val="000C55C7"/>
    <w:rsid w:val="000D51A6"/>
    <w:rsid w:val="001D1820"/>
    <w:rsid w:val="00345E8A"/>
    <w:rsid w:val="003D36EF"/>
    <w:rsid w:val="00697DD4"/>
    <w:rsid w:val="006C6FDE"/>
    <w:rsid w:val="0096500B"/>
    <w:rsid w:val="00A74D0C"/>
    <w:rsid w:val="00A84007"/>
    <w:rsid w:val="00A873A3"/>
    <w:rsid w:val="00B76181"/>
    <w:rsid w:val="00CB140A"/>
    <w:rsid w:val="00D3617B"/>
    <w:rsid w:val="00F32EF5"/>
    <w:rsid w:val="00F33ABC"/>
    <w:rsid w:val="00F81826"/>
    <w:rsid w:val="00FC65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53C0"/>
  <w15:docId w15:val="{749A9182-BED3-4039-93E9-0ACDC20D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rtl/>
        <w:lang w:val="en-US" w:eastAsia="ko-KR" w:bidi="ar-SA"/>
      </w:rPr>
    </w:rPrDefault>
    <w:pPrDefault>
      <w:pPr>
        <w:widowControl w:val="0"/>
        <w:autoSpaceDE w:val="0"/>
        <w:autoSpaceDN w:val="0"/>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64" w:right="43"/>
      <w:jc w:val="center"/>
    </w:pPr>
    <w:rPr>
      <w:sz w:val="56"/>
      <w:szCs w:val="56"/>
    </w:rPr>
  </w:style>
  <w:style w:type="paragraph" w:styleId="ListParagraph">
    <w:name w:val="List Paragraph"/>
    <w:basedOn w:val="Normal"/>
    <w:uiPriority w:val="1"/>
    <w:qFormat/>
    <w:pPr>
      <w:ind w:left="120" w:firstLine="720"/>
    </w:pPr>
  </w:style>
  <w:style w:type="paragraph" w:customStyle="1" w:styleId="TableParagraph">
    <w:name w:val="Table Paragraph"/>
    <w:basedOn w:val="Normal"/>
    <w:uiPriority w:val="1"/>
    <w:qFormat/>
  </w:style>
  <w:style w:type="paragraph" w:customStyle="1" w:styleId="P68B1DB1-Normal1">
    <w:name w:val="P68B1DB1-Normal1"/>
    <w:basedOn w:val="Normal"/>
    <w:rPr>
      <w:i/>
      <w:sz w:val="24"/>
    </w:rPr>
  </w:style>
  <w:style w:type="paragraph" w:customStyle="1" w:styleId="P68B1DB1-ListParagraph2">
    <w:name w:val="P68B1DB1-ListParagraph2"/>
    <w:basedOn w:val="ListParagraph"/>
    <w:rPr>
      <w:sz w:val="24"/>
    </w:rPr>
  </w:style>
  <w:style w:type="paragraph" w:customStyle="1" w:styleId="P68B1DB1-Heading13">
    <w:name w:val="P68B1DB1-Heading13"/>
    <w:basedOn w:val="Heading1"/>
    <w:rPr>
      <w:spacing w:val="-2"/>
    </w:rPr>
  </w:style>
  <w:style w:type="paragraph" w:customStyle="1" w:styleId="P68B1DB1-BodyText4">
    <w:name w:val="P68B1DB1-BodyText4"/>
    <w:basedOn w:val="BodyText"/>
    <w:rPr>
      <w:spacing w:val="-10"/>
    </w:rPr>
  </w:style>
  <w:style w:type="paragraph" w:styleId="Revision">
    <w:name w:val="Revision"/>
    <w:hidden/>
    <w:uiPriority w:val="99"/>
    <w:semiHidden/>
    <w:rsid w:val="000426D5"/>
    <w:pPr>
      <w:widowControl/>
      <w:autoSpaceDE/>
      <w:autoSpaceDN/>
      <w:bidi w:val="0"/>
    </w:pPr>
    <w:rPr>
      <w:rFonts w:ascii="Times New Roman" w:eastAsia="Times New Roman" w:hAnsi="Times New Roman" w:cs="Times New Roman"/>
    </w:rPr>
  </w:style>
  <w:style w:type="paragraph" w:customStyle="1" w:styleId="Default">
    <w:name w:val="Default"/>
    <w:rsid w:val="006C6FDE"/>
    <w:pPr>
      <w:widowControl/>
      <w:bidi w:val="0"/>
      <w:adjustRightInd w:val="0"/>
    </w:pPr>
    <w:rPr>
      <w:rFonts w:ascii="Times New Roman" w:hAnsi="Times New Roman" w:cs="Times New Roman"/>
      <w:color w:val="000000"/>
      <w:sz w:val="24"/>
      <w:szCs w:val="24"/>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ass.gov/anf/hearings-and-appeals/admin-appeals-proc/practice-and-procedures/801-cmr-1-00/" TargetMode="External"/><Relationship Id="rId3" Type="http://schemas.openxmlformats.org/officeDocument/2006/relationships/settings" Target="settings.xml"/><Relationship Id="rId7" Type="http://schemas.openxmlformats.org/officeDocument/2006/relationships/hyperlink" Target="mailto:dalapleadings@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هيدلج، ريتشارد (ALA)</dc:creator>
  <cp:lastModifiedBy>May Kamel</cp:lastModifiedBy>
  <cp:revision>4</cp:revision>
  <dcterms:created xsi:type="dcterms:W3CDTF">2024-06-07T09:25:00Z</dcterms:created>
  <dcterms:modified xsi:type="dcterms:W3CDTF">2024-06-10T16:02:00Z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Acrobat PDFMaker 21 for Word</vt:lpwstr>
  </property>
  <property fmtid="{D5CDD505-2E9C-101B-9397-08002B2CF9AE}" pid="4" name="LastSaved">
    <vt:filetime>2024-06-04T00:00:00Z</vt:filetime>
  </property>
  <property fmtid="{D5CDD505-2E9C-101B-9397-08002B2CF9AE}" pid="5" name="Producer">
    <vt:lpwstr>Adobe PDF Library 21.1.177</vt:lpwstr>
  </property>
  <property fmtid="{D5CDD505-2E9C-101B-9397-08002B2CF9AE}" pid="6" name="SourceModified">
    <vt:lpwstr>D:20230510155033</vt:lpwstr>
  </property>
</Properties>
</file>