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7E7A5FDA" w14:textId="6294A6BE" w:rsidR="00830848" w:rsidRPr="004D2572" w:rsidRDefault="00830848" w:rsidP="00830848">
      <w:pPr>
        <w:spacing w:after="240" w:line="240" w:lineRule="auto"/>
        <w:jc w:val="center"/>
        <w:rPr>
          <w:rFonts w:eastAsia="Times New Roman" w:cs="Times New Roman"/>
          <w:b/>
          <w:bCs/>
          <w:sz w:val="48"/>
          <w:szCs w:val="48"/>
          <w:lang w:val="es-US"/>
        </w:rPr>
      </w:pPr>
      <w:r w:rsidRPr="004D2572">
        <w:rPr>
          <w:rFonts w:eastAsia="Times New Roman" w:cs="Times New Roman"/>
          <w:b/>
          <w:bCs/>
          <w:noProof/>
          <w:sz w:val="48"/>
          <w:szCs w:val="48"/>
          <w:lang w:val="es-US"/>
        </w:rPr>
        <w:drawing>
          <wp:inline distT="0" distB="0" distL="0" distR="0" wp14:anchorId="57F21E1F" wp14:editId="548CFF6A">
            <wp:extent cx="1130300" cy="1130300"/>
            <wp:effectExtent l="0" t="0" r="0" b="0"/>
            <wp:docPr id="177628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71DF9B2A" w14:textId="48CA8512" w:rsidR="00830848" w:rsidRPr="004D2572" w:rsidRDefault="00481A9B" w:rsidP="00830848">
      <w:pPr>
        <w:spacing w:after="240" w:line="240" w:lineRule="auto"/>
        <w:jc w:val="center"/>
        <w:rPr>
          <w:rFonts w:eastAsia="Times New Roman" w:cs="Times New Roman"/>
          <w:b/>
          <w:bCs/>
          <w:sz w:val="48"/>
          <w:szCs w:val="48"/>
          <w:lang w:val="es-US"/>
        </w:rPr>
      </w:pPr>
      <w:r w:rsidRPr="004D2572">
        <w:rPr>
          <w:rFonts w:eastAsia="Times New Roman" w:cs="Times New Roman"/>
          <w:b/>
          <w:bCs/>
          <w:sz w:val="48"/>
          <w:szCs w:val="48"/>
          <w:lang w:val="es-US"/>
        </w:rPr>
        <w:t>Cómo autorrepresentarse en la DALA</w:t>
      </w:r>
    </w:p>
    <w:p w14:paraId="3E24B427" w14:textId="5FFD36A8" w:rsidR="00481A9B" w:rsidRPr="004D2572" w:rsidRDefault="00481A9B" w:rsidP="00481A9B">
      <w:pPr>
        <w:spacing w:after="240" w:line="276" w:lineRule="auto"/>
        <w:rPr>
          <w:rFonts w:eastAsia="Times New Roman" w:cs="Times New Roman"/>
          <w:lang w:val="es-US"/>
        </w:rPr>
      </w:pPr>
      <w:r w:rsidRPr="004D2572">
        <w:rPr>
          <w:rFonts w:eastAsia="Times New Roman" w:cs="Times New Roman"/>
          <w:lang w:val="es-US"/>
        </w:rPr>
        <w:t>¿No tiene abogado? ¿Quiere obtener más información sobre el procedimiento de apelación de la División de Apelaciones de Derecho Administrativo (Division of Administrative Law Appeals, DALA)?</w:t>
      </w:r>
    </w:p>
    <w:p w14:paraId="2120181B" w14:textId="3D3727EA" w:rsidR="00481A9B" w:rsidRPr="004D2572" w:rsidRDefault="00481A9B" w:rsidP="00481A9B">
      <w:pPr>
        <w:spacing w:after="240" w:line="276" w:lineRule="auto"/>
        <w:rPr>
          <w:rFonts w:eastAsia="Times New Roman" w:cs="Times New Roman"/>
          <w:lang w:val="es-US"/>
        </w:rPr>
      </w:pPr>
      <w:r w:rsidRPr="004D2572">
        <w:rPr>
          <w:rFonts w:eastAsia="Times New Roman" w:cs="Times New Roman"/>
          <w:i/>
          <w:iCs/>
          <w:lang w:val="es-US"/>
        </w:rPr>
        <w:t>Cómo autorrepresentarse en la DALA</w:t>
      </w:r>
      <w:r w:rsidRPr="004D2572">
        <w:rPr>
          <w:rFonts w:eastAsia="Times New Roman" w:cs="Times New Roman"/>
          <w:lang w:val="es-US"/>
        </w:rPr>
        <w:t xml:space="preserve"> es un recurso detallado y fácil de entender para las personas que están tramitando un caso en nuestra agencia sin un abogado. Explica todo el proceso de apelación, desde la presentación de la apelación hasta la resolución final. La guía también describe procedimientos importantes, plazos y expectativas; da instrucciones para presentar documentos y solicitar adaptaciones; e incluye un glosario de términos jurídicos comunes. La guía actualizada sustituye y amplía la versión de febrero de 2025. No es asesoramiento jurídico y no debe considerarse como tal.</w:t>
      </w:r>
    </w:p>
    <w:p w14:paraId="4AFB50D2" w14:textId="63D05C56" w:rsidR="00481A9B" w:rsidRPr="004D2572" w:rsidRDefault="00481A9B" w:rsidP="00481A9B">
      <w:pPr>
        <w:spacing w:after="240" w:line="276" w:lineRule="auto"/>
        <w:rPr>
          <w:rFonts w:eastAsia="Times New Roman" w:cs="Times New Roman"/>
          <w:lang w:val="es-US"/>
        </w:rPr>
      </w:pPr>
      <w:r w:rsidRPr="004D2572">
        <w:rPr>
          <w:rFonts w:eastAsia="Times New Roman" w:cs="Times New Roman"/>
          <w:lang w:val="es-US"/>
        </w:rPr>
        <w:t xml:space="preserve">Nota: Esta guía </w:t>
      </w:r>
      <w:r w:rsidRPr="004D2572">
        <w:rPr>
          <w:rFonts w:eastAsia="Times New Roman" w:cs="Times New Roman"/>
          <w:i/>
          <w:iCs/>
          <w:lang w:val="es-US"/>
        </w:rPr>
        <w:t>no</w:t>
      </w:r>
      <w:r w:rsidRPr="004D2572">
        <w:rPr>
          <w:rFonts w:eastAsia="Times New Roman" w:cs="Times New Roman"/>
          <w:lang w:val="es-US"/>
        </w:rPr>
        <w:t xml:space="preserve"> se aplica a la Oficina de Apelaciones de Educación Especial (Bureau of Special Education Appeals, BSEA). Para consultar la Guía de representación propia de la BSEA, visite la </w:t>
      </w:r>
      <w:hyperlink r:id="rId9">
        <w:r w:rsidRPr="004D2572">
          <w:rPr>
            <w:rStyle w:val="Hyperlink"/>
            <w:rFonts w:eastAsia="Times New Roman" w:cs="Times New Roman"/>
            <w:lang w:val="es-US"/>
          </w:rPr>
          <w:t>sección</w:t>
        </w:r>
        <w:r w:rsidR="004D2572" w:rsidRPr="004D2572">
          <w:rPr>
            <w:rStyle w:val="Hyperlink"/>
            <w:rFonts w:eastAsia="Times New Roman" w:cs="Times New Roman"/>
            <w:lang w:val="es-US"/>
          </w:rPr>
          <w:t xml:space="preserve"> de la</w:t>
        </w:r>
        <w:r w:rsidRPr="004D2572">
          <w:rPr>
            <w:rStyle w:val="Hyperlink"/>
            <w:rFonts w:eastAsia="Times New Roman" w:cs="Times New Roman"/>
            <w:lang w:val="es-US"/>
          </w:rPr>
          <w:t xml:space="preserve"> BSEA</w:t>
        </w:r>
      </w:hyperlink>
      <w:r w:rsidRPr="004D2572">
        <w:rPr>
          <w:rFonts w:eastAsia="Times New Roman" w:cs="Times New Roman"/>
          <w:lang w:val="es-US"/>
        </w:rPr>
        <w:t xml:space="preserve"> de nuestro sitio web.</w:t>
      </w:r>
    </w:p>
    <w:p w14:paraId="41C3C0A2" w14:textId="3CB9A6E7" w:rsidR="00D22CC0" w:rsidRPr="004D2572" w:rsidRDefault="00A803D4" w:rsidP="00FF1240">
      <w:pPr>
        <w:pStyle w:val="Heading1"/>
        <w:rPr>
          <w:lang w:val="es-US"/>
        </w:rPr>
      </w:pPr>
      <w:r w:rsidRPr="004D2572">
        <w:rPr>
          <w:bCs/>
          <w:lang w:val="es-US"/>
        </w:rPr>
        <w:t>I. Introducción a esta guía</w:t>
      </w:r>
    </w:p>
    <w:p w14:paraId="444143AA" w14:textId="10532D75" w:rsidR="006C2E37" w:rsidRPr="004D2572" w:rsidRDefault="00A803D4" w:rsidP="00FF1240">
      <w:pPr>
        <w:pStyle w:val="Heading2"/>
        <w:rPr>
          <w:lang w:val="es-US"/>
        </w:rPr>
      </w:pPr>
      <w:r w:rsidRPr="004D2572">
        <w:rPr>
          <w:iCs w:val="0"/>
          <w:lang w:val="es-US"/>
        </w:rPr>
        <w:t>A. Objeto y ámbito de aplicación de la guía</w:t>
      </w:r>
    </w:p>
    <w:p w14:paraId="3C6219CE" w14:textId="43ABE425" w:rsidR="00AC5C7D" w:rsidRPr="004D2572" w:rsidRDefault="5DEBD187" w:rsidP="00FF1240">
      <w:pPr>
        <w:spacing w:after="240" w:line="276" w:lineRule="auto"/>
        <w:rPr>
          <w:rFonts w:eastAsia="Times New Roman" w:cs="Times New Roman"/>
          <w:lang w:val="es-US"/>
        </w:rPr>
      </w:pPr>
      <w:r w:rsidRPr="004D2572">
        <w:rPr>
          <w:rFonts w:eastAsia="Times New Roman" w:cs="Times New Roman"/>
          <w:lang w:val="es-US"/>
        </w:rPr>
        <w:t xml:space="preserve">Esta es una guía para las personas involucradas en un caso en la División de Apelaciones de Derecho Administrativo, también llamada DALA, que no tienen abogado. Cuando no tiene abogado, se dice que se </w:t>
      </w:r>
      <w:r w:rsidR="004D2572" w:rsidRPr="004D2572">
        <w:rPr>
          <w:rFonts w:eastAsia="Times New Roman" w:cs="Times New Roman"/>
          <w:lang w:val="es-US"/>
        </w:rPr>
        <w:t>autorrepresenta</w:t>
      </w:r>
      <w:r w:rsidRPr="004D2572">
        <w:rPr>
          <w:rFonts w:eastAsia="Times New Roman" w:cs="Times New Roman"/>
          <w:lang w:val="es-US"/>
        </w:rPr>
        <w:t xml:space="preserve">. En esta guía, las personas que se </w:t>
      </w:r>
      <w:r w:rsidR="004D2572" w:rsidRPr="004D2572">
        <w:rPr>
          <w:rFonts w:eastAsia="Times New Roman" w:cs="Times New Roman"/>
          <w:lang w:val="es-US"/>
        </w:rPr>
        <w:t>autor</w:t>
      </w:r>
      <w:r w:rsidRPr="004D2572">
        <w:rPr>
          <w:rFonts w:eastAsia="Times New Roman" w:cs="Times New Roman"/>
          <w:lang w:val="es-US"/>
        </w:rPr>
        <w:t>representan se denominan “litigantes autorrepresentados”.</w:t>
      </w:r>
    </w:p>
    <w:p w14:paraId="3D0B680E" w14:textId="2DB7DE87" w:rsidR="00AC5C7D" w:rsidRPr="004D2572" w:rsidRDefault="5DEBD187" w:rsidP="00FF1240">
      <w:pPr>
        <w:spacing w:after="240" w:line="276" w:lineRule="auto"/>
        <w:rPr>
          <w:rFonts w:eastAsia="Times New Roman" w:cs="Times New Roman"/>
          <w:lang w:val="es-US"/>
        </w:rPr>
      </w:pPr>
      <w:r w:rsidRPr="004D2572">
        <w:rPr>
          <w:rFonts w:eastAsia="Times New Roman" w:cs="Times New Roman"/>
          <w:lang w:val="es-US"/>
        </w:rPr>
        <w:t xml:space="preserve">Si se </w:t>
      </w:r>
      <w:r w:rsidR="004D2572" w:rsidRPr="004D2572">
        <w:rPr>
          <w:rFonts w:eastAsia="Times New Roman" w:cs="Times New Roman"/>
          <w:lang w:val="es-US"/>
        </w:rPr>
        <w:t>autorrepresenta</w:t>
      </w:r>
      <w:r w:rsidRPr="004D2572">
        <w:rPr>
          <w:rFonts w:eastAsia="Times New Roman" w:cs="Times New Roman"/>
          <w:lang w:val="es-US"/>
        </w:rPr>
        <w:t>, deberá seguir los procedimientos de la DALA y la legislación aplicable. Esta guía le ayudará a entender cómo hacerlo, pero no sustituye al asesoramiento jurídico. Aunque el personal de la DALA puede darle información general sobre las normas y los procedimientos, no puede darle asesoramiento jurídico, ayudarle a interpretar o aplicar las normas ni participar en una audiencia en su nombre.</w:t>
      </w:r>
    </w:p>
    <w:p w14:paraId="1835D40F" w14:textId="3BBD987B" w:rsidR="00AC5C7D" w:rsidRPr="004D2572" w:rsidRDefault="5DEBD187" w:rsidP="00FF1240">
      <w:pPr>
        <w:spacing w:after="240" w:line="276" w:lineRule="auto"/>
        <w:rPr>
          <w:rFonts w:eastAsia="Times New Roman" w:cs="Times New Roman"/>
          <w:lang w:val="es-US"/>
        </w:rPr>
      </w:pPr>
      <w:r w:rsidRPr="004D2572">
        <w:rPr>
          <w:rFonts w:eastAsia="Times New Roman" w:cs="Times New Roman"/>
          <w:lang w:val="es-US"/>
        </w:rPr>
        <w:lastRenderedPageBreak/>
        <w:t>Esta guía pretende ofrecer información general. No es posible abarcar todas las situaciones que puedan surgir. Asimismo, en caso de conflicto entre esta guía y las leyes o normas aplicables, prevalecerán estas últimas.</w:t>
      </w:r>
    </w:p>
    <w:p w14:paraId="6414FE6A" w14:textId="4EE4AF76" w:rsidR="00AC5C7D" w:rsidRPr="004D2572" w:rsidRDefault="5DEBD187" w:rsidP="00FF1240">
      <w:pPr>
        <w:spacing w:after="240" w:line="276" w:lineRule="auto"/>
        <w:rPr>
          <w:rFonts w:eastAsia="Times New Roman" w:cs="Times New Roman"/>
          <w:lang w:val="es-US"/>
        </w:rPr>
      </w:pPr>
      <w:r w:rsidRPr="004D2572">
        <w:rPr>
          <w:rFonts w:eastAsia="Times New Roman" w:cs="Times New Roman"/>
          <w:lang w:val="es-US"/>
        </w:rPr>
        <w:t xml:space="preserve">Comenzaremos con información general sobre la DALA y las audiencias. </w:t>
      </w:r>
    </w:p>
    <w:p w14:paraId="4FD00D35" w14:textId="7A474D8B" w:rsidR="001A672C" w:rsidRPr="004D2572" w:rsidRDefault="00A803D4" w:rsidP="00FF1240">
      <w:pPr>
        <w:pStyle w:val="Heading2"/>
        <w:rPr>
          <w:lang w:val="es-US"/>
        </w:rPr>
      </w:pPr>
      <w:r w:rsidRPr="004D2572">
        <w:rPr>
          <w:iCs w:val="0"/>
          <w:lang w:val="es-US"/>
        </w:rPr>
        <w:t>B. ¿Qué es la División de Apelaciones de Derecho Administrativo?</w:t>
      </w:r>
    </w:p>
    <w:p w14:paraId="68B28977" w14:textId="5688B0E8" w:rsidR="00A05274" w:rsidRPr="004D2572" w:rsidRDefault="34F03E2B" w:rsidP="00B7275F">
      <w:pPr>
        <w:keepLines/>
        <w:spacing w:after="240" w:line="276" w:lineRule="auto"/>
        <w:rPr>
          <w:rFonts w:eastAsia="Times New Roman" w:cs="Times New Roman"/>
          <w:lang w:val="es-US"/>
        </w:rPr>
      </w:pPr>
      <w:r w:rsidRPr="004D2572">
        <w:rPr>
          <w:rFonts w:eastAsia="Times New Roman" w:cs="Times New Roman"/>
          <w:lang w:val="es-US"/>
        </w:rPr>
        <w:t>La División de Apelaciones de Derecho Administrativo, también llamada DALA, es un organismo estatal de Massachusetts que se ocupa los litigios entre particulares (u organizaciones) y otros organismos estatales o locales y toma decisiones sobre ellos. Si una persona, empresa u otra organización no está de acuerdo con una decisión tomada por un organismo estatal o local, puede impugnarla presentando un caso ante la DALA.</w:t>
      </w:r>
    </w:p>
    <w:p w14:paraId="245094BE" w14:textId="77777777" w:rsidR="00A05274" w:rsidRPr="004D2572" w:rsidRDefault="6BF21C02" w:rsidP="00FF1240">
      <w:pPr>
        <w:spacing w:after="240" w:line="276" w:lineRule="auto"/>
        <w:rPr>
          <w:rFonts w:eastAsia="Times New Roman" w:cs="Times New Roman"/>
          <w:lang w:val="es-US"/>
        </w:rPr>
      </w:pPr>
      <w:r w:rsidRPr="004D2572">
        <w:rPr>
          <w:rFonts w:eastAsia="Times New Roman" w:cs="Times New Roman"/>
          <w:lang w:val="es-US"/>
        </w:rPr>
        <w:t>La DALA no forma parte de la agencia cuya decisión impugna. Es un organismo independiente, y la persona que se ocupa de su caso (el magistrado) es un órgano decisorio neutral.</w:t>
      </w:r>
    </w:p>
    <w:p w14:paraId="41BF0C9A" w14:textId="131D509B" w:rsidR="00777118" w:rsidRPr="004D2572" w:rsidRDefault="00A803D4" w:rsidP="00FF1240">
      <w:pPr>
        <w:pStyle w:val="Heading2"/>
        <w:rPr>
          <w:lang w:val="es-US"/>
        </w:rPr>
      </w:pPr>
      <w:r w:rsidRPr="004D2572">
        <w:rPr>
          <w:iCs w:val="0"/>
          <w:lang w:val="es-US"/>
        </w:rPr>
        <w:t>C. ¿Qué es un magistrado de la DALA?</w:t>
      </w:r>
    </w:p>
    <w:p w14:paraId="643E1BE1" w14:textId="54F791DE" w:rsidR="00B2707B" w:rsidRPr="004D2572" w:rsidRDefault="0C3AB711" w:rsidP="00FF1240">
      <w:pPr>
        <w:spacing w:after="240" w:line="276" w:lineRule="auto"/>
        <w:rPr>
          <w:rFonts w:eastAsia="Times New Roman" w:cs="Times New Roman"/>
          <w:lang w:val="es-US"/>
        </w:rPr>
      </w:pPr>
      <w:r w:rsidRPr="004D2572">
        <w:rPr>
          <w:rFonts w:eastAsia="Times New Roman" w:cs="Times New Roman"/>
          <w:lang w:val="es-US"/>
        </w:rPr>
        <w:t xml:space="preserve">Un magistrado es un órgano decisorio neutral, lo que significa que no toma partido y decide basándose únicamente en los hechos y la ley. </w:t>
      </w:r>
    </w:p>
    <w:p w14:paraId="5A94221B" w14:textId="2CCFFFBC" w:rsidR="00777118" w:rsidRPr="004D2572" w:rsidRDefault="544642A6" w:rsidP="00FF1240">
      <w:pPr>
        <w:spacing w:after="240" w:line="276" w:lineRule="auto"/>
        <w:rPr>
          <w:rFonts w:eastAsia="Times New Roman" w:cs="Times New Roman"/>
          <w:lang w:val="es-US"/>
        </w:rPr>
      </w:pPr>
      <w:r w:rsidRPr="004D2572">
        <w:rPr>
          <w:rFonts w:eastAsia="Times New Roman" w:cs="Times New Roman"/>
          <w:lang w:val="es-US"/>
        </w:rPr>
        <w:t>Cada caso se asigna a un magistrado que gestiona todas las partes del caso, como la fijación de plazos, la celebración de conferencias y la emisión de órdenes escritas. Si su caso se dirige a una audiencia probatoria completa, el magistrado dirige la audiencia, escucha las pruebas y los argumentos y, en la mayoría de los casos, redacta una resolución para determinar si la impugnación de una parte tiene éxito según la ley. Todos los magistrados de la DALA son abogados con licencia de Massachusetts.</w:t>
      </w:r>
    </w:p>
    <w:p w14:paraId="284F97D9" w14:textId="220F7E7B" w:rsidR="00094172" w:rsidRPr="004D2572" w:rsidRDefault="00A803D4" w:rsidP="00FF1240">
      <w:pPr>
        <w:pStyle w:val="Heading2"/>
        <w:rPr>
          <w:lang w:val="es-US"/>
        </w:rPr>
      </w:pPr>
      <w:r w:rsidRPr="004D2572">
        <w:rPr>
          <w:iCs w:val="0"/>
          <w:lang w:val="es-US"/>
        </w:rPr>
        <w:t>D. ¿Puedo llamar a un magistrado para discutir mi caso?</w:t>
      </w:r>
    </w:p>
    <w:p w14:paraId="10812991" w14:textId="77777777"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No. Comunicarse con un magistrado sin que el abogado de la agencia estatal forme parte de la comunicación se denomina “comunicación </w:t>
      </w:r>
      <w:r w:rsidRPr="004D2572">
        <w:rPr>
          <w:rFonts w:eastAsia="Times New Roman" w:cs="Times New Roman"/>
          <w:i/>
          <w:iCs/>
          <w:lang w:val="es-US"/>
        </w:rPr>
        <w:t>ex parte</w:t>
      </w:r>
      <w:r w:rsidRPr="004D2572">
        <w:rPr>
          <w:rFonts w:eastAsia="Times New Roman" w:cs="Times New Roman"/>
          <w:lang w:val="es-US"/>
        </w:rPr>
        <w:t>”. Por ley, el magistrado no puede hablar con usted sobre su caso a menos que todas las partes participen en la conversación. El magistrado tampoco puede hablar con el abogado de la agencia sin usted.</w:t>
      </w:r>
    </w:p>
    <w:p w14:paraId="11D3155F" w14:textId="4467A106" w:rsidR="00814896" w:rsidRPr="004D2572" w:rsidRDefault="00A803D4" w:rsidP="00FF1240">
      <w:pPr>
        <w:pStyle w:val="Heading2"/>
        <w:rPr>
          <w:lang w:val="es-US"/>
        </w:rPr>
      </w:pPr>
      <w:r w:rsidRPr="004D2572">
        <w:rPr>
          <w:iCs w:val="0"/>
          <w:lang w:val="es-US"/>
        </w:rPr>
        <w:t xml:space="preserve">E. ¿Cómo son los casos en la DALA? </w:t>
      </w:r>
    </w:p>
    <w:p w14:paraId="4963ABEE" w14:textId="28EA4222" w:rsidR="00272356" w:rsidRPr="004D2572" w:rsidRDefault="595C7AA4" w:rsidP="00FF1240">
      <w:pPr>
        <w:spacing w:after="240" w:line="276" w:lineRule="auto"/>
        <w:rPr>
          <w:rFonts w:eastAsia="Times New Roman" w:cs="Times New Roman"/>
          <w:lang w:val="es-US"/>
        </w:rPr>
      </w:pPr>
      <w:r w:rsidRPr="004D2572">
        <w:rPr>
          <w:rFonts w:eastAsia="Times New Roman" w:cs="Times New Roman"/>
          <w:lang w:val="es-US"/>
        </w:rPr>
        <w:t xml:space="preserve">Si bien el nombre de la DALA incluye la palabra “apelaciones”, la agencia se parece más a un tribunal de primera instancia que a un tribunal de apelaciones. Las partes pueden presentar mociones, exhibir documentos, citar pruebas y participar en audiencias probatorias en las que </w:t>
      </w:r>
      <w:r w:rsidRPr="004D2572">
        <w:rPr>
          <w:rFonts w:eastAsia="Times New Roman" w:cs="Times New Roman"/>
          <w:lang w:val="es-US"/>
        </w:rPr>
        <w:lastRenderedPageBreak/>
        <w:t xml:space="preserve">pueden presentar testigos y otras pruebas relevantes (estos términos se definen en el </w:t>
      </w:r>
      <w:hyperlink r:id="rId10" w:history="1">
        <w:r w:rsidRPr="004D2572">
          <w:rPr>
            <w:rStyle w:val="Hyperlink"/>
            <w:lang w:val="es-US"/>
          </w:rPr>
          <w:t>glosario</w:t>
        </w:r>
      </w:hyperlink>
      <w:r w:rsidRPr="004D2572">
        <w:rPr>
          <w:rFonts w:eastAsia="Times New Roman" w:cs="Times New Roman"/>
          <w:lang w:val="es-US"/>
        </w:rPr>
        <w:t xml:space="preserve"> al final de esta guía).</w:t>
      </w:r>
    </w:p>
    <w:p w14:paraId="0FC7B62F" w14:textId="761338D5" w:rsidR="00272356" w:rsidRPr="004D2572" w:rsidRDefault="595C7AA4" w:rsidP="00FF1240">
      <w:pPr>
        <w:spacing w:after="240" w:line="276" w:lineRule="auto"/>
        <w:rPr>
          <w:rFonts w:eastAsia="Times New Roman" w:cs="Times New Roman"/>
          <w:lang w:val="es-US"/>
        </w:rPr>
      </w:pPr>
      <w:r w:rsidRPr="004D2572">
        <w:rPr>
          <w:rFonts w:eastAsia="Times New Roman" w:cs="Times New Roman"/>
          <w:lang w:val="es-US"/>
        </w:rPr>
        <w:t>La persona, la agencia o la organización que inicia un caso ante la DALA se denomina solicitante, similar a un demandante en una demanda civil. La parte contraria es el demandado, que es análogo al demandado en un litigio civil.</w:t>
      </w:r>
    </w:p>
    <w:p w14:paraId="7BA4F20D" w14:textId="48B5CF8D" w:rsidR="00272356" w:rsidRPr="004D2572" w:rsidRDefault="595C7AA4" w:rsidP="00B7275F">
      <w:pPr>
        <w:keepLines/>
        <w:spacing w:after="240" w:line="276" w:lineRule="auto"/>
        <w:rPr>
          <w:rFonts w:eastAsia="Times New Roman" w:cs="Times New Roman"/>
          <w:lang w:val="es-US"/>
        </w:rPr>
      </w:pPr>
      <w:r w:rsidRPr="004D2572">
        <w:rPr>
          <w:rFonts w:eastAsia="Times New Roman" w:cs="Times New Roman"/>
          <w:lang w:val="es-US"/>
        </w:rPr>
        <w:t>Cada caso se asigna a un magistrado administrativo imparcial, que supervisa el procedimiento, desde las conferencias previas a la audiencia y las resoluciones sobre las mociones hasta la gestión de la exhibición de pruebas, la celebración de la audiencia probatoria y la emisión de la resolución por escrito. La resolución final del magistrado es vinculante para las partes y, según el tipo de caso, la resolución puede apelarse ante otro organismo o ante el Tribunal Superior de Massachusetts.</w:t>
      </w:r>
    </w:p>
    <w:p w14:paraId="4AF8DE80" w14:textId="6D803AC5" w:rsidR="000F0F11" w:rsidRPr="004D2572" w:rsidRDefault="595C7AA4" w:rsidP="00FF1240">
      <w:pPr>
        <w:spacing w:after="240" w:line="276" w:lineRule="auto"/>
        <w:rPr>
          <w:rFonts w:eastAsia="Times New Roman" w:cs="Times New Roman"/>
          <w:lang w:val="es-US"/>
        </w:rPr>
      </w:pPr>
      <w:r w:rsidRPr="004D2572">
        <w:rPr>
          <w:rFonts w:eastAsia="Times New Roman" w:cs="Times New Roman"/>
          <w:lang w:val="es-US"/>
        </w:rPr>
        <w:t>Los casos que se presentan ante la DALA pueden resolverse de varias maneras: mediante acuerdo, desistimiento, sobreseimiento, decisión sumaria o resolución por escrito tras una audiencia probatoria. Por ejemplo, los casos pueden desestimarse por motivos procesales, como el incumplimiento de un plazo legal de presentación. Otros pueden resolverse mediante una decisión sumaria, que, al igual que el juicio sumario en los litigios civiles, es apropiada cuando no hay cuestiones genuinas de hecho material y el caso puede decidirse como cuestión de derecho. Si un caso se somete a una audiencia probatoria completa, el magistrado asignado emitirá una resolución por escrito basada en las pruebas presentadas y en la legislación aplicable.</w:t>
      </w:r>
    </w:p>
    <w:p w14:paraId="2DDEB0E2" w14:textId="4FF1D88C" w:rsidR="0044538D" w:rsidRPr="004D2572" w:rsidRDefault="00A803D4" w:rsidP="00FF1240">
      <w:pPr>
        <w:pStyle w:val="Heading2"/>
        <w:rPr>
          <w:lang w:val="es-US"/>
        </w:rPr>
      </w:pPr>
      <w:r w:rsidRPr="004D2572">
        <w:rPr>
          <w:iCs w:val="0"/>
          <w:lang w:val="es-US"/>
        </w:rPr>
        <w:t>F. ¿Qué es una audiencia?</w:t>
      </w:r>
    </w:p>
    <w:p w14:paraId="64C18EF1" w14:textId="4C73A712" w:rsidR="00280F48" w:rsidRPr="004D2572" w:rsidRDefault="5DE67B78" w:rsidP="00FF1240">
      <w:pPr>
        <w:spacing w:after="240" w:line="276" w:lineRule="auto"/>
        <w:rPr>
          <w:rFonts w:eastAsia="Times New Roman" w:cs="Times New Roman"/>
          <w:lang w:val="es-US"/>
        </w:rPr>
      </w:pPr>
      <w:r w:rsidRPr="004D2572">
        <w:rPr>
          <w:rFonts w:eastAsia="Times New Roman" w:cs="Times New Roman"/>
          <w:lang w:val="es-US"/>
        </w:rPr>
        <w:t>Una audiencia es como un juicio. Tanto usted como la agencia pueden presentar pruebas al magistrado, que formulará conclusiones de hecho y de derecho. La audiencia es su oportunidad de presentar su caso y contar su versión de los hechos. Antes de la audiencia, se le pedirá que facilite al magistrado y a la otra parte información sobre los testigos que piensa llamar a la audiencia y copias de los documentos en los que piensa basarse. También debe llevar copias adicionales de sus documentos a la audiencia para poder mostrárselas a los testigos.</w:t>
      </w:r>
    </w:p>
    <w:p w14:paraId="205BB9CF" w14:textId="776F07BC" w:rsidR="00094172" w:rsidRPr="004D2572" w:rsidRDefault="00A803D4" w:rsidP="00FF1240">
      <w:pPr>
        <w:pStyle w:val="Heading2"/>
        <w:rPr>
          <w:lang w:val="es-US"/>
        </w:rPr>
      </w:pPr>
      <w:r w:rsidRPr="004D2572">
        <w:rPr>
          <w:iCs w:val="0"/>
          <w:lang w:val="es-US"/>
        </w:rPr>
        <w:t>G. ¿Dónde se celebrará la audiencia?</w:t>
      </w:r>
    </w:p>
    <w:p w14:paraId="79F3F517" w14:textId="50518F50"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La mayoría de las audiencias se celebran en la oficina de la DALA en Malden, situada en 14 Summer Street, 4th floor, Malden, MA 02148. Sin embargo, también existen opciones virtuales. Consulte la sección </w:t>
      </w:r>
      <w:hyperlink r:id="rId11" w:history="1">
        <w:r w:rsidRPr="004D2572">
          <w:rPr>
            <w:rStyle w:val="Hyperlink"/>
            <w:rFonts w:eastAsia="Times New Roman" w:cs="Times New Roman"/>
            <w:lang w:val="es-US"/>
          </w:rPr>
          <w:t>¿Dónde se celebrará mi audiencia?</w:t>
        </w:r>
      </w:hyperlink>
    </w:p>
    <w:p w14:paraId="5F1DC8FA" w14:textId="1D921231" w:rsidR="000A0994" w:rsidRPr="004D2572" w:rsidRDefault="00A803D4" w:rsidP="00FF1240">
      <w:pPr>
        <w:pStyle w:val="Heading1"/>
        <w:rPr>
          <w:lang w:val="es-US"/>
        </w:rPr>
      </w:pPr>
      <w:r w:rsidRPr="004D2572">
        <w:rPr>
          <w:bCs/>
          <w:lang w:val="es-US"/>
        </w:rPr>
        <w:lastRenderedPageBreak/>
        <w:t>II. Accesibilidad</w:t>
      </w:r>
    </w:p>
    <w:p w14:paraId="687B2E62" w14:textId="6A5CFB0C" w:rsidR="005A7E92" w:rsidRPr="004D2572" w:rsidRDefault="00A803D4" w:rsidP="00FF1240">
      <w:pPr>
        <w:pStyle w:val="Heading2"/>
        <w:rPr>
          <w:lang w:val="es-US"/>
        </w:rPr>
      </w:pPr>
      <w:r w:rsidRPr="004D2572">
        <w:rPr>
          <w:iCs w:val="0"/>
          <w:lang w:val="es-US"/>
        </w:rPr>
        <w:t>A. ¿Y si necesito un intérprete?</w:t>
      </w:r>
    </w:p>
    <w:p w14:paraId="54F5B988" w14:textId="00F38696" w:rsidR="009951D2" w:rsidRPr="004D2572" w:rsidRDefault="01F48D15" w:rsidP="00FF1240">
      <w:pPr>
        <w:spacing w:after="240" w:line="276" w:lineRule="auto"/>
        <w:rPr>
          <w:rFonts w:eastAsia="Times New Roman" w:cs="Times New Roman"/>
          <w:lang w:val="es-US"/>
        </w:rPr>
      </w:pPr>
      <w:r w:rsidRPr="004D2572">
        <w:rPr>
          <w:rFonts w:eastAsia="Times New Roman" w:cs="Times New Roman"/>
          <w:lang w:val="es-US"/>
        </w:rPr>
        <w:t xml:space="preserve">Si el inglés no es su lengua materna, podemos ayudarle. Para solicitar asistencia lingüística, envíe un correo electrónico a </w:t>
      </w:r>
      <w:hyperlink r:id="rId12">
        <w:r w:rsidRPr="004D2572">
          <w:rPr>
            <w:rStyle w:val="Hyperlink"/>
            <w:rFonts w:eastAsia="Times New Roman" w:cs="Times New Roman"/>
            <w:lang w:val="es-US"/>
          </w:rPr>
          <w:t>LanguageAssistDALA@mass.gov</w:t>
        </w:r>
      </w:hyperlink>
      <w:r w:rsidRPr="004D2572">
        <w:rPr>
          <w:rFonts w:eastAsia="Times New Roman" w:cs="Times New Roman"/>
          <w:lang w:val="es-US"/>
        </w:rPr>
        <w:t>.</w:t>
      </w:r>
    </w:p>
    <w:p w14:paraId="133BD61D" w14:textId="23577117" w:rsidR="000A0994" w:rsidRPr="004D2572" w:rsidRDefault="676B33E7" w:rsidP="00FF1240">
      <w:pPr>
        <w:spacing w:after="240" w:line="276" w:lineRule="auto"/>
        <w:rPr>
          <w:rFonts w:eastAsia="Times New Roman" w:cs="Times New Roman"/>
          <w:lang w:val="es-US"/>
        </w:rPr>
      </w:pPr>
      <w:r w:rsidRPr="004D2572">
        <w:rPr>
          <w:rFonts w:eastAsia="Times New Roman" w:cs="Times New Roman"/>
          <w:lang w:val="es-US"/>
        </w:rPr>
        <w:t>Previa solicitud, la DALA también puede ayudar a traducir documentos.</w:t>
      </w:r>
    </w:p>
    <w:p w14:paraId="1D1088AD" w14:textId="0A9708FA" w:rsidR="001A6A40" w:rsidRPr="004D2572" w:rsidRDefault="00A803D4" w:rsidP="00FF1240">
      <w:pPr>
        <w:pStyle w:val="Heading2"/>
        <w:rPr>
          <w:lang w:val="es-US"/>
        </w:rPr>
      </w:pPr>
      <w:r w:rsidRPr="004D2572">
        <w:rPr>
          <w:iCs w:val="0"/>
          <w:lang w:val="es-US"/>
        </w:rPr>
        <w:t>B. ¿Será accesible la sala de audiencias para personas con discapacidad?</w:t>
      </w:r>
    </w:p>
    <w:p w14:paraId="60778131" w14:textId="17890C29" w:rsidR="000D4428" w:rsidRPr="004D2572" w:rsidRDefault="0F7043D7" w:rsidP="00FF1240">
      <w:pPr>
        <w:spacing w:after="240" w:line="276" w:lineRule="auto"/>
        <w:rPr>
          <w:rFonts w:eastAsia="Times New Roman" w:cs="Times New Roman"/>
          <w:lang w:val="es-US"/>
        </w:rPr>
      </w:pPr>
      <w:r w:rsidRPr="004D2572">
        <w:rPr>
          <w:rFonts w:eastAsia="Times New Roman" w:cs="Times New Roman"/>
          <w:lang w:val="es-US"/>
        </w:rPr>
        <w:t xml:space="preserve">Sí. Todas las salas de audiencias de la DALA son accesibles para las personas con discapacidad, de conformidad con la Ley de Estadounidenses con Discapacidades (Americans with Disabilities Act, ADA). No obstante, si necesita adaptaciones especiales, póngase en contacto con la DALA enviando un correo electrónico a </w:t>
      </w:r>
      <w:hyperlink r:id="rId13">
        <w:r w:rsidRPr="004D2572">
          <w:rPr>
            <w:rStyle w:val="Hyperlink"/>
            <w:rFonts w:eastAsia="Times New Roman" w:cs="Times New Roman"/>
            <w:lang w:val="es-US"/>
          </w:rPr>
          <w:t>DALApleadings@mass.gov</w:t>
        </w:r>
      </w:hyperlink>
      <w:r w:rsidRPr="004D2572">
        <w:rPr>
          <w:rFonts w:eastAsia="Times New Roman" w:cs="Times New Roman"/>
          <w:lang w:val="es-US"/>
        </w:rPr>
        <w:t xml:space="preserve"> o llamando al (781) 397</w:t>
      </w:r>
      <w:r w:rsidRPr="004D2572">
        <w:rPr>
          <w:rFonts w:eastAsia="Times New Roman" w:cs="Times New Roman"/>
          <w:lang w:val="es-US"/>
        </w:rPr>
        <w:noBreakHyphen/>
        <w:t>4700 lo antes posible.</w:t>
      </w:r>
    </w:p>
    <w:p w14:paraId="1FC698C8" w14:textId="3907B3E7" w:rsidR="00094172" w:rsidRPr="004D2572" w:rsidRDefault="00A803D4" w:rsidP="00FF1240">
      <w:pPr>
        <w:pStyle w:val="Heading1"/>
        <w:rPr>
          <w:lang w:val="es-US"/>
        </w:rPr>
      </w:pPr>
      <w:r w:rsidRPr="004D2572">
        <w:rPr>
          <w:bCs/>
          <w:lang w:val="es-US"/>
        </w:rPr>
        <w:t>III. Presentación de documentos ante la DALA</w:t>
      </w:r>
    </w:p>
    <w:p w14:paraId="20DFF4B2" w14:textId="079888EF" w:rsidR="00094172" w:rsidRPr="004D2572" w:rsidRDefault="00A803D4" w:rsidP="00FF1240">
      <w:pPr>
        <w:pStyle w:val="Heading2"/>
        <w:rPr>
          <w:lang w:val="es-US"/>
        </w:rPr>
      </w:pPr>
      <w:r w:rsidRPr="004D2572">
        <w:rPr>
          <w:iCs w:val="0"/>
          <w:lang w:val="es-US"/>
        </w:rPr>
        <w:t>A. Presentación de documentos</w:t>
      </w:r>
    </w:p>
    <w:p w14:paraId="4ABB0171" w14:textId="77777777"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Hay cuatro formas de presentar documentos en la DALA: por correo, en mano, por correo electrónico o por fax. </w:t>
      </w:r>
    </w:p>
    <w:p w14:paraId="03332F69" w14:textId="28A02C8F"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Asegúrese de incluir el nombre del caso y su número de expediente en todas sus presentaciones. Tanto el nombre de su caso como su número de expediente figuran en la primera página del acuse de recibo de la apelación que ha recibido. El nombre de un caso incluye la parte que apela la decisión y la parte que responde a la apelación (por ejemplo, </w:t>
      </w:r>
      <w:r w:rsidRPr="004D2572">
        <w:rPr>
          <w:rFonts w:eastAsia="Times New Roman" w:cs="Times New Roman"/>
          <w:i/>
          <w:iCs/>
          <w:lang w:val="es-US"/>
        </w:rPr>
        <w:t>Smith v. Agency</w:t>
      </w:r>
      <w:r w:rsidRPr="004D2572">
        <w:rPr>
          <w:rFonts w:eastAsia="Times New Roman" w:cs="Times New Roman"/>
          <w:lang w:val="es-US"/>
        </w:rPr>
        <w:t>). Un número de expediente es una secuencia de letras y números especial para su caso (por ejemplo, AA</w:t>
      </w:r>
      <w:r w:rsidRPr="004D2572">
        <w:rPr>
          <w:rFonts w:eastAsia="Times New Roman" w:cs="Times New Roman"/>
          <w:lang w:val="es-US"/>
        </w:rPr>
        <w:noBreakHyphen/>
        <w:t>00</w:t>
      </w:r>
      <w:r w:rsidRPr="004D2572">
        <w:rPr>
          <w:rFonts w:eastAsia="Times New Roman" w:cs="Times New Roman"/>
          <w:lang w:val="es-US"/>
        </w:rPr>
        <w:noBreakHyphen/>
        <w:t>000).</w:t>
      </w:r>
    </w:p>
    <w:p w14:paraId="5DAE7D13" w14:textId="753E6FB4"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A menos que el magistrado pida un duplicado, presente los documentos una sola vez. Si presenta la demanda por fax o correo electrónico, por ejemplo, no envíe otra copia por correo o en persona a menos que el magistrado se lo pida.</w:t>
      </w:r>
    </w:p>
    <w:p w14:paraId="2D124A00" w14:textId="73BEAE00"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Debe enviar copias de todas las presentaciones a todas las demás partes e incluir un “certificado de notificación” que confirme que lo ha hecho. Consulte la sección </w:t>
      </w:r>
      <w:hyperlink r:id="rId14" w:history="1">
        <w:r w:rsidRPr="004D2572">
          <w:rPr>
            <w:rStyle w:val="Hyperlink"/>
            <w:rFonts w:eastAsia="Times New Roman" w:cs="Times New Roman"/>
            <w:lang w:val="es-US"/>
          </w:rPr>
          <w:t>Debe entregar documentos a la otra parte</w:t>
        </w:r>
      </w:hyperlink>
      <w:r w:rsidRPr="004D2572">
        <w:rPr>
          <w:rFonts w:eastAsia="Times New Roman" w:cs="Times New Roman"/>
          <w:lang w:val="es-US"/>
        </w:rPr>
        <w:t>.</w:t>
      </w:r>
    </w:p>
    <w:p w14:paraId="7DE451FB" w14:textId="37EBB522" w:rsidR="00BC4400" w:rsidRPr="004D2572" w:rsidRDefault="00A803D4" w:rsidP="00FF1240">
      <w:pPr>
        <w:pStyle w:val="Heading2"/>
        <w:rPr>
          <w:lang w:val="es-US"/>
        </w:rPr>
      </w:pPr>
      <w:r w:rsidRPr="004D2572">
        <w:rPr>
          <w:iCs w:val="0"/>
          <w:lang w:val="es-US"/>
        </w:rPr>
        <w:lastRenderedPageBreak/>
        <w:t>B. Presentación de documentos confidenciales</w:t>
      </w:r>
    </w:p>
    <w:p w14:paraId="39AB4E1D" w14:textId="0B8BA256" w:rsidR="00094172" w:rsidRPr="004D2572" w:rsidRDefault="12229069" w:rsidP="00FF1240">
      <w:pPr>
        <w:spacing w:after="240" w:line="276" w:lineRule="auto"/>
        <w:rPr>
          <w:rFonts w:eastAsia="Times New Roman" w:cs="Times New Roman"/>
          <w:lang w:val="es-US"/>
        </w:rPr>
      </w:pPr>
      <w:r w:rsidRPr="004D2572">
        <w:rPr>
          <w:rFonts w:eastAsia="Times New Roman" w:cs="Times New Roman"/>
          <w:lang w:val="es-US"/>
        </w:rPr>
        <w:t>Debe eliminar u ocultar la siguiente información de los documentos antes de presentarlos en un procedimiento abierto al público: cualquier número de identificación emitido por el gobierno; cualquier apellido de nacimiento de los padres, si se identifica como tal; cualquier número de cuenta financiera; y cualquier número de tarjeta de crédito. Encontrará más información sobre estas instrucciones en el “Aviso sobre acceso público y confidencialidad” que recibió de la DALA junto con el acuse de recibo de la apelación.</w:t>
      </w:r>
    </w:p>
    <w:p w14:paraId="6DDE7D60" w14:textId="0724DD98" w:rsidR="00094172" w:rsidRPr="004D2572" w:rsidRDefault="2D1BA489" w:rsidP="00FF1240">
      <w:pPr>
        <w:spacing w:after="240" w:line="276" w:lineRule="auto"/>
        <w:rPr>
          <w:rFonts w:eastAsia="Times New Roman" w:cs="Times New Roman"/>
          <w:lang w:val="es-US"/>
        </w:rPr>
      </w:pPr>
      <w:r w:rsidRPr="004D2572">
        <w:rPr>
          <w:rFonts w:eastAsia="Times New Roman" w:cs="Times New Roman"/>
          <w:lang w:val="es-US"/>
        </w:rPr>
        <w:t>Eliminar u ocultar información específica de un documento se denomina supresión de datos. A veces, un documento entero debe ser confidencial. Si un documento debe presentarse, pero también es confidencial, debe presentarse “bajo sello” y marcarse como confidencial. No presente documentos confidenciales por fax. El magistrado puede proporcionar instrucciones adicionales, específicas para cada caso, sobre la presentación de documentos e información confidenciales.</w:t>
      </w:r>
    </w:p>
    <w:p w14:paraId="0B7CB4A1" w14:textId="0F3AA9E1" w:rsidR="00094172" w:rsidRPr="004D2572" w:rsidRDefault="00A803D4" w:rsidP="00FF1240">
      <w:pPr>
        <w:pStyle w:val="Heading2"/>
        <w:rPr>
          <w:lang w:val="es-US"/>
        </w:rPr>
      </w:pPr>
      <w:r w:rsidRPr="004D2572">
        <w:rPr>
          <w:iCs w:val="0"/>
          <w:lang w:val="es-US"/>
        </w:rPr>
        <w:t>C. Presentación por correo</w:t>
      </w:r>
    </w:p>
    <w:p w14:paraId="4A2A3591" w14:textId="77777777" w:rsidR="00094172" w:rsidRPr="004D2572" w:rsidRDefault="2A8E8211" w:rsidP="00F96513">
      <w:pPr>
        <w:keepNext/>
        <w:spacing w:after="240" w:line="276" w:lineRule="auto"/>
        <w:rPr>
          <w:rFonts w:eastAsia="Times New Roman" w:cs="Times New Roman"/>
          <w:lang w:val="es-US"/>
        </w:rPr>
      </w:pPr>
      <w:r w:rsidRPr="004D2572">
        <w:rPr>
          <w:rFonts w:eastAsia="Times New Roman" w:cs="Times New Roman"/>
          <w:lang w:val="es-US"/>
        </w:rPr>
        <w:t>Si desea presentar su documento por correo, envíelo a:</w:t>
      </w:r>
    </w:p>
    <w:p w14:paraId="0FC444F0" w14:textId="13AD133F" w:rsidR="00094172" w:rsidRPr="00312FF5" w:rsidRDefault="2A8E8211" w:rsidP="00FF1240">
      <w:pPr>
        <w:spacing w:after="240" w:line="276" w:lineRule="auto"/>
        <w:rPr>
          <w:rFonts w:eastAsia="Times New Roman" w:cs="Times New Roman"/>
        </w:rPr>
      </w:pPr>
      <w:r w:rsidRPr="00312FF5">
        <w:rPr>
          <w:rFonts w:eastAsia="Times New Roman" w:cs="Times New Roman"/>
        </w:rPr>
        <w:t>Division of Administrative Law Appeals</w:t>
      </w:r>
      <w:r w:rsidRPr="00312FF5">
        <w:rPr>
          <w:rFonts w:eastAsia="Times New Roman" w:cs="Times New Roman"/>
        </w:rPr>
        <w:br/>
        <w:t>14 Summer Street, 4</w:t>
      </w:r>
      <w:r w:rsidRPr="00312FF5">
        <w:rPr>
          <w:rFonts w:eastAsia="Times New Roman" w:cs="Times New Roman"/>
          <w:vertAlign w:val="superscript"/>
        </w:rPr>
        <w:t>th</w:t>
      </w:r>
      <w:r w:rsidRPr="00312FF5">
        <w:rPr>
          <w:rFonts w:eastAsia="Times New Roman" w:cs="Times New Roman"/>
        </w:rPr>
        <w:t xml:space="preserve"> Floor</w:t>
      </w:r>
      <w:r w:rsidRPr="00312FF5">
        <w:rPr>
          <w:rFonts w:eastAsia="Times New Roman" w:cs="Times New Roman"/>
        </w:rPr>
        <w:br/>
        <w:t>Malden, MA 02148</w:t>
      </w:r>
    </w:p>
    <w:p w14:paraId="3BA4CBAB" w14:textId="34B6D66B" w:rsidR="00094172" w:rsidRPr="004D2572" w:rsidRDefault="0C047BB4" w:rsidP="00FF1240">
      <w:pPr>
        <w:spacing w:after="240" w:line="276" w:lineRule="auto"/>
        <w:rPr>
          <w:rFonts w:eastAsia="Times New Roman" w:cs="Times New Roman"/>
          <w:b/>
          <w:bCs/>
          <w:lang w:val="es-US"/>
        </w:rPr>
      </w:pPr>
      <w:r w:rsidRPr="004D2572">
        <w:rPr>
          <w:rFonts w:eastAsia="Times New Roman" w:cs="Times New Roman"/>
          <w:b/>
          <w:bCs/>
          <w:lang w:val="es-US"/>
        </w:rPr>
        <w:t>Su documento debe estar en el correo y con sello estampado antes de la fecha límite.</w:t>
      </w:r>
    </w:p>
    <w:p w14:paraId="3C262A93" w14:textId="3B87AA0E" w:rsidR="00094172" w:rsidRPr="004D2572" w:rsidRDefault="00A803D4" w:rsidP="00FF1240">
      <w:pPr>
        <w:pStyle w:val="Heading2"/>
        <w:rPr>
          <w:lang w:val="es-US"/>
        </w:rPr>
      </w:pPr>
      <w:r w:rsidRPr="004D2572">
        <w:rPr>
          <w:iCs w:val="0"/>
          <w:lang w:val="es-US"/>
        </w:rPr>
        <w:t>D. Presentación en mano</w:t>
      </w:r>
    </w:p>
    <w:p w14:paraId="1F3C1FDF" w14:textId="77777777" w:rsidR="00094172" w:rsidRPr="004D2572" w:rsidRDefault="2A8E8211" w:rsidP="00A803D4">
      <w:pPr>
        <w:keepNext/>
        <w:spacing w:after="240" w:line="276" w:lineRule="auto"/>
        <w:rPr>
          <w:rFonts w:eastAsia="Times New Roman" w:cs="Times New Roman"/>
          <w:lang w:val="es-US"/>
        </w:rPr>
      </w:pPr>
      <w:r w:rsidRPr="004D2572">
        <w:rPr>
          <w:rFonts w:eastAsia="Times New Roman" w:cs="Times New Roman"/>
          <w:lang w:val="es-US"/>
        </w:rPr>
        <w:t>Si desea presentar su documento en persona, puede entregarlo en:</w:t>
      </w:r>
    </w:p>
    <w:p w14:paraId="7F152AB5" w14:textId="10FFC462"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División de Apelaciones Administrativas</w:t>
      </w:r>
      <w:r w:rsidRPr="004D2572">
        <w:rPr>
          <w:rFonts w:eastAsia="Times New Roman" w:cs="Times New Roman"/>
          <w:lang w:val="es-US"/>
        </w:rPr>
        <w:br/>
        <w:t>14 Summer Street, 4</w:t>
      </w:r>
      <w:r w:rsidRPr="004D2572">
        <w:rPr>
          <w:rFonts w:eastAsia="Times New Roman" w:cs="Times New Roman"/>
          <w:vertAlign w:val="superscript"/>
          <w:lang w:val="es-US"/>
        </w:rPr>
        <w:t>th</w:t>
      </w:r>
      <w:r w:rsidRPr="004D2572">
        <w:rPr>
          <w:rFonts w:eastAsia="Times New Roman" w:cs="Times New Roman"/>
          <w:lang w:val="es-US"/>
        </w:rPr>
        <w:t xml:space="preserve"> Floor</w:t>
      </w:r>
      <w:r w:rsidRPr="004D2572">
        <w:rPr>
          <w:rFonts w:eastAsia="Times New Roman" w:cs="Times New Roman"/>
          <w:lang w:val="es-US"/>
        </w:rPr>
        <w:br/>
        <w:t>Malden, MA 02148</w:t>
      </w:r>
    </w:p>
    <w:p w14:paraId="6A145A9C" w14:textId="63D89689" w:rsidR="00094172" w:rsidRPr="004D2572" w:rsidRDefault="00A803D4" w:rsidP="00FF1240">
      <w:pPr>
        <w:pStyle w:val="Heading2"/>
        <w:rPr>
          <w:lang w:val="es-US"/>
        </w:rPr>
      </w:pPr>
      <w:r w:rsidRPr="004D2572">
        <w:rPr>
          <w:iCs w:val="0"/>
          <w:lang w:val="es-US"/>
        </w:rPr>
        <w:t>E. Presentación por correo electrónico</w:t>
      </w:r>
    </w:p>
    <w:p w14:paraId="5400ADD2" w14:textId="47518E6D"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Si desea presentar su documento por correo electrónico, envíelo a </w:t>
      </w:r>
      <w:hyperlink r:id="rId15">
        <w:r w:rsidRPr="004D2572">
          <w:rPr>
            <w:rStyle w:val="Hyperlink"/>
            <w:rFonts w:eastAsia="Times New Roman" w:cs="Times New Roman"/>
            <w:lang w:val="es-US"/>
          </w:rPr>
          <w:t>DALApleadings@mass.gov</w:t>
        </w:r>
      </w:hyperlink>
      <w:r w:rsidRPr="004D2572">
        <w:rPr>
          <w:rFonts w:eastAsia="Times New Roman" w:cs="Times New Roman"/>
          <w:lang w:val="es-US"/>
        </w:rPr>
        <w:t>.</w:t>
      </w:r>
    </w:p>
    <w:p w14:paraId="39194368" w14:textId="2233C14D" w:rsidR="00094172" w:rsidRPr="004D2572" w:rsidRDefault="00A803D4" w:rsidP="00FF1240">
      <w:pPr>
        <w:pStyle w:val="Heading2"/>
        <w:rPr>
          <w:lang w:val="es-US"/>
        </w:rPr>
      </w:pPr>
      <w:r w:rsidRPr="004D2572">
        <w:rPr>
          <w:iCs w:val="0"/>
          <w:lang w:val="es-US"/>
        </w:rPr>
        <w:t>F. Presentación por fax</w:t>
      </w:r>
    </w:p>
    <w:p w14:paraId="232BCB5C" w14:textId="61FA377D"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Si desea presentar su documento por fax, utilice el número (781) 397</w:t>
      </w:r>
      <w:r w:rsidRPr="004D2572">
        <w:rPr>
          <w:rFonts w:eastAsia="Times New Roman" w:cs="Times New Roman"/>
          <w:lang w:val="es-US"/>
        </w:rPr>
        <w:noBreakHyphen/>
        <w:t>4720.</w:t>
      </w:r>
    </w:p>
    <w:p w14:paraId="62255CF0" w14:textId="1D0B0914" w:rsidR="00094172" w:rsidRPr="004D2572" w:rsidRDefault="00A803D4" w:rsidP="00FF1240">
      <w:pPr>
        <w:pStyle w:val="Heading2"/>
        <w:rPr>
          <w:lang w:val="es-US"/>
        </w:rPr>
      </w:pPr>
      <w:r w:rsidRPr="004D2572">
        <w:rPr>
          <w:iCs w:val="0"/>
          <w:lang w:val="es-US"/>
        </w:rPr>
        <w:lastRenderedPageBreak/>
        <w:t>G. Debe entregar documentos a la otra parte</w:t>
      </w:r>
    </w:p>
    <w:p w14:paraId="4E6B5F31" w14:textId="7474FE73"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El mismo día que presente un documento ante la DALA, debe entregar, o “notificar”, una copia de lo que está presentando a cada una de las partes implicadas en su caso. En general, la otra parte será una agencia estatal. Entregue la copia de la agencia al abogado de la agencia, no a ninguna otra persona con la que haya tratado en la agencia. El nombre del abogado figurará en el acuse de recibo de la apelación que haya recibido. </w:t>
      </w:r>
    </w:p>
    <w:p w14:paraId="082FCC3F" w14:textId="36A7C69A"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 xml:space="preserve">Si no sabe la dirección de una parte o de un abogado, puede preguntar a la DALA enviando un correo electrónico a </w:t>
      </w:r>
      <w:hyperlink r:id="rId16" w:history="1">
        <w:r w:rsidRPr="004D2572">
          <w:rPr>
            <w:rStyle w:val="Hyperlink"/>
            <w:rFonts w:eastAsia="Times New Roman" w:cs="Times New Roman"/>
            <w:lang w:val="es-US"/>
          </w:rPr>
          <w:t>DALApleadings@mass.gov</w:t>
        </w:r>
      </w:hyperlink>
      <w:r w:rsidRPr="004D2572">
        <w:rPr>
          <w:rFonts w:eastAsia="Times New Roman" w:cs="Times New Roman"/>
          <w:lang w:val="es-US"/>
        </w:rPr>
        <w:t xml:space="preserve"> o llamando al (781) 397</w:t>
      </w:r>
      <w:r w:rsidRPr="004D2572">
        <w:rPr>
          <w:rFonts w:eastAsia="Times New Roman" w:cs="Times New Roman"/>
          <w:lang w:val="es-US"/>
        </w:rPr>
        <w:noBreakHyphen/>
        <w:t>4700.</w:t>
      </w:r>
    </w:p>
    <w:p w14:paraId="2CBB4084" w14:textId="77777777" w:rsidR="00094172" w:rsidRPr="004D2572" w:rsidRDefault="2A8E8211" w:rsidP="00FF1240">
      <w:pPr>
        <w:spacing w:after="240" w:line="276" w:lineRule="auto"/>
        <w:rPr>
          <w:rFonts w:eastAsia="Times New Roman" w:cs="Times New Roman"/>
          <w:lang w:val="es-US"/>
        </w:rPr>
      </w:pPr>
      <w:r w:rsidRPr="004D2572">
        <w:rPr>
          <w:rFonts w:eastAsia="Times New Roman" w:cs="Times New Roman"/>
          <w:lang w:val="es-US"/>
        </w:rPr>
        <w:t>Cuando presente un documento ante la DALA, debe incluir una declaración de que ha entregado dicho documento a todas las demás partes. Esto se denomina “certificado de notificación” y suele encontrarse después de su firma.</w:t>
      </w:r>
    </w:p>
    <w:p w14:paraId="26A6C133" w14:textId="77777777" w:rsidR="00094172" w:rsidRPr="004D2572" w:rsidRDefault="2A8E8211" w:rsidP="00F96513">
      <w:pPr>
        <w:keepNext/>
        <w:spacing w:after="240" w:line="276" w:lineRule="auto"/>
        <w:rPr>
          <w:rFonts w:eastAsia="Times New Roman" w:cs="Times New Roman"/>
          <w:lang w:val="es-US"/>
        </w:rPr>
      </w:pPr>
      <w:r w:rsidRPr="004D2572">
        <w:rPr>
          <w:rFonts w:eastAsia="Times New Roman" w:cs="Times New Roman"/>
          <w:lang w:val="es-US"/>
        </w:rPr>
        <w:t>Por ejemplo:</w:t>
      </w:r>
    </w:p>
    <w:p w14:paraId="664E92AC" w14:textId="77777777" w:rsidR="00094172" w:rsidRPr="004D2572" w:rsidRDefault="2A8E8211" w:rsidP="00FF1240">
      <w:pPr>
        <w:spacing w:after="240" w:line="276" w:lineRule="auto"/>
        <w:ind w:left="720" w:right="720"/>
        <w:jc w:val="center"/>
        <w:rPr>
          <w:rFonts w:eastAsia="Times New Roman" w:cs="Times New Roman"/>
          <w:b/>
          <w:bCs/>
          <w:u w:val="single"/>
          <w:lang w:val="es-US"/>
        </w:rPr>
      </w:pPr>
      <w:r w:rsidRPr="004D2572">
        <w:rPr>
          <w:rFonts w:eastAsia="Times New Roman" w:cs="Times New Roman"/>
          <w:b/>
          <w:bCs/>
          <w:u w:val="single"/>
          <w:lang w:val="es-US"/>
        </w:rPr>
        <w:t>Certificado de notificación</w:t>
      </w:r>
    </w:p>
    <w:p w14:paraId="6F5DC5D2" w14:textId="77777777" w:rsidR="00094172" w:rsidRPr="004D2572" w:rsidRDefault="2A8E8211" w:rsidP="00FF1240">
      <w:pPr>
        <w:spacing w:after="240" w:line="276" w:lineRule="auto"/>
        <w:ind w:left="720" w:right="720" w:firstLine="720"/>
        <w:rPr>
          <w:rFonts w:eastAsia="Times New Roman" w:cs="Times New Roman"/>
          <w:lang w:val="es-US"/>
        </w:rPr>
      </w:pPr>
      <w:r w:rsidRPr="004D2572">
        <w:rPr>
          <w:rFonts w:eastAsia="Times New Roman" w:cs="Times New Roman"/>
          <w:lang w:val="es-US"/>
        </w:rPr>
        <w:t>Yo, [su nombre], certifico que el [fecha] envié una copia de [título del documento] a [nombre del representante de la parte] por [correo postal a su dirección o correo electrónico a direccióndecorreoelectrónico@correoelectrónico.com].</w:t>
      </w:r>
    </w:p>
    <w:p w14:paraId="36FD5CFE" w14:textId="70EB0AEC" w:rsidR="00094172" w:rsidRPr="004D2572" w:rsidRDefault="00A803D4" w:rsidP="00FF1240">
      <w:pPr>
        <w:pStyle w:val="Heading2"/>
        <w:rPr>
          <w:lang w:val="es-US"/>
        </w:rPr>
      </w:pPr>
      <w:r w:rsidRPr="004D2572">
        <w:rPr>
          <w:iCs w:val="0"/>
          <w:lang w:val="es-US"/>
        </w:rPr>
        <w:t>H. ¿Qué ocurre si olvido incluir un certificado de notificación en una presentación?</w:t>
      </w:r>
    </w:p>
    <w:p w14:paraId="4427BA9C" w14:textId="1EBEF73D" w:rsidR="00094172" w:rsidRPr="004D2572" w:rsidRDefault="2A8E8211" w:rsidP="00FF1240">
      <w:pPr>
        <w:spacing w:after="240" w:line="276" w:lineRule="auto"/>
        <w:ind w:right="720"/>
        <w:rPr>
          <w:rFonts w:eastAsia="Times New Roman" w:cs="Times New Roman"/>
          <w:lang w:val="es-US"/>
        </w:rPr>
      </w:pPr>
      <w:r w:rsidRPr="004D2572">
        <w:rPr>
          <w:rFonts w:eastAsia="Times New Roman" w:cs="Times New Roman"/>
          <w:lang w:val="es-US"/>
        </w:rPr>
        <w:t>Si no incluye un certificado de notificación, la DALA puede negarse a considerar su presentación.</w:t>
      </w:r>
    </w:p>
    <w:p w14:paraId="2CAF846F" w14:textId="4D105C49" w:rsidR="004E5DD6" w:rsidRPr="004D2572" w:rsidRDefault="00A803D4" w:rsidP="00FF1240">
      <w:pPr>
        <w:pStyle w:val="Heading1"/>
        <w:rPr>
          <w:lang w:val="es-US"/>
        </w:rPr>
      </w:pPr>
      <w:r w:rsidRPr="004D2572">
        <w:rPr>
          <w:bCs/>
          <w:lang w:val="es-US"/>
        </w:rPr>
        <w:t>IV. El progreso de un caso en la DALA</w:t>
      </w:r>
    </w:p>
    <w:p w14:paraId="3EE393D8" w14:textId="325FF18A" w:rsidR="00FB1958" w:rsidRPr="004D2572" w:rsidRDefault="00A803D4" w:rsidP="00FF1240">
      <w:pPr>
        <w:pStyle w:val="Heading2"/>
        <w:rPr>
          <w:lang w:val="es-US"/>
        </w:rPr>
      </w:pPr>
      <w:r w:rsidRPr="004D2572">
        <w:rPr>
          <w:iCs w:val="0"/>
          <w:lang w:val="es-US"/>
        </w:rPr>
        <w:t>A. Presentación de una apelación</w:t>
      </w:r>
    </w:p>
    <w:p w14:paraId="3BABA06F" w14:textId="77777777" w:rsidR="00FB1958" w:rsidRPr="004D2572" w:rsidRDefault="2D4E2A78" w:rsidP="00FF1240">
      <w:pPr>
        <w:spacing w:after="240" w:line="276" w:lineRule="auto"/>
        <w:rPr>
          <w:rFonts w:eastAsia="Times New Roman" w:cs="Times New Roman"/>
          <w:lang w:val="es-US"/>
        </w:rPr>
      </w:pPr>
      <w:r w:rsidRPr="004D2572">
        <w:rPr>
          <w:rFonts w:eastAsia="Times New Roman" w:cs="Times New Roman"/>
          <w:lang w:val="es-US"/>
        </w:rPr>
        <w:t>Cuando un organismo estatal toma una decisión que usted desea apelar (impugnar), el organismo suele explicarle por escrito, junto con la decisión, cómo hacerlo.</w:t>
      </w:r>
    </w:p>
    <w:p w14:paraId="423694E5" w14:textId="77777777" w:rsidR="00FB1958" w:rsidRPr="004D2572" w:rsidRDefault="2D4E2A78" w:rsidP="00FF1240">
      <w:pPr>
        <w:spacing w:after="240" w:line="276" w:lineRule="auto"/>
        <w:rPr>
          <w:rFonts w:eastAsia="Times New Roman" w:cs="Times New Roman"/>
          <w:lang w:val="es-US"/>
        </w:rPr>
      </w:pPr>
      <w:r w:rsidRPr="004D2572">
        <w:rPr>
          <w:rFonts w:eastAsia="Times New Roman" w:cs="Times New Roman"/>
          <w:lang w:val="es-US"/>
        </w:rPr>
        <w:t>Si la agencia estatal no le explica cómo apelar, póngase en contacto con ella y pregunte.</w:t>
      </w:r>
    </w:p>
    <w:p w14:paraId="4B7B558D" w14:textId="77777777" w:rsidR="009927A4" w:rsidRPr="004D2572" w:rsidRDefault="2D4E2A78" w:rsidP="00FF1240">
      <w:pPr>
        <w:spacing w:after="240" w:line="276" w:lineRule="auto"/>
        <w:rPr>
          <w:rFonts w:eastAsia="Times New Roman" w:cs="Times New Roman"/>
          <w:lang w:val="es-US"/>
        </w:rPr>
      </w:pPr>
      <w:r w:rsidRPr="004D2572">
        <w:rPr>
          <w:rFonts w:eastAsia="Times New Roman" w:cs="Times New Roman"/>
          <w:lang w:val="es-US"/>
        </w:rPr>
        <w:t xml:space="preserve">Siga las normas presentadas por la agencia (como el envío de la apelación al lugar correcto) y cumpla el plazo para apelar. De lo contrario, su caso podría terminar antes de que lo apele. En muchos tipos de casos, la DALA no tiene autoridad legal para ampliar su plazo para presentar </w:t>
      </w:r>
      <w:r w:rsidRPr="004D2572">
        <w:rPr>
          <w:rFonts w:eastAsia="Times New Roman" w:cs="Times New Roman"/>
          <w:lang w:val="es-US"/>
        </w:rPr>
        <w:lastRenderedPageBreak/>
        <w:t>una apelación, incluso si se retrasa por razones que usted no puede controlar y que no son culpa suya.</w:t>
      </w:r>
    </w:p>
    <w:p w14:paraId="27CE72C1" w14:textId="003E1855" w:rsidR="004E5DD6" w:rsidRPr="004D2572" w:rsidRDefault="7133CBF3" w:rsidP="00FF1240">
      <w:pPr>
        <w:spacing w:after="240" w:line="276" w:lineRule="auto"/>
        <w:rPr>
          <w:rFonts w:eastAsia="Times New Roman" w:cs="Times New Roman"/>
          <w:lang w:val="es-US"/>
        </w:rPr>
      </w:pPr>
      <w:r w:rsidRPr="004D2572">
        <w:rPr>
          <w:rFonts w:eastAsia="Times New Roman" w:cs="Times New Roman"/>
          <w:lang w:val="es-US"/>
        </w:rPr>
        <w:t>Como mínimo, su apelación debe incluir su nombre y dirección, debe indicar que está apelando una decisión concreta de la agencia y debe incluir una copia de dicha decisión. Es útil, aunque no siempre obligatorio, que incluya una descripción más detallada de los motivos de su apelación.</w:t>
      </w:r>
    </w:p>
    <w:p w14:paraId="610EFC36" w14:textId="1D97F514" w:rsidR="00FB1958" w:rsidRPr="004D2572" w:rsidRDefault="00A803D4" w:rsidP="00FF1240">
      <w:pPr>
        <w:pStyle w:val="Heading2"/>
        <w:rPr>
          <w:lang w:val="es-US"/>
        </w:rPr>
      </w:pPr>
      <w:r w:rsidRPr="004D2572">
        <w:rPr>
          <w:iCs w:val="0"/>
          <w:lang w:val="es-US"/>
        </w:rPr>
        <w:t>B. Normas y leyes</w:t>
      </w:r>
    </w:p>
    <w:p w14:paraId="2791C302" w14:textId="304252A2" w:rsidR="00FB1958" w:rsidRPr="004D2572" w:rsidRDefault="0DFA5DF5" w:rsidP="00FF1240">
      <w:pPr>
        <w:spacing w:after="240" w:line="276" w:lineRule="auto"/>
        <w:rPr>
          <w:rFonts w:eastAsia="Times New Roman" w:cs="Times New Roman"/>
          <w:lang w:val="es-US"/>
        </w:rPr>
      </w:pPr>
      <w:r w:rsidRPr="004D2572">
        <w:rPr>
          <w:rFonts w:eastAsia="Times New Roman" w:cs="Times New Roman"/>
          <w:lang w:val="es-US"/>
        </w:rPr>
        <w:t xml:space="preserve">Los casos ante la DALA se rigen por la </w:t>
      </w:r>
      <w:hyperlink r:id="rId17">
        <w:r w:rsidRPr="004D2572">
          <w:rPr>
            <w:rStyle w:val="Hyperlink"/>
            <w:rFonts w:eastAsia="Times New Roman" w:cs="Times New Roman"/>
            <w:lang w:val="es-US"/>
          </w:rPr>
          <w:t>Ley de Procedimientos Administrativos de Massachusetts (Massachusetts Administrative Procedures Act), Leyes Generales, capítulo 30A</w:t>
        </w:r>
      </w:hyperlink>
      <w:r w:rsidRPr="004D2572">
        <w:rPr>
          <w:rFonts w:eastAsia="Times New Roman" w:cs="Times New Roman"/>
          <w:lang w:val="es-US"/>
        </w:rPr>
        <w:t>.</w:t>
      </w:r>
    </w:p>
    <w:p w14:paraId="7240626E" w14:textId="5A87D4D6" w:rsidR="008110B1" w:rsidRPr="004D2572" w:rsidRDefault="22007E76" w:rsidP="00FF1240">
      <w:pPr>
        <w:spacing w:after="240" w:line="276" w:lineRule="auto"/>
        <w:rPr>
          <w:rFonts w:eastAsia="Times New Roman" w:cs="Times New Roman"/>
          <w:lang w:val="es-US"/>
        </w:rPr>
      </w:pPr>
      <w:r w:rsidRPr="004D2572">
        <w:rPr>
          <w:rFonts w:eastAsia="Times New Roman" w:cs="Times New Roman"/>
          <w:lang w:val="es-US"/>
        </w:rPr>
        <w:t xml:space="preserve">Otras normas aplicables aparecen en </w:t>
      </w:r>
      <w:hyperlink r:id="rId18">
        <w:r w:rsidRPr="004D2572">
          <w:rPr>
            <w:rStyle w:val="Hyperlink"/>
            <w:rFonts w:eastAsia="Times New Roman" w:cs="Times New Roman"/>
            <w:lang w:val="es-US"/>
          </w:rPr>
          <w:t xml:space="preserve">Normas </w:t>
        </w:r>
        <w:r w:rsidR="004D2572">
          <w:rPr>
            <w:rStyle w:val="Hyperlink"/>
            <w:rFonts w:eastAsia="Times New Roman" w:cs="Times New Roman"/>
            <w:lang w:val="es-US"/>
          </w:rPr>
          <w:t>E</w:t>
        </w:r>
        <w:r w:rsidRPr="004D2572">
          <w:rPr>
            <w:rStyle w:val="Hyperlink"/>
            <w:rFonts w:eastAsia="Times New Roman" w:cs="Times New Roman"/>
            <w:lang w:val="es-US"/>
          </w:rPr>
          <w:t xml:space="preserve">stándar de </w:t>
        </w:r>
        <w:r w:rsidR="004D2572">
          <w:rPr>
            <w:rStyle w:val="Hyperlink"/>
            <w:rFonts w:eastAsia="Times New Roman" w:cs="Times New Roman"/>
            <w:lang w:val="es-US"/>
          </w:rPr>
          <w:t>P</w:t>
        </w:r>
        <w:r w:rsidRPr="004D2572">
          <w:rPr>
            <w:rStyle w:val="Hyperlink"/>
            <w:rFonts w:eastAsia="Times New Roman" w:cs="Times New Roman"/>
            <w:lang w:val="es-US"/>
          </w:rPr>
          <w:t>ráctica</w:t>
        </w:r>
        <w:r w:rsidR="004D2572">
          <w:rPr>
            <w:rStyle w:val="Hyperlink"/>
            <w:rFonts w:eastAsia="Times New Roman" w:cs="Times New Roman"/>
            <w:lang w:val="es-US"/>
          </w:rPr>
          <w:t>s</w:t>
        </w:r>
        <w:r w:rsidRPr="004D2572">
          <w:rPr>
            <w:rStyle w:val="Hyperlink"/>
            <w:rFonts w:eastAsia="Times New Roman" w:cs="Times New Roman"/>
            <w:lang w:val="es-US"/>
          </w:rPr>
          <w:t xml:space="preserve"> y </w:t>
        </w:r>
        <w:r w:rsidR="004D2572">
          <w:rPr>
            <w:rStyle w:val="Hyperlink"/>
            <w:rFonts w:eastAsia="Times New Roman" w:cs="Times New Roman"/>
            <w:lang w:val="es-US"/>
          </w:rPr>
          <w:t>P</w:t>
        </w:r>
        <w:r w:rsidRPr="004D2572">
          <w:rPr>
            <w:rStyle w:val="Hyperlink"/>
            <w:rFonts w:eastAsia="Times New Roman" w:cs="Times New Roman"/>
            <w:lang w:val="es-US"/>
          </w:rPr>
          <w:t>rocedimiento</w:t>
        </w:r>
        <w:r w:rsidR="004D2572">
          <w:rPr>
            <w:rStyle w:val="Hyperlink"/>
            <w:rFonts w:eastAsia="Times New Roman" w:cs="Times New Roman"/>
            <w:lang w:val="es-US"/>
          </w:rPr>
          <w:t>s Judiciales</w:t>
        </w:r>
        <w:r w:rsidRPr="004D2572">
          <w:rPr>
            <w:rStyle w:val="Hyperlink"/>
            <w:rFonts w:eastAsia="Times New Roman" w:cs="Times New Roman"/>
            <w:lang w:val="es-US"/>
          </w:rPr>
          <w:t>, capítulo 1.00 del título 801 del Código de Regulaciones de Massachusetts (Code of Massachusetts Regulations, C.M.R.)</w:t>
        </w:r>
      </w:hyperlink>
      <w:r w:rsidRPr="004D2572">
        <w:rPr>
          <w:rFonts w:eastAsia="Times New Roman" w:cs="Times New Roman"/>
          <w:u w:val="single"/>
          <w:lang w:val="es-US"/>
        </w:rPr>
        <w:t>,</w:t>
      </w:r>
      <w:r w:rsidRPr="004D2572">
        <w:rPr>
          <w:rFonts w:eastAsia="Times New Roman" w:cs="Times New Roman"/>
          <w:lang w:val="es-US"/>
        </w:rPr>
        <w:t xml:space="preserve"> que incluyen un conjunto de normas formales (sección 1.01) y un conjunto de normas informales/de audiencia imparcial (sección 1.02). El acuse de recibo de la apelación que ha recibido especificará si su caso se rige por las normas formales o por las normas informales/de audiencia imparcial.</w:t>
      </w:r>
    </w:p>
    <w:p w14:paraId="090F28B3" w14:textId="772E87AA" w:rsidR="007F2C92" w:rsidRPr="004D2572" w:rsidRDefault="2AE7302A" w:rsidP="00FF1240">
      <w:pPr>
        <w:spacing w:after="240" w:line="276" w:lineRule="auto"/>
        <w:rPr>
          <w:rFonts w:eastAsia="Times New Roman" w:cs="Times New Roman"/>
          <w:lang w:val="es-US"/>
        </w:rPr>
      </w:pPr>
      <w:r w:rsidRPr="004D2572">
        <w:rPr>
          <w:rFonts w:eastAsia="Times New Roman" w:cs="Times New Roman"/>
          <w:lang w:val="es-US"/>
        </w:rPr>
        <w:t xml:space="preserve">Cada caso se regirá también por un conjunto de leyes, reglamentos y precedentes sustantivos, que dependerán del objeto del caso. Algunas decisiones de la DALA, que incluyen discusiones sobre diversas áreas pertinentes de la ley, están recogidas en línea en </w:t>
      </w:r>
      <w:hyperlink r:id="rId19" w:history="1">
        <w:r w:rsidRPr="004D2572">
          <w:rPr>
            <w:rStyle w:val="Hyperlink"/>
            <w:lang w:val="es-US"/>
          </w:rPr>
          <w:t>https://www.mass.gov/search-all-general-jurisdiction-decisions</w:t>
        </w:r>
      </w:hyperlink>
      <w:r w:rsidRPr="004D2572">
        <w:rPr>
          <w:rFonts w:eastAsia="Times New Roman" w:cs="Times New Roman"/>
          <w:lang w:val="es-US"/>
        </w:rPr>
        <w:t xml:space="preserve">. Otras decisiones de la DALA se recogen en las bases de datos que mantiene la </w:t>
      </w:r>
      <w:hyperlink r:id="rId20">
        <w:r w:rsidRPr="004D2572">
          <w:rPr>
            <w:rStyle w:val="Hyperlink"/>
            <w:rFonts w:eastAsia="Times New Roman" w:cs="Times New Roman"/>
            <w:lang w:val="es-US"/>
          </w:rPr>
          <w:t>Biblioteca de Derecho Social</w:t>
        </w:r>
      </w:hyperlink>
      <w:r w:rsidRPr="004D2572">
        <w:rPr>
          <w:rFonts w:eastAsia="Times New Roman" w:cs="Times New Roman"/>
          <w:u w:val="single"/>
          <w:lang w:val="es-US"/>
        </w:rPr>
        <w:t>,</w:t>
      </w:r>
      <w:r w:rsidRPr="004D2572">
        <w:rPr>
          <w:rFonts w:eastAsia="Times New Roman" w:cs="Times New Roman"/>
          <w:lang w:val="es-US"/>
        </w:rPr>
        <w:t xml:space="preserve"> a la que se puede acceder desde cualquier biblioteca pública de Massachusetts (entre otros lugares).</w:t>
      </w:r>
    </w:p>
    <w:p w14:paraId="01EB4763" w14:textId="7B5F72DB" w:rsidR="00BA6599" w:rsidRPr="004D2572" w:rsidRDefault="00A803D4" w:rsidP="00FF1240">
      <w:pPr>
        <w:pStyle w:val="Heading2"/>
        <w:rPr>
          <w:lang w:val="es-US"/>
        </w:rPr>
      </w:pPr>
      <w:r w:rsidRPr="004D2572">
        <w:rPr>
          <w:iCs w:val="0"/>
          <w:lang w:val="es-US"/>
        </w:rPr>
        <w:t>C. Acuse de recibo de la apelación</w:t>
      </w:r>
    </w:p>
    <w:p w14:paraId="3B3F3EDA" w14:textId="0B5A76A8" w:rsidR="00344FD7" w:rsidRPr="004D2572" w:rsidRDefault="727FA712" w:rsidP="00FF1240">
      <w:pPr>
        <w:spacing w:after="240" w:line="276" w:lineRule="auto"/>
        <w:rPr>
          <w:rFonts w:eastAsia="Times New Roman" w:cs="Times New Roman"/>
          <w:lang w:val="es-US"/>
        </w:rPr>
      </w:pPr>
      <w:r w:rsidRPr="004D2572">
        <w:rPr>
          <w:rFonts w:eastAsia="Times New Roman" w:cs="Times New Roman"/>
          <w:lang w:val="es-US"/>
        </w:rPr>
        <w:t>Después de presentar su apelación ante la DALA, recibirá un acuse de recibo de la apelación por escrito. El acuse de recibo de la apelación le proporciona las normas y la logística relevantes para su caso (como el requisito de que debe facilitar a la DALA su información de contacto actual e información sobre cómo presentar documentos ante la DALA).</w:t>
      </w:r>
    </w:p>
    <w:p w14:paraId="60619AC7" w14:textId="18C31736" w:rsidR="00496E17" w:rsidRPr="004D2572" w:rsidRDefault="7A2D4BE0" w:rsidP="00FF1240">
      <w:pPr>
        <w:spacing w:after="240" w:line="276" w:lineRule="auto"/>
        <w:rPr>
          <w:rFonts w:eastAsia="Times New Roman" w:cs="Times New Roman"/>
          <w:lang w:val="es-US"/>
        </w:rPr>
      </w:pPr>
      <w:r w:rsidRPr="004D2572">
        <w:rPr>
          <w:rFonts w:eastAsia="Times New Roman" w:cs="Times New Roman"/>
          <w:lang w:val="es-US"/>
        </w:rPr>
        <w:t>Es posible que le pidan que tome medidas adicionales antes de que su caso avance. Los siguientes pasos habituales son:</w:t>
      </w:r>
    </w:p>
    <w:p w14:paraId="1B7BAFAB" w14:textId="459A89BF" w:rsidR="00496E17" w:rsidRPr="004D2572" w:rsidRDefault="7A2D4BE0" w:rsidP="00FF1240">
      <w:pPr>
        <w:numPr>
          <w:ilvl w:val="0"/>
          <w:numId w:val="6"/>
        </w:numPr>
        <w:spacing w:after="240" w:line="276" w:lineRule="auto"/>
        <w:rPr>
          <w:rFonts w:eastAsia="Times New Roman" w:cs="Times New Roman"/>
          <w:lang w:val="es-US"/>
        </w:rPr>
      </w:pPr>
      <w:r w:rsidRPr="004D2572">
        <w:rPr>
          <w:rFonts w:eastAsia="Times New Roman" w:cs="Times New Roman"/>
          <w:b/>
          <w:bCs/>
          <w:lang w:val="es-US"/>
        </w:rPr>
        <w:t xml:space="preserve">Responder a una orden de mostrar causa </w:t>
      </w:r>
      <w:r w:rsidRPr="004D2572">
        <w:rPr>
          <w:rFonts w:eastAsia="Times New Roman" w:cs="Times New Roman"/>
          <w:lang w:val="es-US"/>
        </w:rPr>
        <w:t xml:space="preserve">si parece que su apelación puede tener un problema legal o de procedimiento (por ejemplo, si se presentó fuera de plazo). Esto significa que debe enviar al magistrado y a las otras partes una respuesta por escrito explicando por qué debe seguir adelante su apelación. Si no responde, o si el magistrado </w:t>
      </w:r>
      <w:r w:rsidRPr="004D2572">
        <w:rPr>
          <w:rFonts w:eastAsia="Times New Roman" w:cs="Times New Roman"/>
          <w:lang w:val="es-US"/>
        </w:rPr>
        <w:lastRenderedPageBreak/>
        <w:t xml:space="preserve">determina que su respuesta no es jurídicamente suficiente, la apelación puede ser desestimada. </w:t>
      </w:r>
    </w:p>
    <w:p w14:paraId="730EF1C2" w14:textId="71BE83E6" w:rsidR="00496E17" w:rsidRPr="004D2572" w:rsidRDefault="7A2D4BE0" w:rsidP="00FF1240">
      <w:pPr>
        <w:numPr>
          <w:ilvl w:val="0"/>
          <w:numId w:val="6"/>
        </w:numPr>
        <w:spacing w:after="240" w:line="276" w:lineRule="auto"/>
        <w:rPr>
          <w:rFonts w:eastAsia="Times New Roman" w:cs="Times New Roman"/>
          <w:lang w:val="es-US"/>
        </w:rPr>
      </w:pPr>
      <w:r w:rsidRPr="004D2572">
        <w:rPr>
          <w:rFonts w:eastAsia="Times New Roman" w:cs="Times New Roman"/>
          <w:b/>
          <w:bCs/>
          <w:lang w:val="es-US"/>
        </w:rPr>
        <w:t>Presentar argumentos y pruebas por escrito</w:t>
      </w:r>
      <w:r w:rsidRPr="004D2572">
        <w:rPr>
          <w:rFonts w:eastAsia="Times New Roman" w:cs="Times New Roman"/>
          <w:lang w:val="es-US"/>
        </w:rPr>
        <w:t xml:space="preserve"> si el caso puede decidirse sin audiencia. Consulte la sección </w:t>
      </w:r>
      <w:hyperlink r:id="rId21" w:history="1">
        <w:r w:rsidRPr="004D2572">
          <w:rPr>
            <w:rStyle w:val="Hyperlink"/>
            <w:rFonts w:eastAsia="Times New Roman" w:cs="Times New Roman"/>
            <w:lang w:val="es-US"/>
          </w:rPr>
          <w:t>Resolver un caso sin audiencia</w:t>
        </w:r>
      </w:hyperlink>
      <w:r w:rsidRPr="004D2572">
        <w:rPr>
          <w:rFonts w:eastAsia="Times New Roman" w:cs="Times New Roman"/>
          <w:lang w:val="es-US"/>
        </w:rPr>
        <w:t>.</w:t>
      </w:r>
    </w:p>
    <w:p w14:paraId="1F5D99FD" w14:textId="535EA3F3" w:rsidR="00496E17" w:rsidRPr="004D2572" w:rsidRDefault="7A2D4BE0" w:rsidP="00FF1240">
      <w:pPr>
        <w:numPr>
          <w:ilvl w:val="0"/>
          <w:numId w:val="6"/>
        </w:numPr>
        <w:spacing w:after="240" w:line="276" w:lineRule="auto"/>
        <w:rPr>
          <w:rFonts w:eastAsia="Times New Roman" w:cs="Times New Roman"/>
          <w:lang w:val="es-US"/>
        </w:rPr>
      </w:pPr>
      <w:r w:rsidRPr="004D2572">
        <w:rPr>
          <w:rFonts w:eastAsia="Times New Roman" w:cs="Times New Roman"/>
          <w:b/>
          <w:bCs/>
          <w:lang w:val="es-US"/>
        </w:rPr>
        <w:t>Asistir a una conferencia previa a la audiencia</w:t>
      </w:r>
      <w:r w:rsidRPr="004D2572">
        <w:rPr>
          <w:rFonts w:eastAsia="Times New Roman" w:cs="Times New Roman"/>
          <w:lang w:val="es-US"/>
        </w:rPr>
        <w:t xml:space="preserve"> para debatir las cuestiones, el calendario, los plazos, los procedimientos y el posible acuerdo. Consulte la sección </w:t>
      </w:r>
      <w:hyperlink r:id="rId22" w:history="1">
        <w:r w:rsidRPr="004D2572">
          <w:rPr>
            <w:rStyle w:val="Hyperlink"/>
            <w:rFonts w:eastAsia="Times New Roman" w:cs="Times New Roman"/>
            <w:lang w:val="es-US"/>
          </w:rPr>
          <w:t>Conferencia previa a la audiencia</w:t>
        </w:r>
      </w:hyperlink>
      <w:r w:rsidRPr="004D2572">
        <w:rPr>
          <w:rFonts w:eastAsia="Times New Roman" w:cs="Times New Roman"/>
          <w:lang w:val="es-US"/>
        </w:rPr>
        <w:t>.</w:t>
      </w:r>
    </w:p>
    <w:p w14:paraId="64E931C9" w14:textId="095A220D" w:rsidR="00496E17" w:rsidRPr="004D2572" w:rsidRDefault="7A2D4BE0" w:rsidP="00FF1240">
      <w:pPr>
        <w:numPr>
          <w:ilvl w:val="0"/>
          <w:numId w:val="6"/>
        </w:numPr>
        <w:spacing w:after="240" w:line="276" w:lineRule="auto"/>
        <w:rPr>
          <w:rFonts w:eastAsia="Times New Roman" w:cs="Times New Roman"/>
          <w:lang w:val="es-US"/>
        </w:rPr>
      </w:pPr>
      <w:r w:rsidRPr="004D2572">
        <w:rPr>
          <w:rFonts w:eastAsia="Times New Roman" w:cs="Times New Roman"/>
          <w:b/>
          <w:bCs/>
          <w:lang w:val="es-US"/>
        </w:rPr>
        <w:t>Presentación de un memorándum previo a la audiencia y de las pruebas propuestas</w:t>
      </w:r>
      <w:r w:rsidRPr="004D2572">
        <w:rPr>
          <w:rFonts w:eastAsia="Times New Roman" w:cs="Times New Roman"/>
          <w:lang w:val="es-US"/>
        </w:rPr>
        <w:t xml:space="preserve"> si el caso implica controversias de hecho y va a proceder a una audiencia probatoria. Consulte la sección </w:t>
      </w:r>
      <w:hyperlink r:id="rId23" w:history="1">
        <w:r w:rsidRPr="004D2572">
          <w:rPr>
            <w:rStyle w:val="Hyperlink"/>
            <w:rFonts w:eastAsia="Times New Roman" w:cs="Times New Roman"/>
            <w:lang w:val="es-US"/>
          </w:rPr>
          <w:t>Presentaciones previas a la audiencia</w:t>
        </w:r>
      </w:hyperlink>
      <w:r w:rsidRPr="004D2572">
        <w:rPr>
          <w:rFonts w:eastAsia="Times New Roman" w:cs="Times New Roman"/>
          <w:lang w:val="es-US"/>
        </w:rPr>
        <w:t>.</w:t>
      </w:r>
    </w:p>
    <w:p w14:paraId="24498E36" w14:textId="141E79B0" w:rsidR="0031653B" w:rsidRPr="004D2572" w:rsidRDefault="00A803D4" w:rsidP="00FF1240">
      <w:pPr>
        <w:pStyle w:val="Heading2"/>
        <w:rPr>
          <w:lang w:val="es-US"/>
        </w:rPr>
      </w:pPr>
      <w:r w:rsidRPr="004D2572">
        <w:rPr>
          <w:iCs w:val="0"/>
          <w:lang w:val="es-US"/>
        </w:rPr>
        <w:t>D. Conferencia previa a la audiencia</w:t>
      </w:r>
    </w:p>
    <w:p w14:paraId="6001C472" w14:textId="77777777" w:rsidR="00444E1E" w:rsidRPr="004D2572" w:rsidRDefault="2E7B1350" w:rsidP="00FF1240">
      <w:pPr>
        <w:spacing w:after="240" w:line="276" w:lineRule="auto"/>
        <w:rPr>
          <w:rFonts w:eastAsia="Times New Roman" w:cs="Times New Roman"/>
          <w:lang w:val="es-US"/>
        </w:rPr>
      </w:pPr>
      <w:r w:rsidRPr="004D2572">
        <w:rPr>
          <w:rFonts w:eastAsia="Times New Roman" w:cs="Times New Roman"/>
          <w:lang w:val="es-US"/>
        </w:rPr>
        <w:t xml:space="preserve">La conferencia previa a la audiencia es una reunión formal en la que se debaten las cuestiones relacionadas con su caso, el calendario de desarrollo de este, los plazos, otras cuestiones procesales y la posibilidad de que las partes lleguen a un acuerdo. </w:t>
      </w:r>
    </w:p>
    <w:p w14:paraId="3B01820F" w14:textId="3ADA379F" w:rsidR="00444E1E" w:rsidRPr="004D2572" w:rsidRDefault="2E7B1350" w:rsidP="00FF1240">
      <w:pPr>
        <w:spacing w:after="240" w:line="276" w:lineRule="auto"/>
        <w:rPr>
          <w:rFonts w:eastAsia="Times New Roman" w:cs="Times New Roman"/>
          <w:lang w:val="es-US"/>
        </w:rPr>
      </w:pPr>
      <w:r w:rsidRPr="004D2572">
        <w:rPr>
          <w:rFonts w:eastAsia="Times New Roman" w:cs="Times New Roman"/>
          <w:lang w:val="es-US"/>
        </w:rPr>
        <w:t>Las conferencias previas a la audiencia suelen celebrarse por teléfono (pero no siempre). Si en su caso está prevista una conferencia previa a la audiencia, recibirá una notificación en la que se le indicará cómo llamar (o asistir de otra forma) y qué debe estar preparado para debatir.</w:t>
      </w:r>
    </w:p>
    <w:p w14:paraId="589BD6E1" w14:textId="4349A4F2" w:rsidR="006C7A36" w:rsidRPr="004D2572" w:rsidRDefault="2E7B1350" w:rsidP="00FF1240">
      <w:pPr>
        <w:spacing w:after="240" w:line="276" w:lineRule="auto"/>
        <w:rPr>
          <w:rFonts w:eastAsia="Times New Roman" w:cs="Times New Roman"/>
          <w:lang w:val="es-US"/>
        </w:rPr>
      </w:pPr>
      <w:r w:rsidRPr="004D2572">
        <w:rPr>
          <w:rFonts w:eastAsia="Times New Roman" w:cs="Times New Roman"/>
          <w:lang w:val="es-US"/>
        </w:rPr>
        <w:t xml:space="preserve"> La asistencia a las conferencias previas a la audiencia y a otros actos programados por la DALA es obligatoria. Si no asiste, su caso puede ser desestimado o, si usted es el demandado, puede declararse su rebeldía.</w:t>
      </w:r>
    </w:p>
    <w:p w14:paraId="0BD45BFB" w14:textId="57BBB82B" w:rsidR="00A407A5" w:rsidRPr="004D2572" w:rsidRDefault="00A803D4" w:rsidP="00FF1240">
      <w:pPr>
        <w:pStyle w:val="Heading2"/>
        <w:rPr>
          <w:lang w:val="es-US"/>
        </w:rPr>
      </w:pPr>
      <w:r w:rsidRPr="004D2572">
        <w:rPr>
          <w:iCs w:val="0"/>
          <w:lang w:val="es-US"/>
        </w:rPr>
        <w:t>E. Mociones</w:t>
      </w:r>
    </w:p>
    <w:p w14:paraId="143F8167" w14:textId="1349CBD4" w:rsidR="006C2E37" w:rsidRPr="004D2572" w:rsidRDefault="00A803D4" w:rsidP="00FF1240">
      <w:pPr>
        <w:pStyle w:val="Heading3"/>
        <w:rPr>
          <w:lang w:val="es-US"/>
        </w:rPr>
      </w:pPr>
      <w:r w:rsidRPr="004D2572">
        <w:rPr>
          <w:lang w:val="es-US"/>
        </w:rPr>
        <w:t>1. Mociones en general</w:t>
      </w:r>
    </w:p>
    <w:p w14:paraId="5C636DCB" w14:textId="02370821" w:rsidR="003410A4" w:rsidRPr="004D2572" w:rsidRDefault="6AFF3AC1" w:rsidP="00FF1240">
      <w:pPr>
        <w:spacing w:after="240" w:line="276" w:lineRule="auto"/>
        <w:rPr>
          <w:rFonts w:eastAsia="Times New Roman" w:cs="Times New Roman"/>
          <w:lang w:val="es-US"/>
        </w:rPr>
      </w:pPr>
      <w:r w:rsidRPr="004D2572">
        <w:rPr>
          <w:rFonts w:eastAsia="Times New Roman" w:cs="Times New Roman"/>
          <w:lang w:val="es-US"/>
        </w:rPr>
        <w:t>Una moción es una petición. Si necesita ampliar un plazo, reprogramar su audiencia o cualquier otra cosa, presente una moción explicando lo que solicita y por qué. Todas las mociones deben presentarse por escrito, salvo algunas que pueden formularse oralmente durante la audiencia. Antes de presentar la moción, debe consultar con la otra parte.</w:t>
      </w:r>
    </w:p>
    <w:p w14:paraId="650625D2" w14:textId="32C42A6C" w:rsidR="00CE3805" w:rsidRPr="004D2572" w:rsidRDefault="6DE15A78" w:rsidP="00FF1240">
      <w:pPr>
        <w:spacing w:after="240" w:line="276" w:lineRule="auto"/>
        <w:rPr>
          <w:rFonts w:eastAsia="Times New Roman" w:cs="Times New Roman"/>
          <w:lang w:val="es-US"/>
        </w:rPr>
      </w:pPr>
      <w:r w:rsidRPr="004D2572">
        <w:rPr>
          <w:rFonts w:eastAsia="Times New Roman" w:cs="Times New Roman"/>
          <w:lang w:val="es-US"/>
        </w:rPr>
        <w:t xml:space="preserve">Las peticiones, como todos los documentos presentados en la DALA, deben incluir una declaración de que usted ha entregado ese documento a todas las demás partes. Esto se llama “certificado de notificación”. Consulte la sección </w:t>
      </w:r>
      <w:hyperlink r:id="rId24" w:history="1">
        <w:r w:rsidRPr="004D2572">
          <w:rPr>
            <w:rStyle w:val="Hyperlink"/>
            <w:rFonts w:eastAsia="Times New Roman" w:cs="Times New Roman"/>
            <w:lang w:val="es-US"/>
          </w:rPr>
          <w:t>Debe entregar documentos a la otra parte</w:t>
        </w:r>
      </w:hyperlink>
      <w:r w:rsidRPr="004D2572">
        <w:rPr>
          <w:rFonts w:eastAsia="Times New Roman" w:cs="Times New Roman"/>
          <w:lang w:val="es-US"/>
        </w:rPr>
        <w:t>.</w:t>
      </w:r>
    </w:p>
    <w:p w14:paraId="07ADB7F3" w14:textId="17937901" w:rsidR="00996C51" w:rsidRPr="004D2572" w:rsidRDefault="4E5F6CEF" w:rsidP="00FF1240">
      <w:pPr>
        <w:spacing w:after="240" w:line="276" w:lineRule="auto"/>
        <w:rPr>
          <w:rFonts w:eastAsia="Times New Roman" w:cs="Times New Roman"/>
          <w:lang w:val="es-US"/>
        </w:rPr>
      </w:pPr>
      <w:r w:rsidRPr="004D2572">
        <w:rPr>
          <w:rFonts w:eastAsia="Times New Roman" w:cs="Times New Roman"/>
          <w:lang w:val="es-US"/>
        </w:rPr>
        <w:t>Algunas mociones presentadas habitualmente en la DALA:</w:t>
      </w:r>
    </w:p>
    <w:p w14:paraId="373DDE65" w14:textId="5224C412" w:rsidR="00A63314" w:rsidRPr="004D2572" w:rsidRDefault="73B27D33" w:rsidP="00FF1240">
      <w:pPr>
        <w:pStyle w:val="ListParagraph"/>
        <w:numPr>
          <w:ilvl w:val="0"/>
          <w:numId w:val="3"/>
        </w:numPr>
        <w:spacing w:after="240" w:line="276" w:lineRule="auto"/>
        <w:contextualSpacing w:val="0"/>
        <w:rPr>
          <w:rFonts w:eastAsia="Times New Roman" w:cs="Times New Roman"/>
          <w:b/>
          <w:bCs/>
          <w:lang w:val="es-US"/>
        </w:rPr>
      </w:pPr>
      <w:r w:rsidRPr="004D2572">
        <w:rPr>
          <w:rFonts w:eastAsia="Times New Roman" w:cs="Times New Roman"/>
          <w:b/>
          <w:bCs/>
          <w:lang w:val="es-US"/>
        </w:rPr>
        <w:lastRenderedPageBreak/>
        <w:t>Moción de desestimación:</w:t>
      </w:r>
      <w:r w:rsidRPr="004D2572">
        <w:rPr>
          <w:rFonts w:eastAsia="Times New Roman" w:cs="Times New Roman"/>
          <w:lang w:val="es-US"/>
        </w:rPr>
        <w:t xml:space="preserve"> si un demandado (normalmente la agencia) cree que la apelación puede resolverse a su favor por alguna razón preliminar y no sustantiva, puede pedir que se desestime la apelación. Uno de los motivos habituales para presentar una moción de desestimación es que la apelación se haya presentado fuera de plazo. Otro fundamento común es cuando todos los hechos afirmados por el solicitante (normalmente la parte que no es la agencia) no darían derecho al solicitante a ganar la apelación y obtener alguna reparación, aunque todos esos hechos fueran ciertos. </w:t>
      </w:r>
      <w:hyperlink r:id="rId25" w:history="1">
        <w:r w:rsidRPr="004D2572">
          <w:rPr>
            <w:rStyle w:val="Hyperlink"/>
            <w:rFonts w:eastAsia="Times New Roman" w:cs="Times New Roman"/>
            <w:lang w:val="es-US"/>
          </w:rPr>
          <w:t>Sección 1.01(7)(g)(3) del título 801 del C.M.R.</w:t>
        </w:r>
      </w:hyperlink>
    </w:p>
    <w:p w14:paraId="0C249955" w14:textId="6A643D7B" w:rsidR="00A63314" w:rsidRPr="004D2572" w:rsidRDefault="633B8745" w:rsidP="00FF1240">
      <w:pPr>
        <w:pStyle w:val="ListParagraph"/>
        <w:numPr>
          <w:ilvl w:val="0"/>
          <w:numId w:val="3"/>
        </w:numPr>
        <w:spacing w:after="240" w:line="276" w:lineRule="auto"/>
        <w:contextualSpacing w:val="0"/>
        <w:rPr>
          <w:rFonts w:eastAsia="Times New Roman" w:cs="Times New Roman"/>
          <w:b/>
          <w:bCs/>
          <w:lang w:val="es-US"/>
        </w:rPr>
      </w:pPr>
      <w:r w:rsidRPr="004D2572">
        <w:rPr>
          <w:rFonts w:eastAsia="Times New Roman" w:cs="Times New Roman"/>
          <w:b/>
          <w:bCs/>
          <w:lang w:val="es-US"/>
        </w:rPr>
        <w:t>Moción de decisión sumaria:</w:t>
      </w:r>
      <w:r w:rsidRPr="004D2572">
        <w:rPr>
          <w:rFonts w:eastAsia="Times New Roman" w:cs="Times New Roman"/>
          <w:lang w:val="es-US"/>
        </w:rPr>
        <w:t xml:space="preserve"> si no existe un desacuerdo genuino sobre los hechos y una de las partes cree que la ley apoya claramente su posición, esa parte puede solicitar una decisión sumaria. </w:t>
      </w:r>
      <w:hyperlink r:id="rId26" w:history="1">
        <w:r w:rsidRPr="004D2572">
          <w:rPr>
            <w:rStyle w:val="Hyperlink"/>
            <w:rFonts w:eastAsia="Times New Roman" w:cs="Times New Roman"/>
            <w:lang w:val="es-US"/>
          </w:rPr>
          <w:t>Sección 1.01(7)(h) del título 801 del C.M.R.</w:t>
        </w:r>
      </w:hyperlink>
      <w:r w:rsidRPr="004D2572">
        <w:rPr>
          <w:rFonts w:eastAsia="Times New Roman" w:cs="Times New Roman"/>
          <w:lang w:val="es-US"/>
        </w:rPr>
        <w:t xml:space="preserve"> Consulte la sección </w:t>
      </w:r>
      <w:hyperlink r:id="rId27" w:history="1">
        <w:r w:rsidRPr="004D2572">
          <w:rPr>
            <w:rStyle w:val="Hyperlink"/>
            <w:rFonts w:eastAsia="Times New Roman" w:cs="Times New Roman"/>
            <w:lang w:val="es-US"/>
          </w:rPr>
          <w:t>Mociones de decisión sumaria</w:t>
        </w:r>
      </w:hyperlink>
      <w:r w:rsidRPr="004D2572">
        <w:rPr>
          <w:rFonts w:eastAsia="Times New Roman" w:cs="Times New Roman"/>
          <w:lang w:val="es-US"/>
        </w:rPr>
        <w:t>.</w:t>
      </w:r>
    </w:p>
    <w:p w14:paraId="3ACB07F5" w14:textId="2A9AFB70" w:rsidR="0005209A" w:rsidRPr="004D2572" w:rsidRDefault="5BB0C4E0" w:rsidP="00F96513">
      <w:pPr>
        <w:pStyle w:val="ListParagraph"/>
        <w:keepNext/>
        <w:keepLines/>
        <w:numPr>
          <w:ilvl w:val="0"/>
          <w:numId w:val="3"/>
        </w:numPr>
        <w:spacing w:after="240" w:line="276" w:lineRule="auto"/>
        <w:contextualSpacing w:val="0"/>
        <w:rPr>
          <w:rFonts w:eastAsia="Times New Roman" w:cs="Times New Roman"/>
          <w:b/>
          <w:bCs/>
          <w:lang w:val="es-US"/>
        </w:rPr>
      </w:pPr>
      <w:r w:rsidRPr="004D2572">
        <w:rPr>
          <w:rFonts w:eastAsia="Times New Roman" w:cs="Times New Roman"/>
          <w:b/>
          <w:bCs/>
          <w:lang w:val="es-US"/>
        </w:rPr>
        <w:t>Moción de aplazamiento:</w:t>
      </w:r>
      <w:r w:rsidRPr="004D2572">
        <w:rPr>
          <w:rFonts w:eastAsia="Times New Roman" w:cs="Times New Roman"/>
          <w:lang w:val="es-US"/>
        </w:rPr>
        <w:t xml:space="preserve"> hay plazos para las distintas etapas del caso. Si no puede cumplir un plazo o una fecha en la que tiene que comparecer, puede pedir una postergación, lo que se denomina un “aplazamiento”, mediante una moción. Si incumple un plazo, su caso puede ser desestimado.</w:t>
      </w:r>
    </w:p>
    <w:p w14:paraId="4129EFA7" w14:textId="77777777" w:rsidR="00164A92" w:rsidRPr="004D2572" w:rsidRDefault="03D64E8B" w:rsidP="00FF1240">
      <w:pPr>
        <w:pStyle w:val="ListParagraph"/>
        <w:numPr>
          <w:ilvl w:val="1"/>
          <w:numId w:val="3"/>
        </w:numPr>
        <w:spacing w:after="240" w:line="276" w:lineRule="auto"/>
        <w:contextualSpacing w:val="0"/>
        <w:rPr>
          <w:rFonts w:eastAsia="Times New Roman" w:cs="Times New Roman"/>
          <w:b/>
          <w:bCs/>
          <w:lang w:val="es-US"/>
        </w:rPr>
      </w:pPr>
      <w:r w:rsidRPr="004D2572">
        <w:rPr>
          <w:rFonts w:eastAsia="Times New Roman" w:cs="Times New Roman"/>
          <w:lang w:val="es-US"/>
        </w:rPr>
        <w:t xml:space="preserve">Los aplazamientos de la DALA solo se concederán por causa justificada. </w:t>
      </w:r>
    </w:p>
    <w:p w14:paraId="5F1440EE" w14:textId="67EB6E69" w:rsidR="00D762BF" w:rsidRPr="004D2572" w:rsidRDefault="25BE86B1" w:rsidP="00FF1240">
      <w:pPr>
        <w:pStyle w:val="ListParagraph"/>
        <w:numPr>
          <w:ilvl w:val="1"/>
          <w:numId w:val="3"/>
        </w:numPr>
        <w:spacing w:after="240" w:line="276" w:lineRule="auto"/>
        <w:contextualSpacing w:val="0"/>
        <w:rPr>
          <w:rFonts w:eastAsia="Times New Roman" w:cs="Times New Roman"/>
          <w:lang w:val="es-US"/>
        </w:rPr>
      </w:pPr>
      <w:r w:rsidRPr="004D2572">
        <w:rPr>
          <w:rFonts w:eastAsia="Times New Roman" w:cs="Times New Roman"/>
          <w:lang w:val="es-US"/>
        </w:rPr>
        <w:t>Debe presentar una solicitud por escrito (moción) lo antes posible y, salvo en caso de urgencia, al menos tres días antes del evento.</w:t>
      </w:r>
    </w:p>
    <w:p w14:paraId="30098E32" w14:textId="33DF59C2" w:rsidR="00D762BF" w:rsidRPr="004D2572" w:rsidRDefault="720A0583" w:rsidP="00FF1240">
      <w:pPr>
        <w:pStyle w:val="ListParagraph"/>
        <w:numPr>
          <w:ilvl w:val="1"/>
          <w:numId w:val="3"/>
        </w:numPr>
        <w:spacing w:after="240" w:line="276" w:lineRule="auto"/>
        <w:contextualSpacing w:val="0"/>
        <w:rPr>
          <w:rFonts w:eastAsia="Times New Roman" w:cs="Times New Roman"/>
          <w:b/>
          <w:bCs/>
          <w:lang w:val="es-US"/>
        </w:rPr>
      </w:pPr>
      <w:r w:rsidRPr="004D2572">
        <w:rPr>
          <w:rFonts w:eastAsia="Times New Roman" w:cs="Times New Roman"/>
          <w:lang w:val="es-US"/>
        </w:rPr>
        <w:t>Es mejor hablar con las otras partes antes de pedir a la DALA un aplazamiento. En concreto, deberá: (a) preguntar si están de acuerdo con la solicitud e (b) intentar acordar nuevas fechas para el plazo, la conferencia o la audiencia.</w:t>
      </w:r>
    </w:p>
    <w:p w14:paraId="2CAC6491" w14:textId="6291B557" w:rsidR="00083C2E" w:rsidRPr="004D2572" w:rsidRDefault="6394AB1F" w:rsidP="00FF1240">
      <w:pPr>
        <w:pStyle w:val="ListParagraph"/>
        <w:numPr>
          <w:ilvl w:val="1"/>
          <w:numId w:val="3"/>
        </w:numPr>
        <w:spacing w:after="240" w:line="276" w:lineRule="auto"/>
        <w:contextualSpacing w:val="0"/>
        <w:rPr>
          <w:rFonts w:eastAsia="Times New Roman" w:cs="Times New Roman"/>
          <w:b/>
          <w:bCs/>
          <w:lang w:val="es-US"/>
        </w:rPr>
      </w:pPr>
      <w:r w:rsidRPr="004D2572">
        <w:rPr>
          <w:rFonts w:eastAsia="Times New Roman" w:cs="Times New Roman"/>
          <w:lang w:val="es-US"/>
        </w:rPr>
        <w:t>Una vez que haya hablado con las otras partes, presente su solicitud a la DALA. Puede enviar su moción por correo, fax o correo electrónico.</w:t>
      </w:r>
    </w:p>
    <w:p w14:paraId="2C07ECEB" w14:textId="51C25E7D" w:rsidR="0005209A" w:rsidRPr="004D2572" w:rsidRDefault="5CB456A9" w:rsidP="00FF1240">
      <w:pPr>
        <w:pStyle w:val="ListParagraph"/>
        <w:numPr>
          <w:ilvl w:val="1"/>
          <w:numId w:val="3"/>
        </w:numPr>
        <w:spacing w:after="240" w:line="276" w:lineRule="auto"/>
        <w:contextualSpacing w:val="0"/>
        <w:rPr>
          <w:rFonts w:eastAsia="Times New Roman" w:cs="Times New Roman"/>
          <w:b/>
          <w:bCs/>
          <w:lang w:val="es-US"/>
        </w:rPr>
      </w:pPr>
      <w:r w:rsidRPr="004D2572">
        <w:rPr>
          <w:rFonts w:eastAsia="Times New Roman" w:cs="Times New Roman"/>
          <w:lang w:val="es-US"/>
        </w:rPr>
        <w:t>Lo mejor para su solicitud es:</w:t>
      </w:r>
    </w:p>
    <w:p w14:paraId="3D6AE921" w14:textId="16F39400" w:rsidR="00130462" w:rsidRPr="004D2572" w:rsidRDefault="5C672160" w:rsidP="00FF1240">
      <w:pPr>
        <w:pStyle w:val="ListParagraph"/>
        <w:numPr>
          <w:ilvl w:val="2"/>
          <w:numId w:val="3"/>
        </w:numPr>
        <w:spacing w:after="240" w:line="276" w:lineRule="auto"/>
        <w:contextualSpacing w:val="0"/>
        <w:rPr>
          <w:rFonts w:eastAsia="Times New Roman" w:cs="Times New Roman"/>
          <w:lang w:val="es-US"/>
        </w:rPr>
      </w:pPr>
      <w:r w:rsidRPr="004D2572">
        <w:rPr>
          <w:rFonts w:eastAsia="Times New Roman" w:cs="Times New Roman"/>
          <w:lang w:val="es-US"/>
        </w:rPr>
        <w:t>incluir la razón por la que necesita el aplazamiento (la “causa justificada” para el aplazamiento) y desde cuándo conoce la causa justificada (</w:t>
      </w:r>
      <w:hyperlink r:id="rId28">
        <w:r w:rsidRPr="004D2572">
          <w:rPr>
            <w:rStyle w:val="Hyperlink"/>
            <w:rFonts w:eastAsia="Times New Roman" w:cs="Times New Roman"/>
            <w:lang w:val="es-US"/>
          </w:rPr>
          <w:t>sección 1.01(7)(d) del título 801 del C.M.R.</w:t>
        </w:r>
      </w:hyperlink>
      <w:r w:rsidRPr="004D2572">
        <w:rPr>
          <w:rFonts w:eastAsia="Times New Roman" w:cs="Times New Roman"/>
          <w:lang w:val="es-US"/>
        </w:rPr>
        <w:t>);</w:t>
      </w:r>
    </w:p>
    <w:p w14:paraId="497E6450" w14:textId="64C37C2D" w:rsidR="00130462" w:rsidRPr="004D2572" w:rsidRDefault="5C672160" w:rsidP="00FF1240">
      <w:pPr>
        <w:pStyle w:val="ListParagraph"/>
        <w:numPr>
          <w:ilvl w:val="2"/>
          <w:numId w:val="3"/>
        </w:numPr>
        <w:spacing w:after="240" w:line="276" w:lineRule="auto"/>
        <w:contextualSpacing w:val="0"/>
        <w:rPr>
          <w:rFonts w:eastAsia="Times New Roman" w:cs="Times New Roman"/>
          <w:lang w:val="es-US"/>
        </w:rPr>
      </w:pPr>
      <w:r w:rsidRPr="004D2572">
        <w:rPr>
          <w:rFonts w:eastAsia="Times New Roman" w:cs="Times New Roman"/>
          <w:lang w:val="es-US"/>
        </w:rPr>
        <w:t>indicar si la otra parte o partes están de acuerdo con la moción (aceptan la solicitud); y</w:t>
      </w:r>
    </w:p>
    <w:p w14:paraId="32E546FD" w14:textId="05C8956F" w:rsidR="00130462" w:rsidRPr="004D2572" w:rsidRDefault="6F4D3246" w:rsidP="00FF1240">
      <w:pPr>
        <w:pStyle w:val="ListParagraph"/>
        <w:numPr>
          <w:ilvl w:val="2"/>
          <w:numId w:val="3"/>
        </w:numPr>
        <w:spacing w:after="240" w:line="276" w:lineRule="auto"/>
        <w:contextualSpacing w:val="0"/>
        <w:rPr>
          <w:rFonts w:eastAsia="Times New Roman" w:cs="Times New Roman"/>
          <w:lang w:val="es-US"/>
        </w:rPr>
      </w:pPr>
      <w:r w:rsidRPr="004D2572">
        <w:rPr>
          <w:rFonts w:eastAsia="Times New Roman" w:cs="Times New Roman"/>
          <w:lang w:val="es-US"/>
        </w:rPr>
        <w:t>proponer fechas alternativas.</w:t>
      </w:r>
    </w:p>
    <w:p w14:paraId="24618E21" w14:textId="450C054D" w:rsidR="00341904" w:rsidRPr="004D2572" w:rsidRDefault="60C7ABF9" w:rsidP="00FF1240">
      <w:pPr>
        <w:pStyle w:val="ListParagraph"/>
        <w:numPr>
          <w:ilvl w:val="1"/>
          <w:numId w:val="3"/>
        </w:numPr>
        <w:spacing w:after="240" w:line="276" w:lineRule="auto"/>
        <w:contextualSpacing w:val="0"/>
        <w:rPr>
          <w:rFonts w:eastAsia="Times New Roman" w:cs="Times New Roman"/>
          <w:lang w:val="es-US"/>
        </w:rPr>
      </w:pPr>
      <w:r w:rsidRPr="004D2572">
        <w:rPr>
          <w:rFonts w:eastAsia="Times New Roman" w:cs="Times New Roman"/>
          <w:lang w:val="es-US"/>
        </w:rPr>
        <w:lastRenderedPageBreak/>
        <w:t>Las mociones de urgencia de aplazamiento pueden presentarse con menos de tres días de antelación (si es necesario). Dicha moción debe titularse “Moción de urgencia de aplazamiento” y debe explicar detalladamente (1) por qué la moción no pudo presentarse antes; (2) qué otras partes, si las hay, se oponen a la solicitud; y (3) si no conoce la posición de la otra parte, qué medidas ha tomado para ponerse en contacto con esa parte y determinar su posición.</w:t>
      </w:r>
    </w:p>
    <w:p w14:paraId="113119D1" w14:textId="2616AB19" w:rsidR="00464F51" w:rsidRPr="004D2572" w:rsidRDefault="0CD3B86F" w:rsidP="00FF1240">
      <w:pPr>
        <w:pStyle w:val="ListParagraph"/>
        <w:numPr>
          <w:ilvl w:val="1"/>
          <w:numId w:val="3"/>
        </w:numPr>
        <w:spacing w:after="240" w:line="276" w:lineRule="auto"/>
        <w:contextualSpacing w:val="0"/>
        <w:rPr>
          <w:rFonts w:eastAsia="Times New Roman" w:cs="Times New Roman"/>
          <w:lang w:val="es-US"/>
        </w:rPr>
      </w:pPr>
      <w:r w:rsidRPr="004D2572">
        <w:rPr>
          <w:rFonts w:eastAsia="Times New Roman" w:cs="Times New Roman"/>
          <w:lang w:val="es-US"/>
        </w:rPr>
        <w:t xml:space="preserve">Hay información adicional sobre las mociones de aplazamiento en el </w:t>
      </w:r>
      <w:hyperlink r:id="rId29">
        <w:r w:rsidRPr="004D2572">
          <w:rPr>
            <w:rStyle w:val="Hyperlink"/>
            <w:rFonts w:eastAsia="Times New Roman" w:cs="Times New Roman"/>
            <w:lang w:val="es-US"/>
          </w:rPr>
          <w:t>sitio web de la DALA</w:t>
        </w:r>
      </w:hyperlink>
      <w:r w:rsidRPr="004D2572">
        <w:rPr>
          <w:rFonts w:eastAsia="Times New Roman" w:cs="Times New Roman"/>
          <w:lang w:val="es-US"/>
        </w:rPr>
        <w:t>.</w:t>
      </w:r>
    </w:p>
    <w:p w14:paraId="3F3F066D" w14:textId="2CCF0171" w:rsidR="004E5DD6" w:rsidRPr="004D2572" w:rsidRDefault="00A803D4" w:rsidP="00FF1240">
      <w:pPr>
        <w:pStyle w:val="Heading3"/>
        <w:rPr>
          <w:lang w:val="es-US"/>
        </w:rPr>
      </w:pPr>
      <w:r w:rsidRPr="004D2572">
        <w:rPr>
          <w:lang w:val="es-US"/>
        </w:rPr>
        <w:t>2. Mociones de decisión sumaria</w:t>
      </w:r>
    </w:p>
    <w:p w14:paraId="6FE64F46" w14:textId="1FB0C7A0" w:rsidR="004E5DD6" w:rsidRPr="004D2572" w:rsidRDefault="4AD07776" w:rsidP="00F96513">
      <w:pPr>
        <w:keepLines/>
        <w:spacing w:after="240" w:line="276" w:lineRule="auto"/>
        <w:rPr>
          <w:rFonts w:eastAsia="Times New Roman" w:cs="Times New Roman"/>
          <w:lang w:val="es-US"/>
        </w:rPr>
      </w:pPr>
      <w:r w:rsidRPr="004D2572">
        <w:rPr>
          <w:rFonts w:eastAsia="Times New Roman" w:cs="Times New Roman"/>
          <w:i/>
          <w:iCs/>
          <w:lang w:val="es-US"/>
        </w:rPr>
        <w:t xml:space="preserve">Solicitud de decisión sumaria. </w:t>
      </w:r>
      <w:r w:rsidRPr="004D2572">
        <w:rPr>
          <w:rFonts w:eastAsia="Times New Roman" w:cs="Times New Roman"/>
          <w:lang w:val="es-US"/>
        </w:rPr>
        <w:t xml:space="preserve">A veces, usted o la agencia pueden creer que no es necesaria una audiencia porque los hechos importantes no están realmente en disputa y la ley favorece claramente a una de las partes. En ese caso, cualquiera de las partes puede pedir al magistrado que resuelva el asunto sin audiencia presentando una </w:t>
      </w:r>
      <w:r w:rsidRPr="004D2572">
        <w:rPr>
          <w:rFonts w:eastAsia="Times New Roman" w:cs="Times New Roman"/>
          <w:b/>
          <w:bCs/>
          <w:lang w:val="es-US"/>
        </w:rPr>
        <w:t>moción de decisión sumaria</w:t>
      </w:r>
      <w:r w:rsidRPr="004D2572">
        <w:rPr>
          <w:rFonts w:eastAsia="Times New Roman" w:cs="Times New Roman"/>
          <w:lang w:val="es-US"/>
        </w:rPr>
        <w:t xml:space="preserve">. Se trata de una solicitud para que el magistrado dictamine que usted o la agencia ganan parte o la totalidad del caso sin celebrar una audiencia. Usted o la agencia presentarán documentos con la moción que usted considere que prueban su caso o que la agencia considere que prueban el suyo. La parte que solicita la decisión sumaria puede pedir que el magistrado considere la posibilidad de escuchar los argumentos orales de las partes sobre la moción. </w:t>
      </w:r>
    </w:p>
    <w:p w14:paraId="717C1BCD" w14:textId="2338D0CF" w:rsidR="004E5DD6" w:rsidRPr="004D2572" w:rsidRDefault="4AD07776" w:rsidP="00FF1240">
      <w:pPr>
        <w:spacing w:after="240" w:line="276" w:lineRule="auto"/>
        <w:rPr>
          <w:rFonts w:eastAsia="Times New Roman" w:cs="Times New Roman"/>
          <w:lang w:val="es-US"/>
        </w:rPr>
      </w:pPr>
      <w:r w:rsidRPr="004D2572">
        <w:rPr>
          <w:rFonts w:eastAsia="Times New Roman" w:cs="Times New Roman"/>
          <w:lang w:val="es-US"/>
        </w:rPr>
        <w:t xml:space="preserve">Si una agencia presenta una moción de decisión sumaria, usted dispone de siete días a partir de la fecha de presentación de la moción para presentar su respuesta por escrito a esta. </w:t>
      </w:r>
      <w:r w:rsidRPr="004D2572">
        <w:rPr>
          <w:rFonts w:eastAsia="Times New Roman" w:cs="Times New Roman"/>
          <w:b/>
          <w:bCs/>
          <w:lang w:val="es-US"/>
        </w:rPr>
        <w:t>Es muy importante que presente una respuesta por escrito a la moción dentro del plazo (o, si es necesario, que solicite más tiempo para hacerlo).</w:t>
      </w:r>
      <w:r w:rsidRPr="004D2572">
        <w:rPr>
          <w:rFonts w:eastAsia="Times New Roman" w:cs="Times New Roman"/>
          <w:lang w:val="es-US"/>
        </w:rPr>
        <w:t xml:space="preserve"> Si no lo hace, el magistrado puede decidir la totalidad o parte del caso contra usted sin una audiencia.</w:t>
      </w:r>
    </w:p>
    <w:p w14:paraId="46202023" w14:textId="4ACFD018" w:rsidR="004E5DD6" w:rsidRPr="004D2572" w:rsidRDefault="216D9C26" w:rsidP="00440D95">
      <w:pPr>
        <w:keepLines/>
        <w:spacing w:after="240" w:line="276" w:lineRule="auto"/>
        <w:rPr>
          <w:rFonts w:eastAsia="Times New Roman" w:cs="Times New Roman"/>
          <w:lang w:val="es-US"/>
        </w:rPr>
      </w:pPr>
      <w:r w:rsidRPr="004D2572">
        <w:rPr>
          <w:rFonts w:eastAsia="Times New Roman" w:cs="Times New Roman"/>
          <w:i/>
          <w:iCs/>
          <w:lang w:val="es-US"/>
        </w:rPr>
        <w:t xml:space="preserve">Oposición a una moción de decisión sumaria. </w:t>
      </w:r>
      <w:r w:rsidRPr="004D2572">
        <w:rPr>
          <w:rFonts w:eastAsia="Times New Roman" w:cs="Times New Roman"/>
          <w:lang w:val="es-US"/>
        </w:rPr>
        <w:t>Cuando la parte contraria solicita una decisión sumaria y usted desea que el caso siga adelante hasta una audiencia, puede presentar una respuesta por escrito argumentando en contra de la moción. En esencia, usted argumenta que el caso debe continuar porque los hechos son realmente controvertidos. Cuando responda a una moción de decisión sumaria, debe explicar por qué hay dudas sobre los hechos del caso que requieren una audiencia completa. Es útil señalar al magistrado si distintos testigos cuentan historias diferentes sobre los hechos en cuestión o si hay documentos que apoyan su versión de los hechos. En su respuesta a una moción de decisión sumaria, debe exponer por escrito al magistrado sus mejores argumentos. Además, puede pedir al magistrado que considere la posibilidad de escuchar los argumentos orales de las partes sobre la moción.</w:t>
      </w:r>
    </w:p>
    <w:p w14:paraId="5BBDFBB0" w14:textId="3D3AB51B" w:rsidR="004E5DD6" w:rsidRPr="004D2572" w:rsidRDefault="4AD07776" w:rsidP="00FF1240">
      <w:pPr>
        <w:spacing w:after="240" w:line="276" w:lineRule="auto"/>
        <w:rPr>
          <w:rFonts w:eastAsia="Times New Roman" w:cs="Times New Roman"/>
          <w:lang w:val="es-US"/>
        </w:rPr>
      </w:pPr>
      <w:r w:rsidRPr="004D2572">
        <w:rPr>
          <w:rFonts w:eastAsia="Times New Roman" w:cs="Times New Roman"/>
          <w:lang w:val="es-US"/>
        </w:rPr>
        <w:t xml:space="preserve">En su respuesta, puede incluir su propio testimonio en forma de declaración jurada o de declaración no jurada bajo pena de perjurio. No necesita certificar su testimonio ante un </w:t>
      </w:r>
      <w:r w:rsidRPr="004D2572">
        <w:rPr>
          <w:rFonts w:eastAsia="Times New Roman" w:cs="Times New Roman"/>
          <w:lang w:val="es-US"/>
        </w:rPr>
        <w:lastRenderedPageBreak/>
        <w:t>notario. Este testimonio debe incluir los hechos que usted considera que demuestran que debe ganar el caso. Además, puede incluir con su respuesta todos los documentos que considere que demuestran que debe ganar el caso, lo que podría incluir, según corresponda, cartas, correos electrónicos impresos, informes, expedientes médicos, facturas, contratos, registros comerciales, fotografías, grabaciones de audio y videos.</w:t>
      </w:r>
    </w:p>
    <w:p w14:paraId="3FDBCF56" w14:textId="3BC4ADFB" w:rsidR="001D481D" w:rsidRPr="004D2572" w:rsidRDefault="00A803D4" w:rsidP="00FF1240">
      <w:pPr>
        <w:pStyle w:val="Heading2"/>
        <w:rPr>
          <w:lang w:val="es-US"/>
        </w:rPr>
      </w:pPr>
      <w:r w:rsidRPr="004D2572">
        <w:rPr>
          <w:iCs w:val="0"/>
          <w:lang w:val="es-US"/>
        </w:rPr>
        <w:t>F. Exhibición de pruebas</w:t>
      </w:r>
    </w:p>
    <w:p w14:paraId="3F40ABF3" w14:textId="300932A5" w:rsidR="002325E6" w:rsidRPr="004D2572" w:rsidRDefault="00A803D4" w:rsidP="00FF1240">
      <w:pPr>
        <w:pStyle w:val="Heading3"/>
        <w:rPr>
          <w:lang w:val="es-US"/>
        </w:rPr>
      </w:pPr>
      <w:r w:rsidRPr="004D2572">
        <w:rPr>
          <w:lang w:val="es-US"/>
        </w:rPr>
        <w:t>1. ¿Qué es la exhibición de pruebas y por qué es útil?</w:t>
      </w:r>
    </w:p>
    <w:p w14:paraId="547B6D25" w14:textId="15E3A6C2" w:rsidR="002E7737" w:rsidRPr="004D2572" w:rsidRDefault="62D43C7A" w:rsidP="00F96513">
      <w:pPr>
        <w:keepLines/>
        <w:spacing w:after="240" w:line="276" w:lineRule="auto"/>
        <w:rPr>
          <w:rFonts w:eastAsia="Times New Roman" w:cs="Times New Roman"/>
          <w:lang w:val="es-US"/>
        </w:rPr>
      </w:pPr>
      <w:r w:rsidRPr="004D2572">
        <w:rPr>
          <w:rFonts w:eastAsia="Times New Roman" w:cs="Times New Roman"/>
          <w:lang w:val="es-US"/>
        </w:rPr>
        <w:t>La exhibición de pruebas es un proceso para que usted solicite la información y los documentos que la agencia tiene sobre su caso. La exhibición de pruebas le permite obtener información y documentos que el personal de la agencia tiene previsto utilizar como pruebas en la audiencia. Además, puede obtener información y documentos que tenga la agencia y que estén razonablemente relacionados con su caso.</w:t>
      </w:r>
    </w:p>
    <w:p w14:paraId="1E171476" w14:textId="77777777" w:rsidR="002E7737" w:rsidRPr="004D2572" w:rsidRDefault="62D43C7A" w:rsidP="00FF1240">
      <w:pPr>
        <w:spacing w:after="240" w:line="276" w:lineRule="auto"/>
        <w:rPr>
          <w:rFonts w:eastAsia="Times New Roman" w:cs="Times New Roman"/>
          <w:lang w:val="es-US"/>
        </w:rPr>
      </w:pPr>
      <w:r w:rsidRPr="004D2572">
        <w:rPr>
          <w:rFonts w:eastAsia="Times New Roman" w:cs="Times New Roman"/>
          <w:lang w:val="es-US"/>
        </w:rPr>
        <w:t>La exhibición de pruebas puede ayudarle a entender qué información tiene la agencia sobre su caso. Le ayudará a preparar su caso y a evitar sorpresas en la audiencia.</w:t>
      </w:r>
    </w:p>
    <w:p w14:paraId="22618621" w14:textId="5727F3F9" w:rsidR="006E31DE" w:rsidRPr="004D2572" w:rsidRDefault="00A803D4" w:rsidP="00FF1240">
      <w:pPr>
        <w:pStyle w:val="Heading3"/>
        <w:rPr>
          <w:lang w:val="es-US"/>
        </w:rPr>
      </w:pPr>
      <w:r w:rsidRPr="004D2572">
        <w:rPr>
          <w:lang w:val="es-US"/>
        </w:rPr>
        <w:t>2. Tipos de exhibición de pruebas</w:t>
      </w:r>
    </w:p>
    <w:p w14:paraId="08A248D4" w14:textId="157593CA" w:rsidR="00C7303C" w:rsidRPr="004D2572" w:rsidRDefault="3D8B0578" w:rsidP="00FF1240">
      <w:pPr>
        <w:spacing w:after="240" w:line="276" w:lineRule="auto"/>
        <w:rPr>
          <w:rFonts w:eastAsia="Times New Roman" w:cs="Times New Roman"/>
          <w:lang w:val="es-US"/>
        </w:rPr>
      </w:pPr>
      <w:r w:rsidRPr="004D2572">
        <w:rPr>
          <w:rFonts w:eastAsia="Times New Roman" w:cs="Times New Roman"/>
          <w:lang w:val="es-US"/>
        </w:rPr>
        <w:t>El método más común y eficaz para obtener pruebas es la comunicación voluntaria e informal entre las partes. Si hay documentos o información que usted necesita y que la parte contraria puede tener, le animamos a que simplemente se los pida al abogado de la parte contraria. El abogado de la parte contraria también puede hacerle peticiones informales similares.</w:t>
      </w:r>
    </w:p>
    <w:p w14:paraId="1FF708E5" w14:textId="64616067" w:rsidR="0065565B" w:rsidRPr="004D2572" w:rsidRDefault="3D8B0578" w:rsidP="00FF1240">
      <w:pPr>
        <w:spacing w:after="240" w:line="276" w:lineRule="auto"/>
        <w:rPr>
          <w:rFonts w:eastAsia="Times New Roman" w:cs="Times New Roman"/>
          <w:lang w:val="es-US"/>
        </w:rPr>
      </w:pPr>
      <w:r w:rsidRPr="004D2572">
        <w:rPr>
          <w:rFonts w:eastAsia="Times New Roman" w:cs="Times New Roman"/>
          <w:lang w:val="es-US"/>
        </w:rPr>
        <w:t xml:space="preserve">Si no recibe los documentos y la información que necesita a través de conversaciones voluntarias, también puede obtener pruebas mediante procedimientos formales denominados (a) solicitudes de documentos, (b) declaraciones e (c) interrogatorios. En la mayoría de los casos, a menos que usted acepte dar más tiempo a la agencia, esta debe responder a sus solicitudes e interrogatorios en un plazo de 30 días. </w:t>
      </w:r>
    </w:p>
    <w:p w14:paraId="402D5D2A" w14:textId="5BA0977C" w:rsidR="003857A2" w:rsidRPr="004D2572" w:rsidRDefault="2FA01141" w:rsidP="00FF1240">
      <w:pPr>
        <w:spacing w:after="240" w:line="276" w:lineRule="auto"/>
        <w:rPr>
          <w:rFonts w:eastAsia="Times New Roman" w:cs="Times New Roman"/>
          <w:lang w:val="es-US"/>
        </w:rPr>
      </w:pPr>
      <w:r w:rsidRPr="004D2572">
        <w:rPr>
          <w:rFonts w:eastAsia="Times New Roman" w:cs="Times New Roman"/>
          <w:b/>
          <w:bCs/>
          <w:lang w:val="es-US"/>
        </w:rPr>
        <w:t>Las solicitudes de documentos</w:t>
      </w:r>
      <w:r w:rsidRPr="004D2572">
        <w:rPr>
          <w:rFonts w:eastAsia="Times New Roman" w:cs="Times New Roman"/>
          <w:lang w:val="es-US"/>
        </w:rPr>
        <w:t xml:space="preserve">, cuando se envían a la otra parte, requieren que la otra parte le entregue documentos específicos para su inspección y copia. Para solicitar un documento, envíe una solicitud por escrito a la otra parte. Cuando la otra parte sea un organismo estatal, envíe la solicitud al abogado del organismo. </w:t>
      </w:r>
      <w:hyperlink r:id="rId30">
        <w:r w:rsidRPr="004D2572">
          <w:rPr>
            <w:rStyle w:val="Hyperlink"/>
            <w:rFonts w:eastAsia="Times New Roman" w:cs="Times New Roman"/>
            <w:lang w:val="es-US"/>
          </w:rPr>
          <w:t>Sección 1.01(8)(b) del título 801 del C.M.R.</w:t>
        </w:r>
      </w:hyperlink>
    </w:p>
    <w:p w14:paraId="34DD7D61" w14:textId="4B214B21" w:rsidR="00657DA1" w:rsidRPr="004D2572" w:rsidRDefault="077673F1" w:rsidP="00FF1240">
      <w:pPr>
        <w:spacing w:after="240" w:line="276" w:lineRule="auto"/>
        <w:rPr>
          <w:rFonts w:eastAsia="Times New Roman" w:cs="Times New Roman"/>
          <w:lang w:val="es-US"/>
        </w:rPr>
      </w:pPr>
      <w:r w:rsidRPr="004D2572">
        <w:rPr>
          <w:rFonts w:eastAsia="Times New Roman" w:cs="Times New Roman"/>
          <w:lang w:val="es-US"/>
        </w:rPr>
        <w:t xml:space="preserve">Una </w:t>
      </w:r>
      <w:r w:rsidRPr="004D2572">
        <w:rPr>
          <w:rFonts w:eastAsia="Times New Roman" w:cs="Times New Roman"/>
          <w:b/>
          <w:bCs/>
          <w:lang w:val="es-US"/>
        </w:rPr>
        <w:t>declaración</w:t>
      </w:r>
      <w:r w:rsidRPr="004D2572">
        <w:rPr>
          <w:rFonts w:eastAsia="Times New Roman" w:cs="Times New Roman"/>
          <w:lang w:val="es-US"/>
        </w:rPr>
        <w:t xml:space="preserve"> es un testimonio oral prestado por un testigo o parte bajo juramento, como parte del proceso de exhibición de pruebas. En una declaración, usted puede hacer preguntas a un testigo o a una parte, y la otra parte también puede hacer preguntas. Las declaraciones no suelen estar permitidas en los casos ante la DALA. Entre otras cosas, solo están disponibles si la </w:t>
      </w:r>
      <w:r w:rsidRPr="004D2572">
        <w:rPr>
          <w:rFonts w:eastAsia="Times New Roman" w:cs="Times New Roman"/>
          <w:lang w:val="es-US"/>
        </w:rPr>
        <w:lastRenderedPageBreak/>
        <w:t xml:space="preserve">persona no puede asistir a la audiencia o le resultaría muy difícil hacerlo. Para solicitar una declaración, debe presentar una moción especificando el nombre y la dirección de cada persona a la que pretende tomar declaración y los motivos de la declaración. </w:t>
      </w:r>
      <w:hyperlink r:id="rId31">
        <w:r w:rsidRPr="004D2572">
          <w:rPr>
            <w:rStyle w:val="Hyperlink"/>
            <w:rFonts w:eastAsia="Times New Roman" w:cs="Times New Roman"/>
            <w:lang w:val="es-US"/>
          </w:rPr>
          <w:t>Sección 1.01(8)(</w:t>
        </w:r>
        <w:proofErr w:type="gramStart"/>
        <w:r w:rsidRPr="004D2572">
          <w:rPr>
            <w:rStyle w:val="Hyperlink"/>
            <w:rFonts w:eastAsia="Times New Roman" w:cs="Times New Roman"/>
            <w:lang w:val="es-US"/>
          </w:rPr>
          <w:t>c)</w:t>
        </w:r>
        <w:r w:rsidRPr="004D2572">
          <w:rPr>
            <w:rStyle w:val="Hyperlink"/>
            <w:rFonts w:eastAsia="Times New Roman" w:cs="Times New Roman"/>
            <w:lang w:val="es-US"/>
          </w:rPr>
          <w:noBreakHyphen/>
        </w:r>
        <w:proofErr w:type="gramEnd"/>
        <w:r w:rsidRPr="004D2572">
          <w:rPr>
            <w:rStyle w:val="Hyperlink"/>
            <w:rFonts w:eastAsia="Times New Roman" w:cs="Times New Roman"/>
            <w:lang w:val="es-US"/>
          </w:rPr>
          <w:t>(d) del título 801 del C.M.R.</w:t>
        </w:r>
      </w:hyperlink>
    </w:p>
    <w:p w14:paraId="4B6CE5DF" w14:textId="48D7985A" w:rsidR="00093E61" w:rsidRPr="004D2572" w:rsidRDefault="2DE0D6BD" w:rsidP="00F96513">
      <w:pPr>
        <w:keepLines/>
        <w:spacing w:after="240" w:line="276" w:lineRule="auto"/>
        <w:rPr>
          <w:rFonts w:eastAsia="Times New Roman" w:cs="Times New Roman"/>
          <w:lang w:val="es-US"/>
        </w:rPr>
      </w:pPr>
      <w:r w:rsidRPr="004D2572">
        <w:rPr>
          <w:rFonts w:eastAsia="Times New Roman" w:cs="Times New Roman"/>
          <w:lang w:val="es-US"/>
        </w:rPr>
        <w:t xml:space="preserve">Los </w:t>
      </w:r>
      <w:r w:rsidRPr="004D2572">
        <w:rPr>
          <w:rFonts w:eastAsia="Times New Roman" w:cs="Times New Roman"/>
          <w:b/>
          <w:bCs/>
          <w:lang w:val="es-US"/>
        </w:rPr>
        <w:t>interrogatorios</w:t>
      </w:r>
      <w:r w:rsidRPr="004D2572">
        <w:rPr>
          <w:rFonts w:eastAsia="Times New Roman" w:cs="Times New Roman"/>
          <w:lang w:val="es-US"/>
        </w:rPr>
        <w:t xml:space="preserve"> son preguntas sobre el caso que puede enviar a la otra parte. La otra parte debe responder a cada pregunta, a menos que se oponga a una pregunta por motivos legales. Solo puede enviar interrogatorios con el permiso del magistrado. Por lo general, no se admitirán más de 30 preguntas. A menudo se utilizan los interrogatorios para obtener más detalles sobre las pruebas que tiene la otra parte. No puede enviar ningún interrogatorio a la otra parte más de 45 días antes de la fecha de la audiencia. </w:t>
      </w:r>
      <w:hyperlink r:id="rId32">
        <w:r w:rsidRPr="004D2572">
          <w:rPr>
            <w:rStyle w:val="Hyperlink"/>
            <w:rFonts w:eastAsia="Times New Roman" w:cs="Times New Roman"/>
            <w:lang w:val="es-US"/>
          </w:rPr>
          <w:t>Sección 1.01(8)(</w:t>
        </w:r>
        <w:proofErr w:type="gramStart"/>
        <w:r w:rsidRPr="004D2572">
          <w:rPr>
            <w:rStyle w:val="Hyperlink"/>
            <w:rFonts w:eastAsia="Times New Roman" w:cs="Times New Roman"/>
            <w:lang w:val="es-US"/>
          </w:rPr>
          <w:t>g)</w:t>
        </w:r>
        <w:r w:rsidRPr="004D2572">
          <w:rPr>
            <w:rStyle w:val="Hyperlink"/>
            <w:rFonts w:eastAsia="Times New Roman" w:cs="Times New Roman"/>
            <w:lang w:val="es-US"/>
          </w:rPr>
          <w:noBreakHyphen/>
        </w:r>
        <w:proofErr w:type="gramEnd"/>
        <w:r w:rsidRPr="004D2572">
          <w:rPr>
            <w:rStyle w:val="Hyperlink"/>
            <w:rFonts w:eastAsia="Times New Roman" w:cs="Times New Roman"/>
            <w:lang w:val="es-US"/>
          </w:rPr>
          <w:t>(h) del título 801 del C.M.R.</w:t>
        </w:r>
      </w:hyperlink>
    </w:p>
    <w:p w14:paraId="0C0786F8" w14:textId="2A4C2B86" w:rsidR="0038688F" w:rsidRPr="004D2572" w:rsidRDefault="00A803D4" w:rsidP="00FF1240">
      <w:pPr>
        <w:pStyle w:val="Heading3"/>
        <w:rPr>
          <w:lang w:val="es-US"/>
        </w:rPr>
      </w:pPr>
      <w:r w:rsidRPr="004D2572">
        <w:rPr>
          <w:lang w:val="es-US"/>
        </w:rPr>
        <w:t>3. ¿Quién puede participar en la exhibición de pruebas?</w:t>
      </w:r>
    </w:p>
    <w:p w14:paraId="55400E97" w14:textId="01AA3E92" w:rsidR="00343E7E" w:rsidRPr="004D2572" w:rsidRDefault="0EC70B5D" w:rsidP="00FF1240">
      <w:pPr>
        <w:spacing w:after="240" w:line="276" w:lineRule="auto"/>
        <w:rPr>
          <w:rFonts w:eastAsia="Times New Roman" w:cs="Times New Roman"/>
          <w:lang w:val="es-US"/>
        </w:rPr>
      </w:pPr>
      <w:r w:rsidRPr="004D2572">
        <w:rPr>
          <w:rFonts w:eastAsia="Times New Roman" w:cs="Times New Roman"/>
          <w:lang w:val="es-US"/>
        </w:rPr>
        <w:t>Todas las partes de un caso pueden solicitar la exhibición de pruebas. Es importante que responda a la exhibición de pruebas. En la mayoría de los casos, dispone de 30 días a partir de la fecha en que recibió la documentación de la agencia para responder y/u oponerse a las solicitudes.</w:t>
      </w:r>
    </w:p>
    <w:p w14:paraId="0503D98C" w14:textId="5AB0F5C5" w:rsidR="009927A4" w:rsidRPr="004D2572" w:rsidRDefault="00A803D4" w:rsidP="00FF1240">
      <w:pPr>
        <w:pStyle w:val="Heading3"/>
        <w:rPr>
          <w:lang w:val="es-US"/>
        </w:rPr>
      </w:pPr>
      <w:r w:rsidRPr="004D2572">
        <w:rPr>
          <w:lang w:val="es-US"/>
        </w:rPr>
        <w:t>4. ¿Puede solicitarse la exhibición de pruebas a personas o entidades que no sean parte?</w:t>
      </w:r>
    </w:p>
    <w:p w14:paraId="7FBD7518" w14:textId="178B3E82" w:rsidR="009927A4" w:rsidRPr="004D2572" w:rsidRDefault="28C404BA" w:rsidP="00FF1240">
      <w:pPr>
        <w:spacing w:after="240" w:line="276" w:lineRule="auto"/>
        <w:rPr>
          <w:rFonts w:eastAsia="Times New Roman" w:cs="Times New Roman"/>
          <w:lang w:val="es-US"/>
        </w:rPr>
      </w:pPr>
      <w:r w:rsidRPr="004D2572">
        <w:rPr>
          <w:rFonts w:eastAsia="Times New Roman" w:cs="Times New Roman"/>
          <w:lang w:val="es-US"/>
        </w:rPr>
        <w:t xml:space="preserve">Sí. Las partes pueden solicitar citaciones, que son órdenes formales por las que se requiere a una persona u organización que facilite documentos o testifique en una audiencia. Las citaciones pueden utilizarse tanto para las partes como para los terceros. Consulte la página </w:t>
      </w:r>
      <w:hyperlink r:id="rId33">
        <w:r w:rsidRPr="004D2572">
          <w:rPr>
            <w:rStyle w:val="Hyperlink"/>
            <w:rFonts w:eastAsia="Times New Roman" w:cs="Times New Roman"/>
            <w:lang w:val="es-US"/>
          </w:rPr>
          <w:t>Citaciones en procedimientos administrativos</w:t>
        </w:r>
      </w:hyperlink>
      <w:r w:rsidRPr="004D2572">
        <w:rPr>
          <w:rFonts w:eastAsia="Times New Roman" w:cs="Times New Roman"/>
          <w:lang w:val="es-US"/>
        </w:rPr>
        <w:t>.</w:t>
      </w:r>
    </w:p>
    <w:p w14:paraId="515A320D" w14:textId="6B29A7E5" w:rsidR="0038688F" w:rsidRPr="004D2572" w:rsidRDefault="00A803D4" w:rsidP="00FF1240">
      <w:pPr>
        <w:pStyle w:val="Heading3"/>
        <w:rPr>
          <w:lang w:val="es-US"/>
        </w:rPr>
      </w:pPr>
      <w:r w:rsidRPr="004D2572">
        <w:rPr>
          <w:lang w:val="es-US"/>
        </w:rPr>
        <w:t>5. No presente solicitudes, respuestas o producciones de exhibición de pruebas ante la DALA</w:t>
      </w:r>
    </w:p>
    <w:p w14:paraId="6D31CB0D" w14:textId="012AF8E9" w:rsidR="00343E7E" w:rsidRPr="004D2572" w:rsidRDefault="4AEB3223" w:rsidP="00FF1240">
      <w:pPr>
        <w:spacing w:after="240" w:line="276" w:lineRule="auto"/>
        <w:rPr>
          <w:rFonts w:eastAsia="Times New Roman" w:cs="Times New Roman"/>
          <w:lang w:val="es-US"/>
        </w:rPr>
      </w:pPr>
      <w:r w:rsidRPr="004D2572">
        <w:rPr>
          <w:rFonts w:eastAsia="Times New Roman" w:cs="Times New Roman"/>
          <w:lang w:val="es-US"/>
        </w:rPr>
        <w:t>No debe presentar solicitudes, respuestas o producciones de exhibición de pruebas ante la DALA en primera instancia. Si ha enviado solicitudes formales de exhibición de pruebas a la otra parte y no ha recibido respuestas satisfactorias en el plazo aplicable, puede presentar una “moción para obligar”. Este tipo de moción solicita al magistrado que ordene a la otra parte cumplir con sus solicitudes de exhibición de pruebas. Si necesita presentar una moción para obligar, debe adjuntar las solicitudes de exhibición de pruebas y las respuestas en disputa a la moción cuando la presente ante la DALA.</w:t>
      </w:r>
    </w:p>
    <w:p w14:paraId="7D8A9861" w14:textId="7D09CF2E" w:rsidR="00DC5E6E" w:rsidRPr="004D2572" w:rsidRDefault="00A803D4" w:rsidP="00FF1240">
      <w:pPr>
        <w:pStyle w:val="Heading2"/>
        <w:rPr>
          <w:lang w:val="es-US"/>
        </w:rPr>
      </w:pPr>
      <w:r w:rsidRPr="004D2572">
        <w:rPr>
          <w:iCs w:val="0"/>
          <w:lang w:val="es-US"/>
        </w:rPr>
        <w:lastRenderedPageBreak/>
        <w:t>G. Presentaciones previas a la audiencia</w:t>
      </w:r>
    </w:p>
    <w:p w14:paraId="4904CBB5" w14:textId="1BFFFF67" w:rsidR="00DC5E6E" w:rsidRPr="004D2572" w:rsidRDefault="2796BF2D" w:rsidP="00F96513">
      <w:pPr>
        <w:keepNext/>
        <w:keepLines/>
        <w:spacing w:after="240" w:line="276" w:lineRule="auto"/>
        <w:rPr>
          <w:rFonts w:eastAsia="Times New Roman" w:cs="Times New Roman"/>
          <w:lang w:val="es-US"/>
        </w:rPr>
      </w:pPr>
      <w:r w:rsidRPr="004D2572">
        <w:rPr>
          <w:rFonts w:eastAsia="Times New Roman" w:cs="Times New Roman"/>
          <w:lang w:val="es-US"/>
        </w:rPr>
        <w:t>Antes de la audiencia probatoria, las partes deberán facilitar información al magistrado y entre sí sobre las presentaciones que tienen previsto hacer en la audiencia. Una de las órdenes que recibirá le proporcionará instrucciones sobre la información que debe presentar. Normalmente, tendrá que presentar dos documentos:</w:t>
      </w:r>
    </w:p>
    <w:p w14:paraId="4D0A5699" w14:textId="1FAF6D20" w:rsidR="00CE4917" w:rsidRPr="004D2572" w:rsidRDefault="2796BF2D" w:rsidP="00B7275F">
      <w:pPr>
        <w:pStyle w:val="ListParagraph"/>
        <w:keepLines/>
        <w:numPr>
          <w:ilvl w:val="0"/>
          <w:numId w:val="3"/>
        </w:numPr>
        <w:spacing w:after="240" w:line="276" w:lineRule="auto"/>
        <w:contextualSpacing w:val="0"/>
        <w:rPr>
          <w:rFonts w:eastAsia="Times New Roman" w:cs="Times New Roman"/>
          <w:b/>
          <w:bCs/>
          <w:lang w:val="es-US"/>
        </w:rPr>
      </w:pPr>
      <w:r w:rsidRPr="004D2572">
        <w:rPr>
          <w:rFonts w:eastAsia="Times New Roman" w:cs="Times New Roman"/>
          <w:lang w:val="es-US"/>
        </w:rPr>
        <w:t>Un conjunto de</w:t>
      </w:r>
      <w:r w:rsidRPr="004D2572">
        <w:rPr>
          <w:rFonts w:eastAsia="Times New Roman" w:cs="Times New Roman"/>
          <w:b/>
          <w:bCs/>
          <w:lang w:val="es-US"/>
        </w:rPr>
        <w:t xml:space="preserve"> pruebas documentales propuestas</w:t>
      </w:r>
      <w:r w:rsidRPr="004D2572">
        <w:rPr>
          <w:rFonts w:eastAsia="Times New Roman" w:cs="Times New Roman"/>
          <w:lang w:val="es-US"/>
        </w:rPr>
        <w:t>. Sus pruebas documentales propuestas son los documentos u otros elementos que pedirá al magistrado que tenga en cuenta. Los tipos de pruebas documentales que puede proponer dependerán del tipo de caso que esté llevando. Pueden incluir formularios de solicitud, correspondencia, informes médicos, registros de tratamientos, registros financieros, fotos y otros materiales. Normalmente, si ha entregado documentos relacionados con el caso a la parte contraria (es decir, a la agencia), tendrá que volver a presentarlos ante la DALA como pruebas documentales propuestas.</w:t>
      </w:r>
    </w:p>
    <w:p w14:paraId="57125CA5" w14:textId="3D6CC459" w:rsidR="00FF5B81" w:rsidRPr="004D2572" w:rsidRDefault="2796BF2D" w:rsidP="00FF1240">
      <w:pPr>
        <w:pStyle w:val="ListParagraph"/>
        <w:numPr>
          <w:ilvl w:val="0"/>
          <w:numId w:val="3"/>
        </w:numPr>
        <w:spacing w:after="240" w:line="276" w:lineRule="auto"/>
        <w:contextualSpacing w:val="0"/>
        <w:rPr>
          <w:rFonts w:eastAsia="Times New Roman" w:cs="Times New Roman"/>
          <w:lang w:val="es-US"/>
        </w:rPr>
      </w:pPr>
      <w:r w:rsidRPr="004D2572">
        <w:rPr>
          <w:rFonts w:eastAsia="Times New Roman" w:cs="Times New Roman"/>
          <w:lang w:val="es-US"/>
        </w:rPr>
        <w:t xml:space="preserve">Un </w:t>
      </w:r>
      <w:r w:rsidRPr="004D2572">
        <w:rPr>
          <w:rFonts w:eastAsia="Times New Roman" w:cs="Times New Roman"/>
          <w:b/>
          <w:bCs/>
          <w:lang w:val="es-US"/>
        </w:rPr>
        <w:t>memorándum previo a la audiencia</w:t>
      </w:r>
      <w:r w:rsidRPr="004D2572">
        <w:rPr>
          <w:rFonts w:eastAsia="Times New Roman" w:cs="Times New Roman"/>
          <w:lang w:val="es-US"/>
        </w:rPr>
        <w:t>. Su memorándum deberá describir los hechos que tiene previsto probar en la audiencia, los argumentos jurídicos que tiene previsto presentar y otros datos relacionados. Generalmente, los hechos relevantes incluirán los antecedentes que condujeron a la decisión de la agencia que usted está apelando. Por ejemplo, si solicita la jubilación por incapacidad accidental, tendrá que describir el puesto de trabajo en el que trabajaba, la lesión o el peligro laboral que sufrió, la naturaleza de su incapacidad y otros hechos relacionados. Por lo general, la decisión de la agencia que usted está apelando incluirá una breve descripción del análisis de la agencia; su memorándum debe explicar por qué el razonamiento de la agencia es incorrecto.</w:t>
      </w:r>
    </w:p>
    <w:p w14:paraId="1AE8FCAC" w14:textId="1A71B66B" w:rsidR="00EC0025" w:rsidRPr="004D2572" w:rsidRDefault="00A803D4" w:rsidP="00FF1240">
      <w:pPr>
        <w:pStyle w:val="Heading2"/>
        <w:rPr>
          <w:lang w:val="es-US"/>
        </w:rPr>
      </w:pPr>
      <w:r w:rsidRPr="004D2572">
        <w:rPr>
          <w:iCs w:val="0"/>
          <w:lang w:val="es-US"/>
        </w:rPr>
        <w:t>H. Pruebas</w:t>
      </w:r>
    </w:p>
    <w:p w14:paraId="1BB342DA" w14:textId="38F01BD1" w:rsidR="006C2E37" w:rsidRPr="004D2572" w:rsidRDefault="00A803D4" w:rsidP="00FF1240">
      <w:pPr>
        <w:pStyle w:val="Heading3"/>
        <w:rPr>
          <w:lang w:val="es-US"/>
        </w:rPr>
      </w:pPr>
      <w:r w:rsidRPr="004D2572">
        <w:rPr>
          <w:lang w:val="es-US"/>
        </w:rPr>
        <w:t>1. Pruebas en general</w:t>
      </w:r>
    </w:p>
    <w:p w14:paraId="7732220E" w14:textId="3F2C25CF" w:rsidR="00EC0025" w:rsidRPr="004D2572" w:rsidRDefault="041FCB0C" w:rsidP="00FF1240">
      <w:pPr>
        <w:spacing w:after="240" w:line="276" w:lineRule="auto"/>
        <w:rPr>
          <w:rFonts w:eastAsia="Times New Roman" w:cs="Times New Roman"/>
          <w:lang w:val="es-US"/>
        </w:rPr>
      </w:pPr>
      <w:r w:rsidRPr="004D2572">
        <w:rPr>
          <w:rFonts w:eastAsia="Times New Roman" w:cs="Times New Roman"/>
          <w:lang w:val="es-US"/>
        </w:rPr>
        <w:t>Esta es solo una explicación muy breve para un litigante autorrepresentado y no puede analizar todos los aspectos de la prueba que pueden aplicarse en su caso.</w:t>
      </w:r>
    </w:p>
    <w:p w14:paraId="2430F619" w14:textId="190DE518" w:rsidR="00EC0025" w:rsidRPr="004D2572" w:rsidRDefault="041FCB0C" w:rsidP="00FF1240">
      <w:pPr>
        <w:spacing w:after="240" w:line="276" w:lineRule="auto"/>
        <w:rPr>
          <w:rFonts w:eastAsia="Times New Roman" w:cs="Times New Roman"/>
          <w:lang w:val="es-US"/>
        </w:rPr>
      </w:pPr>
      <w:r w:rsidRPr="004D2572">
        <w:rPr>
          <w:rFonts w:eastAsia="Times New Roman" w:cs="Times New Roman"/>
          <w:lang w:val="es-US"/>
        </w:rPr>
        <w:t>En términos generales, las pruebas son información, normalmente en forma de documentos y declaraciones juradas de testigos, utilizada para establecer los hechos de un caso.</w:t>
      </w:r>
    </w:p>
    <w:p w14:paraId="055DE551" w14:textId="2320A480" w:rsidR="00EC0025" w:rsidRPr="004D2572" w:rsidRDefault="00A803D4" w:rsidP="00FF1240">
      <w:pPr>
        <w:pStyle w:val="Heading3"/>
        <w:rPr>
          <w:lang w:val="es-US"/>
        </w:rPr>
      </w:pPr>
      <w:r w:rsidRPr="004D2572">
        <w:rPr>
          <w:lang w:val="es-US"/>
        </w:rPr>
        <w:lastRenderedPageBreak/>
        <w:t>2. Tipos de pruebas</w:t>
      </w:r>
    </w:p>
    <w:p w14:paraId="7E330BCB" w14:textId="77777777" w:rsidR="00EC0025" w:rsidRPr="004D2572" w:rsidRDefault="041FCB0C" w:rsidP="00B7275F">
      <w:pPr>
        <w:keepNext/>
        <w:spacing w:after="240" w:line="276" w:lineRule="auto"/>
        <w:rPr>
          <w:rFonts w:eastAsia="Times New Roman" w:cs="Times New Roman"/>
          <w:lang w:val="es-US"/>
        </w:rPr>
      </w:pPr>
      <w:r w:rsidRPr="004D2572">
        <w:rPr>
          <w:rFonts w:eastAsia="Times New Roman" w:cs="Times New Roman"/>
          <w:lang w:val="es-US"/>
        </w:rPr>
        <w:t>La mayor parte de las pruebas en las audiencias de la DALA proceden de testimonios orales en la audiencia y de documentos admitidos como prueba.</w:t>
      </w:r>
    </w:p>
    <w:p w14:paraId="075873DE" w14:textId="5B90FC57" w:rsidR="00EC0025" w:rsidRPr="004D2572" w:rsidRDefault="041FCB0C" w:rsidP="00FF1240">
      <w:pPr>
        <w:spacing w:after="240" w:line="276" w:lineRule="auto"/>
        <w:rPr>
          <w:rFonts w:eastAsia="Times New Roman" w:cs="Times New Roman"/>
          <w:lang w:val="es-US"/>
        </w:rPr>
      </w:pPr>
      <w:r w:rsidRPr="004D2572">
        <w:rPr>
          <w:rFonts w:eastAsia="Times New Roman" w:cs="Times New Roman"/>
          <w:b/>
          <w:bCs/>
          <w:lang w:val="es-US"/>
        </w:rPr>
        <w:t>Testimonio:</w:t>
      </w:r>
      <w:r w:rsidRPr="004D2572">
        <w:rPr>
          <w:rFonts w:eastAsia="Times New Roman" w:cs="Times New Roman"/>
          <w:lang w:val="es-US"/>
        </w:rPr>
        <w:t xml:space="preserve"> declaraciones realizadas por un testigo bajo juramento, como en un juicio. Al declarar, un testigo dirá al magistrado lo que ocurrió o lo que sabe.</w:t>
      </w:r>
    </w:p>
    <w:p w14:paraId="6761CEB5" w14:textId="22ECB094" w:rsidR="00EC0025" w:rsidRPr="004D2572" w:rsidRDefault="041FCB0C" w:rsidP="00FF1240">
      <w:pPr>
        <w:spacing w:after="240" w:line="276" w:lineRule="auto"/>
        <w:rPr>
          <w:rFonts w:eastAsia="Times New Roman" w:cs="Times New Roman"/>
          <w:lang w:val="es-US"/>
        </w:rPr>
      </w:pPr>
      <w:r w:rsidRPr="004D2572">
        <w:rPr>
          <w:rFonts w:eastAsia="Times New Roman" w:cs="Times New Roman"/>
          <w:lang w:val="es-US"/>
        </w:rPr>
        <w:t xml:space="preserve">Ambas partes de un caso pueden pedir a los testigos que declaren, y ambas partes pueden hacer preguntas a los testigos. Si un testigo declara, puede ser interrogado por ambas partes, independientemente de quién haya solicitado su presencia. El magistrado también puede hacer preguntas a los testigos. Un testigo puede aceptar comparecer en la audiencia voluntariamente o puede ser obligado a comparecer mediante una citación. Consulte la página </w:t>
      </w:r>
      <w:hyperlink r:id="rId34">
        <w:r w:rsidRPr="004D2572">
          <w:rPr>
            <w:rStyle w:val="Hyperlink"/>
            <w:rFonts w:eastAsia="Times New Roman" w:cs="Times New Roman"/>
            <w:lang w:val="es-US"/>
          </w:rPr>
          <w:t>Citaciones en procedimientos administrativos</w:t>
        </w:r>
      </w:hyperlink>
      <w:r w:rsidRPr="004D2572">
        <w:rPr>
          <w:rFonts w:eastAsia="Times New Roman" w:cs="Times New Roman"/>
          <w:lang w:val="es-US"/>
        </w:rPr>
        <w:t>.</w:t>
      </w:r>
    </w:p>
    <w:p w14:paraId="2E43E566" w14:textId="77777777" w:rsidR="00EC0025" w:rsidRPr="004D2572" w:rsidRDefault="041FCB0C" w:rsidP="00FF1240">
      <w:pPr>
        <w:spacing w:after="240" w:line="276" w:lineRule="auto"/>
        <w:rPr>
          <w:rFonts w:eastAsia="Times New Roman" w:cs="Times New Roman"/>
          <w:lang w:val="es-US"/>
        </w:rPr>
      </w:pPr>
      <w:r w:rsidRPr="004D2572">
        <w:rPr>
          <w:rFonts w:eastAsia="Times New Roman" w:cs="Times New Roman"/>
          <w:lang w:val="es-US"/>
        </w:rPr>
        <w:t>Si usted es parte en un caso de la DALA, también puede declarar, y la otra parte puede llamarle a declarar como testigo.</w:t>
      </w:r>
    </w:p>
    <w:p w14:paraId="7DC44641" w14:textId="792AF0B6" w:rsidR="00EC0025" w:rsidRPr="004D2572" w:rsidRDefault="041FCB0C" w:rsidP="00FF1240">
      <w:pPr>
        <w:spacing w:after="240" w:line="276" w:lineRule="auto"/>
        <w:rPr>
          <w:rFonts w:eastAsia="Times New Roman" w:cs="Times New Roman"/>
          <w:lang w:val="es-US"/>
        </w:rPr>
      </w:pPr>
      <w:r w:rsidRPr="004D2572">
        <w:rPr>
          <w:rFonts w:eastAsia="Times New Roman" w:cs="Times New Roman"/>
          <w:b/>
          <w:bCs/>
          <w:lang w:val="es-US"/>
        </w:rPr>
        <w:t>Documentos:</w:t>
      </w:r>
      <w:r w:rsidRPr="004D2572">
        <w:rPr>
          <w:rFonts w:eastAsia="Times New Roman" w:cs="Times New Roman"/>
          <w:lang w:val="es-US"/>
        </w:rPr>
        <w:t xml:space="preserve"> los documentos también pueden utilizarse como prueba. Por ejemplo, papeles (como cartas, correos electrónicos impresos, informes, expedientes médicos, facturas, contratos y registros comerciales), así como fotografías, grabaciones de audio y videos.</w:t>
      </w:r>
    </w:p>
    <w:p w14:paraId="08C3244C" w14:textId="402E8C73" w:rsidR="000C747A" w:rsidRPr="004D2572" w:rsidRDefault="00A803D4" w:rsidP="00FF1240">
      <w:pPr>
        <w:pStyle w:val="Heading3"/>
        <w:rPr>
          <w:lang w:val="es-US"/>
        </w:rPr>
      </w:pPr>
      <w:r w:rsidRPr="004D2572">
        <w:rPr>
          <w:lang w:val="es-US"/>
        </w:rPr>
        <w:t>3. Resoluciones sobre pruebas</w:t>
      </w:r>
    </w:p>
    <w:p w14:paraId="415432E1" w14:textId="02308ECB" w:rsidR="000C747A" w:rsidRPr="004D2572" w:rsidRDefault="28C404BA" w:rsidP="00FF1240">
      <w:pPr>
        <w:spacing w:after="240" w:line="276" w:lineRule="auto"/>
        <w:rPr>
          <w:rFonts w:eastAsia="Times New Roman" w:cs="Times New Roman"/>
          <w:lang w:val="es-US"/>
        </w:rPr>
      </w:pPr>
      <w:r w:rsidRPr="004D2572">
        <w:rPr>
          <w:rFonts w:eastAsia="Times New Roman" w:cs="Times New Roman"/>
          <w:lang w:val="es-US"/>
        </w:rPr>
        <w:t>Cuando un magistrado dicta una resolución, solo puede basarse en pruebas que sean pertinentes para el caso, razonablemente fiables y coherentes con cualquier otra norma jurídica aplicable. Una de las responsabilidades del magistrado es determinar qué pruebas deben ser “admitidas” (consideradas) y cuáles deben ser “excluidas” (descartadas). El magistrado dictará resoluciones admitiendo y excluyendo pruebas antes de la audiencia, en la audiencia o en ambos momentos.</w:t>
      </w:r>
    </w:p>
    <w:p w14:paraId="12D9E6BC" w14:textId="23BBB931" w:rsidR="00B24F09" w:rsidRPr="004D2572" w:rsidRDefault="00A803D4" w:rsidP="00FF1240">
      <w:pPr>
        <w:pStyle w:val="Heading2"/>
        <w:rPr>
          <w:lang w:val="es-US"/>
        </w:rPr>
      </w:pPr>
      <w:r w:rsidRPr="004D2572">
        <w:rPr>
          <w:iCs w:val="0"/>
          <w:lang w:val="es-US"/>
        </w:rPr>
        <w:t>I. Resolución de un asunto sin audiencia</w:t>
      </w:r>
    </w:p>
    <w:p w14:paraId="4C7578F0" w14:textId="2BA3DE32" w:rsidR="00B24F09" w:rsidRPr="004D2572" w:rsidRDefault="17738512" w:rsidP="00FF1240">
      <w:pPr>
        <w:spacing w:after="240" w:line="276" w:lineRule="auto"/>
        <w:rPr>
          <w:rFonts w:eastAsia="Times New Roman" w:cs="Times New Roman"/>
          <w:lang w:val="es-US"/>
        </w:rPr>
      </w:pPr>
      <w:r w:rsidRPr="004D2572">
        <w:rPr>
          <w:rFonts w:eastAsia="Times New Roman" w:cs="Times New Roman"/>
          <w:lang w:val="es-US"/>
        </w:rPr>
        <w:t>Es posible que pueda resolver el caso o llegar a un acuerdo sobre su caso hablando con la agencia. Las negociaciones del acuerdo se llevarán a cabo entre usted y el abogado de la agencia. El magistrado no participará en las negociaciones para llegar a un acuerdo.</w:t>
      </w:r>
    </w:p>
    <w:p w14:paraId="51AD6355" w14:textId="6302D801" w:rsidR="00603239" w:rsidRPr="004D2572" w:rsidRDefault="13F60F95" w:rsidP="00FF1240">
      <w:pPr>
        <w:spacing w:after="240" w:line="276" w:lineRule="auto"/>
        <w:rPr>
          <w:rFonts w:eastAsia="Times New Roman" w:cs="Times New Roman"/>
          <w:lang w:val="es-US"/>
        </w:rPr>
      </w:pPr>
      <w:r w:rsidRPr="004D2572">
        <w:rPr>
          <w:rFonts w:eastAsia="Times New Roman" w:cs="Times New Roman"/>
          <w:lang w:val="es-US"/>
        </w:rPr>
        <w:t xml:space="preserve">Si una de las partes considera que la ley apoya claramente su posición y no existe un verdadero desacuerdo sobre los hechos, esa parte puede solicitar una decisión sumaria. Consulte la sección </w:t>
      </w:r>
      <w:hyperlink r:id="rId35" w:history="1">
        <w:r w:rsidRPr="004D2572">
          <w:rPr>
            <w:rStyle w:val="Hyperlink"/>
            <w:rFonts w:eastAsia="Times New Roman" w:cs="Times New Roman"/>
            <w:lang w:val="es-US"/>
          </w:rPr>
          <w:t>Mociones de decisión sumaria</w:t>
        </w:r>
      </w:hyperlink>
      <w:r w:rsidRPr="004D2572">
        <w:rPr>
          <w:rFonts w:eastAsia="Times New Roman" w:cs="Times New Roman"/>
          <w:lang w:val="es-US"/>
        </w:rPr>
        <w:t>.</w:t>
      </w:r>
    </w:p>
    <w:p w14:paraId="68C8EE5E" w14:textId="0796CFFB" w:rsidR="00B24F09" w:rsidRPr="004D2572" w:rsidRDefault="13F60F95" w:rsidP="00F96513">
      <w:pPr>
        <w:keepNext/>
        <w:keepLines/>
        <w:spacing w:after="240" w:line="276" w:lineRule="auto"/>
        <w:rPr>
          <w:rFonts w:eastAsia="Times New Roman" w:cs="Times New Roman"/>
          <w:lang w:val="es-US"/>
        </w:rPr>
      </w:pPr>
      <w:r w:rsidRPr="004D2572">
        <w:rPr>
          <w:rFonts w:eastAsia="Times New Roman" w:cs="Times New Roman"/>
          <w:lang w:val="es-US"/>
        </w:rPr>
        <w:lastRenderedPageBreak/>
        <w:t xml:space="preserve">Alternativamente, usted y la agencia pueden elegir que su caso se decida utilizando material escrito en lugar de celebrar una audiencia. Esto funciona mejor cuando los principales hechos del caso no son controvertidos o pueden extrapolarse de documentos en lugar de testimonios de testigos. Para solicitar esta opción, las partes deben presentar una notificación a la DALA. Si parece que el caso puede decidirse sin audiencia, la DALA fijará un calendario que dará a cada parte un plazo para presentar: </w:t>
      </w:r>
    </w:p>
    <w:p w14:paraId="7F6D7798" w14:textId="77777777" w:rsidR="00B24F09" w:rsidRPr="004D2572" w:rsidRDefault="13F60F95" w:rsidP="00A803D4">
      <w:pPr>
        <w:pStyle w:val="ListParagraph"/>
        <w:keepNext/>
        <w:numPr>
          <w:ilvl w:val="0"/>
          <w:numId w:val="2"/>
        </w:numPr>
        <w:spacing w:after="240" w:line="276" w:lineRule="auto"/>
        <w:contextualSpacing w:val="0"/>
        <w:rPr>
          <w:rFonts w:eastAsia="Times New Roman" w:cs="Times New Roman"/>
          <w:lang w:val="es-US"/>
        </w:rPr>
      </w:pPr>
      <w:r w:rsidRPr="004D2572">
        <w:rPr>
          <w:rFonts w:eastAsia="Times New Roman" w:cs="Times New Roman"/>
          <w:lang w:val="es-US"/>
        </w:rPr>
        <w:t>todos los documentos, incluidas las declaraciones juradas, que quieran que se tengan en cuenta;</w:t>
      </w:r>
    </w:p>
    <w:p w14:paraId="2591EE31" w14:textId="4EFE6D00" w:rsidR="00B24F09" w:rsidRPr="004D2572" w:rsidRDefault="13F60F95" w:rsidP="00F96513">
      <w:pPr>
        <w:pStyle w:val="ListParagraph"/>
        <w:keepNext/>
        <w:numPr>
          <w:ilvl w:val="0"/>
          <w:numId w:val="2"/>
        </w:numPr>
        <w:spacing w:after="240" w:line="276" w:lineRule="auto"/>
        <w:contextualSpacing w:val="0"/>
        <w:rPr>
          <w:rFonts w:eastAsia="Times New Roman" w:cs="Times New Roman"/>
          <w:lang w:val="es-US"/>
        </w:rPr>
      </w:pPr>
      <w:r w:rsidRPr="004D2572">
        <w:rPr>
          <w:rFonts w:eastAsia="Times New Roman" w:cs="Times New Roman"/>
          <w:lang w:val="es-US"/>
        </w:rPr>
        <w:t>los hechos, incluidos los hechos estipulados, que creen que apoyan su caso; y</w:t>
      </w:r>
    </w:p>
    <w:p w14:paraId="6A6B9DE6" w14:textId="77777777" w:rsidR="00B24F09" w:rsidRPr="004D2572" w:rsidRDefault="13F60F95" w:rsidP="00FF1240">
      <w:pPr>
        <w:pStyle w:val="ListParagraph"/>
        <w:numPr>
          <w:ilvl w:val="0"/>
          <w:numId w:val="2"/>
        </w:numPr>
        <w:spacing w:after="240" w:line="276" w:lineRule="auto"/>
        <w:contextualSpacing w:val="0"/>
        <w:rPr>
          <w:rFonts w:eastAsia="Times New Roman" w:cs="Times New Roman"/>
          <w:lang w:val="es-US"/>
        </w:rPr>
      </w:pPr>
      <w:r w:rsidRPr="004D2572">
        <w:rPr>
          <w:rFonts w:eastAsia="Times New Roman" w:cs="Times New Roman"/>
          <w:lang w:val="es-US"/>
        </w:rPr>
        <w:t xml:space="preserve">argumentos por escrito en los que se explique por qué la ley apoya su postura. </w:t>
      </w:r>
    </w:p>
    <w:p w14:paraId="3D956110" w14:textId="014C318E" w:rsidR="00B24F09" w:rsidRPr="004D2572" w:rsidRDefault="13F60F95" w:rsidP="00FF1240">
      <w:pPr>
        <w:spacing w:after="240" w:line="276" w:lineRule="auto"/>
        <w:rPr>
          <w:rFonts w:eastAsia="Times New Roman" w:cs="Times New Roman"/>
          <w:lang w:val="es-US"/>
        </w:rPr>
      </w:pPr>
      <w:r w:rsidRPr="004D2572">
        <w:rPr>
          <w:rFonts w:eastAsia="Times New Roman" w:cs="Times New Roman"/>
          <w:lang w:val="es-US"/>
        </w:rPr>
        <w:t xml:space="preserve">Puede consultar la normativa relativa a esta opción aquí: </w:t>
      </w:r>
      <w:hyperlink r:id="rId36">
        <w:r w:rsidRPr="004D2572">
          <w:rPr>
            <w:rStyle w:val="Hyperlink"/>
            <w:rFonts w:eastAsia="Times New Roman" w:cs="Times New Roman"/>
            <w:lang w:val="es-US"/>
          </w:rPr>
          <w:t>sección 1.01(10)(c) del título 801 del C.M.R.</w:t>
        </w:r>
      </w:hyperlink>
    </w:p>
    <w:p w14:paraId="6699CB87" w14:textId="19BB214B" w:rsidR="003F0EE1" w:rsidRPr="004D2572" w:rsidRDefault="00A803D4" w:rsidP="00FF1240">
      <w:pPr>
        <w:pStyle w:val="Heading2"/>
        <w:rPr>
          <w:lang w:val="es-US"/>
        </w:rPr>
      </w:pPr>
      <w:r w:rsidRPr="004D2572">
        <w:rPr>
          <w:iCs w:val="0"/>
          <w:lang w:val="es-US"/>
        </w:rPr>
        <w:t>J. La audiencia</w:t>
      </w:r>
    </w:p>
    <w:p w14:paraId="7A2817A2" w14:textId="7C1D945B" w:rsidR="00DA7C5B" w:rsidRPr="004D2572" w:rsidRDefault="00A803D4" w:rsidP="00FF1240">
      <w:pPr>
        <w:pStyle w:val="Heading3"/>
        <w:rPr>
          <w:lang w:val="es-US"/>
        </w:rPr>
      </w:pPr>
      <w:r w:rsidRPr="004D2572">
        <w:rPr>
          <w:lang w:val="es-US"/>
        </w:rPr>
        <w:t>1. ¿Qué ocurre en una audiencia?</w:t>
      </w:r>
    </w:p>
    <w:p w14:paraId="28957148" w14:textId="38B90135" w:rsidR="00E25525" w:rsidRPr="004D2572" w:rsidRDefault="15B74813" w:rsidP="00FF1240">
      <w:pPr>
        <w:spacing w:after="240" w:line="276" w:lineRule="auto"/>
        <w:rPr>
          <w:rFonts w:eastAsia="Times New Roman" w:cs="Times New Roman"/>
          <w:lang w:val="es-US"/>
        </w:rPr>
      </w:pPr>
      <w:r w:rsidRPr="004D2572">
        <w:rPr>
          <w:rFonts w:eastAsia="Times New Roman" w:cs="Times New Roman"/>
          <w:lang w:val="es-US"/>
        </w:rPr>
        <w:t>Las audiencias pueden durar desde una hora hasta una semana entera o más, según el tema de que se trate. Las audiencias siguen el formato de un juicio, pero son menos formales.</w:t>
      </w:r>
    </w:p>
    <w:p w14:paraId="7314B6F5" w14:textId="0853C136" w:rsidR="00E25525" w:rsidRPr="004D2572" w:rsidRDefault="154233C3" w:rsidP="00FF1240">
      <w:pPr>
        <w:spacing w:after="240" w:line="276" w:lineRule="auto"/>
        <w:rPr>
          <w:rFonts w:eastAsia="Times New Roman" w:cs="Times New Roman"/>
          <w:lang w:val="es-US"/>
        </w:rPr>
      </w:pPr>
      <w:r w:rsidRPr="004D2572">
        <w:rPr>
          <w:rFonts w:eastAsia="Times New Roman" w:cs="Times New Roman"/>
          <w:lang w:val="es-US"/>
        </w:rPr>
        <w:t>Antes de que comience formalmente la audiencia, el magistrado suele preguntar si hay algún “asunto interno” o algo que deba debatirse para que la audiencia se desarrolle con mayor fluidez. Dígale al magistrado si alguno de sus testigos tiene limitaciones de horario, si tiene problemas con las pruebas (suyas o de la otra parte), si necesita hacer pausas en determinados momentos por razones médicas o cualquier otra cosa que pueda afectar al desarrollo de la audiencia.</w:t>
      </w:r>
    </w:p>
    <w:p w14:paraId="00A954A6" w14:textId="06CE04A9" w:rsidR="00B938D3" w:rsidRPr="004D2572" w:rsidRDefault="15B74813" w:rsidP="00FF1240">
      <w:pPr>
        <w:keepNext/>
        <w:spacing w:after="240" w:line="276" w:lineRule="auto"/>
        <w:rPr>
          <w:rFonts w:eastAsia="Times New Roman" w:cs="Times New Roman"/>
          <w:lang w:val="es-US"/>
        </w:rPr>
      </w:pPr>
      <w:r w:rsidRPr="004D2572">
        <w:rPr>
          <w:rFonts w:eastAsia="Times New Roman" w:cs="Times New Roman"/>
          <w:lang w:val="es-US"/>
        </w:rPr>
        <w:t>Las audiencias constan de la mayoría de los siguientes pasos, aunque algunos de ellos pueden omitirse:</w:t>
      </w:r>
    </w:p>
    <w:p w14:paraId="36A5EE8D" w14:textId="5AC5655C" w:rsidR="007D5593" w:rsidRPr="004D2572" w:rsidRDefault="0CD3E858"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Comienzo:</w:t>
      </w:r>
      <w:r w:rsidRPr="004D2572">
        <w:rPr>
          <w:rFonts w:eastAsia="Times New Roman" w:cs="Times New Roman"/>
          <w:lang w:val="es-US"/>
        </w:rPr>
        <w:t xml:space="preserve"> el magistrado suele dar la bienvenida a los participantes y lee la información procesal en el acta. El magistrado admite formalmente los documentos como pruebas.</w:t>
      </w:r>
    </w:p>
    <w:p w14:paraId="41DECB35" w14:textId="45E4C498" w:rsidR="00B938D3" w:rsidRPr="004D2572" w:rsidRDefault="15B74813"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Declaración inicial:</w:t>
      </w:r>
      <w:r w:rsidRPr="004D2572">
        <w:rPr>
          <w:rFonts w:eastAsia="Times New Roman" w:cs="Times New Roman"/>
          <w:lang w:val="es-US"/>
        </w:rPr>
        <w:t xml:space="preserve"> cada una de las partes puede explicar rápidamente su posición en el caso y decir lo que cree que probará con pruebas. La declaración inicial no es una prueba. Por lo general, la parte que ha solicitado la audiencia será la primera en hacer su declaración inicial, a la que seguirá la de la otra parte. No tiene que hacer una declaración inicial, pero puede ayudar al magistrado a entender su posición.</w:t>
      </w:r>
    </w:p>
    <w:p w14:paraId="2E30E78D" w14:textId="4374A3E5" w:rsidR="00B938D3" w:rsidRPr="004D2572" w:rsidRDefault="15B74813" w:rsidP="00B7275F">
      <w:pPr>
        <w:pStyle w:val="ListParagraph"/>
        <w:keepLines/>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lastRenderedPageBreak/>
        <w:t>Presentación de pruebas:</w:t>
      </w:r>
      <w:r w:rsidRPr="004D2572">
        <w:rPr>
          <w:rFonts w:eastAsia="Times New Roman" w:cs="Times New Roman"/>
          <w:lang w:val="es-US"/>
        </w:rPr>
        <w:t xml:space="preserve"> en la mayoría de los casos, la parte que solicita que se haga algo tiene la carga de la prueba y debe demostrar con pruebas (como testimonios y documentos) que tiene derecho a lo que solicita. Normalmente, esta parte presenta sus pruebas en primer lugar, seguida de la otra o las otras partes. Consulte la sección </w:t>
      </w:r>
      <w:hyperlink r:id="rId37" w:history="1">
        <w:r w:rsidRPr="004D2572">
          <w:rPr>
            <w:rStyle w:val="Hyperlink"/>
            <w:rFonts w:eastAsia="Times New Roman" w:cs="Times New Roman"/>
            <w:lang w:val="es-US"/>
          </w:rPr>
          <w:t>Pruebas</w:t>
        </w:r>
      </w:hyperlink>
      <w:r w:rsidRPr="004D2572">
        <w:rPr>
          <w:rFonts w:eastAsia="Times New Roman" w:cs="Times New Roman"/>
          <w:lang w:val="es-US"/>
        </w:rPr>
        <w:t>.</w:t>
      </w:r>
    </w:p>
    <w:p w14:paraId="36FEE37D" w14:textId="2C7A9333" w:rsidR="00B938D3" w:rsidRPr="004D2572" w:rsidRDefault="15B74813"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Testigos:</w:t>
      </w:r>
      <w:r w:rsidRPr="004D2572">
        <w:rPr>
          <w:rFonts w:eastAsia="Times New Roman" w:cs="Times New Roman"/>
          <w:lang w:val="es-US"/>
        </w:rPr>
        <w:t xml:space="preserve"> como parte de la presentación de pruebas, cada una de las partes puede llamar a testigos, que son puestos bajo juramento o afirmación (en otras palabras, juran decir la verdad o afirman que prestarán testimonio bajo pena de perjurio). Uno por uno, los testigos responden primero a las preguntas de la parte que los ha citado (interrogatorio directo) y luego pueden responder a las preguntas de la otra parte (contrainterrogatorio). El magistrado también puede hacer preguntas. En algunas circunstancias, puede exigirse a los testigos que esperen fuera de la sala de audiencias hasta que sean llamados a declarar.</w:t>
      </w:r>
    </w:p>
    <w:p w14:paraId="5DE08ADF" w14:textId="115EB758" w:rsidR="00B938D3" w:rsidRPr="004D2572" w:rsidRDefault="15B74813"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Pruebas documentales:</w:t>
      </w:r>
      <w:r w:rsidRPr="004D2572">
        <w:rPr>
          <w:rFonts w:eastAsia="Times New Roman" w:cs="Times New Roman"/>
          <w:lang w:val="es-US"/>
        </w:rPr>
        <w:t xml:space="preserve"> antes de la audiencia, recibirá una orden en la que se exigirá a las partes que informen al magistrado y entre sí sobre las pruebas documentales que las partes solicitarán al magistrado que considere. También debe llevar copias de sus pruebas documentales a la audiencia.</w:t>
      </w:r>
    </w:p>
    <w:p w14:paraId="17307869" w14:textId="7AF0B110" w:rsidR="000A1ADA" w:rsidRPr="004D2572" w:rsidRDefault="6904BA53" w:rsidP="00FF1240">
      <w:pPr>
        <w:pStyle w:val="ListParagraph"/>
        <w:numPr>
          <w:ilvl w:val="1"/>
          <w:numId w:val="5"/>
        </w:numPr>
        <w:spacing w:after="240" w:line="276" w:lineRule="auto"/>
        <w:contextualSpacing w:val="0"/>
        <w:rPr>
          <w:rFonts w:eastAsia="Times New Roman" w:cs="Times New Roman"/>
          <w:lang w:val="es-US"/>
        </w:rPr>
      </w:pPr>
      <w:r w:rsidRPr="004D2572">
        <w:rPr>
          <w:rFonts w:eastAsia="Times New Roman" w:cs="Times New Roman"/>
          <w:lang w:val="es-US"/>
        </w:rPr>
        <w:t>Tenga en cuenta que puede ponerse en contacto con la(s) parte(s) contraria(s) antes de la audiencia para determinar si pueden ponerse de acuerdo sobre las pruebas documentales que se presentarán en la audiencia. Tanto si se llega a un acuerdo como si no, las pruebas documentales propuestas de cinco o más páginas deben ir numeradas.</w:t>
      </w:r>
    </w:p>
    <w:p w14:paraId="49DB0F86" w14:textId="66A9F653" w:rsidR="00B938D3" w:rsidRPr="004D2572" w:rsidRDefault="15B74813"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Objeciones:</w:t>
      </w:r>
      <w:r w:rsidRPr="004D2572">
        <w:rPr>
          <w:rFonts w:eastAsia="Times New Roman" w:cs="Times New Roman"/>
          <w:lang w:val="es-US"/>
        </w:rPr>
        <w:t xml:space="preserve"> cualquiera de las partes puede objetar preguntas, testimonios o pruebas documentales. Una objeción debe tener un motivo legal. El magistrado “mantiene” la objeción (lo que significa que el testimonio o la prueba documental no se tendrá en cuenta a la hora de decidir el caso) o “anula” la objeción (la prueba puede tenerse en cuenta).</w:t>
      </w:r>
    </w:p>
    <w:p w14:paraId="2249B90E" w14:textId="54C70741" w:rsidR="00B938D3" w:rsidRPr="004D2572" w:rsidRDefault="15B74813" w:rsidP="00FF1240">
      <w:pPr>
        <w:pStyle w:val="ListParagraph"/>
        <w:numPr>
          <w:ilvl w:val="0"/>
          <w:numId w:val="5"/>
        </w:numPr>
        <w:spacing w:after="240" w:line="276" w:lineRule="auto"/>
        <w:contextualSpacing w:val="0"/>
        <w:rPr>
          <w:rFonts w:eastAsia="Times New Roman" w:cs="Times New Roman"/>
          <w:lang w:val="es-US"/>
        </w:rPr>
      </w:pPr>
      <w:r w:rsidRPr="004D2572">
        <w:rPr>
          <w:rFonts w:eastAsia="Times New Roman" w:cs="Times New Roman"/>
          <w:b/>
          <w:bCs/>
          <w:lang w:val="es-US"/>
        </w:rPr>
        <w:t>Alegato final:</w:t>
      </w:r>
      <w:r w:rsidRPr="004D2572">
        <w:rPr>
          <w:rFonts w:eastAsia="Times New Roman" w:cs="Times New Roman"/>
          <w:lang w:val="es-US"/>
        </w:rPr>
        <w:t xml:space="preserve"> al final de la audiencia, cada parte puede resumir lo que muestran las pruebas y argumentar por qué el magistrado debe recomendar una resolución a favor de esa parte. El alegato final no es una prueba.</w:t>
      </w:r>
    </w:p>
    <w:p w14:paraId="58011413" w14:textId="7D86F960" w:rsidR="00F14C53" w:rsidRPr="004D2572" w:rsidRDefault="338531A8" w:rsidP="00FF1240">
      <w:pPr>
        <w:pStyle w:val="ListParagraph"/>
        <w:numPr>
          <w:ilvl w:val="1"/>
          <w:numId w:val="5"/>
        </w:numPr>
        <w:spacing w:after="240" w:line="276" w:lineRule="auto"/>
        <w:contextualSpacing w:val="0"/>
        <w:rPr>
          <w:rFonts w:eastAsia="Times New Roman" w:cs="Times New Roman"/>
          <w:lang w:val="es-US"/>
        </w:rPr>
      </w:pPr>
      <w:r w:rsidRPr="004D2572">
        <w:rPr>
          <w:rFonts w:eastAsia="Times New Roman" w:cs="Times New Roman"/>
          <w:lang w:val="es-US"/>
        </w:rPr>
        <w:t xml:space="preserve">Normalmente, el magistrado preguntará si las partes desean hacer alegatos finales o presentar escritos posteriores a la audiencia en los que se describan los argumentos de cada parte y las fuentes en las que se apoyan. Según lo que soliciten las partes, el magistrado puede cerrar el acta tras la presentación de los </w:t>
      </w:r>
      <w:r w:rsidRPr="004D2572">
        <w:rPr>
          <w:rFonts w:eastAsia="Times New Roman" w:cs="Times New Roman"/>
          <w:lang w:val="es-US"/>
        </w:rPr>
        <w:lastRenderedPageBreak/>
        <w:t>alegatos finales, o se puede instruir o invitar a las partes a que presenten escritos posteriores a la audiencia.</w:t>
      </w:r>
    </w:p>
    <w:p w14:paraId="482461BC" w14:textId="1E03009F" w:rsidR="00A62D13" w:rsidRPr="004D2572" w:rsidRDefault="00A803D4" w:rsidP="00FF1240">
      <w:pPr>
        <w:pStyle w:val="Heading3"/>
        <w:rPr>
          <w:lang w:val="es-US"/>
        </w:rPr>
      </w:pPr>
      <w:r w:rsidRPr="004D2572">
        <w:rPr>
          <w:lang w:val="es-US"/>
        </w:rPr>
        <w:t>2. ¿Qué es la carga de la prueba?</w:t>
      </w:r>
    </w:p>
    <w:p w14:paraId="00A33F04" w14:textId="3DFC683C" w:rsidR="00BD48EE" w:rsidRPr="004D2572" w:rsidRDefault="4DF4C038" w:rsidP="00F96513">
      <w:pPr>
        <w:keepNext/>
        <w:keepLines/>
        <w:spacing w:after="240" w:line="276" w:lineRule="auto"/>
        <w:rPr>
          <w:rFonts w:eastAsia="Times New Roman" w:cs="Times New Roman"/>
          <w:lang w:val="es-US"/>
        </w:rPr>
      </w:pPr>
      <w:r w:rsidRPr="004D2572">
        <w:rPr>
          <w:rFonts w:eastAsia="Times New Roman" w:cs="Times New Roman"/>
          <w:lang w:val="es-US"/>
        </w:rPr>
        <w:t>Se dice que la parte que debe probar sus alegaciones tiene la carga de la prueba. En las audiencias de la DALA, la parte que tiene la carga de la prueba debe demostrar los hechos mediante lo que se denomina “preponderancia de la prueba”. Esto significa que la parte que tiene la carga de la prueba debe demostrar que un hecho tiene más probabilidades de ser cierto que de no serlo. Los casos en la DALA no son casos penales. Por ello, la carga de la prueba en las audiencias de la DALA nunca es el estándar penal de “más allá de toda duda razonable”.</w:t>
      </w:r>
    </w:p>
    <w:p w14:paraId="0AB8CEF5" w14:textId="2F57ABF0" w:rsidR="0021159B" w:rsidRPr="004D2572" w:rsidRDefault="00A803D4" w:rsidP="00FF1240">
      <w:pPr>
        <w:pStyle w:val="Heading3"/>
        <w:rPr>
          <w:lang w:val="es-US"/>
        </w:rPr>
      </w:pPr>
      <w:r w:rsidRPr="004D2572">
        <w:rPr>
          <w:lang w:val="es-US"/>
        </w:rPr>
        <w:t>3. ¿Quién tiene la carga de la prueba?</w:t>
      </w:r>
    </w:p>
    <w:p w14:paraId="7BEF1BAB" w14:textId="4E529652" w:rsidR="005A5FF8" w:rsidRPr="004D2572" w:rsidRDefault="4D96467D" w:rsidP="00A803D4">
      <w:pPr>
        <w:keepLines/>
        <w:spacing w:after="240" w:line="276" w:lineRule="auto"/>
        <w:rPr>
          <w:rFonts w:eastAsia="Times New Roman" w:cs="Times New Roman"/>
          <w:lang w:val="es-US"/>
        </w:rPr>
      </w:pPr>
      <w:r w:rsidRPr="004D2572">
        <w:rPr>
          <w:rFonts w:eastAsia="Times New Roman" w:cs="Times New Roman"/>
          <w:lang w:val="es-US"/>
        </w:rPr>
        <w:t>La mayoría de las veces, la parte que envía el caso a la DALA (es decir, la persona o la empresa que impugna la decisión de la agencia) debe cumplir su carga de la prueba para ganar. Sin embargo, en algunos casos, la agencia tendrá la carga de la prueba. Cuando no esté claro quién tiene la carga de la prueba, el magistrado estudiará el caso y decidirá qué parte tiene la carga de la prueba.</w:t>
      </w:r>
    </w:p>
    <w:p w14:paraId="19FAAB0E" w14:textId="35348A98" w:rsidR="00DF7AB9" w:rsidRPr="004D2572" w:rsidRDefault="00A803D4" w:rsidP="00FF1240">
      <w:pPr>
        <w:pStyle w:val="Heading3"/>
        <w:rPr>
          <w:lang w:val="es-US"/>
        </w:rPr>
      </w:pPr>
      <w:r w:rsidRPr="004D2572">
        <w:rPr>
          <w:lang w:val="es-US"/>
        </w:rPr>
        <w:t>4. ¿Puedo llevar testigos a la audiencia?</w:t>
      </w:r>
    </w:p>
    <w:p w14:paraId="58FF4FC8" w14:textId="1B67CB3B" w:rsidR="00DF7AB9" w:rsidRPr="004D2572" w:rsidRDefault="426DA9C3" w:rsidP="00FF1240">
      <w:pPr>
        <w:rPr>
          <w:lang w:val="es-US"/>
        </w:rPr>
      </w:pPr>
      <w:r w:rsidRPr="004D2572">
        <w:rPr>
          <w:lang w:val="es-US"/>
        </w:rPr>
        <w:t>Sí, puede llevar testigos para que declaren a su favor. Los testigos deben tener conocimientos personales (es decir, de primera mano) sobre el caso. Antes de la audiencia, recibirá una orden en la que se requerirá a las partes que intercambien los nombres de sus testigos y que faciliten información sobre el testimonio previsto de los testigos antes de la audiencia para que las partes puedan prepararse. En esos casos, si no facilita la información, es posible que no se permita declarar a sus testigos.</w:t>
      </w:r>
    </w:p>
    <w:p w14:paraId="1139519D" w14:textId="6E462003" w:rsidR="00AD6748" w:rsidRPr="004D2572" w:rsidRDefault="426DA9C3" w:rsidP="00FF1240">
      <w:pPr>
        <w:spacing w:after="240" w:line="276" w:lineRule="auto"/>
        <w:rPr>
          <w:rFonts w:eastAsia="Times New Roman" w:cs="Times New Roman"/>
          <w:lang w:val="es-US"/>
        </w:rPr>
      </w:pPr>
      <w:r w:rsidRPr="004D2572">
        <w:rPr>
          <w:rFonts w:eastAsia="Times New Roman" w:cs="Times New Roman"/>
          <w:lang w:val="es-US"/>
        </w:rPr>
        <w:t>Si su audiencia es en persona, simplemente haga que sus testigos se presenten en el lugar de la audiencia a la hora y fecha de esta. Póngase en contacto con sus testigos antes de la audiencia y pídales que organicen sus horarios para que puedan llegar a tiempo y estar preparados para participar en la audiencia. También puede solicitar que un testigo comparezca virtualmente.</w:t>
      </w:r>
    </w:p>
    <w:p w14:paraId="7B0F5771" w14:textId="46EC296A" w:rsidR="009E6877" w:rsidRPr="004D2572" w:rsidRDefault="00A803D4" w:rsidP="00FF1240">
      <w:pPr>
        <w:pStyle w:val="Heading3"/>
        <w:rPr>
          <w:lang w:val="es-US"/>
        </w:rPr>
      </w:pPr>
      <w:r w:rsidRPr="004D2572">
        <w:rPr>
          <w:lang w:val="es-US"/>
        </w:rPr>
        <w:t>5. ¿Puedo aportar documentos como prueba?</w:t>
      </w:r>
    </w:p>
    <w:p w14:paraId="1B8E36A0" w14:textId="3A0F5419" w:rsidR="00EE0340" w:rsidRPr="004D2572" w:rsidRDefault="25FE24A2" w:rsidP="00FF1240">
      <w:pPr>
        <w:spacing w:after="240" w:line="276" w:lineRule="auto"/>
        <w:rPr>
          <w:rFonts w:eastAsia="Times New Roman" w:cs="Times New Roman"/>
          <w:lang w:val="es-US"/>
        </w:rPr>
      </w:pPr>
      <w:r w:rsidRPr="004D2572">
        <w:rPr>
          <w:rFonts w:eastAsia="Times New Roman" w:cs="Times New Roman"/>
          <w:lang w:val="es-US"/>
        </w:rPr>
        <w:t>Sí. Asegúrese de llevar copias para el magistrado y las demás partes. Preste atención a cualquier orden que le obligue a enumerar o intercambiar las pruebas documentales que pretende presentar antes de la audiencia. Si hay una orden como esa y usted no enumera o intercambia las pruebas documentales, es posible que no se le permita utilizarlas en la audiencia.</w:t>
      </w:r>
    </w:p>
    <w:p w14:paraId="014356FF" w14:textId="74CBACE1" w:rsidR="009E6877" w:rsidRPr="004D2572" w:rsidRDefault="25FE24A2" w:rsidP="00FF1240">
      <w:pPr>
        <w:spacing w:after="240" w:line="276" w:lineRule="auto"/>
        <w:rPr>
          <w:rFonts w:eastAsia="Times New Roman" w:cs="Times New Roman"/>
          <w:lang w:val="es-US"/>
        </w:rPr>
      </w:pPr>
      <w:r w:rsidRPr="004D2572">
        <w:rPr>
          <w:rFonts w:eastAsia="Times New Roman" w:cs="Times New Roman"/>
          <w:lang w:val="es-US"/>
        </w:rPr>
        <w:lastRenderedPageBreak/>
        <w:t>Recuerde numerar las páginas de los documentos que quiera utilizar como prueba si tienen cinco páginas o más.</w:t>
      </w:r>
    </w:p>
    <w:p w14:paraId="036C4316" w14:textId="597FA0DD" w:rsidR="005065BA" w:rsidRPr="004D2572" w:rsidRDefault="00A803D4" w:rsidP="00FF1240">
      <w:pPr>
        <w:pStyle w:val="Heading3"/>
        <w:rPr>
          <w:lang w:val="es-US"/>
        </w:rPr>
      </w:pPr>
      <w:r w:rsidRPr="004D2572">
        <w:rPr>
          <w:lang w:val="es-US"/>
        </w:rPr>
        <w:t>6. ¿Cómo debo dirigirme al magistrado en la audiencia?</w:t>
      </w:r>
    </w:p>
    <w:p w14:paraId="42FDF652" w14:textId="5E14CB7D" w:rsidR="00FC7A7D" w:rsidRPr="004D2572" w:rsidRDefault="2FCE5209" w:rsidP="00FF1240">
      <w:pPr>
        <w:spacing w:after="240" w:line="276" w:lineRule="auto"/>
        <w:rPr>
          <w:rFonts w:eastAsia="Times New Roman" w:cs="Times New Roman"/>
          <w:lang w:val="es-US"/>
        </w:rPr>
      </w:pPr>
      <w:r w:rsidRPr="004D2572">
        <w:rPr>
          <w:rFonts w:eastAsia="Times New Roman" w:cs="Times New Roman"/>
          <w:lang w:val="es-US"/>
        </w:rPr>
        <w:t>Debe llamar al magistrado “Magistrado” o “Señoría”.</w:t>
      </w:r>
    </w:p>
    <w:p w14:paraId="0800CACE" w14:textId="2F19B092" w:rsidR="007F43B2" w:rsidRPr="004D2572" w:rsidRDefault="00A803D4" w:rsidP="00FF1240">
      <w:pPr>
        <w:pStyle w:val="Heading3"/>
        <w:rPr>
          <w:lang w:val="es-US"/>
        </w:rPr>
      </w:pPr>
      <w:r w:rsidRPr="004D2572">
        <w:rPr>
          <w:lang w:val="es-US"/>
        </w:rPr>
        <w:t>7. ¿Qué debo llevar a la audiencia?</w:t>
      </w:r>
    </w:p>
    <w:p w14:paraId="6ABE07C1" w14:textId="282449CD" w:rsidR="007F43B2" w:rsidRPr="004D2572" w:rsidRDefault="38EBD1D3" w:rsidP="00FF1240">
      <w:pPr>
        <w:spacing w:after="240" w:line="276" w:lineRule="auto"/>
        <w:rPr>
          <w:rFonts w:eastAsia="Times New Roman" w:cs="Times New Roman"/>
          <w:lang w:val="es-US"/>
        </w:rPr>
      </w:pPr>
      <w:r w:rsidRPr="004D2572">
        <w:rPr>
          <w:rFonts w:eastAsia="Times New Roman" w:cs="Times New Roman"/>
          <w:lang w:val="es-US"/>
        </w:rPr>
        <w:t>No hay código de vestimenta para las audiencias en la DALA, pero le pedimos que respete la ocasión vistiendo adecuadamente. Muchas personas optan por llevar ropa de negocios a las audiencias, pero no es necesario que compre ropa de negocios si aún no la tiene.</w:t>
      </w:r>
    </w:p>
    <w:p w14:paraId="6685C9F2" w14:textId="5D86ADCF" w:rsidR="00F24AF3" w:rsidRPr="004D2572" w:rsidRDefault="00A803D4" w:rsidP="00FF1240">
      <w:pPr>
        <w:pStyle w:val="Heading3"/>
        <w:rPr>
          <w:lang w:val="es-US"/>
        </w:rPr>
      </w:pPr>
      <w:r w:rsidRPr="004D2572">
        <w:rPr>
          <w:lang w:val="es-US"/>
        </w:rPr>
        <w:t>8. ¿Dónde se celebrará mi audiencia?</w:t>
      </w:r>
    </w:p>
    <w:p w14:paraId="2971D56E" w14:textId="200443F4" w:rsidR="00BA1E4D" w:rsidRPr="004D2572" w:rsidRDefault="10B7B5A7" w:rsidP="00FF1240">
      <w:pPr>
        <w:spacing w:after="240" w:line="276" w:lineRule="auto"/>
        <w:rPr>
          <w:rFonts w:eastAsia="Times New Roman" w:cs="Times New Roman"/>
          <w:lang w:val="es-US"/>
        </w:rPr>
      </w:pPr>
      <w:r w:rsidRPr="004D2572">
        <w:rPr>
          <w:rFonts w:eastAsia="Times New Roman" w:cs="Times New Roman"/>
          <w:lang w:val="es-US"/>
        </w:rPr>
        <w:t>Muchas audiencias se celebran en la oficina de la DALA en Malden, situada en 14 Summer Street, 4th Floor, Malden, MA 02148. Sin embargo, también existen opciones virtuales. Antes de que se programe su audiencia, tendrá la oportunidad de solicitar el lugar de celebración: en la oficina de la DALA, totalmente a distancia o con determinados testigos que testificarán a distancia. En circunstancias limitadas, también puede solicitar una audiencia en persona en otro lugar. El magistrado decidirá si accede a cualquier solicitud sobre dónde y cómo debe celebrarse la audiencia.</w:t>
      </w:r>
    </w:p>
    <w:p w14:paraId="6EDB2AB7" w14:textId="69CFD2B4" w:rsidR="00482E38" w:rsidRPr="004D2572" w:rsidRDefault="2D31B231" w:rsidP="00FF1240">
      <w:pPr>
        <w:spacing w:after="240" w:line="276" w:lineRule="auto"/>
        <w:rPr>
          <w:rFonts w:eastAsia="Times New Roman" w:cs="Times New Roman"/>
          <w:lang w:val="es-US"/>
        </w:rPr>
      </w:pPr>
      <w:r w:rsidRPr="004D2572">
        <w:rPr>
          <w:rFonts w:eastAsia="Times New Roman" w:cs="Times New Roman"/>
          <w:lang w:val="es-US"/>
        </w:rPr>
        <w:t>Si se lleva a cabo en persona en la oficina de la DALA, la audiencia se celebrará en una sala como la que se muestra aquí. Llegue temprano para familiarizarse con el entorno.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25BD" w:rsidRPr="004D2572" w14:paraId="400C8308" w14:textId="77777777" w:rsidTr="004625BD">
        <w:tc>
          <w:tcPr>
            <w:tcW w:w="4675" w:type="dxa"/>
          </w:tcPr>
          <w:p w14:paraId="1FD3FD1E" w14:textId="00338946" w:rsidR="004625BD" w:rsidRPr="004D2572" w:rsidRDefault="004625BD" w:rsidP="00FF1240">
            <w:pPr>
              <w:spacing w:after="240" w:line="276" w:lineRule="auto"/>
              <w:jc w:val="center"/>
              <w:rPr>
                <w:rFonts w:eastAsia="Times New Roman" w:cs="Times New Roman"/>
                <w:lang w:val="es-US"/>
              </w:rPr>
            </w:pPr>
            <w:r w:rsidRPr="004D2572">
              <w:rPr>
                <w:noProof/>
                <w:lang w:val="es-US"/>
              </w:rPr>
              <w:drawing>
                <wp:inline distT="0" distB="0" distL="0" distR="0" wp14:anchorId="5425E63F" wp14:editId="4CFED1FC">
                  <wp:extent cx="2740025" cy="2055019"/>
                  <wp:effectExtent l="0" t="0" r="0" b="0"/>
                  <wp:docPr id="1931875614" name="Picture 3" descr="A photo of Hearing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5614" name="Picture 3" descr="A photo of Hearing Room 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40025" cy="2055019"/>
                          </a:xfrm>
                          <a:prstGeom prst="rect">
                            <a:avLst/>
                          </a:prstGeom>
                        </pic:spPr>
                      </pic:pic>
                    </a:graphicData>
                  </a:graphic>
                </wp:inline>
              </w:drawing>
            </w:r>
          </w:p>
        </w:tc>
        <w:tc>
          <w:tcPr>
            <w:tcW w:w="4675" w:type="dxa"/>
          </w:tcPr>
          <w:p w14:paraId="22A21BAD" w14:textId="6BE66373" w:rsidR="004625BD" w:rsidRPr="004D2572" w:rsidRDefault="004625BD" w:rsidP="00FF1240">
            <w:pPr>
              <w:spacing w:after="240" w:line="276" w:lineRule="auto"/>
              <w:jc w:val="center"/>
              <w:rPr>
                <w:rFonts w:eastAsia="Times New Roman" w:cs="Times New Roman"/>
                <w:lang w:val="es-US"/>
              </w:rPr>
            </w:pPr>
            <w:r w:rsidRPr="004D2572">
              <w:rPr>
                <w:noProof/>
                <w:lang w:val="es-US"/>
              </w:rPr>
              <w:drawing>
                <wp:inline distT="0" distB="0" distL="0" distR="0" wp14:anchorId="0082117E" wp14:editId="18E5B2AB">
                  <wp:extent cx="2743200" cy="2057400"/>
                  <wp:effectExtent l="0" t="0" r="0" b="0"/>
                  <wp:docPr id="540352228" name="Picture 5" descr="A photo of Hearing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2228" name="Picture 5" descr="A photo of Hearing Room 2."/>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tc>
      </w:tr>
    </w:tbl>
    <w:p w14:paraId="2F7CD8BB" w14:textId="6FCB040E" w:rsidR="00607D71" w:rsidRPr="004D2572" w:rsidRDefault="00440D95" w:rsidP="00FF1240">
      <w:pPr>
        <w:pStyle w:val="Heading3"/>
        <w:rPr>
          <w:lang w:val="es-US"/>
        </w:rPr>
      </w:pPr>
      <w:r w:rsidRPr="004D2572">
        <w:rPr>
          <w:b w:val="0"/>
          <w:bCs w:val="0"/>
          <w:i w:val="0"/>
          <w:iCs w:val="0"/>
          <w:lang w:val="es-US"/>
        </w:rPr>
        <w:br/>
      </w:r>
      <w:r w:rsidRPr="004D2572">
        <w:rPr>
          <w:lang w:val="es-US"/>
        </w:rPr>
        <w:t>9. ¿Dónde debo aparcar para una audiencia en la oficina de la DALA en Malden?</w:t>
      </w:r>
    </w:p>
    <w:p w14:paraId="656755A1" w14:textId="5614CF5F" w:rsidR="00834ABA" w:rsidRPr="004D2572" w:rsidRDefault="0B9F71DB" w:rsidP="00FF1240">
      <w:pPr>
        <w:spacing w:after="240" w:line="276" w:lineRule="auto"/>
        <w:rPr>
          <w:rFonts w:eastAsia="Times New Roman" w:cs="Times New Roman"/>
          <w:lang w:val="es-US"/>
        </w:rPr>
      </w:pPr>
      <w:r w:rsidRPr="004D2572">
        <w:rPr>
          <w:rFonts w:eastAsia="Times New Roman" w:cs="Times New Roman"/>
          <w:lang w:val="es-US"/>
        </w:rPr>
        <w:t>Hay aparcamiento en el edificio (14 Summer Street, 4th Floor, Malden, MA 02148) y en varios aparcamientos cercanos.</w:t>
      </w:r>
    </w:p>
    <w:p w14:paraId="3B71EDA6" w14:textId="253C52D4" w:rsidR="00AF2317" w:rsidRPr="004D2572" w:rsidRDefault="00A803D4" w:rsidP="00FF1240">
      <w:pPr>
        <w:pStyle w:val="Heading3"/>
        <w:rPr>
          <w:lang w:val="es-US"/>
        </w:rPr>
      </w:pPr>
      <w:r w:rsidRPr="004D2572">
        <w:rPr>
          <w:lang w:val="es-US"/>
        </w:rPr>
        <w:lastRenderedPageBreak/>
        <w:t>10. ¿La oficina de la DALA en Malden es accesible en transporte público?</w:t>
      </w:r>
    </w:p>
    <w:p w14:paraId="7D547C1F" w14:textId="386BE813" w:rsidR="004905D0" w:rsidRPr="004D2572" w:rsidRDefault="07718164" w:rsidP="00FF1240">
      <w:pPr>
        <w:spacing w:after="240" w:line="276" w:lineRule="auto"/>
        <w:rPr>
          <w:rFonts w:eastAsia="Times New Roman" w:cs="Times New Roman"/>
          <w:lang w:val="es-US"/>
        </w:rPr>
      </w:pPr>
      <w:r w:rsidRPr="004D2572">
        <w:rPr>
          <w:rFonts w:eastAsia="Times New Roman" w:cs="Times New Roman"/>
          <w:lang w:val="es-US"/>
        </w:rPr>
        <w:t>La DALA se encuentra en 14 Summer Street, 4th Floor, Malden, MA 02148, al otro lado de la calle de la parada Malden Center T de la línea naranja.</w:t>
      </w:r>
    </w:p>
    <w:p w14:paraId="08B7DE68" w14:textId="072FFB30" w:rsidR="006A6792" w:rsidRPr="004D2572" w:rsidRDefault="00A803D4" w:rsidP="00FF1240">
      <w:pPr>
        <w:pStyle w:val="Heading3"/>
        <w:rPr>
          <w:lang w:val="es-US"/>
        </w:rPr>
      </w:pPr>
      <w:r w:rsidRPr="004D2572">
        <w:rPr>
          <w:lang w:val="es-US"/>
        </w:rPr>
        <w:t>11. ¿Qué ocurre si no asisto a la audiencia o no participo en el procedimiento?</w:t>
      </w:r>
    </w:p>
    <w:p w14:paraId="61E39839" w14:textId="756B861C" w:rsidR="006A6792" w:rsidRPr="004D2572" w:rsidRDefault="7FDBA59F" w:rsidP="00FF1240">
      <w:pPr>
        <w:spacing w:after="240" w:line="276" w:lineRule="auto"/>
        <w:rPr>
          <w:rFonts w:eastAsia="Times New Roman" w:cs="Times New Roman"/>
          <w:lang w:val="es-US"/>
        </w:rPr>
      </w:pPr>
      <w:r w:rsidRPr="004D2572">
        <w:rPr>
          <w:rFonts w:eastAsia="Times New Roman" w:cs="Times New Roman"/>
          <w:lang w:val="es-US"/>
        </w:rPr>
        <w:t>Si no se presenta a la audiencia, es posible que se desestime su caso o que se dicte una resolución en rebeldía contra usted.</w:t>
      </w:r>
    </w:p>
    <w:p w14:paraId="7353A9CE" w14:textId="38FC739C" w:rsidR="006A6792" w:rsidRPr="004D2572" w:rsidRDefault="00A803D4" w:rsidP="00FF1240">
      <w:pPr>
        <w:pStyle w:val="Heading3"/>
        <w:rPr>
          <w:lang w:val="es-US"/>
        </w:rPr>
      </w:pPr>
      <w:r w:rsidRPr="004D2572">
        <w:rPr>
          <w:lang w:val="es-US"/>
        </w:rPr>
        <w:t>12. ¿Qué ocurre si tengo una urgencia en el último momento y no puedo asistir a la audiencia?</w:t>
      </w:r>
    </w:p>
    <w:p w14:paraId="34D5CA1F" w14:textId="14D7502F" w:rsidR="006A6792" w:rsidRPr="004D2572" w:rsidRDefault="7FDBA59F" w:rsidP="00FF1240">
      <w:pPr>
        <w:spacing w:after="240" w:line="276" w:lineRule="auto"/>
        <w:rPr>
          <w:rFonts w:eastAsia="Times New Roman" w:cs="Times New Roman"/>
          <w:lang w:val="es-US"/>
        </w:rPr>
      </w:pPr>
      <w:r w:rsidRPr="004D2572">
        <w:rPr>
          <w:rFonts w:eastAsia="Times New Roman" w:cs="Times New Roman"/>
          <w:lang w:val="es-US"/>
        </w:rPr>
        <w:t>Si tiene una urgencia el día de la audiencia, llame al 781</w:t>
      </w:r>
      <w:r w:rsidRPr="004D2572">
        <w:rPr>
          <w:rFonts w:eastAsia="Times New Roman" w:cs="Times New Roman"/>
          <w:lang w:val="es-US"/>
        </w:rPr>
        <w:noBreakHyphen/>
        <w:t>397</w:t>
      </w:r>
      <w:r w:rsidRPr="004D2572">
        <w:rPr>
          <w:rFonts w:eastAsia="Times New Roman" w:cs="Times New Roman"/>
          <w:lang w:val="es-US"/>
        </w:rPr>
        <w:noBreakHyphen/>
        <w:t>4700 y explique la situación. De lo contrario, si tiene una urgencia antes de la audiencia, presente una moción urgente de aplazamiento (para solicitar más tiempo) y notifíquelo a la parte o las partes contrarias. Es importante que notifique su emergencia a la DALA lo antes posible para que el magistrado pueda tomar las medidas oportunas, si fuera necesario.</w:t>
      </w:r>
    </w:p>
    <w:p w14:paraId="55D5DA56" w14:textId="44282E95" w:rsidR="004D29AB" w:rsidRPr="004D2572" w:rsidRDefault="00A803D4" w:rsidP="00FF1240">
      <w:pPr>
        <w:pStyle w:val="Heading3"/>
        <w:rPr>
          <w:lang w:val="es-US"/>
        </w:rPr>
      </w:pPr>
      <w:r w:rsidRPr="004D2572">
        <w:rPr>
          <w:lang w:val="es-US"/>
        </w:rPr>
        <w:t>13. ¿Las audiencias están abiertas al público?</w:t>
      </w:r>
    </w:p>
    <w:p w14:paraId="6CF7254E" w14:textId="1AA3A51F" w:rsidR="00B35266" w:rsidRPr="004D2572" w:rsidRDefault="74F5F13E" w:rsidP="00FF1240">
      <w:pPr>
        <w:spacing w:after="240" w:line="276" w:lineRule="auto"/>
        <w:rPr>
          <w:rFonts w:eastAsia="Times New Roman" w:cs="Times New Roman"/>
          <w:lang w:val="es-US"/>
        </w:rPr>
      </w:pPr>
      <w:r w:rsidRPr="004D2572">
        <w:rPr>
          <w:rFonts w:eastAsia="Times New Roman" w:cs="Times New Roman"/>
          <w:lang w:val="es-US"/>
        </w:rPr>
        <w:t>Las audiencias de la DALA están abiertas al público, salvo algunos tipos de audiencias que la ley hace confidenciales. No obstante, cualquier persona cuya conducta interfiera en la audiencia podrá ser expulsada de la sala. Con algunas excepciones, las audiencias pueden grabarse o fotografiarse, pero la persona que quiera fotografiar o grabar la audiencia debe notificarlo al magistrado antes de hacerlo. Además, la grabación o fotografía de una persona no debe interferir en el procedimiento.</w:t>
      </w:r>
    </w:p>
    <w:p w14:paraId="04D5FD19" w14:textId="2CD0ADCC" w:rsidR="00BE653C" w:rsidRPr="004D2572" w:rsidRDefault="00A803D4" w:rsidP="00FF1240">
      <w:pPr>
        <w:pStyle w:val="Heading3"/>
        <w:rPr>
          <w:lang w:val="es-US"/>
        </w:rPr>
      </w:pPr>
      <w:r w:rsidRPr="004D2572">
        <w:rPr>
          <w:lang w:val="es-US"/>
        </w:rPr>
        <w:t>14. ¿Puedo asistir a una audiencia de la DALA?</w:t>
      </w:r>
    </w:p>
    <w:p w14:paraId="2EFE963C" w14:textId="7131EA20" w:rsidR="00BE653C" w:rsidRPr="004D2572" w:rsidRDefault="71A55B1D" w:rsidP="00FF1240">
      <w:pPr>
        <w:spacing w:after="240" w:line="276" w:lineRule="auto"/>
        <w:rPr>
          <w:rFonts w:eastAsia="Times New Roman" w:cs="Times New Roman"/>
          <w:lang w:val="es-US"/>
        </w:rPr>
      </w:pPr>
      <w:r w:rsidRPr="004D2572">
        <w:rPr>
          <w:rFonts w:eastAsia="Times New Roman" w:cs="Times New Roman"/>
          <w:lang w:val="es-US"/>
        </w:rPr>
        <w:t>Si desea asistir a una audiencia en la DALA, llame con antelación al (781) 397</w:t>
      </w:r>
      <w:r w:rsidRPr="004D2572">
        <w:rPr>
          <w:rFonts w:eastAsia="Times New Roman" w:cs="Times New Roman"/>
          <w:lang w:val="es-US"/>
        </w:rPr>
        <w:noBreakHyphen/>
        <w:t>4700. Tenga en cuenta que los magistrados pueden determinar que algunas audiencias deben ser confidenciales, es decir, abiertas solo al magistrado, las partes y los testigos, pero no al público.</w:t>
      </w:r>
    </w:p>
    <w:p w14:paraId="1A39DB08" w14:textId="3B30F511" w:rsidR="002F7EE2" w:rsidRPr="004D2572" w:rsidRDefault="00A803D4" w:rsidP="00FF1240">
      <w:pPr>
        <w:pStyle w:val="Heading3"/>
        <w:rPr>
          <w:lang w:val="es-US"/>
        </w:rPr>
      </w:pPr>
      <w:r w:rsidRPr="004D2572">
        <w:rPr>
          <w:lang w:val="es-US"/>
        </w:rPr>
        <w:t>15. ¿Cómo se grabará el testimonio?</w:t>
      </w:r>
    </w:p>
    <w:p w14:paraId="3155C159" w14:textId="74C48975" w:rsidR="002F7EE2" w:rsidRPr="004D2572" w:rsidRDefault="69B16642" w:rsidP="00FF1240">
      <w:pPr>
        <w:spacing w:after="240" w:line="276" w:lineRule="auto"/>
        <w:rPr>
          <w:rFonts w:eastAsia="Times New Roman" w:cs="Times New Roman"/>
          <w:lang w:val="es-US"/>
        </w:rPr>
      </w:pPr>
      <w:r w:rsidRPr="004D2572">
        <w:rPr>
          <w:rFonts w:eastAsia="Times New Roman" w:cs="Times New Roman"/>
          <w:lang w:val="es-US"/>
        </w:rPr>
        <w:t>El testimonio se grabará utilizando un equipo digital de grabación de audio, un equipo digital de grabación de video o un taquígrafo judicial cuando las partes lo acuerden. Debido a limitaciones presupuestarias, la DALA no proporciona taquígrafos judiciales.</w:t>
      </w:r>
    </w:p>
    <w:p w14:paraId="0D83E0D7" w14:textId="210F8228" w:rsidR="00D718B9" w:rsidRPr="004D2572" w:rsidRDefault="00A803D4" w:rsidP="00FF1240">
      <w:pPr>
        <w:pStyle w:val="Heading3"/>
        <w:rPr>
          <w:lang w:val="es-US"/>
        </w:rPr>
      </w:pPr>
      <w:r w:rsidRPr="004D2572">
        <w:rPr>
          <w:lang w:val="es-US"/>
        </w:rPr>
        <w:t>16. ¿Cómo obtengo una copia del testimonio de la audiencia?</w:t>
      </w:r>
    </w:p>
    <w:p w14:paraId="73EED6B6" w14:textId="7723903B" w:rsidR="00FF6AB7" w:rsidRPr="004D2572" w:rsidRDefault="72D6D196" w:rsidP="00FF1240">
      <w:pPr>
        <w:spacing w:after="240" w:line="276" w:lineRule="auto"/>
        <w:rPr>
          <w:rFonts w:eastAsia="Times New Roman" w:cs="Times New Roman"/>
          <w:lang w:val="es-US"/>
        </w:rPr>
      </w:pPr>
      <w:r w:rsidRPr="004D2572">
        <w:rPr>
          <w:rFonts w:eastAsia="Times New Roman" w:cs="Times New Roman"/>
          <w:lang w:val="es-US"/>
        </w:rPr>
        <w:t>Se enviará automáticamente una copia de la grabación por correo electrónico a todas las partes.</w:t>
      </w:r>
    </w:p>
    <w:p w14:paraId="0E47ED57" w14:textId="1D4B3BD3" w:rsidR="002F7EE2" w:rsidRPr="004D2572" w:rsidRDefault="00A803D4" w:rsidP="00FF1240">
      <w:pPr>
        <w:pStyle w:val="Heading3"/>
        <w:rPr>
          <w:lang w:val="es-US"/>
        </w:rPr>
      </w:pPr>
      <w:r w:rsidRPr="004D2572">
        <w:rPr>
          <w:lang w:val="es-US"/>
        </w:rPr>
        <w:lastRenderedPageBreak/>
        <w:t>17. ¿El magistrado tomará una decisión sobre mi caso en la audiencia?</w:t>
      </w:r>
    </w:p>
    <w:p w14:paraId="42283FCD" w14:textId="6605C5C7" w:rsidR="00921BF2" w:rsidRPr="004D2572" w:rsidRDefault="19170CED" w:rsidP="00FF1240">
      <w:pPr>
        <w:spacing w:after="240" w:line="276" w:lineRule="auto"/>
        <w:rPr>
          <w:rFonts w:eastAsia="Times New Roman" w:cs="Times New Roman"/>
          <w:lang w:val="es-US"/>
        </w:rPr>
      </w:pPr>
      <w:r w:rsidRPr="004D2572">
        <w:rPr>
          <w:rFonts w:eastAsia="Times New Roman" w:cs="Times New Roman"/>
          <w:lang w:val="es-US"/>
        </w:rPr>
        <w:t>No. En la mayoría de los casos, tras la audiencia, el magistrado preparará una resolución final por escrito basada en las pruebas admitidas en la audiencia. Se le enviará una copia de la resolución cuando se emita.</w:t>
      </w:r>
    </w:p>
    <w:p w14:paraId="5EAC8B08" w14:textId="1EF4D548" w:rsidR="00A7294D" w:rsidRPr="004D2572" w:rsidRDefault="00A803D4" w:rsidP="00FF1240">
      <w:pPr>
        <w:pStyle w:val="Heading2"/>
        <w:rPr>
          <w:lang w:val="es-US"/>
        </w:rPr>
      </w:pPr>
      <w:r w:rsidRPr="004D2572">
        <w:rPr>
          <w:iCs w:val="0"/>
          <w:lang w:val="es-US"/>
        </w:rPr>
        <w:t>K. Después de la audiencia</w:t>
      </w:r>
    </w:p>
    <w:p w14:paraId="2A716C3A" w14:textId="6CCB5B16" w:rsidR="00E73F93" w:rsidRPr="004D2572" w:rsidRDefault="00A803D4" w:rsidP="00FF1240">
      <w:pPr>
        <w:pStyle w:val="Heading3"/>
        <w:rPr>
          <w:lang w:val="es-US"/>
        </w:rPr>
      </w:pPr>
      <w:r w:rsidRPr="004D2572">
        <w:rPr>
          <w:lang w:val="es-US"/>
        </w:rPr>
        <w:t>1. ¿Recibiré una copia de la resolución del magistrado?</w:t>
      </w:r>
    </w:p>
    <w:p w14:paraId="719892B1" w14:textId="7F59298B" w:rsidR="00E73F93" w:rsidRPr="004D2572" w:rsidRDefault="6C1F79C7" w:rsidP="00FF1240">
      <w:pPr>
        <w:spacing w:after="240" w:line="276" w:lineRule="auto"/>
        <w:rPr>
          <w:rFonts w:eastAsia="Times New Roman" w:cs="Times New Roman"/>
          <w:lang w:val="es-US"/>
        </w:rPr>
      </w:pPr>
      <w:r w:rsidRPr="004D2572">
        <w:rPr>
          <w:rFonts w:eastAsia="Times New Roman" w:cs="Times New Roman"/>
          <w:lang w:val="es-US"/>
        </w:rPr>
        <w:t>Sí. El magistrado enviará una copia de la resolución a la agencia y a todas las partes. La resolución se enviará a la dirección postal que figure en los autos del caso. Debe informar al magistrado y a las demás partes si cambia de dirección postal en cualquier momento durante el curso del caso.</w:t>
      </w:r>
    </w:p>
    <w:p w14:paraId="4858BF25" w14:textId="4B91FC66" w:rsidR="00B6535A" w:rsidRPr="004D2572" w:rsidRDefault="00A803D4" w:rsidP="00FF1240">
      <w:pPr>
        <w:pStyle w:val="Heading3"/>
        <w:rPr>
          <w:lang w:val="es-US"/>
        </w:rPr>
      </w:pPr>
      <w:r w:rsidRPr="004D2572">
        <w:rPr>
          <w:lang w:val="es-US"/>
        </w:rPr>
        <w:t>2. ¿Puedo apelar la resolución de la DALA?</w:t>
      </w:r>
    </w:p>
    <w:p w14:paraId="57C463E4" w14:textId="1C8A422F" w:rsidR="003F0EE1" w:rsidRPr="004D2572" w:rsidRDefault="6FF112A9" w:rsidP="00FF1240">
      <w:pPr>
        <w:spacing w:after="240" w:line="276" w:lineRule="auto"/>
        <w:rPr>
          <w:rFonts w:eastAsia="Times New Roman" w:cs="Times New Roman"/>
          <w:lang w:val="es-US"/>
        </w:rPr>
      </w:pPr>
      <w:r w:rsidRPr="004D2572">
        <w:rPr>
          <w:rFonts w:eastAsia="Times New Roman" w:cs="Times New Roman"/>
          <w:lang w:val="es-US"/>
        </w:rPr>
        <w:t>Sí. En la mayoría de los casos, puede apelar una resolución final de la DALA ante el Tribunal Superior. No obstante, debe consultar la legislación específica que rige el organismo implicado en su caso para determinar sus derechos de apelación, ya que puede estar autorizado y obligado a recurrir ante el propio organismo o ante otro organismo (por ejemplo, la Comisión de Recursos de Jubilación Contributiva). Si las leyes específicas de cada organismo incluyen plazos, es importante atenerse a ellos. De lo contrario, puede perder el derecho a apelar la resolución de la DALA.</w:t>
      </w:r>
    </w:p>
    <w:sectPr w:rsidR="003F0EE1" w:rsidRPr="004D2572" w:rsidSect="00312FF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2CC1" w14:textId="77777777" w:rsidR="00F81E6F" w:rsidRDefault="00F81E6F" w:rsidP="00272356">
      <w:pPr>
        <w:spacing w:after="0" w:line="240" w:lineRule="auto"/>
      </w:pPr>
      <w:r>
        <w:separator/>
      </w:r>
    </w:p>
  </w:endnote>
  <w:endnote w:type="continuationSeparator" w:id="0">
    <w:p w14:paraId="038BBF85" w14:textId="77777777" w:rsidR="00F81E6F" w:rsidRDefault="00F81E6F" w:rsidP="002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8488" w14:textId="77777777" w:rsidR="00F81E6F" w:rsidRDefault="00F81E6F" w:rsidP="00272356">
      <w:pPr>
        <w:spacing w:after="0" w:line="240" w:lineRule="auto"/>
      </w:pPr>
      <w:r>
        <w:separator/>
      </w:r>
    </w:p>
  </w:footnote>
  <w:footnote w:type="continuationSeparator" w:id="0">
    <w:p w14:paraId="5CDB0BEE" w14:textId="77777777" w:rsidR="00F81E6F" w:rsidRDefault="00F81E6F" w:rsidP="0027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DA"/>
    <w:multiLevelType w:val="hybridMultilevel"/>
    <w:tmpl w:val="63AC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A43"/>
    <w:multiLevelType w:val="hybridMultilevel"/>
    <w:tmpl w:val="529C9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BA4"/>
    <w:multiLevelType w:val="hybridMultilevel"/>
    <w:tmpl w:val="95A2DF94"/>
    <w:lvl w:ilvl="0" w:tplc="A044BB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539"/>
    <w:multiLevelType w:val="hybridMultilevel"/>
    <w:tmpl w:val="A1E07C6A"/>
    <w:lvl w:ilvl="0" w:tplc="D436A4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3C56"/>
    <w:multiLevelType w:val="multilevel"/>
    <w:tmpl w:val="BF6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431E"/>
    <w:multiLevelType w:val="hybridMultilevel"/>
    <w:tmpl w:val="16841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34292"/>
    <w:multiLevelType w:val="hybridMultilevel"/>
    <w:tmpl w:val="CCC8A164"/>
    <w:lvl w:ilvl="0" w:tplc="A044BBA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732907">
    <w:abstractNumId w:val="3"/>
  </w:num>
  <w:num w:numId="2" w16cid:durableId="1247425600">
    <w:abstractNumId w:val="5"/>
  </w:num>
  <w:num w:numId="3" w16cid:durableId="1450203360">
    <w:abstractNumId w:val="6"/>
  </w:num>
  <w:num w:numId="4" w16cid:durableId="1044912755">
    <w:abstractNumId w:val="2"/>
  </w:num>
  <w:num w:numId="5" w16cid:durableId="1136947782">
    <w:abstractNumId w:val="0"/>
  </w:num>
  <w:num w:numId="6" w16cid:durableId="1197884624">
    <w:abstractNumId w:val="4"/>
  </w:num>
  <w:num w:numId="7" w16cid:durableId="120941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49">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B"/>
    <w:rsid w:val="0000010C"/>
    <w:rsid w:val="000001EC"/>
    <w:rsid w:val="0000131B"/>
    <w:rsid w:val="00002A6C"/>
    <w:rsid w:val="00003AF2"/>
    <w:rsid w:val="00015198"/>
    <w:rsid w:val="00015DA0"/>
    <w:rsid w:val="00016E13"/>
    <w:rsid w:val="00016EF3"/>
    <w:rsid w:val="00021F28"/>
    <w:rsid w:val="00022695"/>
    <w:rsid w:val="0002410C"/>
    <w:rsid w:val="00044CD2"/>
    <w:rsid w:val="0005209A"/>
    <w:rsid w:val="00053696"/>
    <w:rsid w:val="00054167"/>
    <w:rsid w:val="000560D8"/>
    <w:rsid w:val="00056E32"/>
    <w:rsid w:val="00062B4A"/>
    <w:rsid w:val="00063796"/>
    <w:rsid w:val="000644B6"/>
    <w:rsid w:val="0006793B"/>
    <w:rsid w:val="00070657"/>
    <w:rsid w:val="000707E9"/>
    <w:rsid w:val="00072F93"/>
    <w:rsid w:val="0007384F"/>
    <w:rsid w:val="0007505A"/>
    <w:rsid w:val="000815B3"/>
    <w:rsid w:val="00083C2E"/>
    <w:rsid w:val="000847EA"/>
    <w:rsid w:val="0008513C"/>
    <w:rsid w:val="00086096"/>
    <w:rsid w:val="00087068"/>
    <w:rsid w:val="00093E61"/>
    <w:rsid w:val="00094172"/>
    <w:rsid w:val="0009738A"/>
    <w:rsid w:val="000A0966"/>
    <w:rsid w:val="000A0994"/>
    <w:rsid w:val="000A1ADA"/>
    <w:rsid w:val="000A211F"/>
    <w:rsid w:val="000A3B7A"/>
    <w:rsid w:val="000A590A"/>
    <w:rsid w:val="000A64EA"/>
    <w:rsid w:val="000A6D8E"/>
    <w:rsid w:val="000B762C"/>
    <w:rsid w:val="000C08C8"/>
    <w:rsid w:val="000C09C7"/>
    <w:rsid w:val="000C747A"/>
    <w:rsid w:val="000D4428"/>
    <w:rsid w:val="000D4EF8"/>
    <w:rsid w:val="000D7910"/>
    <w:rsid w:val="000E345E"/>
    <w:rsid w:val="000E5BC7"/>
    <w:rsid w:val="000F0197"/>
    <w:rsid w:val="000F0F11"/>
    <w:rsid w:val="000F7774"/>
    <w:rsid w:val="00105C26"/>
    <w:rsid w:val="00111D7B"/>
    <w:rsid w:val="001124CF"/>
    <w:rsid w:val="0011351C"/>
    <w:rsid w:val="00120F26"/>
    <w:rsid w:val="001224B1"/>
    <w:rsid w:val="00130462"/>
    <w:rsid w:val="001312A7"/>
    <w:rsid w:val="00140AD8"/>
    <w:rsid w:val="00141E3F"/>
    <w:rsid w:val="001440E3"/>
    <w:rsid w:val="001451C3"/>
    <w:rsid w:val="001474E4"/>
    <w:rsid w:val="00147826"/>
    <w:rsid w:val="00152BC2"/>
    <w:rsid w:val="001535A3"/>
    <w:rsid w:val="00153D9E"/>
    <w:rsid w:val="00161C0A"/>
    <w:rsid w:val="00164A92"/>
    <w:rsid w:val="00165000"/>
    <w:rsid w:val="00170485"/>
    <w:rsid w:val="00170E6A"/>
    <w:rsid w:val="00171C59"/>
    <w:rsid w:val="001724F9"/>
    <w:rsid w:val="0017349A"/>
    <w:rsid w:val="0018008B"/>
    <w:rsid w:val="0018187A"/>
    <w:rsid w:val="00182D63"/>
    <w:rsid w:val="00183492"/>
    <w:rsid w:val="00184833"/>
    <w:rsid w:val="00185BE7"/>
    <w:rsid w:val="00187D20"/>
    <w:rsid w:val="001913F7"/>
    <w:rsid w:val="001930D0"/>
    <w:rsid w:val="001965E2"/>
    <w:rsid w:val="001A3456"/>
    <w:rsid w:val="001A3FF3"/>
    <w:rsid w:val="001A672C"/>
    <w:rsid w:val="001A6A40"/>
    <w:rsid w:val="001B5B4C"/>
    <w:rsid w:val="001C2805"/>
    <w:rsid w:val="001C7D70"/>
    <w:rsid w:val="001D1306"/>
    <w:rsid w:val="001D2204"/>
    <w:rsid w:val="001D481D"/>
    <w:rsid w:val="001E4715"/>
    <w:rsid w:val="001E472E"/>
    <w:rsid w:val="001E56DF"/>
    <w:rsid w:val="001F2970"/>
    <w:rsid w:val="001F4627"/>
    <w:rsid w:val="00200094"/>
    <w:rsid w:val="00200EC4"/>
    <w:rsid w:val="00202452"/>
    <w:rsid w:val="00206E9B"/>
    <w:rsid w:val="0021159B"/>
    <w:rsid w:val="00212E9F"/>
    <w:rsid w:val="0021466B"/>
    <w:rsid w:val="00222BF3"/>
    <w:rsid w:val="00223141"/>
    <w:rsid w:val="00224639"/>
    <w:rsid w:val="002325E6"/>
    <w:rsid w:val="00233ECE"/>
    <w:rsid w:val="002341FE"/>
    <w:rsid w:val="0023587D"/>
    <w:rsid w:val="00241F23"/>
    <w:rsid w:val="00244D5F"/>
    <w:rsid w:val="002454C4"/>
    <w:rsid w:val="00251011"/>
    <w:rsid w:val="002529D4"/>
    <w:rsid w:val="00255870"/>
    <w:rsid w:val="002665EB"/>
    <w:rsid w:val="0026665C"/>
    <w:rsid w:val="00266AA6"/>
    <w:rsid w:val="00270A1D"/>
    <w:rsid w:val="00270D71"/>
    <w:rsid w:val="00270FB0"/>
    <w:rsid w:val="00272356"/>
    <w:rsid w:val="00274EB3"/>
    <w:rsid w:val="00280F48"/>
    <w:rsid w:val="002831C2"/>
    <w:rsid w:val="00292A94"/>
    <w:rsid w:val="00293BCF"/>
    <w:rsid w:val="002945C0"/>
    <w:rsid w:val="0029655B"/>
    <w:rsid w:val="0029757E"/>
    <w:rsid w:val="002A0F4A"/>
    <w:rsid w:val="002A1A19"/>
    <w:rsid w:val="002A3021"/>
    <w:rsid w:val="002A6D0A"/>
    <w:rsid w:val="002B3123"/>
    <w:rsid w:val="002B6D5C"/>
    <w:rsid w:val="002B7152"/>
    <w:rsid w:val="002C2291"/>
    <w:rsid w:val="002C31FE"/>
    <w:rsid w:val="002C432D"/>
    <w:rsid w:val="002C52F7"/>
    <w:rsid w:val="002D2A1E"/>
    <w:rsid w:val="002D66FD"/>
    <w:rsid w:val="002D6F82"/>
    <w:rsid w:val="002E7737"/>
    <w:rsid w:val="002F0183"/>
    <w:rsid w:val="002F1B74"/>
    <w:rsid w:val="002F1EA8"/>
    <w:rsid w:val="002F3EEF"/>
    <w:rsid w:val="002F4A03"/>
    <w:rsid w:val="002F7EE2"/>
    <w:rsid w:val="00302C3F"/>
    <w:rsid w:val="00302C49"/>
    <w:rsid w:val="00303B90"/>
    <w:rsid w:val="003046B6"/>
    <w:rsid w:val="0030673B"/>
    <w:rsid w:val="00312FF5"/>
    <w:rsid w:val="003137B1"/>
    <w:rsid w:val="0031653B"/>
    <w:rsid w:val="00317132"/>
    <w:rsid w:val="003173DC"/>
    <w:rsid w:val="003212DB"/>
    <w:rsid w:val="0032160C"/>
    <w:rsid w:val="003226A5"/>
    <w:rsid w:val="00325BCD"/>
    <w:rsid w:val="00326E2C"/>
    <w:rsid w:val="003326C2"/>
    <w:rsid w:val="00333BA6"/>
    <w:rsid w:val="00334951"/>
    <w:rsid w:val="003410A4"/>
    <w:rsid w:val="00341904"/>
    <w:rsid w:val="00343E7E"/>
    <w:rsid w:val="003448E5"/>
    <w:rsid w:val="00344FD7"/>
    <w:rsid w:val="00366614"/>
    <w:rsid w:val="0037088A"/>
    <w:rsid w:val="003755EE"/>
    <w:rsid w:val="00375EA1"/>
    <w:rsid w:val="00376114"/>
    <w:rsid w:val="00377251"/>
    <w:rsid w:val="00377614"/>
    <w:rsid w:val="00377A5A"/>
    <w:rsid w:val="00384069"/>
    <w:rsid w:val="00385003"/>
    <w:rsid w:val="003857A2"/>
    <w:rsid w:val="00386828"/>
    <w:rsid w:val="0038688F"/>
    <w:rsid w:val="00393905"/>
    <w:rsid w:val="00397C42"/>
    <w:rsid w:val="003A6F2F"/>
    <w:rsid w:val="003A70BB"/>
    <w:rsid w:val="003B3195"/>
    <w:rsid w:val="003B35D5"/>
    <w:rsid w:val="003B7874"/>
    <w:rsid w:val="003C10FF"/>
    <w:rsid w:val="003C2246"/>
    <w:rsid w:val="003C78D7"/>
    <w:rsid w:val="003D5D4B"/>
    <w:rsid w:val="003D609F"/>
    <w:rsid w:val="003D726B"/>
    <w:rsid w:val="003F016F"/>
    <w:rsid w:val="003F0EE1"/>
    <w:rsid w:val="003F1205"/>
    <w:rsid w:val="003F21A4"/>
    <w:rsid w:val="003F557D"/>
    <w:rsid w:val="00402771"/>
    <w:rsid w:val="00403920"/>
    <w:rsid w:val="0041135D"/>
    <w:rsid w:val="00417647"/>
    <w:rsid w:val="004276CD"/>
    <w:rsid w:val="004328F8"/>
    <w:rsid w:val="00433580"/>
    <w:rsid w:val="004402B9"/>
    <w:rsid w:val="00440D95"/>
    <w:rsid w:val="00444E1E"/>
    <w:rsid w:val="0044538D"/>
    <w:rsid w:val="00451C99"/>
    <w:rsid w:val="00457424"/>
    <w:rsid w:val="00460165"/>
    <w:rsid w:val="004625BD"/>
    <w:rsid w:val="00464F51"/>
    <w:rsid w:val="004702E9"/>
    <w:rsid w:val="00473FC5"/>
    <w:rsid w:val="00474A8E"/>
    <w:rsid w:val="004817D2"/>
    <w:rsid w:val="00481A9B"/>
    <w:rsid w:val="00482B9E"/>
    <w:rsid w:val="00482E38"/>
    <w:rsid w:val="00484F69"/>
    <w:rsid w:val="00487759"/>
    <w:rsid w:val="004905D0"/>
    <w:rsid w:val="00496C82"/>
    <w:rsid w:val="00496E17"/>
    <w:rsid w:val="004A0433"/>
    <w:rsid w:val="004A641C"/>
    <w:rsid w:val="004A6C2E"/>
    <w:rsid w:val="004B05C9"/>
    <w:rsid w:val="004B18D5"/>
    <w:rsid w:val="004B24DC"/>
    <w:rsid w:val="004B6986"/>
    <w:rsid w:val="004C41F6"/>
    <w:rsid w:val="004D2572"/>
    <w:rsid w:val="004D29AB"/>
    <w:rsid w:val="004D3CF3"/>
    <w:rsid w:val="004D6202"/>
    <w:rsid w:val="004E1D66"/>
    <w:rsid w:val="004E2C96"/>
    <w:rsid w:val="004E5DD6"/>
    <w:rsid w:val="004E623E"/>
    <w:rsid w:val="004F0B26"/>
    <w:rsid w:val="004F4132"/>
    <w:rsid w:val="004F462F"/>
    <w:rsid w:val="004F694C"/>
    <w:rsid w:val="004F6992"/>
    <w:rsid w:val="005065BA"/>
    <w:rsid w:val="00507287"/>
    <w:rsid w:val="005111DF"/>
    <w:rsid w:val="005139D5"/>
    <w:rsid w:val="00514E61"/>
    <w:rsid w:val="005224EE"/>
    <w:rsid w:val="00525DD6"/>
    <w:rsid w:val="00530300"/>
    <w:rsid w:val="005430D0"/>
    <w:rsid w:val="005439DD"/>
    <w:rsid w:val="005522A7"/>
    <w:rsid w:val="005541F9"/>
    <w:rsid w:val="00565CC5"/>
    <w:rsid w:val="00570200"/>
    <w:rsid w:val="00571C43"/>
    <w:rsid w:val="005736DC"/>
    <w:rsid w:val="005771EB"/>
    <w:rsid w:val="00581DC8"/>
    <w:rsid w:val="00586832"/>
    <w:rsid w:val="00587AD9"/>
    <w:rsid w:val="0059002F"/>
    <w:rsid w:val="0059198D"/>
    <w:rsid w:val="005A0BA0"/>
    <w:rsid w:val="005A0F23"/>
    <w:rsid w:val="005A5FF8"/>
    <w:rsid w:val="005A6690"/>
    <w:rsid w:val="005A67BC"/>
    <w:rsid w:val="005A7D06"/>
    <w:rsid w:val="005A7E92"/>
    <w:rsid w:val="005B3BC9"/>
    <w:rsid w:val="005B67FE"/>
    <w:rsid w:val="005C5B2C"/>
    <w:rsid w:val="005C6170"/>
    <w:rsid w:val="005D1454"/>
    <w:rsid w:val="005D4C19"/>
    <w:rsid w:val="005E2532"/>
    <w:rsid w:val="005E60E2"/>
    <w:rsid w:val="005F4003"/>
    <w:rsid w:val="005F5DF6"/>
    <w:rsid w:val="00603239"/>
    <w:rsid w:val="00607D71"/>
    <w:rsid w:val="0061108C"/>
    <w:rsid w:val="00616F43"/>
    <w:rsid w:val="006202E6"/>
    <w:rsid w:val="00626CA6"/>
    <w:rsid w:val="00631AE0"/>
    <w:rsid w:val="006322AF"/>
    <w:rsid w:val="00633A78"/>
    <w:rsid w:val="00643010"/>
    <w:rsid w:val="0064421C"/>
    <w:rsid w:val="00644372"/>
    <w:rsid w:val="006448AB"/>
    <w:rsid w:val="00646713"/>
    <w:rsid w:val="00650355"/>
    <w:rsid w:val="0065283A"/>
    <w:rsid w:val="006533D7"/>
    <w:rsid w:val="00654712"/>
    <w:rsid w:val="0065565B"/>
    <w:rsid w:val="00657DA1"/>
    <w:rsid w:val="00662F7C"/>
    <w:rsid w:val="00674ADA"/>
    <w:rsid w:val="00680096"/>
    <w:rsid w:val="00690023"/>
    <w:rsid w:val="00691130"/>
    <w:rsid w:val="006921E6"/>
    <w:rsid w:val="00693389"/>
    <w:rsid w:val="00695B66"/>
    <w:rsid w:val="00695F52"/>
    <w:rsid w:val="006A22F0"/>
    <w:rsid w:val="006A6792"/>
    <w:rsid w:val="006B0022"/>
    <w:rsid w:val="006B0260"/>
    <w:rsid w:val="006B712D"/>
    <w:rsid w:val="006C2E37"/>
    <w:rsid w:val="006C7A36"/>
    <w:rsid w:val="006C7ADA"/>
    <w:rsid w:val="006C7BD9"/>
    <w:rsid w:val="006D3F40"/>
    <w:rsid w:val="006E212C"/>
    <w:rsid w:val="006E31DE"/>
    <w:rsid w:val="006F5FBF"/>
    <w:rsid w:val="00701EA8"/>
    <w:rsid w:val="00703869"/>
    <w:rsid w:val="007118FC"/>
    <w:rsid w:val="00716174"/>
    <w:rsid w:val="00716F86"/>
    <w:rsid w:val="007260A0"/>
    <w:rsid w:val="00732A2F"/>
    <w:rsid w:val="00734F63"/>
    <w:rsid w:val="00735E78"/>
    <w:rsid w:val="00736A5D"/>
    <w:rsid w:val="00743AD7"/>
    <w:rsid w:val="007442A1"/>
    <w:rsid w:val="0074459D"/>
    <w:rsid w:val="00745B86"/>
    <w:rsid w:val="00747149"/>
    <w:rsid w:val="007554FF"/>
    <w:rsid w:val="00770723"/>
    <w:rsid w:val="00772520"/>
    <w:rsid w:val="0077374F"/>
    <w:rsid w:val="00777118"/>
    <w:rsid w:val="00777F2D"/>
    <w:rsid w:val="00781691"/>
    <w:rsid w:val="00790FC0"/>
    <w:rsid w:val="00791FE0"/>
    <w:rsid w:val="00797481"/>
    <w:rsid w:val="007A14D9"/>
    <w:rsid w:val="007B09B8"/>
    <w:rsid w:val="007B412F"/>
    <w:rsid w:val="007C0447"/>
    <w:rsid w:val="007C348B"/>
    <w:rsid w:val="007C4B13"/>
    <w:rsid w:val="007C6BAB"/>
    <w:rsid w:val="007D0DAE"/>
    <w:rsid w:val="007D5593"/>
    <w:rsid w:val="007D784E"/>
    <w:rsid w:val="007E5509"/>
    <w:rsid w:val="007F26ED"/>
    <w:rsid w:val="007F2C92"/>
    <w:rsid w:val="007F43B2"/>
    <w:rsid w:val="0080244A"/>
    <w:rsid w:val="0081107D"/>
    <w:rsid w:val="008110B1"/>
    <w:rsid w:val="00814896"/>
    <w:rsid w:val="00820FF0"/>
    <w:rsid w:val="0082441A"/>
    <w:rsid w:val="00825A11"/>
    <w:rsid w:val="008261D9"/>
    <w:rsid w:val="00830848"/>
    <w:rsid w:val="00832004"/>
    <w:rsid w:val="00832857"/>
    <w:rsid w:val="00834ABA"/>
    <w:rsid w:val="00836804"/>
    <w:rsid w:val="008400D9"/>
    <w:rsid w:val="0084129E"/>
    <w:rsid w:val="00855B90"/>
    <w:rsid w:val="0085794A"/>
    <w:rsid w:val="00863DBD"/>
    <w:rsid w:val="0086405E"/>
    <w:rsid w:val="00867FB3"/>
    <w:rsid w:val="00874C37"/>
    <w:rsid w:val="008805F0"/>
    <w:rsid w:val="008873E0"/>
    <w:rsid w:val="00887C16"/>
    <w:rsid w:val="0088E4C5"/>
    <w:rsid w:val="008938F3"/>
    <w:rsid w:val="008944A2"/>
    <w:rsid w:val="008B02C0"/>
    <w:rsid w:val="008B056C"/>
    <w:rsid w:val="008B1973"/>
    <w:rsid w:val="008B1FF8"/>
    <w:rsid w:val="008C1BCE"/>
    <w:rsid w:val="008D1A69"/>
    <w:rsid w:val="008D4D92"/>
    <w:rsid w:val="008E0276"/>
    <w:rsid w:val="008E3939"/>
    <w:rsid w:val="008E4467"/>
    <w:rsid w:val="008E6F79"/>
    <w:rsid w:val="008F27E4"/>
    <w:rsid w:val="008F3455"/>
    <w:rsid w:val="008F4BCA"/>
    <w:rsid w:val="00900804"/>
    <w:rsid w:val="00920D4E"/>
    <w:rsid w:val="00921BF2"/>
    <w:rsid w:val="009272AD"/>
    <w:rsid w:val="00933ABA"/>
    <w:rsid w:val="00934B14"/>
    <w:rsid w:val="009351D5"/>
    <w:rsid w:val="009426E4"/>
    <w:rsid w:val="00950CD9"/>
    <w:rsid w:val="00951342"/>
    <w:rsid w:val="00965924"/>
    <w:rsid w:val="00966728"/>
    <w:rsid w:val="00966E4B"/>
    <w:rsid w:val="00972726"/>
    <w:rsid w:val="00975532"/>
    <w:rsid w:val="009765C5"/>
    <w:rsid w:val="009808CA"/>
    <w:rsid w:val="0098644A"/>
    <w:rsid w:val="009876A1"/>
    <w:rsid w:val="00991941"/>
    <w:rsid w:val="00991B87"/>
    <w:rsid w:val="009927A4"/>
    <w:rsid w:val="009951D2"/>
    <w:rsid w:val="00995BB3"/>
    <w:rsid w:val="009968DB"/>
    <w:rsid w:val="00996C51"/>
    <w:rsid w:val="00997614"/>
    <w:rsid w:val="009A525D"/>
    <w:rsid w:val="009B1006"/>
    <w:rsid w:val="009B53A0"/>
    <w:rsid w:val="009C0685"/>
    <w:rsid w:val="009C3A14"/>
    <w:rsid w:val="009D128A"/>
    <w:rsid w:val="009D1E6F"/>
    <w:rsid w:val="009D2407"/>
    <w:rsid w:val="009D6274"/>
    <w:rsid w:val="009D790F"/>
    <w:rsid w:val="009E6877"/>
    <w:rsid w:val="009F7799"/>
    <w:rsid w:val="00A0116E"/>
    <w:rsid w:val="00A05274"/>
    <w:rsid w:val="00A12335"/>
    <w:rsid w:val="00A16184"/>
    <w:rsid w:val="00A21940"/>
    <w:rsid w:val="00A2365D"/>
    <w:rsid w:val="00A24E91"/>
    <w:rsid w:val="00A25704"/>
    <w:rsid w:val="00A30D3D"/>
    <w:rsid w:val="00A35D20"/>
    <w:rsid w:val="00A407A5"/>
    <w:rsid w:val="00A41869"/>
    <w:rsid w:val="00A43A03"/>
    <w:rsid w:val="00A44561"/>
    <w:rsid w:val="00A45029"/>
    <w:rsid w:val="00A45801"/>
    <w:rsid w:val="00A46AE3"/>
    <w:rsid w:val="00A54E2F"/>
    <w:rsid w:val="00A57093"/>
    <w:rsid w:val="00A614DD"/>
    <w:rsid w:val="00A62D13"/>
    <w:rsid w:val="00A63314"/>
    <w:rsid w:val="00A65577"/>
    <w:rsid w:val="00A7294D"/>
    <w:rsid w:val="00A74087"/>
    <w:rsid w:val="00A777E0"/>
    <w:rsid w:val="00A803D4"/>
    <w:rsid w:val="00A82FE9"/>
    <w:rsid w:val="00A97872"/>
    <w:rsid w:val="00AA2A1C"/>
    <w:rsid w:val="00AA4B2A"/>
    <w:rsid w:val="00AA4DF6"/>
    <w:rsid w:val="00AA6155"/>
    <w:rsid w:val="00AA6E38"/>
    <w:rsid w:val="00AB2C38"/>
    <w:rsid w:val="00AB365D"/>
    <w:rsid w:val="00AC05D9"/>
    <w:rsid w:val="00AC20D8"/>
    <w:rsid w:val="00AC4695"/>
    <w:rsid w:val="00AC5C7D"/>
    <w:rsid w:val="00AC61AA"/>
    <w:rsid w:val="00AD4018"/>
    <w:rsid w:val="00AD5DDE"/>
    <w:rsid w:val="00AD6748"/>
    <w:rsid w:val="00AD7FC0"/>
    <w:rsid w:val="00AE06F9"/>
    <w:rsid w:val="00AE07AB"/>
    <w:rsid w:val="00AE2266"/>
    <w:rsid w:val="00AE2592"/>
    <w:rsid w:val="00AF1B4D"/>
    <w:rsid w:val="00AF2317"/>
    <w:rsid w:val="00B04199"/>
    <w:rsid w:val="00B06278"/>
    <w:rsid w:val="00B20D61"/>
    <w:rsid w:val="00B22040"/>
    <w:rsid w:val="00B24F09"/>
    <w:rsid w:val="00B25666"/>
    <w:rsid w:val="00B25A57"/>
    <w:rsid w:val="00B26AC2"/>
    <w:rsid w:val="00B2707B"/>
    <w:rsid w:val="00B35266"/>
    <w:rsid w:val="00B35657"/>
    <w:rsid w:val="00B41435"/>
    <w:rsid w:val="00B41533"/>
    <w:rsid w:val="00B46031"/>
    <w:rsid w:val="00B466C4"/>
    <w:rsid w:val="00B52994"/>
    <w:rsid w:val="00B54B66"/>
    <w:rsid w:val="00B5548F"/>
    <w:rsid w:val="00B63643"/>
    <w:rsid w:val="00B6535A"/>
    <w:rsid w:val="00B65563"/>
    <w:rsid w:val="00B66952"/>
    <w:rsid w:val="00B72319"/>
    <w:rsid w:val="00B7275F"/>
    <w:rsid w:val="00B76A86"/>
    <w:rsid w:val="00B920DF"/>
    <w:rsid w:val="00B938D3"/>
    <w:rsid w:val="00B95857"/>
    <w:rsid w:val="00B96F64"/>
    <w:rsid w:val="00BA0372"/>
    <w:rsid w:val="00BA1E4D"/>
    <w:rsid w:val="00BA39FC"/>
    <w:rsid w:val="00BA584F"/>
    <w:rsid w:val="00BA6542"/>
    <w:rsid w:val="00BA6599"/>
    <w:rsid w:val="00BB2A4A"/>
    <w:rsid w:val="00BB60B1"/>
    <w:rsid w:val="00BB623E"/>
    <w:rsid w:val="00BC4400"/>
    <w:rsid w:val="00BC44A3"/>
    <w:rsid w:val="00BC7C50"/>
    <w:rsid w:val="00BD48EE"/>
    <w:rsid w:val="00BE653C"/>
    <w:rsid w:val="00BF17AC"/>
    <w:rsid w:val="00BF5A4F"/>
    <w:rsid w:val="00C00D88"/>
    <w:rsid w:val="00C0556C"/>
    <w:rsid w:val="00C0613E"/>
    <w:rsid w:val="00C071CE"/>
    <w:rsid w:val="00C11B8B"/>
    <w:rsid w:val="00C16E1C"/>
    <w:rsid w:val="00C22D69"/>
    <w:rsid w:val="00C35D16"/>
    <w:rsid w:val="00C404FE"/>
    <w:rsid w:val="00C45C23"/>
    <w:rsid w:val="00C469FE"/>
    <w:rsid w:val="00C5305D"/>
    <w:rsid w:val="00C5386D"/>
    <w:rsid w:val="00C611E4"/>
    <w:rsid w:val="00C648D1"/>
    <w:rsid w:val="00C67771"/>
    <w:rsid w:val="00C67B33"/>
    <w:rsid w:val="00C715E2"/>
    <w:rsid w:val="00C724D4"/>
    <w:rsid w:val="00C7285D"/>
    <w:rsid w:val="00C7303C"/>
    <w:rsid w:val="00C76812"/>
    <w:rsid w:val="00C77234"/>
    <w:rsid w:val="00C85614"/>
    <w:rsid w:val="00C902D1"/>
    <w:rsid w:val="00C955DF"/>
    <w:rsid w:val="00CA0B5F"/>
    <w:rsid w:val="00CA693B"/>
    <w:rsid w:val="00CB41E8"/>
    <w:rsid w:val="00CB579F"/>
    <w:rsid w:val="00CB6839"/>
    <w:rsid w:val="00CD1534"/>
    <w:rsid w:val="00CD249D"/>
    <w:rsid w:val="00CD4E23"/>
    <w:rsid w:val="00CE3805"/>
    <w:rsid w:val="00CE4917"/>
    <w:rsid w:val="00CF519D"/>
    <w:rsid w:val="00CF629A"/>
    <w:rsid w:val="00D0259E"/>
    <w:rsid w:val="00D05EEC"/>
    <w:rsid w:val="00D077CE"/>
    <w:rsid w:val="00D10087"/>
    <w:rsid w:val="00D20C12"/>
    <w:rsid w:val="00D21D31"/>
    <w:rsid w:val="00D229A5"/>
    <w:rsid w:val="00D22CC0"/>
    <w:rsid w:val="00D24293"/>
    <w:rsid w:val="00D25E3D"/>
    <w:rsid w:val="00D364B1"/>
    <w:rsid w:val="00D368D1"/>
    <w:rsid w:val="00D41856"/>
    <w:rsid w:val="00D47652"/>
    <w:rsid w:val="00D502E1"/>
    <w:rsid w:val="00D50842"/>
    <w:rsid w:val="00D51FCE"/>
    <w:rsid w:val="00D52C9E"/>
    <w:rsid w:val="00D54540"/>
    <w:rsid w:val="00D62CEA"/>
    <w:rsid w:val="00D6654E"/>
    <w:rsid w:val="00D6706F"/>
    <w:rsid w:val="00D67881"/>
    <w:rsid w:val="00D6E992"/>
    <w:rsid w:val="00D718B9"/>
    <w:rsid w:val="00D744B9"/>
    <w:rsid w:val="00D75AAF"/>
    <w:rsid w:val="00D762BF"/>
    <w:rsid w:val="00D80B95"/>
    <w:rsid w:val="00D838FE"/>
    <w:rsid w:val="00D8392C"/>
    <w:rsid w:val="00D9130A"/>
    <w:rsid w:val="00DA3E22"/>
    <w:rsid w:val="00DA7C5B"/>
    <w:rsid w:val="00DB2DA1"/>
    <w:rsid w:val="00DB6E4C"/>
    <w:rsid w:val="00DC30C0"/>
    <w:rsid w:val="00DC5E6E"/>
    <w:rsid w:val="00DD2A4C"/>
    <w:rsid w:val="00DD350B"/>
    <w:rsid w:val="00DD3F7F"/>
    <w:rsid w:val="00DD41D7"/>
    <w:rsid w:val="00DD722E"/>
    <w:rsid w:val="00DF1F4B"/>
    <w:rsid w:val="00DF7AB9"/>
    <w:rsid w:val="00E01DF8"/>
    <w:rsid w:val="00E10C43"/>
    <w:rsid w:val="00E12EED"/>
    <w:rsid w:val="00E13AB1"/>
    <w:rsid w:val="00E25525"/>
    <w:rsid w:val="00E3467E"/>
    <w:rsid w:val="00E45542"/>
    <w:rsid w:val="00E45D5A"/>
    <w:rsid w:val="00E45E3B"/>
    <w:rsid w:val="00E47786"/>
    <w:rsid w:val="00E52E37"/>
    <w:rsid w:val="00E62ACC"/>
    <w:rsid w:val="00E71FF8"/>
    <w:rsid w:val="00E73F93"/>
    <w:rsid w:val="00E84691"/>
    <w:rsid w:val="00E86398"/>
    <w:rsid w:val="00E93E48"/>
    <w:rsid w:val="00EB1E89"/>
    <w:rsid w:val="00EB4694"/>
    <w:rsid w:val="00EB4A4A"/>
    <w:rsid w:val="00EB5A48"/>
    <w:rsid w:val="00EC0025"/>
    <w:rsid w:val="00EC674C"/>
    <w:rsid w:val="00ED49C0"/>
    <w:rsid w:val="00EE0340"/>
    <w:rsid w:val="00EE17D9"/>
    <w:rsid w:val="00EE4AD1"/>
    <w:rsid w:val="00EF4B52"/>
    <w:rsid w:val="00EF5825"/>
    <w:rsid w:val="00EF70B9"/>
    <w:rsid w:val="00F01CEF"/>
    <w:rsid w:val="00F04686"/>
    <w:rsid w:val="00F05B45"/>
    <w:rsid w:val="00F14C53"/>
    <w:rsid w:val="00F14C63"/>
    <w:rsid w:val="00F16B99"/>
    <w:rsid w:val="00F1772D"/>
    <w:rsid w:val="00F24AF3"/>
    <w:rsid w:val="00F26DEE"/>
    <w:rsid w:val="00F30429"/>
    <w:rsid w:val="00F40AF2"/>
    <w:rsid w:val="00F4225B"/>
    <w:rsid w:val="00F53372"/>
    <w:rsid w:val="00F5367F"/>
    <w:rsid w:val="00F5753D"/>
    <w:rsid w:val="00F62820"/>
    <w:rsid w:val="00F6449C"/>
    <w:rsid w:val="00F668EA"/>
    <w:rsid w:val="00F72F21"/>
    <w:rsid w:val="00F76026"/>
    <w:rsid w:val="00F80659"/>
    <w:rsid w:val="00F81BD6"/>
    <w:rsid w:val="00F81E6F"/>
    <w:rsid w:val="00F82B3F"/>
    <w:rsid w:val="00F87596"/>
    <w:rsid w:val="00F90005"/>
    <w:rsid w:val="00F91312"/>
    <w:rsid w:val="00F96513"/>
    <w:rsid w:val="00FA0C7C"/>
    <w:rsid w:val="00FA223A"/>
    <w:rsid w:val="00FA26AE"/>
    <w:rsid w:val="00FA67AE"/>
    <w:rsid w:val="00FA7900"/>
    <w:rsid w:val="00FB06DE"/>
    <w:rsid w:val="00FB1958"/>
    <w:rsid w:val="00FC11C7"/>
    <w:rsid w:val="00FC7A7D"/>
    <w:rsid w:val="00FD36F6"/>
    <w:rsid w:val="00FE3EA7"/>
    <w:rsid w:val="00FE440B"/>
    <w:rsid w:val="00FF1082"/>
    <w:rsid w:val="00FF1240"/>
    <w:rsid w:val="00FF5B81"/>
    <w:rsid w:val="00FF6AB7"/>
    <w:rsid w:val="012FED5F"/>
    <w:rsid w:val="013E350D"/>
    <w:rsid w:val="01C5D0B5"/>
    <w:rsid w:val="01EF656A"/>
    <w:rsid w:val="01F48D15"/>
    <w:rsid w:val="026221D0"/>
    <w:rsid w:val="02A35AD0"/>
    <w:rsid w:val="02B5C2DF"/>
    <w:rsid w:val="034F54BF"/>
    <w:rsid w:val="03D06373"/>
    <w:rsid w:val="03D64E8B"/>
    <w:rsid w:val="040AAC82"/>
    <w:rsid w:val="041FCB0C"/>
    <w:rsid w:val="04344673"/>
    <w:rsid w:val="044A85E9"/>
    <w:rsid w:val="04ABF493"/>
    <w:rsid w:val="04DED40C"/>
    <w:rsid w:val="0518777E"/>
    <w:rsid w:val="051DA97C"/>
    <w:rsid w:val="0547653A"/>
    <w:rsid w:val="05670701"/>
    <w:rsid w:val="059F682A"/>
    <w:rsid w:val="0645C6CB"/>
    <w:rsid w:val="0648DBB7"/>
    <w:rsid w:val="068B8DB5"/>
    <w:rsid w:val="06CB233D"/>
    <w:rsid w:val="06EB26C3"/>
    <w:rsid w:val="0716B2E4"/>
    <w:rsid w:val="07718164"/>
    <w:rsid w:val="077673F1"/>
    <w:rsid w:val="07F7CD48"/>
    <w:rsid w:val="08571EA6"/>
    <w:rsid w:val="08DA1904"/>
    <w:rsid w:val="099C706C"/>
    <w:rsid w:val="09B6CD32"/>
    <w:rsid w:val="09B7D6A3"/>
    <w:rsid w:val="09C6C86E"/>
    <w:rsid w:val="0A423B63"/>
    <w:rsid w:val="0A4A4EDA"/>
    <w:rsid w:val="0A9C8240"/>
    <w:rsid w:val="0AD32B9F"/>
    <w:rsid w:val="0B262883"/>
    <w:rsid w:val="0B3B215D"/>
    <w:rsid w:val="0B7350A8"/>
    <w:rsid w:val="0B882CB1"/>
    <w:rsid w:val="0B9F71DB"/>
    <w:rsid w:val="0C047BB4"/>
    <w:rsid w:val="0C0E598A"/>
    <w:rsid w:val="0C21B44E"/>
    <w:rsid w:val="0C3AB711"/>
    <w:rsid w:val="0C630F64"/>
    <w:rsid w:val="0CA14C55"/>
    <w:rsid w:val="0CC7803C"/>
    <w:rsid w:val="0CD3B86F"/>
    <w:rsid w:val="0CD3E858"/>
    <w:rsid w:val="0D480DF4"/>
    <w:rsid w:val="0D9D02A9"/>
    <w:rsid w:val="0DFA5DF5"/>
    <w:rsid w:val="0E39BF90"/>
    <w:rsid w:val="0E81ED4E"/>
    <w:rsid w:val="0E82B8D2"/>
    <w:rsid w:val="0E88FB31"/>
    <w:rsid w:val="0EC70B5D"/>
    <w:rsid w:val="0F221019"/>
    <w:rsid w:val="0F4BFFFF"/>
    <w:rsid w:val="0F7043D7"/>
    <w:rsid w:val="0FC8C24F"/>
    <w:rsid w:val="0FD5ADC5"/>
    <w:rsid w:val="0FDE473D"/>
    <w:rsid w:val="101E63E1"/>
    <w:rsid w:val="10224311"/>
    <w:rsid w:val="102537A3"/>
    <w:rsid w:val="109AA48D"/>
    <w:rsid w:val="10B7B5A7"/>
    <w:rsid w:val="117221A3"/>
    <w:rsid w:val="11841B63"/>
    <w:rsid w:val="12229069"/>
    <w:rsid w:val="132C6636"/>
    <w:rsid w:val="132FB5DE"/>
    <w:rsid w:val="136D67FF"/>
    <w:rsid w:val="139C0FA6"/>
    <w:rsid w:val="13DEE989"/>
    <w:rsid w:val="13F60F95"/>
    <w:rsid w:val="1452106A"/>
    <w:rsid w:val="154233C3"/>
    <w:rsid w:val="15B74813"/>
    <w:rsid w:val="15F1788B"/>
    <w:rsid w:val="1611E94D"/>
    <w:rsid w:val="1649A268"/>
    <w:rsid w:val="16CDA652"/>
    <w:rsid w:val="17468928"/>
    <w:rsid w:val="17671375"/>
    <w:rsid w:val="17738512"/>
    <w:rsid w:val="179B592B"/>
    <w:rsid w:val="183EB34E"/>
    <w:rsid w:val="186D34BC"/>
    <w:rsid w:val="18BB1DB3"/>
    <w:rsid w:val="19170CED"/>
    <w:rsid w:val="19405EC4"/>
    <w:rsid w:val="1996EA6C"/>
    <w:rsid w:val="1A0DCF2F"/>
    <w:rsid w:val="1A7E7180"/>
    <w:rsid w:val="1AB24E06"/>
    <w:rsid w:val="1AF9646D"/>
    <w:rsid w:val="1B7510AB"/>
    <w:rsid w:val="1B9D1DA4"/>
    <w:rsid w:val="1C260ACD"/>
    <w:rsid w:val="1C832DF2"/>
    <w:rsid w:val="1CDDB25D"/>
    <w:rsid w:val="1D380A93"/>
    <w:rsid w:val="1DDCC53D"/>
    <w:rsid w:val="1EA48FB6"/>
    <w:rsid w:val="1ED73675"/>
    <w:rsid w:val="1EF7CBDA"/>
    <w:rsid w:val="1F79A177"/>
    <w:rsid w:val="1F98C92E"/>
    <w:rsid w:val="1FC052A1"/>
    <w:rsid w:val="200718F3"/>
    <w:rsid w:val="202222EC"/>
    <w:rsid w:val="2049075D"/>
    <w:rsid w:val="2051E38E"/>
    <w:rsid w:val="206E8196"/>
    <w:rsid w:val="207C35DA"/>
    <w:rsid w:val="216D9C26"/>
    <w:rsid w:val="2195C783"/>
    <w:rsid w:val="21986D78"/>
    <w:rsid w:val="22007E76"/>
    <w:rsid w:val="2250B40E"/>
    <w:rsid w:val="22595D57"/>
    <w:rsid w:val="22834304"/>
    <w:rsid w:val="22960AD5"/>
    <w:rsid w:val="22BE49AD"/>
    <w:rsid w:val="233BED66"/>
    <w:rsid w:val="238FE5B0"/>
    <w:rsid w:val="23C141CC"/>
    <w:rsid w:val="23E62A96"/>
    <w:rsid w:val="23EB1017"/>
    <w:rsid w:val="246C3C30"/>
    <w:rsid w:val="24B9C97C"/>
    <w:rsid w:val="24C09C02"/>
    <w:rsid w:val="25239FE7"/>
    <w:rsid w:val="252650A7"/>
    <w:rsid w:val="25294AC6"/>
    <w:rsid w:val="2573C1B6"/>
    <w:rsid w:val="257F3782"/>
    <w:rsid w:val="258EC4A6"/>
    <w:rsid w:val="25BE86B1"/>
    <w:rsid w:val="25FE24A2"/>
    <w:rsid w:val="26A7A48A"/>
    <w:rsid w:val="2764503B"/>
    <w:rsid w:val="2796BF2D"/>
    <w:rsid w:val="279BE7EE"/>
    <w:rsid w:val="2851FE75"/>
    <w:rsid w:val="28C404BA"/>
    <w:rsid w:val="28C79F44"/>
    <w:rsid w:val="29541B9B"/>
    <w:rsid w:val="29C05C39"/>
    <w:rsid w:val="2A5558DC"/>
    <w:rsid w:val="2A5EFA55"/>
    <w:rsid w:val="2A8E8211"/>
    <w:rsid w:val="2AA6158F"/>
    <w:rsid w:val="2AE7302A"/>
    <w:rsid w:val="2AFA4D99"/>
    <w:rsid w:val="2BE43B8C"/>
    <w:rsid w:val="2BF6013F"/>
    <w:rsid w:val="2C5288CC"/>
    <w:rsid w:val="2C8255A1"/>
    <w:rsid w:val="2CD8D5BC"/>
    <w:rsid w:val="2D0B84C7"/>
    <w:rsid w:val="2D0F0B37"/>
    <w:rsid w:val="2D1BA489"/>
    <w:rsid w:val="2D31B231"/>
    <w:rsid w:val="2D4E2A78"/>
    <w:rsid w:val="2DE0D6BD"/>
    <w:rsid w:val="2E3CBC4E"/>
    <w:rsid w:val="2E5CBECF"/>
    <w:rsid w:val="2E7B1350"/>
    <w:rsid w:val="2E7FE1F3"/>
    <w:rsid w:val="2EB68FEF"/>
    <w:rsid w:val="2EECA32B"/>
    <w:rsid w:val="2F23DB7E"/>
    <w:rsid w:val="2F911AE6"/>
    <w:rsid w:val="2FA01141"/>
    <w:rsid w:val="2FCE5209"/>
    <w:rsid w:val="2FD6EF6B"/>
    <w:rsid w:val="30638077"/>
    <w:rsid w:val="311D6D39"/>
    <w:rsid w:val="31412A6B"/>
    <w:rsid w:val="316D6FC8"/>
    <w:rsid w:val="31BD3745"/>
    <w:rsid w:val="325EBB85"/>
    <w:rsid w:val="32CA9684"/>
    <w:rsid w:val="32CADDE3"/>
    <w:rsid w:val="32E3EC55"/>
    <w:rsid w:val="330348DB"/>
    <w:rsid w:val="332E4CE7"/>
    <w:rsid w:val="338531A8"/>
    <w:rsid w:val="34B1FD66"/>
    <w:rsid w:val="34F03E2B"/>
    <w:rsid w:val="34F678E6"/>
    <w:rsid w:val="353FC516"/>
    <w:rsid w:val="35CC8AB1"/>
    <w:rsid w:val="36421EED"/>
    <w:rsid w:val="36425F5D"/>
    <w:rsid w:val="3650A585"/>
    <w:rsid w:val="369CFA57"/>
    <w:rsid w:val="36EFC9F4"/>
    <w:rsid w:val="36F0DA70"/>
    <w:rsid w:val="36F2847C"/>
    <w:rsid w:val="37AC4D4D"/>
    <w:rsid w:val="37DF67D1"/>
    <w:rsid w:val="3867504A"/>
    <w:rsid w:val="38D59DBE"/>
    <w:rsid w:val="38EBD1D3"/>
    <w:rsid w:val="391B8F47"/>
    <w:rsid w:val="392875B9"/>
    <w:rsid w:val="392A381F"/>
    <w:rsid w:val="39603D2A"/>
    <w:rsid w:val="39831E4C"/>
    <w:rsid w:val="39A44E9B"/>
    <w:rsid w:val="3AB832AF"/>
    <w:rsid w:val="3ABCFE2E"/>
    <w:rsid w:val="3B8A5339"/>
    <w:rsid w:val="3B8F8AA6"/>
    <w:rsid w:val="3BB222AF"/>
    <w:rsid w:val="3BB3EC76"/>
    <w:rsid w:val="3C61E0FC"/>
    <w:rsid w:val="3D33461F"/>
    <w:rsid w:val="3D5D55E9"/>
    <w:rsid w:val="3D658CD7"/>
    <w:rsid w:val="3D6AE6D8"/>
    <w:rsid w:val="3D8B0578"/>
    <w:rsid w:val="3D8F3BBC"/>
    <w:rsid w:val="3DA2F908"/>
    <w:rsid w:val="3DC08866"/>
    <w:rsid w:val="3E2F17D3"/>
    <w:rsid w:val="3E47429F"/>
    <w:rsid w:val="3EB0A4D1"/>
    <w:rsid w:val="3EE29D78"/>
    <w:rsid w:val="3F2AC4E5"/>
    <w:rsid w:val="3F930731"/>
    <w:rsid w:val="3FAA49CB"/>
    <w:rsid w:val="3FE7219D"/>
    <w:rsid w:val="40067DAD"/>
    <w:rsid w:val="4026FC62"/>
    <w:rsid w:val="405083D7"/>
    <w:rsid w:val="406E9DF7"/>
    <w:rsid w:val="407D6A81"/>
    <w:rsid w:val="410D0359"/>
    <w:rsid w:val="41F2955F"/>
    <w:rsid w:val="426DA9C3"/>
    <w:rsid w:val="428CDD16"/>
    <w:rsid w:val="42E2E378"/>
    <w:rsid w:val="4346B0A2"/>
    <w:rsid w:val="43852B78"/>
    <w:rsid w:val="43DA5E1F"/>
    <w:rsid w:val="4435CEEC"/>
    <w:rsid w:val="44A08ECA"/>
    <w:rsid w:val="45371C08"/>
    <w:rsid w:val="456ACEE2"/>
    <w:rsid w:val="46373281"/>
    <w:rsid w:val="466B67A2"/>
    <w:rsid w:val="468518D8"/>
    <w:rsid w:val="471E1308"/>
    <w:rsid w:val="473A1979"/>
    <w:rsid w:val="4794C9F7"/>
    <w:rsid w:val="47C8F0CE"/>
    <w:rsid w:val="47CDFF1E"/>
    <w:rsid w:val="47F1063F"/>
    <w:rsid w:val="4804328D"/>
    <w:rsid w:val="48CE8C3A"/>
    <w:rsid w:val="49A92EFD"/>
    <w:rsid w:val="49F8030F"/>
    <w:rsid w:val="4A333E8B"/>
    <w:rsid w:val="4AD07776"/>
    <w:rsid w:val="4AEB3223"/>
    <w:rsid w:val="4AFA29DA"/>
    <w:rsid w:val="4B10426A"/>
    <w:rsid w:val="4B7FDC4C"/>
    <w:rsid w:val="4BD19F77"/>
    <w:rsid w:val="4C4E1D50"/>
    <w:rsid w:val="4C68389C"/>
    <w:rsid w:val="4CBB8C8A"/>
    <w:rsid w:val="4D96467D"/>
    <w:rsid w:val="4DF4C038"/>
    <w:rsid w:val="4E5F6CEF"/>
    <w:rsid w:val="4E63A795"/>
    <w:rsid w:val="4E8F9F1E"/>
    <w:rsid w:val="4EB21976"/>
    <w:rsid w:val="4EC7950B"/>
    <w:rsid w:val="4EED6911"/>
    <w:rsid w:val="4F1C23CB"/>
    <w:rsid w:val="4F34B222"/>
    <w:rsid w:val="4F4F0C22"/>
    <w:rsid w:val="4F95B653"/>
    <w:rsid w:val="5062B98B"/>
    <w:rsid w:val="5171CAB2"/>
    <w:rsid w:val="5191089C"/>
    <w:rsid w:val="51AA5883"/>
    <w:rsid w:val="529C6559"/>
    <w:rsid w:val="52BA3FF4"/>
    <w:rsid w:val="5362F469"/>
    <w:rsid w:val="541FD2CB"/>
    <w:rsid w:val="541FE7FE"/>
    <w:rsid w:val="543F8DEF"/>
    <w:rsid w:val="544642A6"/>
    <w:rsid w:val="5494A235"/>
    <w:rsid w:val="54AB7615"/>
    <w:rsid w:val="558A792B"/>
    <w:rsid w:val="562290B3"/>
    <w:rsid w:val="564820DB"/>
    <w:rsid w:val="56B1AF03"/>
    <w:rsid w:val="56B4CF49"/>
    <w:rsid w:val="56CA9FDF"/>
    <w:rsid w:val="56E4323E"/>
    <w:rsid w:val="575C0D7C"/>
    <w:rsid w:val="575DA55E"/>
    <w:rsid w:val="576BB352"/>
    <w:rsid w:val="57DC9B76"/>
    <w:rsid w:val="5881CE6F"/>
    <w:rsid w:val="58920937"/>
    <w:rsid w:val="58BE9ECF"/>
    <w:rsid w:val="5912AC35"/>
    <w:rsid w:val="592EA024"/>
    <w:rsid w:val="595B3734"/>
    <w:rsid w:val="595C7AA4"/>
    <w:rsid w:val="5965FD95"/>
    <w:rsid w:val="5A64D458"/>
    <w:rsid w:val="5AB8E0F6"/>
    <w:rsid w:val="5AF05449"/>
    <w:rsid w:val="5B6768D1"/>
    <w:rsid w:val="5B690C5D"/>
    <w:rsid w:val="5BB0C4E0"/>
    <w:rsid w:val="5BC0F515"/>
    <w:rsid w:val="5C672160"/>
    <w:rsid w:val="5CB456A9"/>
    <w:rsid w:val="5D8B1DB2"/>
    <w:rsid w:val="5DCA3580"/>
    <w:rsid w:val="5DE67B78"/>
    <w:rsid w:val="5DEBD187"/>
    <w:rsid w:val="5E2F6D10"/>
    <w:rsid w:val="5EAF71B8"/>
    <w:rsid w:val="5F17D3E3"/>
    <w:rsid w:val="5F365FB0"/>
    <w:rsid w:val="5F4D7849"/>
    <w:rsid w:val="5F5D3E57"/>
    <w:rsid w:val="5F6C1993"/>
    <w:rsid w:val="5F7E8FF9"/>
    <w:rsid w:val="5F8126CB"/>
    <w:rsid w:val="5FBDEC5E"/>
    <w:rsid w:val="60109CBF"/>
    <w:rsid w:val="6029C66C"/>
    <w:rsid w:val="607DED58"/>
    <w:rsid w:val="60C7ABF9"/>
    <w:rsid w:val="616B6805"/>
    <w:rsid w:val="617ECC3C"/>
    <w:rsid w:val="61C90830"/>
    <w:rsid w:val="6231D5D6"/>
    <w:rsid w:val="62611EB5"/>
    <w:rsid w:val="629CBCE8"/>
    <w:rsid w:val="62A1A65D"/>
    <w:rsid w:val="62D239C8"/>
    <w:rsid w:val="62D43C7A"/>
    <w:rsid w:val="633B8745"/>
    <w:rsid w:val="6394AB1F"/>
    <w:rsid w:val="63E419BD"/>
    <w:rsid w:val="63F54023"/>
    <w:rsid w:val="6477F5A2"/>
    <w:rsid w:val="648AE941"/>
    <w:rsid w:val="64F3AE3B"/>
    <w:rsid w:val="65224957"/>
    <w:rsid w:val="653536DE"/>
    <w:rsid w:val="65A541E0"/>
    <w:rsid w:val="65AB9383"/>
    <w:rsid w:val="66201FF7"/>
    <w:rsid w:val="662FF27F"/>
    <w:rsid w:val="664051FA"/>
    <w:rsid w:val="66660EC7"/>
    <w:rsid w:val="666C8571"/>
    <w:rsid w:val="66A1D265"/>
    <w:rsid w:val="66A4EB08"/>
    <w:rsid w:val="66E1BB2F"/>
    <w:rsid w:val="66F3B2FC"/>
    <w:rsid w:val="676B33E7"/>
    <w:rsid w:val="67FE4B6E"/>
    <w:rsid w:val="687E13E5"/>
    <w:rsid w:val="68C38627"/>
    <w:rsid w:val="68E4FAB3"/>
    <w:rsid w:val="6904BA53"/>
    <w:rsid w:val="6915F0B1"/>
    <w:rsid w:val="694EB4B0"/>
    <w:rsid w:val="698489DC"/>
    <w:rsid w:val="69862974"/>
    <w:rsid w:val="69B16642"/>
    <w:rsid w:val="69C0493C"/>
    <w:rsid w:val="6ABE303A"/>
    <w:rsid w:val="6AFF3AC1"/>
    <w:rsid w:val="6B483081"/>
    <w:rsid w:val="6BE89605"/>
    <w:rsid w:val="6BF21C02"/>
    <w:rsid w:val="6C1F79C7"/>
    <w:rsid w:val="6C4E78EE"/>
    <w:rsid w:val="6C61C40E"/>
    <w:rsid w:val="6D078CFF"/>
    <w:rsid w:val="6D432C8B"/>
    <w:rsid w:val="6D555306"/>
    <w:rsid w:val="6D9255FD"/>
    <w:rsid w:val="6DB48C12"/>
    <w:rsid w:val="6DE15A78"/>
    <w:rsid w:val="6E4F8759"/>
    <w:rsid w:val="6E6D8DD7"/>
    <w:rsid w:val="6E85E5CF"/>
    <w:rsid w:val="6EC60A94"/>
    <w:rsid w:val="6EF612A9"/>
    <w:rsid w:val="6F0DE7F7"/>
    <w:rsid w:val="6F4D3246"/>
    <w:rsid w:val="6FCDE86F"/>
    <w:rsid w:val="6FF112A9"/>
    <w:rsid w:val="7012E9A6"/>
    <w:rsid w:val="70B0526D"/>
    <w:rsid w:val="70F1EA28"/>
    <w:rsid w:val="70F2CDCA"/>
    <w:rsid w:val="711DF9ED"/>
    <w:rsid w:val="712F9C73"/>
    <w:rsid w:val="7133CBF3"/>
    <w:rsid w:val="713B1499"/>
    <w:rsid w:val="71A2CD27"/>
    <w:rsid w:val="71A55B1D"/>
    <w:rsid w:val="71DBD6FF"/>
    <w:rsid w:val="720A0583"/>
    <w:rsid w:val="727FA712"/>
    <w:rsid w:val="729BA71C"/>
    <w:rsid w:val="72AF9A5A"/>
    <w:rsid w:val="72D6D196"/>
    <w:rsid w:val="732868B5"/>
    <w:rsid w:val="733B06E7"/>
    <w:rsid w:val="73505193"/>
    <w:rsid w:val="73B27D33"/>
    <w:rsid w:val="73BE722E"/>
    <w:rsid w:val="73DE322E"/>
    <w:rsid w:val="7416C597"/>
    <w:rsid w:val="74644B87"/>
    <w:rsid w:val="74F5F13E"/>
    <w:rsid w:val="74FF6ADA"/>
    <w:rsid w:val="751D7609"/>
    <w:rsid w:val="75423BDA"/>
    <w:rsid w:val="7559C3C7"/>
    <w:rsid w:val="7623C029"/>
    <w:rsid w:val="762F178A"/>
    <w:rsid w:val="7637028B"/>
    <w:rsid w:val="764BD5CC"/>
    <w:rsid w:val="76598D55"/>
    <w:rsid w:val="7765A77C"/>
    <w:rsid w:val="780B9D01"/>
    <w:rsid w:val="78545C41"/>
    <w:rsid w:val="786FCEB4"/>
    <w:rsid w:val="7876A035"/>
    <w:rsid w:val="7896DE11"/>
    <w:rsid w:val="78A099E8"/>
    <w:rsid w:val="78D9FBDB"/>
    <w:rsid w:val="7905E7EF"/>
    <w:rsid w:val="7907D48F"/>
    <w:rsid w:val="791DC05B"/>
    <w:rsid w:val="796E32F7"/>
    <w:rsid w:val="796F34B2"/>
    <w:rsid w:val="79AC5AF7"/>
    <w:rsid w:val="7A0020FE"/>
    <w:rsid w:val="7A2D4BE0"/>
    <w:rsid w:val="7A435F6E"/>
    <w:rsid w:val="7A767E7F"/>
    <w:rsid w:val="7B1DC8EF"/>
    <w:rsid w:val="7B93509C"/>
    <w:rsid w:val="7C1585F0"/>
    <w:rsid w:val="7C2ADE38"/>
    <w:rsid w:val="7C33ECD3"/>
    <w:rsid w:val="7C3EE239"/>
    <w:rsid w:val="7C94D4D7"/>
    <w:rsid w:val="7C9F6DBE"/>
    <w:rsid w:val="7CD6AA83"/>
    <w:rsid w:val="7D321F68"/>
    <w:rsid w:val="7D3B40D2"/>
    <w:rsid w:val="7E789BED"/>
    <w:rsid w:val="7F1E8D77"/>
    <w:rsid w:val="7F3752FD"/>
    <w:rsid w:val="7F496E3F"/>
    <w:rsid w:val="7FA59560"/>
    <w:rsid w:val="7FDBA59F"/>
    <w:rsid w:val="7FDCEC21"/>
    <w:rsid w:val="7FE3DD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deca"/>
    </o:shapedefaults>
    <o:shapelayout v:ext="edit">
      <o:idmap v:ext="edit" data="1"/>
    </o:shapelayout>
  </w:shapeDefaults>
  <w:decimalSymbol w:val="."/>
  <w:listSeparator w:val=","/>
  <w14:docId w14:val="7253B239"/>
  <w15:chartTrackingRefBased/>
  <w15:docId w15:val="{A946C489-D8F8-4301-A90C-8181B84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2"/>
    <w:rPr>
      <w:rFonts w:ascii="Calibri" w:hAnsi="Calibri"/>
    </w:rPr>
  </w:style>
  <w:style w:type="paragraph" w:styleId="Heading1">
    <w:name w:val="heading 1"/>
    <w:basedOn w:val="Normal"/>
    <w:next w:val="Normal"/>
    <w:link w:val="Heading1Char"/>
    <w:uiPriority w:val="9"/>
    <w:qFormat/>
    <w:rsid w:val="00FF1240"/>
    <w:pPr>
      <w:keepNext/>
      <w:spacing w:after="240" w:line="276" w:lineRule="auto"/>
      <w:jc w:val="center"/>
      <w:outlineLvl w:val="0"/>
    </w:pPr>
    <w:rPr>
      <w:rFonts w:eastAsia="Times New Roman" w:cs="Times New Roman"/>
      <w:b/>
      <w:caps/>
      <w:sz w:val="32"/>
      <w:szCs w:val="48"/>
    </w:rPr>
  </w:style>
  <w:style w:type="paragraph" w:styleId="Heading2">
    <w:name w:val="heading 2"/>
    <w:basedOn w:val="Normal"/>
    <w:next w:val="Normal"/>
    <w:link w:val="Heading2Char"/>
    <w:uiPriority w:val="9"/>
    <w:unhideWhenUsed/>
    <w:qFormat/>
    <w:rsid w:val="00FF1240"/>
    <w:pPr>
      <w:keepNext/>
      <w:spacing w:after="240" w:line="276" w:lineRule="auto"/>
      <w:outlineLvl w:val="1"/>
    </w:pPr>
    <w:rPr>
      <w:rFonts w:eastAsia="Times New Roman" w:cs="Times New Roman"/>
      <w:b/>
      <w:bCs/>
      <w:iCs/>
      <w:sz w:val="28"/>
      <w:szCs w:val="36"/>
    </w:rPr>
  </w:style>
  <w:style w:type="paragraph" w:styleId="Heading3">
    <w:name w:val="heading 3"/>
    <w:basedOn w:val="Normal"/>
    <w:next w:val="Normal"/>
    <w:link w:val="Heading3Char"/>
    <w:uiPriority w:val="9"/>
    <w:unhideWhenUsed/>
    <w:qFormat/>
    <w:rsid w:val="00FF1240"/>
    <w:pPr>
      <w:keepNext/>
      <w:spacing w:after="240" w:line="276" w:lineRule="auto"/>
      <w:outlineLvl w:val="2"/>
    </w:pPr>
    <w:rPr>
      <w:rFonts w:eastAsia="Times New Roman" w:cs="Times New Roman"/>
      <w:b/>
      <w:bCs/>
      <w:i/>
      <w:iCs/>
    </w:rPr>
  </w:style>
  <w:style w:type="paragraph" w:styleId="Heading4">
    <w:name w:val="heading 4"/>
    <w:basedOn w:val="Normal"/>
    <w:next w:val="Normal"/>
    <w:link w:val="Heading4Char"/>
    <w:uiPriority w:val="9"/>
    <w:semiHidden/>
    <w:unhideWhenUsed/>
    <w:qFormat/>
    <w:rsid w:val="003D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40"/>
    <w:rPr>
      <w:rFonts w:ascii="Calibri" w:eastAsia="Times New Roman" w:hAnsi="Calibri" w:cs="Times New Roman"/>
      <w:b/>
      <w:caps/>
      <w:sz w:val="32"/>
      <w:szCs w:val="48"/>
    </w:rPr>
  </w:style>
  <w:style w:type="character" w:customStyle="1" w:styleId="Heading2Char">
    <w:name w:val="Heading 2 Char"/>
    <w:basedOn w:val="DefaultParagraphFont"/>
    <w:link w:val="Heading2"/>
    <w:uiPriority w:val="9"/>
    <w:rsid w:val="00FF1240"/>
    <w:rPr>
      <w:rFonts w:ascii="Calibri" w:eastAsia="Times New Roman" w:hAnsi="Calibri" w:cs="Times New Roman"/>
      <w:b/>
      <w:bCs/>
      <w:iCs/>
      <w:sz w:val="28"/>
      <w:szCs w:val="36"/>
    </w:rPr>
  </w:style>
  <w:style w:type="character" w:customStyle="1" w:styleId="Heading3Char">
    <w:name w:val="Heading 3 Char"/>
    <w:basedOn w:val="DefaultParagraphFont"/>
    <w:link w:val="Heading3"/>
    <w:uiPriority w:val="9"/>
    <w:rsid w:val="00FF1240"/>
    <w:rPr>
      <w:rFonts w:ascii="Calibri" w:eastAsia="Times New Roman" w:hAnsi="Calibri" w:cs="Times New Roman"/>
      <w:b/>
      <w:bCs/>
      <w:i/>
      <w:iCs/>
    </w:rPr>
  </w:style>
  <w:style w:type="character" w:customStyle="1" w:styleId="Heading4Char">
    <w:name w:val="Heading 4 Char"/>
    <w:basedOn w:val="DefaultParagraphFont"/>
    <w:link w:val="Heading4"/>
    <w:uiPriority w:val="9"/>
    <w:semiHidden/>
    <w:rsid w:val="003D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4B"/>
    <w:rPr>
      <w:rFonts w:eastAsiaTheme="majorEastAsia" w:cstheme="majorBidi"/>
      <w:color w:val="272727" w:themeColor="text1" w:themeTint="D8"/>
    </w:rPr>
  </w:style>
  <w:style w:type="paragraph" w:styleId="Title">
    <w:name w:val="Title"/>
    <w:basedOn w:val="Normal"/>
    <w:next w:val="Normal"/>
    <w:link w:val="TitleChar"/>
    <w:uiPriority w:val="10"/>
    <w:qFormat/>
    <w:rsid w:val="003D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4B"/>
    <w:pPr>
      <w:spacing w:before="160"/>
      <w:jc w:val="center"/>
    </w:pPr>
    <w:rPr>
      <w:i/>
      <w:iCs/>
      <w:color w:val="404040" w:themeColor="text1" w:themeTint="BF"/>
    </w:rPr>
  </w:style>
  <w:style w:type="character" w:customStyle="1" w:styleId="QuoteChar">
    <w:name w:val="Quote Char"/>
    <w:basedOn w:val="DefaultParagraphFont"/>
    <w:link w:val="Quote"/>
    <w:uiPriority w:val="29"/>
    <w:rsid w:val="003D5D4B"/>
    <w:rPr>
      <w:i/>
      <w:iCs/>
      <w:color w:val="404040" w:themeColor="text1" w:themeTint="BF"/>
    </w:rPr>
  </w:style>
  <w:style w:type="paragraph" w:styleId="ListParagraph">
    <w:name w:val="List Paragraph"/>
    <w:basedOn w:val="Normal"/>
    <w:uiPriority w:val="34"/>
    <w:qFormat/>
    <w:rsid w:val="003D5D4B"/>
    <w:pPr>
      <w:ind w:left="720"/>
      <w:contextualSpacing/>
    </w:pPr>
  </w:style>
  <w:style w:type="character" w:styleId="IntenseEmphasis">
    <w:name w:val="Intense Emphasis"/>
    <w:basedOn w:val="DefaultParagraphFont"/>
    <w:uiPriority w:val="21"/>
    <w:qFormat/>
    <w:rsid w:val="003D5D4B"/>
    <w:rPr>
      <w:i/>
      <w:iCs/>
      <w:color w:val="0F4761" w:themeColor="accent1" w:themeShade="BF"/>
    </w:rPr>
  </w:style>
  <w:style w:type="paragraph" w:styleId="IntenseQuote">
    <w:name w:val="Intense Quote"/>
    <w:basedOn w:val="Normal"/>
    <w:next w:val="Normal"/>
    <w:link w:val="IntenseQuoteChar"/>
    <w:uiPriority w:val="30"/>
    <w:qFormat/>
    <w:rsid w:val="003D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D4B"/>
    <w:rPr>
      <w:i/>
      <w:iCs/>
      <w:color w:val="0F4761" w:themeColor="accent1" w:themeShade="BF"/>
    </w:rPr>
  </w:style>
  <w:style w:type="character" w:styleId="IntenseReference">
    <w:name w:val="Intense Reference"/>
    <w:basedOn w:val="DefaultParagraphFont"/>
    <w:uiPriority w:val="32"/>
    <w:qFormat/>
    <w:rsid w:val="003D5D4B"/>
    <w:rPr>
      <w:b/>
      <w:bCs/>
      <w:smallCaps/>
      <w:color w:val="0F4761" w:themeColor="accent1" w:themeShade="BF"/>
      <w:spacing w:val="5"/>
    </w:rPr>
  </w:style>
  <w:style w:type="character" w:styleId="CommentReference">
    <w:name w:val="annotation reference"/>
    <w:basedOn w:val="DefaultParagraphFont"/>
    <w:uiPriority w:val="99"/>
    <w:semiHidden/>
    <w:unhideWhenUsed/>
    <w:rsid w:val="001F4627"/>
    <w:rPr>
      <w:sz w:val="16"/>
      <w:szCs w:val="16"/>
    </w:rPr>
  </w:style>
  <w:style w:type="paragraph" w:styleId="CommentText">
    <w:name w:val="annotation text"/>
    <w:basedOn w:val="Normal"/>
    <w:link w:val="CommentTextChar"/>
    <w:uiPriority w:val="99"/>
    <w:unhideWhenUsed/>
    <w:rsid w:val="001F4627"/>
    <w:pPr>
      <w:spacing w:line="240" w:lineRule="auto"/>
    </w:pPr>
    <w:rPr>
      <w:sz w:val="20"/>
      <w:szCs w:val="20"/>
    </w:rPr>
  </w:style>
  <w:style w:type="character" w:customStyle="1" w:styleId="CommentTextChar">
    <w:name w:val="Comment Text Char"/>
    <w:basedOn w:val="DefaultParagraphFont"/>
    <w:link w:val="CommentText"/>
    <w:uiPriority w:val="99"/>
    <w:rsid w:val="001F4627"/>
    <w:rPr>
      <w:sz w:val="20"/>
      <w:szCs w:val="20"/>
    </w:rPr>
  </w:style>
  <w:style w:type="paragraph" w:styleId="CommentSubject">
    <w:name w:val="annotation subject"/>
    <w:basedOn w:val="CommentText"/>
    <w:next w:val="CommentText"/>
    <w:link w:val="CommentSubjectChar"/>
    <w:uiPriority w:val="99"/>
    <w:semiHidden/>
    <w:unhideWhenUsed/>
    <w:rsid w:val="001F4627"/>
    <w:rPr>
      <w:b/>
      <w:bCs/>
    </w:rPr>
  </w:style>
  <w:style w:type="character" w:customStyle="1" w:styleId="CommentSubjectChar">
    <w:name w:val="Comment Subject Char"/>
    <w:basedOn w:val="CommentTextChar"/>
    <w:link w:val="CommentSubject"/>
    <w:uiPriority w:val="99"/>
    <w:semiHidden/>
    <w:rsid w:val="001F4627"/>
    <w:rPr>
      <w:b/>
      <w:bCs/>
      <w:sz w:val="20"/>
      <w:szCs w:val="20"/>
    </w:rPr>
  </w:style>
  <w:style w:type="character" w:styleId="Hyperlink">
    <w:name w:val="Hyperlink"/>
    <w:basedOn w:val="DefaultParagraphFont"/>
    <w:uiPriority w:val="99"/>
    <w:unhideWhenUsed/>
    <w:rsid w:val="001F4627"/>
    <w:rPr>
      <w:color w:val="467886" w:themeColor="hyperlink"/>
      <w:u w:val="single"/>
    </w:rPr>
  </w:style>
  <w:style w:type="character" w:styleId="UnresolvedMention">
    <w:name w:val="Unresolved Mention"/>
    <w:basedOn w:val="DefaultParagraphFont"/>
    <w:uiPriority w:val="99"/>
    <w:semiHidden/>
    <w:unhideWhenUsed/>
    <w:rsid w:val="001F4627"/>
    <w:rPr>
      <w:color w:val="605E5C"/>
      <w:shd w:val="clear" w:color="auto" w:fill="E1DFDD"/>
    </w:rPr>
  </w:style>
  <w:style w:type="character" w:styleId="FollowedHyperlink">
    <w:name w:val="FollowedHyperlink"/>
    <w:basedOn w:val="DefaultParagraphFont"/>
    <w:uiPriority w:val="99"/>
    <w:semiHidden/>
    <w:unhideWhenUsed/>
    <w:rsid w:val="00581DC8"/>
    <w:rPr>
      <w:color w:val="96607D" w:themeColor="followedHyperlink"/>
      <w:u w:val="single"/>
    </w:rPr>
  </w:style>
  <w:style w:type="paragraph" w:styleId="TOCHeading">
    <w:name w:val="TOC Heading"/>
    <w:basedOn w:val="Heading1"/>
    <w:next w:val="Normal"/>
    <w:uiPriority w:val="39"/>
    <w:unhideWhenUsed/>
    <w:qFormat/>
    <w:rsid w:val="00EF4B52"/>
    <w:pPr>
      <w:spacing w:before="240" w:after="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EF4B52"/>
    <w:pPr>
      <w:spacing w:after="100"/>
    </w:pPr>
  </w:style>
  <w:style w:type="paragraph" w:styleId="TOC2">
    <w:name w:val="toc 2"/>
    <w:basedOn w:val="Normal"/>
    <w:next w:val="Normal"/>
    <w:autoRedefine/>
    <w:uiPriority w:val="39"/>
    <w:unhideWhenUsed/>
    <w:rsid w:val="00EF4B52"/>
    <w:pPr>
      <w:spacing w:after="100"/>
      <w:ind w:left="240"/>
    </w:pPr>
  </w:style>
  <w:style w:type="paragraph" w:styleId="Revision">
    <w:name w:val="Revision"/>
    <w:hidden/>
    <w:uiPriority w:val="99"/>
    <w:semiHidden/>
    <w:rsid w:val="00182D63"/>
    <w:pPr>
      <w:spacing w:after="0" w:line="240" w:lineRule="auto"/>
    </w:pPr>
    <w:rPr>
      <w:rFonts w:ascii="Times New Roman" w:hAnsi="Times New Roman"/>
    </w:rPr>
  </w:style>
  <w:style w:type="paragraph" w:styleId="NormalWeb">
    <w:name w:val="Normal (Web)"/>
    <w:basedOn w:val="Normal"/>
    <w:uiPriority w:val="99"/>
    <w:semiHidden/>
    <w:unhideWhenUsed/>
    <w:rsid w:val="00A05274"/>
    <w:rPr>
      <w:rFonts w:cs="Times New Roman"/>
    </w:rPr>
  </w:style>
  <w:style w:type="paragraph" w:styleId="Header">
    <w:name w:val="header"/>
    <w:basedOn w:val="Normal"/>
    <w:link w:val="HeaderChar"/>
    <w:uiPriority w:val="99"/>
    <w:unhideWhenUsed/>
    <w:rsid w:val="00AF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4D"/>
    <w:rPr>
      <w:rFonts w:ascii="Times New Roman" w:hAnsi="Times New Roman"/>
    </w:rPr>
  </w:style>
  <w:style w:type="paragraph" w:styleId="Footer">
    <w:name w:val="footer"/>
    <w:basedOn w:val="Normal"/>
    <w:link w:val="FooterChar"/>
    <w:uiPriority w:val="99"/>
    <w:unhideWhenUsed/>
    <w:rsid w:val="00AF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4D"/>
    <w:rPr>
      <w:rFonts w:ascii="Times New Roman" w:hAnsi="Times New Roman"/>
    </w:rPr>
  </w:style>
  <w:style w:type="table" w:styleId="TableGrid">
    <w:name w:val="Table Grid"/>
    <w:basedOn w:val="TableNormal"/>
    <w:uiPriority w:val="39"/>
    <w:rsid w:val="0046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10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15">
          <w:marLeft w:val="0"/>
          <w:marRight w:val="0"/>
          <w:marTop w:val="0"/>
          <w:marBottom w:val="0"/>
          <w:divBdr>
            <w:top w:val="single" w:sz="6" w:space="0" w:color="D1D3D4"/>
            <w:left w:val="none" w:sz="0" w:space="0" w:color="auto"/>
            <w:bottom w:val="none" w:sz="0" w:space="0" w:color="auto"/>
            <w:right w:val="none" w:sz="0" w:space="0" w:color="auto"/>
          </w:divBdr>
          <w:divsChild>
            <w:div w:id="1343774579">
              <w:marLeft w:val="0"/>
              <w:marRight w:val="0"/>
              <w:marTop w:val="0"/>
              <w:marBottom w:val="0"/>
              <w:divBdr>
                <w:top w:val="none" w:sz="0" w:space="0" w:color="auto"/>
                <w:left w:val="none" w:sz="0" w:space="0" w:color="auto"/>
                <w:bottom w:val="none" w:sz="0" w:space="0" w:color="auto"/>
                <w:right w:val="none" w:sz="0" w:space="0" w:color="auto"/>
              </w:divBdr>
              <w:divsChild>
                <w:div w:id="894317921">
                  <w:marLeft w:val="0"/>
                  <w:marRight w:val="0"/>
                  <w:marTop w:val="0"/>
                  <w:marBottom w:val="0"/>
                  <w:divBdr>
                    <w:top w:val="none" w:sz="0" w:space="0" w:color="auto"/>
                    <w:left w:val="none" w:sz="0" w:space="0" w:color="auto"/>
                    <w:bottom w:val="none" w:sz="0" w:space="0" w:color="auto"/>
                    <w:right w:val="none" w:sz="0" w:space="0" w:color="auto"/>
                  </w:divBdr>
                  <w:divsChild>
                    <w:div w:id="238292604">
                      <w:marLeft w:val="0"/>
                      <w:marRight w:val="0"/>
                      <w:marTop w:val="0"/>
                      <w:marBottom w:val="0"/>
                      <w:divBdr>
                        <w:top w:val="none" w:sz="0" w:space="0" w:color="auto"/>
                        <w:left w:val="none" w:sz="0" w:space="0" w:color="auto"/>
                        <w:bottom w:val="none" w:sz="0" w:space="0" w:color="auto"/>
                        <w:right w:val="none" w:sz="0" w:space="0" w:color="auto"/>
                      </w:divBdr>
                      <w:divsChild>
                        <w:div w:id="1598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59891">
      <w:bodyDiv w:val="1"/>
      <w:marLeft w:val="0"/>
      <w:marRight w:val="0"/>
      <w:marTop w:val="0"/>
      <w:marBottom w:val="0"/>
      <w:divBdr>
        <w:top w:val="none" w:sz="0" w:space="0" w:color="auto"/>
        <w:left w:val="none" w:sz="0" w:space="0" w:color="auto"/>
        <w:bottom w:val="none" w:sz="0" w:space="0" w:color="auto"/>
        <w:right w:val="none" w:sz="0" w:space="0" w:color="auto"/>
      </w:divBdr>
      <w:divsChild>
        <w:div w:id="173887786">
          <w:marLeft w:val="0"/>
          <w:marRight w:val="0"/>
          <w:marTop w:val="0"/>
          <w:marBottom w:val="0"/>
          <w:divBdr>
            <w:top w:val="none" w:sz="0" w:space="0" w:color="auto"/>
            <w:left w:val="none" w:sz="0" w:space="0" w:color="auto"/>
            <w:bottom w:val="none" w:sz="0" w:space="0" w:color="auto"/>
            <w:right w:val="none" w:sz="0" w:space="0" w:color="auto"/>
          </w:divBdr>
          <w:divsChild>
            <w:div w:id="875893174">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7026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3523">
      <w:bodyDiv w:val="1"/>
      <w:marLeft w:val="0"/>
      <w:marRight w:val="0"/>
      <w:marTop w:val="0"/>
      <w:marBottom w:val="0"/>
      <w:divBdr>
        <w:top w:val="none" w:sz="0" w:space="0" w:color="auto"/>
        <w:left w:val="none" w:sz="0" w:space="0" w:color="auto"/>
        <w:bottom w:val="none" w:sz="0" w:space="0" w:color="auto"/>
        <w:right w:val="none" w:sz="0" w:space="0" w:color="auto"/>
      </w:divBdr>
    </w:div>
    <w:div w:id="327173476">
      <w:bodyDiv w:val="1"/>
      <w:marLeft w:val="0"/>
      <w:marRight w:val="0"/>
      <w:marTop w:val="0"/>
      <w:marBottom w:val="0"/>
      <w:divBdr>
        <w:top w:val="none" w:sz="0" w:space="0" w:color="auto"/>
        <w:left w:val="none" w:sz="0" w:space="0" w:color="auto"/>
        <w:bottom w:val="none" w:sz="0" w:space="0" w:color="auto"/>
        <w:right w:val="none" w:sz="0" w:space="0" w:color="auto"/>
      </w:divBdr>
      <w:divsChild>
        <w:div w:id="496724137">
          <w:marLeft w:val="0"/>
          <w:marRight w:val="0"/>
          <w:marTop w:val="0"/>
          <w:marBottom w:val="0"/>
          <w:divBdr>
            <w:top w:val="single" w:sz="6" w:space="0" w:color="D1D3D4"/>
            <w:left w:val="none" w:sz="0" w:space="0" w:color="auto"/>
            <w:bottom w:val="none" w:sz="0" w:space="0" w:color="auto"/>
            <w:right w:val="none" w:sz="0" w:space="0" w:color="auto"/>
          </w:divBdr>
          <w:divsChild>
            <w:div w:id="2134401542">
              <w:marLeft w:val="0"/>
              <w:marRight w:val="0"/>
              <w:marTop w:val="0"/>
              <w:marBottom w:val="0"/>
              <w:divBdr>
                <w:top w:val="none" w:sz="0" w:space="0" w:color="auto"/>
                <w:left w:val="none" w:sz="0" w:space="0" w:color="auto"/>
                <w:bottom w:val="none" w:sz="0" w:space="0" w:color="auto"/>
                <w:right w:val="none" w:sz="0" w:space="0" w:color="auto"/>
              </w:divBdr>
              <w:divsChild>
                <w:div w:id="1745911630">
                  <w:marLeft w:val="0"/>
                  <w:marRight w:val="0"/>
                  <w:marTop w:val="0"/>
                  <w:marBottom w:val="0"/>
                  <w:divBdr>
                    <w:top w:val="none" w:sz="0" w:space="0" w:color="auto"/>
                    <w:left w:val="none" w:sz="0" w:space="0" w:color="auto"/>
                    <w:bottom w:val="none" w:sz="0" w:space="0" w:color="auto"/>
                    <w:right w:val="none" w:sz="0" w:space="0" w:color="auto"/>
                  </w:divBdr>
                  <w:divsChild>
                    <w:div w:id="231962572">
                      <w:marLeft w:val="0"/>
                      <w:marRight w:val="0"/>
                      <w:marTop w:val="0"/>
                      <w:marBottom w:val="0"/>
                      <w:divBdr>
                        <w:top w:val="none" w:sz="0" w:space="0" w:color="auto"/>
                        <w:left w:val="none" w:sz="0" w:space="0" w:color="auto"/>
                        <w:bottom w:val="none" w:sz="0" w:space="0" w:color="auto"/>
                        <w:right w:val="none" w:sz="0" w:space="0" w:color="auto"/>
                      </w:divBdr>
                      <w:divsChild>
                        <w:div w:id="1109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39017">
      <w:bodyDiv w:val="1"/>
      <w:marLeft w:val="0"/>
      <w:marRight w:val="0"/>
      <w:marTop w:val="0"/>
      <w:marBottom w:val="0"/>
      <w:divBdr>
        <w:top w:val="none" w:sz="0" w:space="0" w:color="auto"/>
        <w:left w:val="none" w:sz="0" w:space="0" w:color="auto"/>
        <w:bottom w:val="none" w:sz="0" w:space="0" w:color="auto"/>
        <w:right w:val="none" w:sz="0" w:space="0" w:color="auto"/>
      </w:divBdr>
      <w:divsChild>
        <w:div w:id="772094811">
          <w:marLeft w:val="0"/>
          <w:marRight w:val="0"/>
          <w:marTop w:val="0"/>
          <w:marBottom w:val="0"/>
          <w:divBdr>
            <w:top w:val="none" w:sz="0" w:space="0" w:color="auto"/>
            <w:left w:val="none" w:sz="0" w:space="0" w:color="auto"/>
            <w:bottom w:val="none" w:sz="0" w:space="0" w:color="auto"/>
            <w:right w:val="none" w:sz="0" w:space="0" w:color="auto"/>
          </w:divBdr>
          <w:divsChild>
            <w:div w:id="1126655394">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859857480">
                      <w:marLeft w:val="0"/>
                      <w:marRight w:val="0"/>
                      <w:marTop w:val="0"/>
                      <w:marBottom w:val="0"/>
                      <w:divBdr>
                        <w:top w:val="none" w:sz="0" w:space="0" w:color="auto"/>
                        <w:left w:val="none" w:sz="0" w:space="0" w:color="auto"/>
                        <w:bottom w:val="none" w:sz="0" w:space="0" w:color="auto"/>
                        <w:right w:val="none" w:sz="0" w:space="0" w:color="auto"/>
                      </w:divBdr>
                      <w:divsChild>
                        <w:div w:id="2257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358">
      <w:bodyDiv w:val="1"/>
      <w:marLeft w:val="0"/>
      <w:marRight w:val="0"/>
      <w:marTop w:val="0"/>
      <w:marBottom w:val="0"/>
      <w:divBdr>
        <w:top w:val="none" w:sz="0" w:space="0" w:color="auto"/>
        <w:left w:val="none" w:sz="0" w:space="0" w:color="auto"/>
        <w:bottom w:val="none" w:sz="0" w:space="0" w:color="auto"/>
        <w:right w:val="none" w:sz="0" w:space="0" w:color="auto"/>
      </w:divBdr>
    </w:div>
    <w:div w:id="736971893">
      <w:bodyDiv w:val="1"/>
      <w:marLeft w:val="0"/>
      <w:marRight w:val="0"/>
      <w:marTop w:val="0"/>
      <w:marBottom w:val="0"/>
      <w:divBdr>
        <w:top w:val="none" w:sz="0" w:space="0" w:color="auto"/>
        <w:left w:val="none" w:sz="0" w:space="0" w:color="auto"/>
        <w:bottom w:val="none" w:sz="0" w:space="0" w:color="auto"/>
        <w:right w:val="none" w:sz="0" w:space="0" w:color="auto"/>
      </w:divBdr>
    </w:div>
    <w:div w:id="1118135320">
      <w:bodyDiv w:val="1"/>
      <w:marLeft w:val="0"/>
      <w:marRight w:val="0"/>
      <w:marTop w:val="0"/>
      <w:marBottom w:val="0"/>
      <w:divBdr>
        <w:top w:val="none" w:sz="0" w:space="0" w:color="auto"/>
        <w:left w:val="none" w:sz="0" w:space="0" w:color="auto"/>
        <w:bottom w:val="none" w:sz="0" w:space="0" w:color="auto"/>
        <w:right w:val="none" w:sz="0" w:space="0" w:color="auto"/>
      </w:divBdr>
      <w:divsChild>
        <w:div w:id="1105806183">
          <w:marLeft w:val="0"/>
          <w:marRight w:val="0"/>
          <w:marTop w:val="0"/>
          <w:marBottom w:val="0"/>
          <w:divBdr>
            <w:top w:val="none" w:sz="0" w:space="0" w:color="auto"/>
            <w:left w:val="none" w:sz="0" w:space="0" w:color="auto"/>
            <w:bottom w:val="none" w:sz="0" w:space="0" w:color="auto"/>
            <w:right w:val="none" w:sz="0" w:space="0" w:color="auto"/>
          </w:divBdr>
          <w:divsChild>
            <w:div w:id="1230574972">
              <w:marLeft w:val="0"/>
              <w:marRight w:val="0"/>
              <w:marTop w:val="0"/>
              <w:marBottom w:val="0"/>
              <w:divBdr>
                <w:top w:val="none" w:sz="0" w:space="0" w:color="auto"/>
                <w:left w:val="none" w:sz="0" w:space="0" w:color="auto"/>
                <w:bottom w:val="none" w:sz="0" w:space="0" w:color="auto"/>
                <w:right w:val="none" w:sz="0" w:space="0" w:color="auto"/>
              </w:divBdr>
              <w:divsChild>
                <w:div w:id="1882521685">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sChild>
                        <w:div w:id="870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0792">
      <w:bodyDiv w:val="1"/>
      <w:marLeft w:val="0"/>
      <w:marRight w:val="0"/>
      <w:marTop w:val="0"/>
      <w:marBottom w:val="0"/>
      <w:divBdr>
        <w:top w:val="none" w:sz="0" w:space="0" w:color="auto"/>
        <w:left w:val="none" w:sz="0" w:space="0" w:color="auto"/>
        <w:bottom w:val="none" w:sz="0" w:space="0" w:color="auto"/>
        <w:right w:val="none" w:sz="0" w:space="0" w:color="auto"/>
      </w:divBdr>
    </w:div>
    <w:div w:id="1302232268">
      <w:bodyDiv w:val="1"/>
      <w:marLeft w:val="0"/>
      <w:marRight w:val="0"/>
      <w:marTop w:val="0"/>
      <w:marBottom w:val="0"/>
      <w:divBdr>
        <w:top w:val="none" w:sz="0" w:space="0" w:color="auto"/>
        <w:left w:val="none" w:sz="0" w:space="0" w:color="auto"/>
        <w:bottom w:val="none" w:sz="0" w:space="0" w:color="auto"/>
        <w:right w:val="none" w:sz="0" w:space="0" w:color="auto"/>
      </w:divBdr>
    </w:div>
    <w:div w:id="1479416970">
      <w:bodyDiv w:val="1"/>
      <w:marLeft w:val="0"/>
      <w:marRight w:val="0"/>
      <w:marTop w:val="0"/>
      <w:marBottom w:val="0"/>
      <w:divBdr>
        <w:top w:val="none" w:sz="0" w:space="0" w:color="auto"/>
        <w:left w:val="none" w:sz="0" w:space="0" w:color="auto"/>
        <w:bottom w:val="none" w:sz="0" w:space="0" w:color="auto"/>
        <w:right w:val="none" w:sz="0" w:space="0" w:color="auto"/>
      </w:divBdr>
      <w:divsChild>
        <w:div w:id="1800027825">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244340404">
                  <w:marLeft w:val="0"/>
                  <w:marRight w:val="0"/>
                  <w:marTop w:val="0"/>
                  <w:marBottom w:val="0"/>
                  <w:divBdr>
                    <w:top w:val="none" w:sz="0" w:space="0" w:color="auto"/>
                    <w:left w:val="none" w:sz="0" w:space="0" w:color="auto"/>
                    <w:bottom w:val="none" w:sz="0" w:space="0" w:color="auto"/>
                    <w:right w:val="none" w:sz="0" w:space="0" w:color="auto"/>
                  </w:divBdr>
                  <w:divsChild>
                    <w:div w:id="459807231">
                      <w:marLeft w:val="0"/>
                      <w:marRight w:val="0"/>
                      <w:marTop w:val="0"/>
                      <w:marBottom w:val="0"/>
                      <w:divBdr>
                        <w:top w:val="none" w:sz="0" w:space="0" w:color="auto"/>
                        <w:left w:val="none" w:sz="0" w:space="0" w:color="auto"/>
                        <w:bottom w:val="none" w:sz="0" w:space="0" w:color="auto"/>
                        <w:right w:val="none" w:sz="0" w:space="0" w:color="auto"/>
                      </w:divBdr>
                      <w:divsChild>
                        <w:div w:id="1275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127054">
      <w:bodyDiv w:val="1"/>
      <w:marLeft w:val="0"/>
      <w:marRight w:val="0"/>
      <w:marTop w:val="0"/>
      <w:marBottom w:val="0"/>
      <w:divBdr>
        <w:top w:val="none" w:sz="0" w:space="0" w:color="auto"/>
        <w:left w:val="none" w:sz="0" w:space="0" w:color="auto"/>
        <w:bottom w:val="none" w:sz="0" w:space="0" w:color="auto"/>
        <w:right w:val="none" w:sz="0" w:space="0" w:color="auto"/>
      </w:divBdr>
    </w:div>
    <w:div w:id="1762873811">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 w:id="1804276941">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2">
          <w:marLeft w:val="0"/>
          <w:marRight w:val="0"/>
          <w:marTop w:val="0"/>
          <w:marBottom w:val="0"/>
          <w:divBdr>
            <w:top w:val="none" w:sz="0" w:space="0" w:color="auto"/>
            <w:left w:val="none" w:sz="0" w:space="0" w:color="auto"/>
            <w:bottom w:val="none" w:sz="0" w:space="0" w:color="auto"/>
            <w:right w:val="none" w:sz="0" w:space="0" w:color="auto"/>
          </w:divBdr>
          <w:divsChild>
            <w:div w:id="1585260893">
              <w:marLeft w:val="0"/>
              <w:marRight w:val="0"/>
              <w:marTop w:val="0"/>
              <w:marBottom w:val="0"/>
              <w:divBdr>
                <w:top w:val="none" w:sz="0" w:space="0" w:color="auto"/>
                <w:left w:val="none" w:sz="0" w:space="0" w:color="auto"/>
                <w:bottom w:val="none" w:sz="0" w:space="0" w:color="auto"/>
                <w:right w:val="none" w:sz="0" w:space="0" w:color="auto"/>
              </w:divBdr>
              <w:divsChild>
                <w:div w:id="1176962374">
                  <w:marLeft w:val="0"/>
                  <w:marRight w:val="0"/>
                  <w:marTop w:val="0"/>
                  <w:marBottom w:val="0"/>
                  <w:divBdr>
                    <w:top w:val="none" w:sz="0" w:space="0" w:color="auto"/>
                    <w:left w:val="none" w:sz="0" w:space="0" w:color="auto"/>
                    <w:bottom w:val="none" w:sz="0" w:space="0" w:color="auto"/>
                    <w:right w:val="none" w:sz="0" w:space="0" w:color="auto"/>
                  </w:divBdr>
                  <w:divsChild>
                    <w:div w:id="1533760867">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0428">
      <w:bodyDiv w:val="1"/>
      <w:marLeft w:val="0"/>
      <w:marRight w:val="0"/>
      <w:marTop w:val="0"/>
      <w:marBottom w:val="0"/>
      <w:divBdr>
        <w:top w:val="none" w:sz="0" w:space="0" w:color="auto"/>
        <w:left w:val="none" w:sz="0" w:space="0" w:color="auto"/>
        <w:bottom w:val="none" w:sz="0" w:space="0" w:color="auto"/>
        <w:right w:val="none" w:sz="0" w:space="0" w:color="auto"/>
      </w:divBdr>
      <w:divsChild>
        <w:div w:id="1406801720">
          <w:marLeft w:val="0"/>
          <w:marRight w:val="0"/>
          <w:marTop w:val="0"/>
          <w:marBottom w:val="0"/>
          <w:divBdr>
            <w:top w:val="none" w:sz="0" w:space="0" w:color="auto"/>
            <w:left w:val="none" w:sz="0" w:space="0" w:color="auto"/>
            <w:bottom w:val="none" w:sz="0" w:space="0" w:color="auto"/>
            <w:right w:val="none" w:sz="0" w:space="0" w:color="auto"/>
          </w:divBdr>
          <w:divsChild>
            <w:div w:id="412628801">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217475080">
                      <w:marLeft w:val="0"/>
                      <w:marRight w:val="0"/>
                      <w:marTop w:val="0"/>
                      <w:marBottom w:val="0"/>
                      <w:divBdr>
                        <w:top w:val="none" w:sz="0" w:space="0" w:color="auto"/>
                        <w:left w:val="none" w:sz="0" w:space="0" w:color="auto"/>
                        <w:bottom w:val="none" w:sz="0" w:space="0" w:color="auto"/>
                        <w:right w:val="none" w:sz="0" w:space="0" w:color="auto"/>
                      </w:divBdr>
                      <w:divsChild>
                        <w:div w:id="675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Apleadings@mass.gov" TargetMode="External"/><Relationship Id="rId18" Type="http://schemas.openxmlformats.org/officeDocument/2006/relationships/hyperlink" Target="https://www.mass.gov/regulations/801-CMR-100-standard-adjudicatory-rules-of-practice-and-procedure" TargetMode="External"/><Relationship Id="rId26" Type="http://schemas.openxmlformats.org/officeDocument/2006/relationships/hyperlink" Target="https://www.mass.gov/doc/801-cmr-1-standard-adjudicatory-rules/download" TargetMode="External"/><Relationship Id="rId39" Type="http://schemas.openxmlformats.org/officeDocument/2006/relationships/image" Target="media/image3.jpeg"/><Relationship Id="rId21" Type="http://schemas.openxmlformats.org/officeDocument/2006/relationships/hyperlink" Target="file:///C:\Users\NNNatalie.S.MonroeAppData\Local\Microsoft\Windows\INetCache\Content.OutlookQ79FTOYU%7bResolver%20a%20Caso%20Sin%20a%20Audiencia%7d" TargetMode="External"/><Relationship Id="rId34" Type="http://schemas.openxmlformats.org/officeDocument/2006/relationships/hyperlink" Target="https://www.mass.gov/info-details/subpoenas-in-administrative-proceeding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Apleadings@mass.gov" TargetMode="External"/><Relationship Id="rId20" Type="http://schemas.openxmlformats.org/officeDocument/2006/relationships/hyperlink" Target="https://www.socialaw.com/research/library-resources/research-databases" TargetMode="External"/><Relationship Id="rId29" Type="http://schemas.openxmlformats.org/officeDocument/2006/relationships/hyperlink" Target="https://www.mass.gov/how-to/if-you-are-unable-to-make-a-deadlin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NNatalie.S.MonroeAppData\Local\Microsoft\Windows\INetCache\Content.OutlookQ79FTOYU%7b&#191;D&#243;nde%20Se%20Guardar&#225;%20Mi%20O&#237;do%20%3f%7d" TargetMode="External"/><Relationship Id="rId24" Type="http://schemas.openxmlformats.org/officeDocument/2006/relationships/hyperlink" Target="file:///C:\Users\NNNatalie.S.MonroeAppData\Local\Microsoft\Windows\INetCache\Content.Outlook\Q79FTOYU%7bYou%20Must%20Give%20Documents%20to%20the%20Other%20Party%7d" TargetMode="External"/><Relationship Id="rId32" Type="http://schemas.openxmlformats.org/officeDocument/2006/relationships/hyperlink" Target="https://www.mass.gov/doc/801-cmr-1-standard-adjudicatory-rules/download" TargetMode="External"/><Relationship Id="rId37" Type="http://schemas.openxmlformats.org/officeDocument/2006/relationships/hyperlink" Target="file:///C:\Users\NNNatalie.S.MonroeAppData\Local\Microsoft\Windows\INetCache\Content.OutlookQ79FTOYU\%7bEvidence%7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LApleadings@mass.gov" TargetMode="External"/><Relationship Id="rId23" Type="http://schemas.openxmlformats.org/officeDocument/2006/relationships/hyperlink" Target="file:///C:\Users\NNNatalie.S.MonroeAppData\Local\Microsoft\Windows\INetCache\Content.OutlookQ79FTOYU%7bPrehearing%20Conference%7d" TargetMode="External"/><Relationship Id="rId28" Type="http://schemas.openxmlformats.org/officeDocument/2006/relationships/hyperlink" Target="https://www.mass.gov/doc/801-cmr-1-standard-adjudicatory-rules/download" TargetMode="External"/><Relationship Id="rId36" Type="http://schemas.openxmlformats.org/officeDocument/2006/relationships/hyperlink" Target="https://www.mass.gov/doc/801-cmr-1-standard-adjudicatory-rules/download" TargetMode="External"/><Relationship Id="rId10" Type="http://schemas.openxmlformats.org/officeDocument/2006/relationships/hyperlink" Target="file:///C:\Users\NNNatalie.S.MonroeAppData\Local\Microsoft\Windows\INetCache\Content.OutlookQ79FTOYU%7bGlossary%7d" TargetMode="External"/><Relationship Id="rId19" Type="http://schemas.openxmlformats.org/officeDocument/2006/relationships/hyperlink" Target="https://www.mass.gov/search-all-general-jurisdiction-decisions" TargetMode="External"/><Relationship Id="rId31" Type="http://schemas.openxmlformats.org/officeDocument/2006/relationships/hyperlink" Target="https://www.mass.gov/doc/801-cmr-1-standard-adjudicatory-rules/download" TargetMode="Externa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 Id="rId14" Type="http://schemas.openxmlformats.org/officeDocument/2006/relationships/hyperlink" Target="file:///C:\Users\NNNatalie.S.MonroeAppData\Local\Microsoft\Windows\INetCache\Content.Outlook\Q79FTOYU%7bYou%20Must%20Give%20Documents%20to%20the%20Other%20Party%7d" TargetMode="External"/><Relationship Id="rId22" Type="http://schemas.openxmlformats.org/officeDocument/2006/relationships/hyperlink" Target="file:///C:\Users\NNNatalie.S.MonroeAppData\Local\Microsoft\Windows\INetCache\Content.OutlookQ79FTOYU%7bPrehearing%20Conference%7d" TargetMode="External"/><Relationship Id="rId27" Type="http://schemas.openxmlformats.org/officeDocument/2006/relationships/hyperlink" Target="file:///C:\Users\NNNatalie.S.MonroeAppData\Local\Microsoft\Windows\INetCache\Content.OutlookQ79FTOYU%7bMotions%20for%20Summary%20Decision%7d" TargetMode="External"/><Relationship Id="rId30" Type="http://schemas.openxmlformats.org/officeDocument/2006/relationships/hyperlink" Target="https://www.mass.gov/doc/801-cmr-1-standard-adjudicatory-rules/download" TargetMode="External"/><Relationship Id="rId35" Type="http://schemas.openxmlformats.org/officeDocument/2006/relationships/hyperlink" Target="file:///C:\Users\NNNatalie.S.MonroeAppData\Local\Microsoft\Windows\INetCache\Content.OutlookQ79FTOYU%7bMotions%20for%20Summary%20Decision%7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nguageAssistDALA@mass.gov" TargetMode="External"/><Relationship Id="rId17" Type="http://schemas.openxmlformats.org/officeDocument/2006/relationships/hyperlink" Target="https://malegislature.gov/Laws/GeneralLaws/PartI/TitleIII/Chapter30A" TargetMode="External"/><Relationship Id="rId25" Type="http://schemas.openxmlformats.org/officeDocument/2006/relationships/hyperlink" Target="https://www.mass.gov/doc/801-cmr-1-standard-adjudicatory-rules/download" TargetMode="External"/><Relationship Id="rId33" Type="http://schemas.openxmlformats.org/officeDocument/2006/relationships/hyperlink" Target="https://www.mass.gov/info-details/subpoenas-in-administrative-proceedings" TargetMode="External"/><Relationship Id="rId3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719F-B253-4800-8893-0F471DAAE0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6925</Words>
  <Characters>39476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Ariana (ALA)</dc:creator>
  <cp:keywords/>
  <dc:description/>
  <cp:lastModifiedBy>Tennen, Eric (ALA)</cp:lastModifiedBy>
  <cp:revision>2</cp:revision>
  <dcterms:created xsi:type="dcterms:W3CDTF">2026-01-05T17:09:00Z</dcterms:created>
  <dcterms:modified xsi:type="dcterms:W3CDTF">2026-01-05T17:09:00Z</dcterms:modified>
</cp:coreProperties>
</file>