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0F851" w14:textId="55232A78" w:rsidR="008330A3" w:rsidRDefault="008330A3" w:rsidP="00F3375A">
      <w:pPr>
        <w:pStyle w:val="Heading1"/>
        <w:rPr>
          <w:noProof/>
        </w:rPr>
      </w:pPr>
      <w:r w:rsidRPr="00F3375A">
        <w:rPr>
          <w:noProof/>
        </w:rPr>
        <w:drawing>
          <wp:inline distT="0" distB="0" distL="0" distR="0" wp14:anchorId="41211EC7" wp14:editId="12F68F6A">
            <wp:extent cx="950912" cy="487751"/>
            <wp:effectExtent l="0" t="0" r="1905" b="7620"/>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0912" cy="487751"/>
                    </a:xfrm>
                    <a:prstGeom prst="rect">
                      <a:avLst/>
                    </a:prstGeom>
                  </pic:spPr>
                </pic:pic>
              </a:graphicData>
            </a:graphic>
          </wp:inline>
        </w:drawing>
      </w:r>
    </w:p>
    <w:p w14:paraId="5A603C43" w14:textId="65326BDD" w:rsidR="00334D4B" w:rsidRPr="00F3375A" w:rsidRDefault="002C73FC" w:rsidP="00F3375A">
      <w:pPr>
        <w:pStyle w:val="Heading1"/>
      </w:pPr>
      <w:r w:rsidRPr="00F3375A">
        <w:t>Guidelines for Medical Necessity Determination for Genetic Testing for BRCA‑related Breast and/or Ovarian Cancer</w:t>
      </w:r>
    </w:p>
    <w:p w14:paraId="5A603C45" w14:textId="4ACA13EB" w:rsidR="00334D4B" w:rsidRPr="00061FB5" w:rsidRDefault="002C73FC" w:rsidP="00061FB5">
      <w:pPr>
        <w:pStyle w:val="BodyText"/>
        <w:spacing w:before="240"/>
        <w:ind w:left="1800" w:firstLine="0"/>
        <w:rPr>
          <w:color w:val="231F20"/>
          <w:spacing w:val="-6"/>
        </w:rPr>
      </w:pPr>
      <w:r w:rsidRPr="00061FB5">
        <w:rPr>
          <w:color w:val="231F20"/>
          <w:spacing w:val="-6"/>
        </w:rPr>
        <w:t>These Guidelines for Medical Necessity Determination (Guidelines) identify the clinical information that MassHealth needs to determine medical necessity for genetic testing for hereditary breast and/ or ovarian cancer, hereinafter referred to as “BRCA-related cancer.” These Guidelines are based on</w:t>
      </w:r>
      <w:r w:rsidR="006515BF" w:rsidRPr="00061FB5">
        <w:rPr>
          <w:color w:val="231F20"/>
          <w:spacing w:val="-6"/>
        </w:rPr>
        <w:t xml:space="preserve"> </w:t>
      </w:r>
      <w:r w:rsidRPr="00061FB5">
        <w:rPr>
          <w:color w:val="231F20"/>
          <w:spacing w:val="-6"/>
        </w:rPr>
        <w:t>generally accepted standards of practice, review of the medical literature, and federal and state policies and laws applicable to Medicaid programs.</w:t>
      </w:r>
    </w:p>
    <w:p w14:paraId="70F23679" w14:textId="77777777" w:rsidR="006515BF" w:rsidRDefault="006515BF">
      <w:pPr>
        <w:pStyle w:val="BodyText"/>
        <w:spacing w:line="213" w:lineRule="auto"/>
        <w:ind w:left="1800" w:right="118" w:firstLine="0"/>
      </w:pPr>
    </w:p>
    <w:p w14:paraId="5A603C46" w14:textId="5D5ADB14" w:rsidR="00334D4B" w:rsidRPr="000C1F82" w:rsidRDefault="002C73FC" w:rsidP="006515BF">
      <w:pPr>
        <w:ind w:left="1800"/>
        <w:rPr>
          <w:color w:val="231F20"/>
          <w:sz w:val="21"/>
          <w:szCs w:val="21"/>
        </w:rPr>
      </w:pPr>
      <w:r w:rsidRPr="000C1F82">
        <w:rPr>
          <w:color w:val="231F20"/>
          <w:sz w:val="21"/>
          <w:szCs w:val="21"/>
        </w:rPr>
        <w:t xml:space="preserve">Providers should consult MassHealth regulations at </w:t>
      </w:r>
      <w:hyperlink r:id="rId9" w:history="1">
        <w:r w:rsidRPr="000C1F82">
          <w:rPr>
            <w:rStyle w:val="Hyperlink"/>
            <w:sz w:val="21"/>
            <w:szCs w:val="21"/>
          </w:rPr>
          <w:t>130 CMR 401.000</w:t>
        </w:r>
        <w:r w:rsidRPr="000C1F82">
          <w:rPr>
            <w:rStyle w:val="Hyperlink"/>
            <w:i/>
            <w:iCs/>
            <w:sz w:val="21"/>
            <w:szCs w:val="21"/>
          </w:rPr>
          <w:t>: Independent Clinical Laboratory Services</w:t>
        </w:r>
        <w:r w:rsidRPr="000C1F82">
          <w:rPr>
            <w:rStyle w:val="Hyperlink"/>
            <w:sz w:val="21"/>
            <w:szCs w:val="21"/>
          </w:rPr>
          <w:t>,</w:t>
        </w:r>
      </w:hyperlink>
      <w:r w:rsidRPr="000C1F82">
        <w:rPr>
          <w:color w:val="231F20"/>
          <w:sz w:val="21"/>
          <w:szCs w:val="21"/>
        </w:rPr>
        <w:t xml:space="preserve"> </w:t>
      </w:r>
      <w:hyperlink r:id="rId10" w:history="1">
        <w:r w:rsidRPr="000C1F82">
          <w:rPr>
            <w:rStyle w:val="Hyperlink"/>
            <w:sz w:val="21"/>
            <w:szCs w:val="21"/>
          </w:rPr>
          <w:t xml:space="preserve">130 CMR 433.000: </w:t>
        </w:r>
        <w:r w:rsidRPr="000C1F82">
          <w:rPr>
            <w:rStyle w:val="Hyperlink"/>
            <w:i/>
            <w:iCs/>
            <w:sz w:val="21"/>
            <w:szCs w:val="21"/>
          </w:rPr>
          <w:t>Physician Services</w:t>
        </w:r>
      </w:hyperlink>
      <w:r w:rsidRPr="000C1F82">
        <w:rPr>
          <w:color w:val="231F20"/>
          <w:sz w:val="21"/>
          <w:szCs w:val="21"/>
        </w:rPr>
        <w:t xml:space="preserve">, </w:t>
      </w:r>
      <w:hyperlink r:id="rId11" w:history="1">
        <w:r w:rsidRPr="000C1F82">
          <w:rPr>
            <w:rStyle w:val="Hyperlink"/>
            <w:sz w:val="21"/>
            <w:szCs w:val="21"/>
          </w:rPr>
          <w:t xml:space="preserve">130 CMR 450.000: </w:t>
        </w:r>
        <w:r w:rsidRPr="000C1F82">
          <w:rPr>
            <w:rStyle w:val="Hyperlink"/>
            <w:i/>
            <w:iCs/>
            <w:sz w:val="21"/>
            <w:szCs w:val="21"/>
          </w:rPr>
          <w:t>Administrative and Billing Regulations</w:t>
        </w:r>
      </w:hyperlink>
      <w:r w:rsidRPr="000C1F82">
        <w:rPr>
          <w:color w:val="231F20"/>
          <w:sz w:val="21"/>
          <w:szCs w:val="21"/>
        </w:rPr>
        <w:t xml:space="preserve">, </w:t>
      </w:r>
      <w:hyperlink r:id="rId12" w:history="1">
        <w:r w:rsidRPr="000C1F82">
          <w:rPr>
            <w:rStyle w:val="Hyperlink"/>
            <w:sz w:val="21"/>
            <w:szCs w:val="21"/>
          </w:rPr>
          <w:t xml:space="preserve">Subchapter 6 of the </w:t>
        </w:r>
        <w:r w:rsidRPr="000C1F82">
          <w:rPr>
            <w:rStyle w:val="Hyperlink"/>
            <w:i/>
            <w:iCs/>
            <w:sz w:val="21"/>
            <w:szCs w:val="21"/>
          </w:rPr>
          <w:t>Independent Clinical Laboratory Manual</w:t>
        </w:r>
      </w:hyperlink>
      <w:r w:rsidRPr="000C1F82">
        <w:rPr>
          <w:color w:val="231F20"/>
          <w:sz w:val="21"/>
          <w:szCs w:val="21"/>
          <w:u w:val="single"/>
        </w:rPr>
        <w:t xml:space="preserve"> </w:t>
      </w:r>
      <w:r w:rsidRPr="000C1F82">
        <w:rPr>
          <w:color w:val="231F20"/>
          <w:sz w:val="21"/>
          <w:szCs w:val="21"/>
        </w:rPr>
        <w:t xml:space="preserve">and </w:t>
      </w:r>
      <w:hyperlink r:id="rId13" w:history="1">
        <w:r w:rsidRPr="000C1F82">
          <w:rPr>
            <w:rStyle w:val="Hyperlink"/>
            <w:sz w:val="21"/>
            <w:szCs w:val="21"/>
          </w:rPr>
          <w:t xml:space="preserve">Subchapter 6 of the </w:t>
        </w:r>
        <w:r w:rsidRPr="000C1F82">
          <w:rPr>
            <w:rStyle w:val="Hyperlink"/>
            <w:i/>
            <w:iCs/>
            <w:sz w:val="21"/>
            <w:szCs w:val="21"/>
          </w:rPr>
          <w:t>Physician Manual</w:t>
        </w:r>
      </w:hyperlink>
      <w:r w:rsidRPr="000C1F82">
        <w:rPr>
          <w:color w:val="231F20"/>
          <w:sz w:val="21"/>
          <w:szCs w:val="21"/>
        </w:rPr>
        <w:t xml:space="preserve"> for information about coverage, limitations, service conditions, and other prior authorization (PA) requirements.</w:t>
      </w:r>
    </w:p>
    <w:p w14:paraId="033214F3" w14:textId="77777777" w:rsidR="00787B6C" w:rsidRPr="006515BF" w:rsidRDefault="00787B6C" w:rsidP="00787B6C">
      <w:pPr>
        <w:ind w:left="1800"/>
        <w:rPr>
          <w:color w:val="231F20"/>
          <w:w w:val="90"/>
          <w:sz w:val="21"/>
          <w:szCs w:val="21"/>
        </w:rPr>
      </w:pPr>
    </w:p>
    <w:p w14:paraId="7CAEF4CD" w14:textId="19EBA55C" w:rsidR="00787B6C" w:rsidRPr="00303B52" w:rsidRDefault="00787B6C" w:rsidP="00787B6C">
      <w:pPr>
        <w:ind w:left="1800"/>
        <w:rPr>
          <w:color w:val="231F20"/>
          <w:sz w:val="21"/>
          <w:szCs w:val="21"/>
        </w:rPr>
      </w:pPr>
      <w:r w:rsidRPr="00303B52">
        <w:rPr>
          <w:color w:val="231F20"/>
          <w:sz w:val="21"/>
          <w:szCs w:val="21"/>
        </w:rPr>
        <w:t>Providers serving members enrolled in a MassHealth-contracted accountable care partnership plan (ACPP), managed care organization (MCO), One Care organization, Senior Care Options (SCO) plan, or Program of All-inclusive Care for the Elderly (PACE) should refer to the ACPP’s, MCO’s, One Care organization’s, SCO’s, or PACE’s medical policies, respectively, for covered services.</w:t>
      </w:r>
    </w:p>
    <w:p w14:paraId="5A603C48" w14:textId="657DF440" w:rsidR="00334D4B" w:rsidRPr="00303B52" w:rsidRDefault="002C73FC" w:rsidP="003E30AA">
      <w:pPr>
        <w:pStyle w:val="BodyText"/>
        <w:spacing w:before="239"/>
        <w:ind w:left="1800" w:right="331" w:firstLine="0"/>
      </w:pPr>
      <w:r w:rsidRPr="00303B52">
        <w:rPr>
          <w:color w:val="231F20"/>
        </w:rPr>
        <w:t xml:space="preserve">MassHealth requires PA for genetic testing for BRCA-related cancer. MassHealth reviews requests for PA </w:t>
      </w:r>
      <w:r w:rsidR="006D4A9F" w:rsidRPr="00303B52">
        <w:rPr>
          <w:color w:val="231F20"/>
        </w:rPr>
        <w:t xml:space="preserve">based on </w:t>
      </w:r>
      <w:r w:rsidRPr="00303B52">
        <w:rPr>
          <w:color w:val="231F20"/>
        </w:rPr>
        <w:t>medical necessity. If MassHealth approves the request, payment is still subject to all general conditions of MassHealth, including member eligibility, other insurance, and program restrictions.</w:t>
      </w:r>
    </w:p>
    <w:p w14:paraId="5A603C49" w14:textId="77777777" w:rsidR="00334D4B" w:rsidRDefault="00334D4B" w:rsidP="00E603B1">
      <w:pPr>
        <w:pStyle w:val="BodyText"/>
        <w:spacing w:before="7"/>
        <w:ind w:left="1440" w:firstLine="0"/>
        <w:rPr>
          <w:sz w:val="26"/>
        </w:rPr>
      </w:pPr>
    </w:p>
    <w:p w14:paraId="5A603C4A" w14:textId="77777777" w:rsidR="00334D4B" w:rsidRPr="00CD6639" w:rsidRDefault="002C73FC" w:rsidP="00F832D2">
      <w:pPr>
        <w:pStyle w:val="Heading2"/>
        <w:rPr>
          <w:rFonts w:ascii="Tahoma" w:hAnsi="Tahoma" w:cs="Tahoma"/>
        </w:rPr>
      </w:pPr>
      <w:r w:rsidRPr="00CD6639">
        <w:rPr>
          <w:rFonts w:ascii="Tahoma" w:hAnsi="Tahoma" w:cs="Tahoma"/>
        </w:rPr>
        <w:t>Section</w:t>
      </w:r>
      <w:r w:rsidRPr="00CD6639">
        <w:rPr>
          <w:rFonts w:ascii="Tahoma" w:hAnsi="Tahoma" w:cs="Tahoma"/>
          <w:spacing w:val="21"/>
        </w:rPr>
        <w:t xml:space="preserve"> </w:t>
      </w:r>
      <w:r w:rsidRPr="00CD6639">
        <w:rPr>
          <w:rFonts w:ascii="Tahoma" w:hAnsi="Tahoma" w:cs="Tahoma"/>
        </w:rPr>
        <w:t>I.</w:t>
      </w:r>
      <w:r w:rsidRPr="00CD6639">
        <w:rPr>
          <w:rFonts w:ascii="Tahoma" w:hAnsi="Tahoma" w:cs="Tahoma"/>
          <w:spacing w:val="21"/>
        </w:rPr>
        <w:t xml:space="preserve"> </w:t>
      </w:r>
      <w:r w:rsidRPr="00CD6639">
        <w:rPr>
          <w:rFonts w:ascii="Tahoma" w:hAnsi="Tahoma" w:cs="Tahoma"/>
        </w:rPr>
        <w:t>General</w:t>
      </w:r>
      <w:r w:rsidRPr="00CD6639">
        <w:rPr>
          <w:rFonts w:ascii="Tahoma" w:hAnsi="Tahoma" w:cs="Tahoma"/>
          <w:spacing w:val="22"/>
        </w:rPr>
        <w:t xml:space="preserve"> </w:t>
      </w:r>
      <w:r w:rsidRPr="00CD6639">
        <w:rPr>
          <w:rFonts w:ascii="Tahoma" w:hAnsi="Tahoma" w:cs="Tahoma"/>
          <w:spacing w:val="-2"/>
        </w:rPr>
        <w:t>Information</w:t>
      </w:r>
    </w:p>
    <w:p w14:paraId="5A603C4B" w14:textId="77777777" w:rsidR="00334D4B" w:rsidRPr="00303B52" w:rsidRDefault="002C73FC" w:rsidP="00061FB5">
      <w:pPr>
        <w:pStyle w:val="BodyText"/>
        <w:spacing w:before="188"/>
        <w:ind w:left="1800" w:right="619" w:firstLine="0"/>
      </w:pPr>
      <w:r w:rsidRPr="00303B52">
        <w:rPr>
          <w:color w:val="231F20"/>
        </w:rPr>
        <w:t>The genetic basis for BRCA-related cancer is a germline (inherited) pathogenic/likely pathogenic variant in either BRCA1 or BRCA2, which is inherited in an autosomal dominant pattern. PALB2 (Partner and Localizer of BRCA2) is another gene implicated in hereditary breast cancer.</w:t>
      </w:r>
    </w:p>
    <w:p w14:paraId="5A603C4C" w14:textId="20509657" w:rsidR="00334D4B" w:rsidRPr="00303B52" w:rsidRDefault="002C73FC" w:rsidP="00061FB5">
      <w:pPr>
        <w:pStyle w:val="BodyText"/>
        <w:spacing w:before="240"/>
        <w:ind w:left="1800" w:right="115" w:firstLine="0"/>
        <w:rPr>
          <w:color w:val="231F20"/>
        </w:rPr>
      </w:pPr>
      <w:r w:rsidRPr="00303B52">
        <w:rPr>
          <w:color w:val="231F20"/>
        </w:rPr>
        <w:t xml:space="preserve">Approximately </w:t>
      </w:r>
      <w:r w:rsidR="0097565B" w:rsidRPr="00303B52">
        <w:rPr>
          <w:color w:val="231F20"/>
        </w:rPr>
        <w:t>3</w:t>
      </w:r>
      <w:r w:rsidRPr="00303B52">
        <w:rPr>
          <w:color w:val="231F20"/>
        </w:rPr>
        <w:t>% of breast cancers and 10% of ovarian cancers diagnosed annually in the</w:t>
      </w:r>
      <w:r w:rsidRPr="00303B52">
        <w:rPr>
          <w:color w:val="231F20"/>
          <w:spacing w:val="-4"/>
        </w:rPr>
        <w:t xml:space="preserve"> </w:t>
      </w:r>
      <w:r w:rsidRPr="00303B52">
        <w:rPr>
          <w:color w:val="231F20"/>
        </w:rPr>
        <w:t>United</w:t>
      </w:r>
      <w:r w:rsidRPr="00303B52">
        <w:rPr>
          <w:color w:val="231F20"/>
          <w:spacing w:val="-4"/>
        </w:rPr>
        <w:t xml:space="preserve"> </w:t>
      </w:r>
      <w:r w:rsidRPr="00303B52">
        <w:rPr>
          <w:color w:val="231F20"/>
        </w:rPr>
        <w:t>States</w:t>
      </w:r>
      <w:r w:rsidRPr="00303B52">
        <w:rPr>
          <w:color w:val="231F20"/>
          <w:spacing w:val="-4"/>
        </w:rPr>
        <w:t xml:space="preserve"> </w:t>
      </w:r>
      <w:r w:rsidRPr="00303B52">
        <w:rPr>
          <w:color w:val="231F20"/>
        </w:rPr>
        <w:t>are</w:t>
      </w:r>
      <w:r w:rsidRPr="00303B52">
        <w:rPr>
          <w:color w:val="231F20"/>
          <w:spacing w:val="-4"/>
        </w:rPr>
        <w:t xml:space="preserve"> </w:t>
      </w:r>
      <w:r w:rsidRPr="00303B52">
        <w:rPr>
          <w:color w:val="231F20"/>
        </w:rPr>
        <w:t>thought</w:t>
      </w:r>
      <w:r w:rsidRPr="00303B52">
        <w:rPr>
          <w:color w:val="231F20"/>
          <w:spacing w:val="-4"/>
        </w:rPr>
        <w:t xml:space="preserve"> </w:t>
      </w:r>
      <w:r w:rsidRPr="00303B52">
        <w:rPr>
          <w:color w:val="231F20"/>
        </w:rPr>
        <w:t>to</w:t>
      </w:r>
      <w:r w:rsidRPr="00303B52">
        <w:rPr>
          <w:color w:val="231F20"/>
          <w:spacing w:val="-4"/>
        </w:rPr>
        <w:t xml:space="preserve"> </w:t>
      </w:r>
      <w:r w:rsidRPr="00303B52">
        <w:rPr>
          <w:color w:val="231F20"/>
        </w:rPr>
        <w:t>be</w:t>
      </w:r>
      <w:r w:rsidRPr="00303B52">
        <w:rPr>
          <w:color w:val="231F20"/>
          <w:spacing w:val="-4"/>
        </w:rPr>
        <w:t xml:space="preserve"> </w:t>
      </w:r>
      <w:r w:rsidRPr="00303B52">
        <w:rPr>
          <w:color w:val="231F20"/>
        </w:rPr>
        <w:t>BRCA-related.</w:t>
      </w:r>
      <w:r w:rsidRPr="00303B52">
        <w:rPr>
          <w:color w:val="231F20"/>
          <w:spacing w:val="-4"/>
        </w:rPr>
        <w:t xml:space="preserve"> </w:t>
      </w:r>
      <w:r w:rsidRPr="00303B52">
        <w:rPr>
          <w:color w:val="231F20"/>
        </w:rPr>
        <w:t>Clinically</w:t>
      </w:r>
      <w:r w:rsidRPr="00303B52">
        <w:rPr>
          <w:color w:val="231F20"/>
          <w:spacing w:val="-4"/>
        </w:rPr>
        <w:t xml:space="preserve"> </w:t>
      </w:r>
      <w:r w:rsidRPr="00303B52">
        <w:rPr>
          <w:color w:val="231F20"/>
        </w:rPr>
        <w:t>significant</w:t>
      </w:r>
      <w:r w:rsidRPr="00303B52">
        <w:rPr>
          <w:color w:val="231F20"/>
          <w:spacing w:val="-4"/>
        </w:rPr>
        <w:t xml:space="preserve"> </w:t>
      </w:r>
      <w:r w:rsidRPr="00303B52">
        <w:rPr>
          <w:color w:val="231F20"/>
        </w:rPr>
        <w:t>or</w:t>
      </w:r>
      <w:r w:rsidRPr="00303B52">
        <w:rPr>
          <w:color w:val="231F20"/>
          <w:spacing w:val="-4"/>
        </w:rPr>
        <w:t xml:space="preserve"> </w:t>
      </w:r>
      <w:r w:rsidRPr="00303B52">
        <w:rPr>
          <w:color w:val="231F20"/>
        </w:rPr>
        <w:t>deleterious</w:t>
      </w:r>
      <w:r w:rsidRPr="00303B52">
        <w:rPr>
          <w:color w:val="231F20"/>
          <w:spacing w:val="-4"/>
        </w:rPr>
        <w:t xml:space="preserve"> </w:t>
      </w:r>
      <w:r w:rsidRPr="00303B52">
        <w:rPr>
          <w:color w:val="231F20"/>
        </w:rPr>
        <w:t>pathogenic/likely pathogenic variants in these genes have been linked to an increased risk of breast, ovarian, fallopian tube, and peritoneal cancer in women. BRCA pathogenic/likely pathogenic variants are also associated with male breast cancer and, to a lesser degree, pancreatic, testicular, and early-onset prostate cancer.</w:t>
      </w:r>
    </w:p>
    <w:p w14:paraId="55D1DBBC" w14:textId="6EE7985B" w:rsidR="00303B52" w:rsidRDefault="00303B52">
      <w:pPr>
        <w:rPr>
          <w:color w:val="231F20"/>
          <w:w w:val="90"/>
          <w:sz w:val="21"/>
          <w:szCs w:val="21"/>
        </w:rPr>
      </w:pPr>
      <w:r>
        <w:rPr>
          <w:color w:val="231F20"/>
          <w:w w:val="90"/>
        </w:rPr>
        <w:br w:type="page"/>
      </w:r>
    </w:p>
    <w:p w14:paraId="5A603C4D" w14:textId="765E3768" w:rsidR="00334D4B" w:rsidRPr="00407CA9" w:rsidRDefault="002C73FC" w:rsidP="00061FB5">
      <w:pPr>
        <w:pStyle w:val="BodyText"/>
        <w:spacing w:before="239"/>
        <w:ind w:left="1800" w:right="115" w:firstLine="0"/>
      </w:pPr>
      <w:r w:rsidRPr="00407CA9">
        <w:rPr>
          <w:color w:val="231F20"/>
        </w:rPr>
        <w:lastRenderedPageBreak/>
        <w:t>Published estimates of the lifetime risk of developing BRCA-related cancer are age dependent and vary widely. Genetic testing for BRCA-related cancer is not recommended for children because no risk- reduction strategies for children exist, and because their risk of developing a cancer associated with a BRCA1, BRCA2, or PALB2 pathogenic/likely pathogenic variant</w:t>
      </w:r>
      <w:r w:rsidR="0097565B" w:rsidRPr="00407CA9">
        <w:rPr>
          <w:color w:val="231F20"/>
        </w:rPr>
        <w:t xml:space="preserve"> during childhood</w:t>
      </w:r>
      <w:r w:rsidRPr="00407CA9">
        <w:rPr>
          <w:color w:val="231F20"/>
        </w:rPr>
        <w:t xml:space="preserve"> is extremely low.</w:t>
      </w:r>
    </w:p>
    <w:p w14:paraId="5A603C50" w14:textId="45FC711D" w:rsidR="00334D4B" w:rsidRPr="00407CA9" w:rsidRDefault="002C73FC" w:rsidP="00061FB5">
      <w:pPr>
        <w:pStyle w:val="BodyText"/>
        <w:spacing w:before="239"/>
        <w:ind w:left="1800" w:right="115" w:firstLine="0"/>
        <w:rPr>
          <w:spacing w:val="-6"/>
        </w:rPr>
      </w:pPr>
      <w:r w:rsidRPr="00407CA9">
        <w:rPr>
          <w:color w:val="231F20"/>
          <w:spacing w:val="-6"/>
        </w:rPr>
        <w:t>Several tests are currently available to identify inherited pathogenic/likely pathogenic variants in BRCA1, BRCA2, and PALB2. Test selection is based on a combination of factors, including personal</w:t>
      </w:r>
      <w:r w:rsidR="00DD4C3A" w:rsidRPr="00407CA9">
        <w:rPr>
          <w:spacing w:val="-6"/>
        </w:rPr>
        <w:t xml:space="preserve"> </w:t>
      </w:r>
      <w:r w:rsidRPr="00407CA9">
        <w:rPr>
          <w:color w:val="231F20"/>
          <w:spacing w:val="-6"/>
        </w:rPr>
        <w:t>and family history of BRCA-related cancer(s), ancestry, and whether a pathogenic/likely pathogenic variant has been previously identified in a family member. MassHealth considers approval for coverage of genetic testing for BRCA-related cancer on an individual, case-by-case basis, in accordance with 130 CMR 401.000, 130 CMR 433.000</w:t>
      </w:r>
      <w:r w:rsidR="00042B93" w:rsidRPr="00407CA9">
        <w:rPr>
          <w:color w:val="231F20"/>
          <w:spacing w:val="-6"/>
        </w:rPr>
        <w:t>,</w:t>
      </w:r>
      <w:r w:rsidRPr="00407CA9">
        <w:rPr>
          <w:color w:val="231F20"/>
          <w:spacing w:val="-6"/>
        </w:rPr>
        <w:t xml:space="preserve"> and 130 CMR 450.204.</w:t>
      </w:r>
    </w:p>
    <w:p w14:paraId="5A603C51" w14:textId="0E01DE27" w:rsidR="00334D4B" w:rsidRPr="002A640B" w:rsidRDefault="002C73FC" w:rsidP="003B28F3">
      <w:pPr>
        <w:pStyle w:val="BodyText"/>
        <w:spacing w:before="215"/>
        <w:ind w:left="1800" w:firstLine="0"/>
      </w:pPr>
      <w:r w:rsidRPr="002A640B">
        <w:rPr>
          <w:color w:val="231F20"/>
        </w:rPr>
        <w:t>For the purposes of these Guidelines, the following terms are defined</w:t>
      </w:r>
      <w:r w:rsidR="00042B93" w:rsidRPr="002A640B">
        <w:rPr>
          <w:color w:val="231F20"/>
        </w:rPr>
        <w:t>.</w:t>
      </w:r>
    </w:p>
    <w:p w14:paraId="5A603C52" w14:textId="6B84A780" w:rsidR="00334D4B" w:rsidRPr="00675845" w:rsidRDefault="002C73FC">
      <w:pPr>
        <w:pStyle w:val="ListParagraph"/>
        <w:numPr>
          <w:ilvl w:val="0"/>
          <w:numId w:val="6"/>
        </w:numPr>
        <w:tabs>
          <w:tab w:val="left" w:pos="2159"/>
          <w:tab w:val="left" w:pos="2160"/>
        </w:tabs>
        <w:spacing w:before="149"/>
        <w:rPr>
          <w:spacing w:val="-10"/>
          <w:sz w:val="21"/>
        </w:rPr>
      </w:pPr>
      <w:r w:rsidRPr="00675845">
        <w:rPr>
          <w:b/>
          <w:color w:val="231F20"/>
          <w:spacing w:val="-10"/>
          <w:sz w:val="21"/>
        </w:rPr>
        <w:t>Close blood relatives</w:t>
      </w:r>
      <w:r w:rsidRPr="00675845">
        <w:rPr>
          <w:color w:val="231F20"/>
          <w:spacing w:val="-10"/>
          <w:sz w:val="21"/>
        </w:rPr>
        <w:t>—includes first-, second-, and third-degree relatives on same side of family.</w:t>
      </w:r>
    </w:p>
    <w:p w14:paraId="5A603C53" w14:textId="77777777" w:rsidR="00334D4B" w:rsidRPr="002A640B" w:rsidRDefault="002C73FC">
      <w:pPr>
        <w:pStyle w:val="ListParagraph"/>
        <w:numPr>
          <w:ilvl w:val="1"/>
          <w:numId w:val="6"/>
        </w:numPr>
        <w:tabs>
          <w:tab w:val="left" w:pos="2519"/>
          <w:tab w:val="left" w:pos="2520"/>
        </w:tabs>
        <w:spacing w:before="74"/>
        <w:ind w:left="2519"/>
        <w:rPr>
          <w:sz w:val="21"/>
        </w:rPr>
      </w:pPr>
      <w:r w:rsidRPr="002A640B">
        <w:rPr>
          <w:color w:val="231F20"/>
          <w:sz w:val="21"/>
        </w:rPr>
        <w:t>First-degree relatives include parents, siblings, and children.</w:t>
      </w:r>
    </w:p>
    <w:p w14:paraId="5A603C54" w14:textId="77777777" w:rsidR="00334D4B" w:rsidRPr="002A640B" w:rsidRDefault="002C73FC">
      <w:pPr>
        <w:pStyle w:val="ListParagraph"/>
        <w:numPr>
          <w:ilvl w:val="1"/>
          <w:numId w:val="6"/>
        </w:numPr>
        <w:tabs>
          <w:tab w:val="left" w:pos="2519"/>
          <w:tab w:val="left" w:pos="2520"/>
        </w:tabs>
        <w:spacing w:before="113" w:line="213" w:lineRule="auto"/>
        <w:ind w:right="1264"/>
        <w:rPr>
          <w:sz w:val="21"/>
        </w:rPr>
      </w:pPr>
      <w:r w:rsidRPr="002A640B">
        <w:rPr>
          <w:color w:val="231F20"/>
          <w:sz w:val="21"/>
        </w:rPr>
        <w:t>Second-degree relatives include half-brothers/sisters, aunts/uncles, grandparents, grandchildren, and nieces/nephews affected on the same side of the family.</w:t>
      </w:r>
    </w:p>
    <w:p w14:paraId="5A603C55" w14:textId="321D8E72" w:rsidR="00334D4B" w:rsidRPr="002A640B" w:rsidRDefault="002C73FC">
      <w:pPr>
        <w:pStyle w:val="ListParagraph"/>
        <w:numPr>
          <w:ilvl w:val="1"/>
          <w:numId w:val="6"/>
        </w:numPr>
        <w:tabs>
          <w:tab w:val="left" w:pos="2519"/>
          <w:tab w:val="left" w:pos="2520"/>
        </w:tabs>
        <w:spacing w:line="213" w:lineRule="auto"/>
        <w:ind w:right="117"/>
        <w:rPr>
          <w:sz w:val="21"/>
        </w:rPr>
      </w:pPr>
      <w:r w:rsidRPr="002A640B">
        <w:rPr>
          <w:color w:val="231F20"/>
          <w:sz w:val="21"/>
        </w:rPr>
        <w:t>Third-degree relatives include first cousins, great-aunts/uncles, great-grandchildren, and great-grandparents affected on same side of family.</w:t>
      </w:r>
    </w:p>
    <w:p w14:paraId="5A603C56" w14:textId="632230C5" w:rsidR="00334D4B" w:rsidRPr="002A640B" w:rsidRDefault="002C73FC">
      <w:pPr>
        <w:pStyle w:val="ListParagraph"/>
        <w:numPr>
          <w:ilvl w:val="0"/>
          <w:numId w:val="6"/>
        </w:numPr>
        <w:tabs>
          <w:tab w:val="left" w:pos="2159"/>
          <w:tab w:val="left" w:pos="2160"/>
        </w:tabs>
        <w:spacing w:before="95"/>
        <w:rPr>
          <w:sz w:val="21"/>
        </w:rPr>
      </w:pPr>
      <w:r w:rsidRPr="002A640B">
        <w:rPr>
          <w:b/>
          <w:color w:val="231F20"/>
          <w:sz w:val="21"/>
        </w:rPr>
        <w:t>High‑grade prostate cancer</w:t>
      </w:r>
      <w:r w:rsidRPr="002A640B">
        <w:rPr>
          <w:color w:val="231F20"/>
          <w:sz w:val="21"/>
        </w:rPr>
        <w:t>—Gleason score ≥ 7.</w:t>
      </w:r>
    </w:p>
    <w:p w14:paraId="5A603C57" w14:textId="31B5ED61" w:rsidR="00334D4B" w:rsidRPr="002A640B" w:rsidRDefault="002C73FC">
      <w:pPr>
        <w:pStyle w:val="ListParagraph"/>
        <w:numPr>
          <w:ilvl w:val="0"/>
          <w:numId w:val="6"/>
        </w:numPr>
        <w:tabs>
          <w:tab w:val="left" w:pos="2159"/>
          <w:tab w:val="left" w:pos="2160"/>
        </w:tabs>
        <w:spacing w:before="107" w:line="204" w:lineRule="auto"/>
        <w:ind w:right="293"/>
        <w:rPr>
          <w:sz w:val="21"/>
        </w:rPr>
      </w:pPr>
      <w:r w:rsidRPr="002A640B">
        <w:rPr>
          <w:b/>
          <w:color w:val="231F20"/>
          <w:sz w:val="21"/>
        </w:rPr>
        <w:t xml:space="preserve">Breast </w:t>
      </w:r>
      <w:r w:rsidR="00617521" w:rsidRPr="002A640B">
        <w:rPr>
          <w:b/>
          <w:color w:val="231F20"/>
          <w:sz w:val="21"/>
        </w:rPr>
        <w:t>cancer</w:t>
      </w:r>
      <w:r w:rsidRPr="002A640B">
        <w:rPr>
          <w:color w:val="231F20"/>
          <w:sz w:val="21"/>
        </w:rPr>
        <w:t>—includes both invasive and ductal carcinoma in situ (DCIS).</w:t>
      </w:r>
    </w:p>
    <w:p w14:paraId="5A603C58" w14:textId="2C51A1CC" w:rsidR="00334D4B" w:rsidRPr="002A640B" w:rsidRDefault="002C73FC">
      <w:pPr>
        <w:pStyle w:val="ListParagraph"/>
        <w:numPr>
          <w:ilvl w:val="0"/>
          <w:numId w:val="6"/>
        </w:numPr>
        <w:tabs>
          <w:tab w:val="left" w:pos="2159"/>
          <w:tab w:val="left" w:pos="2160"/>
        </w:tabs>
        <w:spacing w:before="130" w:line="204" w:lineRule="auto"/>
        <w:ind w:right="288"/>
        <w:rPr>
          <w:sz w:val="21"/>
        </w:rPr>
      </w:pPr>
      <w:r w:rsidRPr="002A640B">
        <w:rPr>
          <w:b/>
          <w:color w:val="231F20"/>
          <w:sz w:val="21"/>
        </w:rPr>
        <w:t xml:space="preserve">Ovarian </w:t>
      </w:r>
      <w:r w:rsidR="00617521" w:rsidRPr="002A640B">
        <w:rPr>
          <w:b/>
          <w:color w:val="231F20"/>
          <w:sz w:val="21"/>
        </w:rPr>
        <w:t>carcinoma</w:t>
      </w:r>
      <w:r w:rsidRPr="002A640B">
        <w:rPr>
          <w:color w:val="231F20"/>
          <w:sz w:val="21"/>
        </w:rPr>
        <w:t>—</w:t>
      </w:r>
      <w:r w:rsidR="006D4A9F" w:rsidRPr="002A640B">
        <w:rPr>
          <w:color w:val="231F20"/>
          <w:sz w:val="21"/>
        </w:rPr>
        <w:t>in</w:t>
      </w:r>
      <w:r w:rsidRPr="002A640B">
        <w:rPr>
          <w:color w:val="231F20"/>
          <w:sz w:val="21"/>
        </w:rPr>
        <w:t>cludes fallopian tube and primary peritoneal cancers. Ovarian cancers with epithelial, non-mucinous histology are associated with the BRCA gene.</w:t>
      </w:r>
    </w:p>
    <w:p w14:paraId="5A603C59" w14:textId="77777777" w:rsidR="00334D4B" w:rsidRPr="0097565B" w:rsidRDefault="00334D4B" w:rsidP="00E603B1">
      <w:pPr>
        <w:pStyle w:val="BodyText"/>
        <w:spacing w:before="2"/>
        <w:ind w:left="1440" w:firstLine="0"/>
        <w:rPr>
          <w:sz w:val="22"/>
        </w:rPr>
      </w:pPr>
    </w:p>
    <w:p w14:paraId="5A603C5A" w14:textId="77777777" w:rsidR="00334D4B" w:rsidRPr="006C09CF" w:rsidRDefault="002C73FC" w:rsidP="00F832D2">
      <w:pPr>
        <w:pStyle w:val="Heading2"/>
        <w:rPr>
          <w:rFonts w:ascii="Tahoma" w:hAnsi="Tahoma" w:cs="Tahoma"/>
        </w:rPr>
      </w:pPr>
      <w:r w:rsidRPr="006C09CF">
        <w:rPr>
          <w:rFonts w:ascii="Tahoma" w:hAnsi="Tahoma" w:cs="Tahoma"/>
          <w:w w:val="105"/>
        </w:rPr>
        <w:t>Section</w:t>
      </w:r>
      <w:r w:rsidRPr="006C09CF">
        <w:rPr>
          <w:rFonts w:ascii="Tahoma" w:hAnsi="Tahoma" w:cs="Tahoma"/>
          <w:spacing w:val="-9"/>
          <w:w w:val="105"/>
        </w:rPr>
        <w:t xml:space="preserve"> </w:t>
      </w:r>
      <w:r w:rsidRPr="006C09CF">
        <w:rPr>
          <w:rFonts w:ascii="Tahoma" w:hAnsi="Tahoma" w:cs="Tahoma"/>
          <w:w w:val="105"/>
        </w:rPr>
        <w:t>II.</w:t>
      </w:r>
      <w:r w:rsidRPr="006C09CF">
        <w:rPr>
          <w:rFonts w:ascii="Tahoma" w:hAnsi="Tahoma" w:cs="Tahoma"/>
          <w:spacing w:val="-8"/>
          <w:w w:val="105"/>
        </w:rPr>
        <w:t xml:space="preserve"> </w:t>
      </w:r>
      <w:r w:rsidRPr="006C09CF">
        <w:rPr>
          <w:rFonts w:ascii="Tahoma" w:hAnsi="Tahoma" w:cs="Tahoma"/>
          <w:w w:val="105"/>
        </w:rPr>
        <w:t>Clinical</w:t>
      </w:r>
      <w:r w:rsidRPr="006C09CF">
        <w:rPr>
          <w:rFonts w:ascii="Tahoma" w:hAnsi="Tahoma" w:cs="Tahoma"/>
          <w:spacing w:val="-8"/>
          <w:w w:val="105"/>
        </w:rPr>
        <w:t xml:space="preserve"> </w:t>
      </w:r>
      <w:r w:rsidRPr="006C09CF">
        <w:rPr>
          <w:rFonts w:ascii="Tahoma" w:hAnsi="Tahoma" w:cs="Tahoma"/>
          <w:spacing w:val="-2"/>
          <w:w w:val="105"/>
        </w:rPr>
        <w:t>Guidelines</w:t>
      </w:r>
    </w:p>
    <w:p w14:paraId="5A603C5B" w14:textId="2449DBFE" w:rsidR="00334D4B" w:rsidRPr="00675845" w:rsidRDefault="002C73FC" w:rsidP="002D7A83">
      <w:pPr>
        <w:pStyle w:val="Heading3"/>
      </w:pPr>
      <w:r w:rsidRPr="00675845">
        <w:t>Clinical Coverage</w:t>
      </w:r>
    </w:p>
    <w:p w14:paraId="5A603C5C" w14:textId="52B8D9BD" w:rsidR="00334D4B" w:rsidRPr="00675845" w:rsidRDefault="002C73FC" w:rsidP="00061FB5">
      <w:pPr>
        <w:pStyle w:val="BodyText"/>
        <w:spacing w:before="195"/>
        <w:ind w:left="1800" w:right="331" w:firstLine="0"/>
        <w:rPr>
          <w:color w:val="231F20"/>
        </w:rPr>
      </w:pPr>
      <w:r w:rsidRPr="00675845">
        <w:rPr>
          <w:color w:val="231F20"/>
        </w:rPr>
        <w:t>MassHealth considers genetic testing for BRCA-related cancer medically necessary once per lifetime</w:t>
      </w:r>
      <w:r w:rsidR="006D4A9F" w:rsidRPr="00675845">
        <w:rPr>
          <w:color w:val="231F20"/>
        </w:rPr>
        <w:t>.</w:t>
      </w:r>
      <w:r w:rsidRPr="00675845">
        <w:rPr>
          <w:color w:val="231F20"/>
        </w:rPr>
        <w:t xml:space="preserve"> MassHealth bases its determination of medical necessity for genetic testing for BRCA-related cancer on clinical data</w:t>
      </w:r>
      <w:r w:rsidR="00993FBD" w:rsidRPr="00675845">
        <w:rPr>
          <w:color w:val="231F20"/>
        </w:rPr>
        <w:t>,</w:t>
      </w:r>
      <w:r w:rsidRPr="00675845">
        <w:rPr>
          <w:color w:val="231F20"/>
        </w:rPr>
        <w:t xml:space="preserve"> including</w:t>
      </w:r>
      <w:r w:rsidR="006D4A9F" w:rsidRPr="00675845">
        <w:rPr>
          <w:color w:val="231F20"/>
        </w:rPr>
        <w:t xml:space="preserve"> </w:t>
      </w:r>
      <w:r w:rsidRPr="00675845">
        <w:rPr>
          <w:color w:val="231F20"/>
        </w:rPr>
        <w:t xml:space="preserve">indicators that would affect the relative risks and benefits of genetic testing for BRCA-related cancer. </w:t>
      </w:r>
      <w:r w:rsidR="006D4A9F" w:rsidRPr="00675845">
        <w:rPr>
          <w:color w:val="231F20"/>
        </w:rPr>
        <w:t>The criteria for adults at high risk include the following.</w:t>
      </w:r>
    </w:p>
    <w:p w14:paraId="5A603C5D" w14:textId="77777777" w:rsidR="00334D4B" w:rsidRPr="00675845" w:rsidRDefault="002C73FC" w:rsidP="00061FB5">
      <w:pPr>
        <w:pStyle w:val="ListParagraph"/>
        <w:numPr>
          <w:ilvl w:val="1"/>
          <w:numId w:val="5"/>
        </w:numPr>
        <w:tabs>
          <w:tab w:val="left" w:pos="2159"/>
          <w:tab w:val="left" w:pos="2160"/>
        </w:tabs>
        <w:spacing w:before="155"/>
        <w:rPr>
          <w:sz w:val="21"/>
        </w:rPr>
      </w:pPr>
      <w:r w:rsidRPr="00675845">
        <w:rPr>
          <w:color w:val="231F20"/>
          <w:sz w:val="21"/>
        </w:rPr>
        <w:t>The member is 18 years of age or older; AND</w:t>
      </w:r>
    </w:p>
    <w:p w14:paraId="5A603C5E" w14:textId="77777777" w:rsidR="00334D4B" w:rsidRPr="00675845" w:rsidRDefault="002C73FC" w:rsidP="00061FB5">
      <w:pPr>
        <w:pStyle w:val="ListParagraph"/>
        <w:numPr>
          <w:ilvl w:val="1"/>
          <w:numId w:val="5"/>
        </w:numPr>
        <w:tabs>
          <w:tab w:val="left" w:pos="2159"/>
          <w:tab w:val="left" w:pos="2160"/>
        </w:tabs>
        <w:spacing w:before="113"/>
        <w:ind w:left="2160" w:right="249"/>
        <w:rPr>
          <w:sz w:val="21"/>
        </w:rPr>
      </w:pPr>
      <w:r w:rsidRPr="00675845">
        <w:rPr>
          <w:color w:val="231F20"/>
          <w:sz w:val="21"/>
        </w:rPr>
        <w:t>The results of genetic testing will be clinically useful (i.e., will provide added value compared with not using the test) in the clinical management of the member; AND</w:t>
      </w:r>
    </w:p>
    <w:p w14:paraId="5A603C5F" w14:textId="77777777" w:rsidR="00334D4B" w:rsidRPr="00675845" w:rsidRDefault="002C73FC" w:rsidP="00061FB5">
      <w:pPr>
        <w:pStyle w:val="ListParagraph"/>
        <w:numPr>
          <w:ilvl w:val="1"/>
          <w:numId w:val="5"/>
        </w:numPr>
        <w:tabs>
          <w:tab w:val="left" w:pos="2159"/>
          <w:tab w:val="left" w:pos="2160"/>
        </w:tabs>
        <w:spacing w:before="119"/>
        <w:ind w:left="2160" w:right="251"/>
        <w:rPr>
          <w:sz w:val="21"/>
        </w:rPr>
      </w:pPr>
      <w:r w:rsidRPr="00675845">
        <w:rPr>
          <w:color w:val="231F20"/>
          <w:sz w:val="21"/>
        </w:rPr>
        <w:t>The member has given prior written consent for genetic testing in accordance with Massachusetts General Laws Chapter 111, Section 70G; AND</w:t>
      </w:r>
    </w:p>
    <w:p w14:paraId="5A603C60" w14:textId="24CFC874" w:rsidR="00334D4B" w:rsidRPr="00675845" w:rsidRDefault="002C73FC" w:rsidP="00061FB5">
      <w:pPr>
        <w:pStyle w:val="ListParagraph"/>
        <w:numPr>
          <w:ilvl w:val="1"/>
          <w:numId w:val="5"/>
        </w:numPr>
        <w:tabs>
          <w:tab w:val="left" w:pos="2159"/>
          <w:tab w:val="left" w:pos="2160"/>
        </w:tabs>
        <w:ind w:left="2160" w:right="351"/>
        <w:rPr>
          <w:sz w:val="21"/>
        </w:rPr>
      </w:pPr>
      <w:r w:rsidRPr="00675845">
        <w:rPr>
          <w:color w:val="231F20"/>
          <w:sz w:val="21"/>
        </w:rPr>
        <w:t>The member’s personal and/or family cancer history suggests that an inherited pathogenic/likely pathogenic variant in BRCA1, BRCA2, or PALB2 may exist by meeting criteria for one of the following categories of genetic test (I, II, III, or IV) for BRCA-related cancer</w:t>
      </w:r>
      <w:r w:rsidR="00617521" w:rsidRPr="00675845">
        <w:rPr>
          <w:color w:val="231F20"/>
          <w:sz w:val="21"/>
        </w:rPr>
        <w:t>.</w:t>
      </w:r>
    </w:p>
    <w:p w14:paraId="5A603C61" w14:textId="77777777" w:rsidR="00334D4B" w:rsidRDefault="002C73FC" w:rsidP="00061FB5">
      <w:pPr>
        <w:pStyle w:val="Heading4"/>
        <w:ind w:left="2159" w:firstLine="359"/>
      </w:pPr>
      <w:r>
        <w:lastRenderedPageBreak/>
        <w:t>Category</w:t>
      </w:r>
      <w:r>
        <w:rPr>
          <w:spacing w:val="-6"/>
        </w:rPr>
        <w:t xml:space="preserve"> </w:t>
      </w:r>
      <w:r>
        <w:t>I.</w:t>
      </w:r>
      <w:r>
        <w:rPr>
          <w:spacing w:val="-5"/>
        </w:rPr>
        <w:t xml:space="preserve"> </w:t>
      </w:r>
      <w:r>
        <w:t>Family</w:t>
      </w:r>
      <w:r>
        <w:rPr>
          <w:spacing w:val="-5"/>
        </w:rPr>
        <w:t xml:space="preserve"> </w:t>
      </w:r>
      <w:r>
        <w:t>with</w:t>
      </w:r>
      <w:r>
        <w:rPr>
          <w:spacing w:val="-6"/>
        </w:rPr>
        <w:t xml:space="preserve"> </w:t>
      </w:r>
      <w:r>
        <w:t>a</w:t>
      </w:r>
      <w:r>
        <w:rPr>
          <w:spacing w:val="-5"/>
        </w:rPr>
        <w:t xml:space="preserve"> </w:t>
      </w:r>
      <w:r>
        <w:t>Known</w:t>
      </w:r>
      <w:r>
        <w:rPr>
          <w:spacing w:val="-5"/>
        </w:rPr>
        <w:t xml:space="preserve"> </w:t>
      </w:r>
      <w:r>
        <w:t>BRCA1/BRCA2/PALB2</w:t>
      </w:r>
      <w:r>
        <w:rPr>
          <w:spacing w:val="-5"/>
        </w:rPr>
        <w:t xml:space="preserve"> </w:t>
      </w:r>
      <w:r>
        <w:rPr>
          <w:spacing w:val="-2"/>
        </w:rPr>
        <w:t>Variant</w:t>
      </w:r>
    </w:p>
    <w:p w14:paraId="5A603C62" w14:textId="69D4A2F7" w:rsidR="00B54F28" w:rsidRDefault="002C73FC" w:rsidP="0005400E">
      <w:pPr>
        <w:pStyle w:val="BodyText"/>
        <w:spacing w:before="99"/>
        <w:ind w:left="2520" w:right="115" w:firstLine="0"/>
        <w:rPr>
          <w:color w:val="231F20"/>
          <w:w w:val="90"/>
        </w:rPr>
      </w:pPr>
      <w:r>
        <w:rPr>
          <w:color w:val="231F20"/>
          <w:w w:val="90"/>
        </w:rPr>
        <w:t>MassHealth covers BRCA1,</w:t>
      </w:r>
      <w:r>
        <w:rPr>
          <w:color w:val="231F20"/>
          <w:spacing w:val="40"/>
        </w:rPr>
        <w:t xml:space="preserve"> </w:t>
      </w:r>
      <w:r>
        <w:rPr>
          <w:color w:val="231F20"/>
          <w:w w:val="90"/>
        </w:rPr>
        <w:t xml:space="preserve">BRCA2, and PALB2 genetic testing for susceptibility to breast or ovarian cancer in </w:t>
      </w:r>
      <w:r w:rsidR="00A06382">
        <w:rPr>
          <w:color w:val="231F20"/>
          <w:w w:val="90"/>
        </w:rPr>
        <w:t xml:space="preserve">unaffected </w:t>
      </w:r>
      <w:r>
        <w:rPr>
          <w:color w:val="231F20"/>
          <w:w w:val="90"/>
        </w:rPr>
        <w:t xml:space="preserve">adults as medically necessary with single-site analysis for the known familial </w:t>
      </w:r>
      <w:r>
        <w:rPr>
          <w:color w:val="231F20"/>
          <w:spacing w:val="-6"/>
        </w:rPr>
        <w:t>variant</w:t>
      </w:r>
      <w:r>
        <w:rPr>
          <w:color w:val="231F20"/>
          <w:spacing w:val="-8"/>
        </w:rPr>
        <w:t xml:space="preserve"> </w:t>
      </w:r>
      <w:r>
        <w:rPr>
          <w:color w:val="231F20"/>
          <w:spacing w:val="-6"/>
        </w:rPr>
        <w:t>for</w:t>
      </w:r>
      <w:r>
        <w:rPr>
          <w:color w:val="231F20"/>
          <w:spacing w:val="-7"/>
        </w:rPr>
        <w:t xml:space="preserve"> </w:t>
      </w:r>
      <w:r>
        <w:rPr>
          <w:color w:val="231F20"/>
          <w:spacing w:val="-6"/>
        </w:rPr>
        <w:t>a</w:t>
      </w:r>
      <w:r w:rsidR="00C0459C">
        <w:rPr>
          <w:color w:val="231F20"/>
          <w:spacing w:val="-6"/>
        </w:rPr>
        <w:t>n</w:t>
      </w:r>
      <w:r>
        <w:rPr>
          <w:color w:val="231F20"/>
          <w:spacing w:val="-6"/>
        </w:rPr>
        <w:t xml:space="preserve"> </w:t>
      </w:r>
      <w:r>
        <w:rPr>
          <w:color w:val="231F20"/>
          <w:w w:val="90"/>
        </w:rPr>
        <w:t>individual</w:t>
      </w:r>
      <w:r>
        <w:rPr>
          <w:color w:val="231F20"/>
          <w:spacing w:val="-3"/>
          <w:w w:val="90"/>
        </w:rPr>
        <w:t xml:space="preserve"> </w:t>
      </w:r>
      <w:r>
        <w:rPr>
          <w:color w:val="231F20"/>
          <w:w w:val="90"/>
        </w:rPr>
        <w:t>with</w:t>
      </w:r>
      <w:r w:rsidR="00C0459C">
        <w:rPr>
          <w:color w:val="231F20"/>
          <w:w w:val="90"/>
        </w:rPr>
        <w:t xml:space="preserve"> a first- or second-degree biological relative</w:t>
      </w:r>
      <w:r>
        <w:rPr>
          <w:color w:val="231F20"/>
          <w:spacing w:val="-3"/>
          <w:w w:val="90"/>
        </w:rPr>
        <w:t xml:space="preserve"> </w:t>
      </w:r>
      <w:r w:rsidR="00C0459C">
        <w:rPr>
          <w:color w:val="231F20"/>
          <w:spacing w:val="-3"/>
          <w:w w:val="90"/>
        </w:rPr>
        <w:t xml:space="preserve">with </w:t>
      </w:r>
      <w:r>
        <w:rPr>
          <w:color w:val="231F20"/>
          <w:w w:val="90"/>
        </w:rPr>
        <w:t>a</w:t>
      </w:r>
      <w:r>
        <w:rPr>
          <w:color w:val="231F20"/>
          <w:spacing w:val="-3"/>
          <w:w w:val="90"/>
        </w:rPr>
        <w:t xml:space="preserve"> </w:t>
      </w:r>
      <w:r>
        <w:rPr>
          <w:color w:val="231F20"/>
          <w:w w:val="90"/>
        </w:rPr>
        <w:t>known</w:t>
      </w:r>
      <w:r>
        <w:rPr>
          <w:color w:val="231F20"/>
          <w:spacing w:val="-3"/>
          <w:w w:val="90"/>
        </w:rPr>
        <w:t xml:space="preserve"> </w:t>
      </w:r>
      <w:r>
        <w:rPr>
          <w:color w:val="231F20"/>
          <w:w w:val="90"/>
        </w:rPr>
        <w:t>BRCA1,</w:t>
      </w:r>
      <w:r>
        <w:rPr>
          <w:color w:val="231F20"/>
          <w:spacing w:val="-3"/>
          <w:w w:val="90"/>
        </w:rPr>
        <w:t xml:space="preserve"> </w:t>
      </w:r>
      <w:r>
        <w:rPr>
          <w:color w:val="231F20"/>
          <w:w w:val="90"/>
        </w:rPr>
        <w:t>BRCA2,</w:t>
      </w:r>
      <w:r>
        <w:rPr>
          <w:color w:val="231F20"/>
          <w:spacing w:val="-3"/>
          <w:w w:val="90"/>
        </w:rPr>
        <w:t xml:space="preserve"> </w:t>
      </w:r>
      <w:r>
        <w:rPr>
          <w:color w:val="231F20"/>
          <w:w w:val="90"/>
        </w:rPr>
        <w:t>or</w:t>
      </w:r>
      <w:r>
        <w:rPr>
          <w:color w:val="231F20"/>
          <w:spacing w:val="-3"/>
          <w:w w:val="90"/>
        </w:rPr>
        <w:t xml:space="preserve"> </w:t>
      </w:r>
      <w:r>
        <w:rPr>
          <w:color w:val="231F20"/>
          <w:w w:val="90"/>
        </w:rPr>
        <w:t>PALB2</w:t>
      </w:r>
      <w:r>
        <w:rPr>
          <w:color w:val="231F20"/>
          <w:spacing w:val="-3"/>
          <w:w w:val="90"/>
        </w:rPr>
        <w:t xml:space="preserve"> </w:t>
      </w:r>
      <w:r>
        <w:rPr>
          <w:color w:val="231F20"/>
          <w:w w:val="90"/>
        </w:rPr>
        <w:t xml:space="preserve">pathogenic/ likely pathogenic variant when a recommendation for testing is confirmed </w:t>
      </w:r>
      <w:r w:rsidR="00C0459C">
        <w:rPr>
          <w:color w:val="231F20"/>
          <w:w w:val="90"/>
        </w:rPr>
        <w:t>and there has been appropriate genetic counseling.</w:t>
      </w:r>
      <w:r w:rsidR="00A06382">
        <w:rPr>
          <w:color w:val="231F20"/>
          <w:w w:val="90"/>
        </w:rPr>
        <w:t xml:space="preserve"> Documents of the known familial variant and relationship of the carrier(s) to the member </w:t>
      </w:r>
      <w:proofErr w:type="gramStart"/>
      <w:r w:rsidR="00A06382">
        <w:rPr>
          <w:color w:val="231F20"/>
          <w:w w:val="90"/>
        </w:rPr>
        <w:t>is</w:t>
      </w:r>
      <w:proofErr w:type="gramEnd"/>
      <w:r w:rsidR="00A06382">
        <w:rPr>
          <w:color w:val="231F20"/>
          <w:w w:val="90"/>
        </w:rPr>
        <w:t xml:space="preserve"> required.</w:t>
      </w:r>
    </w:p>
    <w:p w14:paraId="5A603C65" w14:textId="77777777" w:rsidR="00334D4B" w:rsidRDefault="002C73FC" w:rsidP="00011F67">
      <w:pPr>
        <w:pStyle w:val="Heading4"/>
        <w:ind w:left="2159" w:firstLine="359"/>
      </w:pPr>
      <w:r>
        <w:t>Category</w:t>
      </w:r>
      <w:r>
        <w:rPr>
          <w:spacing w:val="-3"/>
        </w:rPr>
        <w:t xml:space="preserve"> </w:t>
      </w:r>
      <w:r>
        <w:t>II.</w:t>
      </w:r>
      <w:r>
        <w:rPr>
          <w:spacing w:val="-3"/>
        </w:rPr>
        <w:t xml:space="preserve"> </w:t>
      </w:r>
      <w:r>
        <w:t>Individuals</w:t>
      </w:r>
      <w:r>
        <w:rPr>
          <w:spacing w:val="-2"/>
        </w:rPr>
        <w:t xml:space="preserve"> </w:t>
      </w:r>
      <w:r>
        <w:t>with</w:t>
      </w:r>
      <w:r>
        <w:rPr>
          <w:spacing w:val="-3"/>
        </w:rPr>
        <w:t xml:space="preserve"> </w:t>
      </w:r>
      <w:r>
        <w:t>Active</w:t>
      </w:r>
      <w:r>
        <w:rPr>
          <w:spacing w:val="-3"/>
        </w:rPr>
        <w:t xml:space="preserve"> </w:t>
      </w:r>
      <w:r>
        <w:t>Cancer</w:t>
      </w:r>
      <w:r>
        <w:rPr>
          <w:spacing w:val="-2"/>
        </w:rPr>
        <w:t xml:space="preserve"> </w:t>
      </w:r>
      <w:r>
        <w:t>or</w:t>
      </w:r>
      <w:r>
        <w:rPr>
          <w:spacing w:val="-3"/>
        </w:rPr>
        <w:t xml:space="preserve"> </w:t>
      </w:r>
      <w:r>
        <w:t>a</w:t>
      </w:r>
      <w:r>
        <w:rPr>
          <w:spacing w:val="-3"/>
        </w:rPr>
        <w:t xml:space="preserve"> </w:t>
      </w:r>
      <w:r>
        <w:t>Personal</w:t>
      </w:r>
      <w:r>
        <w:rPr>
          <w:spacing w:val="-2"/>
        </w:rPr>
        <w:t xml:space="preserve"> </w:t>
      </w:r>
      <w:r>
        <w:t>History</w:t>
      </w:r>
      <w:r>
        <w:rPr>
          <w:spacing w:val="-3"/>
        </w:rPr>
        <w:t xml:space="preserve"> </w:t>
      </w:r>
      <w:r>
        <w:t>of</w:t>
      </w:r>
      <w:r>
        <w:rPr>
          <w:spacing w:val="-2"/>
        </w:rPr>
        <w:t xml:space="preserve"> Cancer</w:t>
      </w:r>
    </w:p>
    <w:p w14:paraId="5A603C66" w14:textId="6CE7AD1A" w:rsidR="00334D4B" w:rsidRPr="007B2B93" w:rsidRDefault="002C73FC" w:rsidP="0005400E">
      <w:pPr>
        <w:pStyle w:val="BodyText"/>
        <w:spacing w:before="98"/>
        <w:ind w:left="2519" w:right="118" w:hanging="1"/>
      </w:pPr>
      <w:r w:rsidRPr="007B2B93">
        <w:rPr>
          <w:color w:val="231F20"/>
        </w:rPr>
        <w:t>Genetic testing for BRCA1, BRCA2, and PALB2 variants (including large genomic rearrangement testing (i.e., BART)</w:t>
      </w:r>
      <w:r w:rsidR="00A06382" w:rsidRPr="007B2B93">
        <w:rPr>
          <w:color w:val="231F20"/>
        </w:rPr>
        <w:t>)</w:t>
      </w:r>
      <w:r w:rsidRPr="007B2B93">
        <w:rPr>
          <w:color w:val="231F20"/>
        </w:rPr>
        <w:t xml:space="preserve"> in cancer-affected individuals may be considered medically necessary </w:t>
      </w:r>
      <w:r w:rsidR="006D4A9F" w:rsidRPr="007B2B93">
        <w:rPr>
          <w:color w:val="231F20"/>
        </w:rPr>
        <w:t xml:space="preserve">when the BRCA variant status is unknown, </w:t>
      </w:r>
      <w:r w:rsidRPr="007B2B93">
        <w:rPr>
          <w:color w:val="231F20"/>
        </w:rPr>
        <w:t>there has been appropriate genetic counseling, and any of the following criteria (A.-G.) are met.</w:t>
      </w:r>
    </w:p>
    <w:p w14:paraId="5A603C67" w14:textId="77777777" w:rsidR="00334D4B" w:rsidRPr="007B2B93" w:rsidRDefault="002C73FC" w:rsidP="0005400E">
      <w:pPr>
        <w:pStyle w:val="ListParagraph"/>
        <w:numPr>
          <w:ilvl w:val="2"/>
          <w:numId w:val="5"/>
        </w:numPr>
        <w:tabs>
          <w:tab w:val="left" w:pos="2520"/>
        </w:tabs>
        <w:spacing w:before="95"/>
        <w:ind w:left="2878"/>
        <w:rPr>
          <w:sz w:val="21"/>
        </w:rPr>
      </w:pPr>
      <w:r w:rsidRPr="007B2B93">
        <w:rPr>
          <w:color w:val="231F20"/>
          <w:sz w:val="21"/>
        </w:rPr>
        <w:t>The member has a personal history of breast cancer AND one or more of the following.</w:t>
      </w:r>
    </w:p>
    <w:p w14:paraId="5A603C68" w14:textId="18F245B5" w:rsidR="00334D4B" w:rsidRDefault="002C73FC" w:rsidP="0005400E">
      <w:pPr>
        <w:pStyle w:val="ListParagraph"/>
        <w:numPr>
          <w:ilvl w:val="3"/>
          <w:numId w:val="5"/>
        </w:numPr>
        <w:tabs>
          <w:tab w:val="left" w:pos="2879"/>
          <w:tab w:val="left" w:pos="2880"/>
        </w:tabs>
        <w:spacing w:before="89"/>
        <w:ind w:left="3238"/>
        <w:rPr>
          <w:sz w:val="21"/>
        </w:rPr>
      </w:pPr>
      <w:r>
        <w:rPr>
          <w:color w:val="231F20"/>
          <w:w w:val="90"/>
          <w:sz w:val="21"/>
        </w:rPr>
        <w:t>Diagnosed</w:t>
      </w:r>
      <w:r>
        <w:rPr>
          <w:color w:val="231F20"/>
          <w:spacing w:val="-1"/>
          <w:w w:val="90"/>
          <w:sz w:val="21"/>
        </w:rPr>
        <w:t xml:space="preserve"> </w:t>
      </w:r>
      <w:r>
        <w:rPr>
          <w:color w:val="231F20"/>
          <w:w w:val="90"/>
          <w:sz w:val="21"/>
        </w:rPr>
        <w:t>at</w:t>
      </w:r>
      <w:r>
        <w:rPr>
          <w:color w:val="231F20"/>
          <w:spacing w:val="-1"/>
          <w:w w:val="90"/>
          <w:sz w:val="21"/>
        </w:rPr>
        <w:t xml:space="preserve"> </w:t>
      </w:r>
      <w:r>
        <w:rPr>
          <w:color w:val="231F20"/>
          <w:w w:val="90"/>
          <w:sz w:val="21"/>
        </w:rPr>
        <w:t>age</w:t>
      </w:r>
      <w:r>
        <w:rPr>
          <w:color w:val="231F20"/>
          <w:spacing w:val="-1"/>
          <w:w w:val="90"/>
          <w:sz w:val="21"/>
        </w:rPr>
        <w:t xml:space="preserve"> </w:t>
      </w:r>
      <w:r>
        <w:rPr>
          <w:color w:val="231F20"/>
          <w:w w:val="90"/>
          <w:sz w:val="21"/>
        </w:rPr>
        <w:t>≤</w:t>
      </w:r>
      <w:r>
        <w:rPr>
          <w:color w:val="231F20"/>
          <w:spacing w:val="-1"/>
          <w:w w:val="90"/>
          <w:sz w:val="21"/>
        </w:rPr>
        <w:t xml:space="preserve"> </w:t>
      </w:r>
      <w:r w:rsidR="00A06382">
        <w:rPr>
          <w:color w:val="231F20"/>
          <w:w w:val="90"/>
          <w:sz w:val="21"/>
        </w:rPr>
        <w:t>50</w:t>
      </w:r>
      <w:r>
        <w:rPr>
          <w:color w:val="231F20"/>
          <w:spacing w:val="-1"/>
          <w:w w:val="90"/>
          <w:sz w:val="21"/>
        </w:rPr>
        <w:t xml:space="preserve"> </w:t>
      </w:r>
      <w:proofErr w:type="gramStart"/>
      <w:r>
        <w:rPr>
          <w:color w:val="231F20"/>
          <w:w w:val="90"/>
          <w:sz w:val="21"/>
        </w:rPr>
        <w:t>years;</w:t>
      </w:r>
      <w:proofErr w:type="gramEnd"/>
      <w:r>
        <w:rPr>
          <w:color w:val="231F20"/>
          <w:spacing w:val="-2"/>
          <w:w w:val="90"/>
          <w:sz w:val="21"/>
        </w:rPr>
        <w:t xml:space="preserve"> </w:t>
      </w:r>
      <w:r>
        <w:rPr>
          <w:color w:val="231F20"/>
          <w:spacing w:val="-5"/>
          <w:w w:val="90"/>
          <w:sz w:val="21"/>
        </w:rPr>
        <w:t>OR</w:t>
      </w:r>
    </w:p>
    <w:p w14:paraId="5A603C69" w14:textId="76C5E1F3" w:rsidR="00334D4B" w:rsidRPr="007B2B93" w:rsidRDefault="002C73FC" w:rsidP="0005400E">
      <w:pPr>
        <w:pStyle w:val="ListParagraph"/>
        <w:numPr>
          <w:ilvl w:val="3"/>
          <w:numId w:val="5"/>
        </w:numPr>
        <w:tabs>
          <w:tab w:val="left" w:pos="2879"/>
          <w:tab w:val="left" w:pos="2880"/>
        </w:tabs>
        <w:spacing w:before="88"/>
        <w:ind w:left="3238"/>
        <w:rPr>
          <w:sz w:val="21"/>
        </w:rPr>
      </w:pPr>
      <w:r w:rsidRPr="007B2B93">
        <w:rPr>
          <w:color w:val="231F20"/>
          <w:sz w:val="21"/>
        </w:rPr>
        <w:t xml:space="preserve">Diagnosed at </w:t>
      </w:r>
      <w:r w:rsidR="00A06382" w:rsidRPr="007B2B93">
        <w:rPr>
          <w:color w:val="231F20"/>
          <w:sz w:val="21"/>
        </w:rPr>
        <w:t xml:space="preserve">any </w:t>
      </w:r>
      <w:r w:rsidRPr="007B2B93">
        <w:rPr>
          <w:color w:val="231F20"/>
          <w:sz w:val="21"/>
        </w:rPr>
        <w:t>age with</w:t>
      </w:r>
    </w:p>
    <w:p w14:paraId="5A603C6A" w14:textId="37967707" w:rsidR="00334D4B" w:rsidRPr="007B2B93" w:rsidRDefault="007C13A4" w:rsidP="0005400E">
      <w:pPr>
        <w:pStyle w:val="ListParagraph"/>
        <w:numPr>
          <w:ilvl w:val="4"/>
          <w:numId w:val="5"/>
        </w:numPr>
        <w:tabs>
          <w:tab w:val="left" w:pos="3239"/>
          <w:tab w:val="left" w:pos="3240"/>
        </w:tabs>
        <w:spacing w:before="89"/>
        <w:ind w:left="3598"/>
        <w:rPr>
          <w:sz w:val="21"/>
        </w:rPr>
      </w:pPr>
      <w:r w:rsidRPr="007B2B93">
        <w:rPr>
          <w:color w:val="231F20"/>
          <w:sz w:val="21"/>
        </w:rPr>
        <w:t>Multiple primary breast cancers</w:t>
      </w:r>
      <w:r w:rsidR="002C73FC" w:rsidRPr="007B2B93">
        <w:rPr>
          <w:color w:val="231F20"/>
          <w:sz w:val="21"/>
        </w:rPr>
        <w:t xml:space="preserve"> (at any age); OR</w:t>
      </w:r>
    </w:p>
    <w:p w14:paraId="2E165C7C" w14:textId="30ED6132" w:rsidR="009C3D7D" w:rsidRPr="007B2B93" w:rsidRDefault="009C3D7D" w:rsidP="0005400E">
      <w:pPr>
        <w:pStyle w:val="ListParagraph"/>
        <w:numPr>
          <w:ilvl w:val="4"/>
          <w:numId w:val="5"/>
        </w:numPr>
        <w:tabs>
          <w:tab w:val="left" w:pos="3239"/>
          <w:tab w:val="left" w:pos="3240"/>
        </w:tabs>
        <w:spacing w:before="89"/>
        <w:ind w:left="3598"/>
        <w:rPr>
          <w:sz w:val="21"/>
        </w:rPr>
      </w:pPr>
      <w:r w:rsidRPr="007B2B93">
        <w:rPr>
          <w:color w:val="231F20"/>
          <w:sz w:val="21"/>
        </w:rPr>
        <w:t>Lobular breast cancer with personal or family history of diffuse gastric cancer; OR</w:t>
      </w:r>
    </w:p>
    <w:p w14:paraId="1AF326C3" w14:textId="083DDB13" w:rsidR="009C3D7D" w:rsidRPr="007B2B93" w:rsidRDefault="009C3D7D" w:rsidP="0005400E">
      <w:pPr>
        <w:pStyle w:val="ListParagraph"/>
        <w:numPr>
          <w:ilvl w:val="4"/>
          <w:numId w:val="5"/>
        </w:numPr>
        <w:tabs>
          <w:tab w:val="left" w:pos="3239"/>
          <w:tab w:val="left" w:pos="3240"/>
        </w:tabs>
        <w:spacing w:before="89"/>
        <w:ind w:left="3598"/>
        <w:rPr>
          <w:sz w:val="21"/>
        </w:rPr>
      </w:pPr>
      <w:r w:rsidRPr="007B2B93">
        <w:rPr>
          <w:color w:val="231F20"/>
          <w:sz w:val="21"/>
        </w:rPr>
        <w:t>Triple negative</w:t>
      </w:r>
      <w:r w:rsidR="00E81822" w:rsidRPr="007B2B93">
        <w:rPr>
          <w:color w:val="231F20"/>
          <w:sz w:val="21"/>
        </w:rPr>
        <w:t xml:space="preserve"> breast cancer (ER-, PR-, HER2-); OR</w:t>
      </w:r>
    </w:p>
    <w:p w14:paraId="494FB949" w14:textId="7F1A7130" w:rsidR="007C13A4" w:rsidRPr="007B2B93" w:rsidRDefault="004719D3" w:rsidP="0005400E">
      <w:pPr>
        <w:pStyle w:val="ListParagraph"/>
        <w:numPr>
          <w:ilvl w:val="4"/>
          <w:numId w:val="5"/>
        </w:numPr>
        <w:tabs>
          <w:tab w:val="left" w:pos="3239"/>
          <w:tab w:val="left" w:pos="3240"/>
        </w:tabs>
        <w:spacing w:before="89"/>
        <w:ind w:left="3598"/>
        <w:rPr>
          <w:sz w:val="21"/>
        </w:rPr>
      </w:pPr>
      <w:r w:rsidRPr="007B2B93">
        <w:rPr>
          <w:color w:val="231F20"/>
          <w:sz w:val="21"/>
        </w:rPr>
        <w:t>Requirement for testing t</w:t>
      </w:r>
      <w:r w:rsidR="007C13A4" w:rsidRPr="007B2B93">
        <w:rPr>
          <w:color w:val="231F20"/>
          <w:sz w:val="21"/>
        </w:rPr>
        <w:t>o aid in the following systemic treatment decisions:</w:t>
      </w:r>
    </w:p>
    <w:p w14:paraId="41A89EEB" w14:textId="42F6114C" w:rsidR="007C13A4" w:rsidRPr="007B2B93" w:rsidRDefault="007C13A4" w:rsidP="0005400E">
      <w:pPr>
        <w:pStyle w:val="ListParagraph"/>
        <w:numPr>
          <w:ilvl w:val="5"/>
          <w:numId w:val="5"/>
        </w:numPr>
        <w:tabs>
          <w:tab w:val="left" w:pos="3239"/>
          <w:tab w:val="left" w:pos="3240"/>
        </w:tabs>
        <w:spacing w:before="89"/>
        <w:rPr>
          <w:sz w:val="21"/>
        </w:rPr>
      </w:pPr>
      <w:r w:rsidRPr="007B2B93">
        <w:rPr>
          <w:color w:val="231F20"/>
          <w:sz w:val="21"/>
        </w:rPr>
        <w:t>PARP inhibitors for metastatic breast cancer; OR</w:t>
      </w:r>
    </w:p>
    <w:p w14:paraId="24E4151E" w14:textId="3EC0E1D6" w:rsidR="007C13A4" w:rsidRPr="007B2B93" w:rsidRDefault="007C13A4" w:rsidP="0005400E">
      <w:pPr>
        <w:pStyle w:val="ListParagraph"/>
        <w:numPr>
          <w:ilvl w:val="5"/>
          <w:numId w:val="5"/>
        </w:numPr>
        <w:tabs>
          <w:tab w:val="left" w:pos="3239"/>
          <w:tab w:val="left" w:pos="3240"/>
        </w:tabs>
        <w:spacing w:before="89"/>
        <w:rPr>
          <w:sz w:val="21"/>
        </w:rPr>
      </w:pPr>
      <w:r w:rsidRPr="007B2B93">
        <w:rPr>
          <w:color w:val="231F20"/>
          <w:sz w:val="21"/>
        </w:rPr>
        <w:t>Adjuvant treatment with Olaparib for high-risk, HER2-negative breast cancer</w:t>
      </w:r>
      <w:r w:rsidR="00CF0800" w:rsidRPr="007B2B93">
        <w:rPr>
          <w:color w:val="231F20"/>
          <w:sz w:val="21"/>
        </w:rPr>
        <w:t>; OR</w:t>
      </w:r>
    </w:p>
    <w:p w14:paraId="5A603C6D" w14:textId="51762651" w:rsidR="00334D4B" w:rsidRPr="00905A9C" w:rsidRDefault="002C73FC" w:rsidP="0005400E">
      <w:pPr>
        <w:pStyle w:val="ListParagraph"/>
        <w:numPr>
          <w:ilvl w:val="4"/>
          <w:numId w:val="5"/>
        </w:numPr>
        <w:tabs>
          <w:tab w:val="left" w:pos="3240"/>
        </w:tabs>
        <w:spacing w:before="112"/>
        <w:ind w:left="3599" w:right="169"/>
        <w:rPr>
          <w:sz w:val="21"/>
        </w:rPr>
      </w:pPr>
      <w:r w:rsidRPr="00905A9C">
        <w:rPr>
          <w:color w:val="231F20"/>
          <w:sz w:val="21"/>
        </w:rPr>
        <w:t>An unknown or limited family history, defined as having fewer than two known first-degree or second-degree female relatives or female relatives surviving beyond 45 years of age on either or both sides of the family (e.g., member who is adopted); OR</w:t>
      </w:r>
    </w:p>
    <w:p w14:paraId="5A603C6E" w14:textId="60999E10" w:rsidR="00334D4B" w:rsidRPr="00905A9C" w:rsidRDefault="001847CF" w:rsidP="0005400E">
      <w:pPr>
        <w:pStyle w:val="ListParagraph"/>
        <w:numPr>
          <w:ilvl w:val="4"/>
          <w:numId w:val="5"/>
        </w:numPr>
        <w:tabs>
          <w:tab w:val="left" w:pos="3240"/>
        </w:tabs>
        <w:spacing w:before="112"/>
        <w:ind w:left="3599" w:right="169"/>
        <w:jc w:val="both"/>
        <w:rPr>
          <w:sz w:val="21"/>
        </w:rPr>
      </w:pPr>
      <w:r w:rsidRPr="00905A9C">
        <w:rPr>
          <w:color w:val="231F20"/>
          <w:sz w:val="21"/>
        </w:rPr>
        <w:t>Ashkenazi Jewish ancestry</w:t>
      </w:r>
      <w:r w:rsidR="00CF0800" w:rsidRPr="00905A9C">
        <w:rPr>
          <w:color w:val="231F20"/>
          <w:sz w:val="21"/>
        </w:rPr>
        <w:t xml:space="preserve">. </w:t>
      </w:r>
    </w:p>
    <w:p w14:paraId="5A603C6F" w14:textId="0051C44D" w:rsidR="00334D4B" w:rsidRPr="00905A9C" w:rsidRDefault="002C73FC" w:rsidP="0005400E">
      <w:pPr>
        <w:pStyle w:val="ListParagraph"/>
        <w:numPr>
          <w:ilvl w:val="3"/>
          <w:numId w:val="5"/>
        </w:numPr>
        <w:tabs>
          <w:tab w:val="left" w:pos="2880"/>
        </w:tabs>
        <w:spacing w:before="88"/>
        <w:ind w:left="3238"/>
        <w:jc w:val="both"/>
        <w:rPr>
          <w:sz w:val="21"/>
        </w:rPr>
      </w:pPr>
      <w:r w:rsidRPr="00905A9C">
        <w:rPr>
          <w:color w:val="231F20"/>
          <w:sz w:val="21"/>
        </w:rPr>
        <w:t>Diagnosed at any age with</w:t>
      </w:r>
      <w:r w:rsidR="00E81822" w:rsidRPr="00905A9C">
        <w:rPr>
          <w:color w:val="231F20"/>
          <w:sz w:val="21"/>
        </w:rPr>
        <w:t xml:space="preserve"> a family history of</w:t>
      </w:r>
    </w:p>
    <w:p w14:paraId="09368D3A" w14:textId="5BE47472" w:rsidR="00E81822" w:rsidRPr="00905A9C" w:rsidRDefault="002C73FC" w:rsidP="0005400E">
      <w:pPr>
        <w:pStyle w:val="ListParagraph"/>
        <w:numPr>
          <w:ilvl w:val="4"/>
          <w:numId w:val="5"/>
        </w:numPr>
        <w:tabs>
          <w:tab w:val="left" w:pos="3239"/>
          <w:tab w:val="left" w:pos="3240"/>
        </w:tabs>
        <w:spacing w:before="113"/>
        <w:ind w:left="3599" w:right="404"/>
        <w:rPr>
          <w:sz w:val="21"/>
        </w:rPr>
      </w:pPr>
      <w:r w:rsidRPr="00905A9C">
        <w:rPr>
          <w:color w:val="231F20"/>
          <w:sz w:val="21"/>
        </w:rPr>
        <w:t>One or more close blood relatives</w:t>
      </w:r>
      <w:r w:rsidR="00E81822" w:rsidRPr="00905A9C">
        <w:rPr>
          <w:color w:val="231F20"/>
          <w:sz w:val="21"/>
        </w:rPr>
        <w:t>- on the same side</w:t>
      </w:r>
      <w:r w:rsidR="001C3A01" w:rsidRPr="00905A9C">
        <w:rPr>
          <w:color w:val="231F20"/>
          <w:sz w:val="21"/>
        </w:rPr>
        <w:t xml:space="preserve"> of the family</w:t>
      </w:r>
      <w:r w:rsidR="00E81822" w:rsidRPr="00905A9C">
        <w:rPr>
          <w:color w:val="231F20"/>
          <w:sz w:val="21"/>
        </w:rPr>
        <w:t xml:space="preserve"> </w:t>
      </w:r>
      <w:r w:rsidRPr="00905A9C">
        <w:rPr>
          <w:color w:val="231F20"/>
          <w:sz w:val="21"/>
        </w:rPr>
        <w:t xml:space="preserve">with any of the following: </w:t>
      </w:r>
    </w:p>
    <w:p w14:paraId="65AF4316" w14:textId="6E572D16" w:rsidR="00E81822" w:rsidRPr="00905A9C" w:rsidRDefault="002C73FC" w:rsidP="0005400E">
      <w:pPr>
        <w:pStyle w:val="ListParagraph"/>
        <w:numPr>
          <w:ilvl w:val="5"/>
          <w:numId w:val="5"/>
        </w:numPr>
        <w:tabs>
          <w:tab w:val="left" w:pos="3239"/>
          <w:tab w:val="left" w:pos="3240"/>
        </w:tabs>
        <w:spacing w:before="113"/>
        <w:ind w:left="4819" w:right="404"/>
        <w:rPr>
          <w:sz w:val="21"/>
        </w:rPr>
      </w:pPr>
      <w:r w:rsidRPr="00905A9C">
        <w:rPr>
          <w:color w:val="231F20"/>
          <w:sz w:val="21"/>
        </w:rPr>
        <w:t xml:space="preserve">female breast </w:t>
      </w:r>
      <w:r w:rsidR="00A863BD" w:rsidRPr="00905A9C">
        <w:rPr>
          <w:color w:val="231F20"/>
          <w:sz w:val="21"/>
        </w:rPr>
        <w:t xml:space="preserve">cancer </w:t>
      </w:r>
      <w:r w:rsidRPr="00905A9C">
        <w:rPr>
          <w:color w:val="231F20"/>
          <w:sz w:val="21"/>
        </w:rPr>
        <w:t>(age ≤50 years)</w:t>
      </w:r>
    </w:p>
    <w:p w14:paraId="267B9FFE" w14:textId="77777777" w:rsidR="00E81822" w:rsidRPr="00905A9C" w:rsidRDefault="002C73FC" w:rsidP="0005400E">
      <w:pPr>
        <w:pStyle w:val="ListParagraph"/>
        <w:numPr>
          <w:ilvl w:val="5"/>
          <w:numId w:val="5"/>
        </w:numPr>
        <w:tabs>
          <w:tab w:val="left" w:pos="3239"/>
          <w:tab w:val="left" w:pos="3240"/>
        </w:tabs>
        <w:spacing w:before="113"/>
        <w:ind w:left="4819" w:right="404"/>
        <w:rPr>
          <w:sz w:val="21"/>
        </w:rPr>
      </w:pPr>
      <w:r w:rsidRPr="00905A9C">
        <w:rPr>
          <w:color w:val="231F20"/>
          <w:sz w:val="21"/>
        </w:rPr>
        <w:t>ovarian</w:t>
      </w:r>
      <w:r w:rsidR="00E81822" w:rsidRPr="00905A9C">
        <w:rPr>
          <w:color w:val="231F20"/>
          <w:sz w:val="21"/>
        </w:rPr>
        <w:t xml:space="preserve"> cancer</w:t>
      </w:r>
    </w:p>
    <w:p w14:paraId="4643AF1F" w14:textId="7D4B4459" w:rsidR="007C13A4" w:rsidRPr="00905A9C" w:rsidRDefault="002C73FC" w:rsidP="0005400E">
      <w:pPr>
        <w:pStyle w:val="ListParagraph"/>
        <w:numPr>
          <w:ilvl w:val="5"/>
          <w:numId w:val="5"/>
        </w:numPr>
        <w:tabs>
          <w:tab w:val="left" w:pos="3239"/>
          <w:tab w:val="left" w:pos="3240"/>
        </w:tabs>
        <w:spacing w:before="113"/>
        <w:ind w:left="4819" w:right="404"/>
        <w:rPr>
          <w:sz w:val="21"/>
        </w:rPr>
      </w:pPr>
      <w:r w:rsidRPr="00905A9C">
        <w:rPr>
          <w:color w:val="231F20"/>
          <w:sz w:val="21"/>
        </w:rPr>
        <w:t>pancreatic</w:t>
      </w:r>
      <w:r w:rsidR="00E81822" w:rsidRPr="00905A9C">
        <w:rPr>
          <w:color w:val="231F20"/>
          <w:sz w:val="21"/>
        </w:rPr>
        <w:t xml:space="preserve"> cancer</w:t>
      </w:r>
    </w:p>
    <w:p w14:paraId="0A17D708" w14:textId="00D7DFE4" w:rsidR="007C13A4" w:rsidRPr="00905A9C" w:rsidRDefault="006D4A9F" w:rsidP="0005400E">
      <w:pPr>
        <w:pStyle w:val="ListParagraph"/>
        <w:numPr>
          <w:ilvl w:val="5"/>
          <w:numId w:val="5"/>
        </w:numPr>
        <w:tabs>
          <w:tab w:val="left" w:pos="3239"/>
          <w:tab w:val="left" w:pos="3240"/>
        </w:tabs>
        <w:spacing w:before="113"/>
        <w:ind w:left="4819" w:right="404"/>
        <w:rPr>
          <w:sz w:val="21"/>
        </w:rPr>
      </w:pPr>
      <w:r w:rsidRPr="00905A9C">
        <w:rPr>
          <w:color w:val="231F20"/>
          <w:sz w:val="21"/>
        </w:rPr>
        <w:t>pr</w:t>
      </w:r>
      <w:r w:rsidR="001C3A01" w:rsidRPr="00905A9C">
        <w:rPr>
          <w:color w:val="231F20"/>
          <w:sz w:val="21"/>
        </w:rPr>
        <w:t xml:space="preserve">ostate cancer with </w:t>
      </w:r>
      <w:r w:rsidR="002C73FC" w:rsidRPr="00905A9C">
        <w:rPr>
          <w:color w:val="231F20"/>
          <w:sz w:val="21"/>
        </w:rPr>
        <w:t>metastatic</w:t>
      </w:r>
      <w:r w:rsidR="00E81822" w:rsidRPr="00905A9C">
        <w:rPr>
          <w:color w:val="231F20"/>
          <w:sz w:val="21"/>
        </w:rPr>
        <w:t xml:space="preserve"> or high- or very-high-risk</w:t>
      </w:r>
      <w:r w:rsidR="002C73FC" w:rsidRPr="00905A9C">
        <w:rPr>
          <w:color w:val="231F20"/>
          <w:sz w:val="21"/>
        </w:rPr>
        <w:t xml:space="preserve"> prostate</w:t>
      </w:r>
    </w:p>
    <w:p w14:paraId="5A603C70" w14:textId="210E27C2" w:rsidR="00334D4B" w:rsidRPr="00905A9C" w:rsidRDefault="002C73FC" w:rsidP="0005400E">
      <w:pPr>
        <w:pStyle w:val="ListParagraph"/>
        <w:numPr>
          <w:ilvl w:val="5"/>
          <w:numId w:val="5"/>
        </w:numPr>
        <w:tabs>
          <w:tab w:val="left" w:pos="3239"/>
          <w:tab w:val="left" w:pos="3240"/>
        </w:tabs>
        <w:spacing w:before="113"/>
        <w:ind w:left="4819" w:right="404"/>
        <w:rPr>
          <w:sz w:val="21"/>
        </w:rPr>
      </w:pPr>
      <w:r w:rsidRPr="00905A9C">
        <w:rPr>
          <w:color w:val="231F20"/>
          <w:sz w:val="21"/>
        </w:rPr>
        <w:t>male breast cancer</w:t>
      </w:r>
      <w:r w:rsidR="00E81822" w:rsidRPr="00905A9C">
        <w:rPr>
          <w:color w:val="231F20"/>
          <w:sz w:val="21"/>
        </w:rPr>
        <w:t>;</w:t>
      </w:r>
      <w:r w:rsidRPr="00905A9C">
        <w:rPr>
          <w:color w:val="231F20"/>
          <w:sz w:val="21"/>
        </w:rPr>
        <w:t xml:space="preserve"> OR</w:t>
      </w:r>
    </w:p>
    <w:p w14:paraId="5A603C71" w14:textId="121026F4" w:rsidR="00334D4B" w:rsidRPr="00905A9C" w:rsidRDefault="002C73FC" w:rsidP="0005400E">
      <w:pPr>
        <w:pStyle w:val="ListParagraph"/>
        <w:numPr>
          <w:ilvl w:val="4"/>
          <w:numId w:val="5"/>
        </w:numPr>
        <w:tabs>
          <w:tab w:val="left" w:pos="3239"/>
          <w:tab w:val="left" w:pos="3240"/>
        </w:tabs>
        <w:ind w:left="3599" w:right="244"/>
        <w:rPr>
          <w:sz w:val="21"/>
        </w:rPr>
      </w:pPr>
      <w:r w:rsidRPr="00905A9C">
        <w:rPr>
          <w:color w:val="231F20"/>
          <w:sz w:val="21"/>
        </w:rPr>
        <w:lastRenderedPageBreak/>
        <w:t>T</w:t>
      </w:r>
      <w:r w:rsidR="00E81822" w:rsidRPr="00905A9C">
        <w:rPr>
          <w:color w:val="231F20"/>
          <w:sz w:val="21"/>
        </w:rPr>
        <w:t>hree</w:t>
      </w:r>
      <w:r w:rsidRPr="00905A9C">
        <w:rPr>
          <w:color w:val="231F20"/>
          <w:sz w:val="21"/>
        </w:rPr>
        <w:t xml:space="preserve"> or more</w:t>
      </w:r>
      <w:r w:rsidR="00E81822" w:rsidRPr="00905A9C">
        <w:rPr>
          <w:color w:val="231F20"/>
          <w:sz w:val="21"/>
        </w:rPr>
        <w:t xml:space="preserve"> </w:t>
      </w:r>
      <w:r w:rsidRPr="00905A9C">
        <w:rPr>
          <w:color w:val="231F20"/>
          <w:sz w:val="21"/>
        </w:rPr>
        <w:t xml:space="preserve">diagnoses of breast </w:t>
      </w:r>
      <w:r w:rsidR="00E81822" w:rsidRPr="00905A9C">
        <w:rPr>
          <w:color w:val="231F20"/>
          <w:sz w:val="21"/>
        </w:rPr>
        <w:t xml:space="preserve">and/or prostate </w:t>
      </w:r>
      <w:r w:rsidRPr="00905A9C">
        <w:rPr>
          <w:color w:val="231F20"/>
          <w:sz w:val="21"/>
        </w:rPr>
        <w:t>cancer</w:t>
      </w:r>
      <w:r w:rsidR="00E81822" w:rsidRPr="00905A9C">
        <w:rPr>
          <w:color w:val="231F20"/>
          <w:sz w:val="21"/>
        </w:rPr>
        <w:t xml:space="preserve"> (any grade) on the same side of the family including the patient with breast cancer</w:t>
      </w:r>
      <w:r w:rsidRPr="00905A9C">
        <w:rPr>
          <w:color w:val="231F20"/>
          <w:sz w:val="21"/>
        </w:rPr>
        <w:t>; OR</w:t>
      </w:r>
    </w:p>
    <w:p w14:paraId="5A603C72" w14:textId="145425A4" w:rsidR="00334D4B" w:rsidRPr="00905A9C" w:rsidRDefault="002C73FC" w:rsidP="0005400E">
      <w:pPr>
        <w:pStyle w:val="ListParagraph"/>
        <w:numPr>
          <w:ilvl w:val="4"/>
          <w:numId w:val="5"/>
        </w:numPr>
        <w:tabs>
          <w:tab w:val="left" w:pos="2879"/>
          <w:tab w:val="left" w:pos="2880"/>
        </w:tabs>
        <w:spacing w:before="96"/>
        <w:ind w:left="3598"/>
        <w:rPr>
          <w:sz w:val="21"/>
        </w:rPr>
      </w:pPr>
      <w:r w:rsidRPr="00905A9C">
        <w:rPr>
          <w:color w:val="231F20"/>
          <w:sz w:val="21"/>
        </w:rPr>
        <w:t>Ashkenazi Jewish ancestry.</w:t>
      </w:r>
    </w:p>
    <w:p w14:paraId="5A603C73" w14:textId="7B34C191" w:rsidR="00334D4B" w:rsidRPr="00905A9C" w:rsidRDefault="002C73FC" w:rsidP="0005400E">
      <w:pPr>
        <w:pStyle w:val="ListParagraph"/>
        <w:numPr>
          <w:ilvl w:val="2"/>
          <w:numId w:val="5"/>
        </w:numPr>
        <w:tabs>
          <w:tab w:val="left" w:pos="2520"/>
        </w:tabs>
        <w:spacing w:before="88"/>
        <w:ind w:left="2878"/>
        <w:rPr>
          <w:sz w:val="21"/>
        </w:rPr>
      </w:pPr>
      <w:r w:rsidRPr="00905A9C">
        <w:rPr>
          <w:color w:val="231F20"/>
          <w:sz w:val="21"/>
        </w:rPr>
        <w:t xml:space="preserve">Personal history of </w:t>
      </w:r>
      <w:r w:rsidR="00A0145B" w:rsidRPr="00905A9C">
        <w:rPr>
          <w:color w:val="231F20"/>
          <w:sz w:val="21"/>
        </w:rPr>
        <w:t>any</w:t>
      </w:r>
      <w:r w:rsidRPr="00905A9C">
        <w:rPr>
          <w:color w:val="231F20"/>
          <w:sz w:val="21"/>
        </w:rPr>
        <w:t>-grade prostate cancer diagnosed at any age with</w:t>
      </w:r>
    </w:p>
    <w:p w14:paraId="5A603C74" w14:textId="77777777" w:rsidR="00334D4B" w:rsidRPr="00905A9C" w:rsidRDefault="002C73FC" w:rsidP="0005400E">
      <w:pPr>
        <w:pStyle w:val="ListParagraph"/>
        <w:numPr>
          <w:ilvl w:val="3"/>
          <w:numId w:val="5"/>
        </w:numPr>
        <w:tabs>
          <w:tab w:val="left" w:pos="2879"/>
          <w:tab w:val="left" w:pos="2880"/>
        </w:tabs>
        <w:spacing w:before="89"/>
        <w:ind w:left="3238"/>
        <w:rPr>
          <w:sz w:val="21"/>
        </w:rPr>
      </w:pPr>
      <w:r w:rsidRPr="00905A9C">
        <w:rPr>
          <w:color w:val="231F20"/>
          <w:sz w:val="21"/>
        </w:rPr>
        <w:t>Ashkenazi Jewish ancestry; OR</w:t>
      </w:r>
    </w:p>
    <w:p w14:paraId="4E81BCA3" w14:textId="77777777" w:rsidR="00A0145B" w:rsidRPr="00905A9C" w:rsidRDefault="002C73FC" w:rsidP="0005400E">
      <w:pPr>
        <w:pStyle w:val="ListParagraph"/>
        <w:numPr>
          <w:ilvl w:val="3"/>
          <w:numId w:val="5"/>
        </w:numPr>
        <w:tabs>
          <w:tab w:val="left" w:pos="2879"/>
          <w:tab w:val="left" w:pos="2880"/>
        </w:tabs>
        <w:spacing w:before="113"/>
        <w:ind w:left="3239" w:right="445"/>
        <w:rPr>
          <w:sz w:val="21"/>
        </w:rPr>
      </w:pPr>
      <w:r w:rsidRPr="00905A9C">
        <w:rPr>
          <w:color w:val="231F20"/>
          <w:sz w:val="21"/>
        </w:rPr>
        <w:t>One or more close blood relatives with any of the following:</w:t>
      </w:r>
    </w:p>
    <w:p w14:paraId="2455322E" w14:textId="38B7CD1B" w:rsidR="00A0145B" w:rsidRPr="00905A9C" w:rsidRDefault="002C73FC" w:rsidP="0005400E">
      <w:pPr>
        <w:pStyle w:val="ListParagraph"/>
        <w:numPr>
          <w:ilvl w:val="4"/>
          <w:numId w:val="5"/>
        </w:numPr>
        <w:tabs>
          <w:tab w:val="left" w:pos="2879"/>
          <w:tab w:val="left" w:pos="2880"/>
        </w:tabs>
        <w:spacing w:before="113"/>
        <w:ind w:left="3598" w:right="445"/>
        <w:rPr>
          <w:sz w:val="21"/>
        </w:rPr>
      </w:pPr>
      <w:r w:rsidRPr="00905A9C">
        <w:rPr>
          <w:color w:val="231F20"/>
          <w:sz w:val="21"/>
        </w:rPr>
        <w:t xml:space="preserve"> </w:t>
      </w:r>
      <w:r w:rsidR="006D4A9F" w:rsidRPr="00905A9C">
        <w:rPr>
          <w:color w:val="231F20"/>
          <w:sz w:val="21"/>
        </w:rPr>
        <w:t>ov</w:t>
      </w:r>
      <w:r w:rsidRPr="00905A9C">
        <w:rPr>
          <w:color w:val="231F20"/>
          <w:sz w:val="21"/>
        </w:rPr>
        <w:t>arian</w:t>
      </w:r>
      <w:r w:rsidR="00A0145B" w:rsidRPr="00905A9C">
        <w:rPr>
          <w:color w:val="231F20"/>
          <w:sz w:val="21"/>
        </w:rPr>
        <w:t xml:space="preserve"> cancer</w:t>
      </w:r>
    </w:p>
    <w:p w14:paraId="782A23CF" w14:textId="4B7BEE0E" w:rsidR="00A0145B" w:rsidRPr="00905A9C" w:rsidRDefault="002C73FC" w:rsidP="0005400E">
      <w:pPr>
        <w:pStyle w:val="ListParagraph"/>
        <w:numPr>
          <w:ilvl w:val="4"/>
          <w:numId w:val="5"/>
        </w:numPr>
        <w:tabs>
          <w:tab w:val="left" w:pos="2879"/>
          <w:tab w:val="left" w:pos="2880"/>
        </w:tabs>
        <w:spacing w:before="113"/>
        <w:ind w:left="3598" w:right="445"/>
        <w:rPr>
          <w:sz w:val="21"/>
        </w:rPr>
      </w:pPr>
      <w:r w:rsidRPr="00905A9C">
        <w:rPr>
          <w:color w:val="231F20"/>
          <w:sz w:val="21"/>
        </w:rPr>
        <w:t>pancreatic</w:t>
      </w:r>
      <w:r w:rsidR="00A0145B" w:rsidRPr="00905A9C">
        <w:rPr>
          <w:color w:val="231F20"/>
          <w:sz w:val="21"/>
        </w:rPr>
        <w:t xml:space="preserve"> cancer</w:t>
      </w:r>
    </w:p>
    <w:p w14:paraId="4CB5EE54" w14:textId="53FD2226" w:rsidR="00334D4B" w:rsidRPr="00B54F28" w:rsidRDefault="002C73FC" w:rsidP="0005400E">
      <w:pPr>
        <w:pStyle w:val="ListParagraph"/>
        <w:numPr>
          <w:ilvl w:val="4"/>
          <w:numId w:val="5"/>
        </w:numPr>
        <w:tabs>
          <w:tab w:val="left" w:pos="2879"/>
          <w:tab w:val="left" w:pos="2880"/>
        </w:tabs>
        <w:spacing w:before="113"/>
        <w:ind w:left="3598" w:right="445"/>
        <w:rPr>
          <w:color w:val="231F20"/>
          <w:spacing w:val="-4"/>
          <w:sz w:val="21"/>
        </w:rPr>
      </w:pPr>
      <w:r w:rsidRPr="00905A9C">
        <w:rPr>
          <w:color w:val="231F20"/>
          <w:sz w:val="21"/>
        </w:rPr>
        <w:t xml:space="preserve">breast </w:t>
      </w:r>
      <w:r w:rsidR="00A0145B" w:rsidRPr="00905A9C">
        <w:rPr>
          <w:color w:val="231F20"/>
          <w:sz w:val="21"/>
        </w:rPr>
        <w:t xml:space="preserve">cancer </w:t>
      </w:r>
      <w:r w:rsidRPr="00905A9C">
        <w:rPr>
          <w:color w:val="231F20"/>
          <w:sz w:val="21"/>
        </w:rPr>
        <w:t xml:space="preserve">(age &lt;50 years) </w:t>
      </w:r>
      <w:r w:rsidR="00A0145B" w:rsidRPr="00905A9C">
        <w:rPr>
          <w:color w:val="231F20"/>
          <w:sz w:val="21"/>
        </w:rPr>
        <w:t xml:space="preserve">high-grade </w:t>
      </w:r>
      <w:r w:rsidRPr="00905A9C">
        <w:rPr>
          <w:color w:val="231F20"/>
          <w:sz w:val="21"/>
        </w:rPr>
        <w:t>prostate cancer</w:t>
      </w:r>
    </w:p>
    <w:p w14:paraId="5A603C76" w14:textId="6C015A23" w:rsidR="00334D4B" w:rsidRPr="00905A9C" w:rsidRDefault="002C73FC" w:rsidP="0005400E">
      <w:pPr>
        <w:pStyle w:val="ListParagraph"/>
        <w:numPr>
          <w:ilvl w:val="3"/>
          <w:numId w:val="5"/>
        </w:numPr>
        <w:tabs>
          <w:tab w:val="left" w:pos="2879"/>
          <w:tab w:val="left" w:pos="2880"/>
        </w:tabs>
        <w:spacing w:before="95"/>
        <w:ind w:left="3238"/>
        <w:rPr>
          <w:sz w:val="21"/>
        </w:rPr>
      </w:pPr>
      <w:r w:rsidRPr="00905A9C">
        <w:rPr>
          <w:color w:val="231F20"/>
          <w:sz w:val="21"/>
        </w:rPr>
        <w:t>T</w:t>
      </w:r>
      <w:r w:rsidR="00A0145B" w:rsidRPr="00905A9C">
        <w:rPr>
          <w:color w:val="231F20"/>
          <w:sz w:val="21"/>
        </w:rPr>
        <w:t>hree</w:t>
      </w:r>
      <w:r w:rsidRPr="00905A9C">
        <w:rPr>
          <w:color w:val="231F20"/>
          <w:sz w:val="21"/>
        </w:rPr>
        <w:t xml:space="preserve"> or more close blood relatives with breast </w:t>
      </w:r>
      <w:r w:rsidR="00A0145B" w:rsidRPr="00905A9C">
        <w:rPr>
          <w:color w:val="231F20"/>
          <w:sz w:val="21"/>
        </w:rPr>
        <w:t>and/</w:t>
      </w:r>
      <w:r w:rsidRPr="00905A9C">
        <w:rPr>
          <w:color w:val="231F20"/>
          <w:sz w:val="21"/>
        </w:rPr>
        <w:t>or prostate cancer (any grade) at any age</w:t>
      </w:r>
      <w:r w:rsidR="00A0145B" w:rsidRPr="00905A9C">
        <w:rPr>
          <w:color w:val="231F20"/>
          <w:sz w:val="21"/>
        </w:rPr>
        <w:t xml:space="preserve"> on the same side of the family</w:t>
      </w:r>
    </w:p>
    <w:p w14:paraId="5A603C77" w14:textId="77777777" w:rsidR="00334D4B" w:rsidRPr="002D7A83" w:rsidRDefault="002C73FC" w:rsidP="0005400E">
      <w:pPr>
        <w:pStyle w:val="ListParagraph"/>
        <w:numPr>
          <w:ilvl w:val="2"/>
          <w:numId w:val="5"/>
        </w:numPr>
        <w:tabs>
          <w:tab w:val="left" w:pos="2520"/>
        </w:tabs>
        <w:spacing w:before="89"/>
        <w:ind w:left="2878"/>
        <w:rPr>
          <w:sz w:val="21"/>
        </w:rPr>
      </w:pPr>
      <w:r w:rsidRPr="002D7A83">
        <w:rPr>
          <w:color w:val="231F20"/>
          <w:sz w:val="21"/>
        </w:rPr>
        <w:t>Personal history of male breast cancer; OR</w:t>
      </w:r>
    </w:p>
    <w:p w14:paraId="5A603C78" w14:textId="0AEBD38D" w:rsidR="00334D4B" w:rsidRPr="002D7A83" w:rsidRDefault="002C73FC" w:rsidP="0005400E">
      <w:pPr>
        <w:pStyle w:val="ListParagraph"/>
        <w:numPr>
          <w:ilvl w:val="2"/>
          <w:numId w:val="5"/>
        </w:numPr>
        <w:tabs>
          <w:tab w:val="left" w:pos="2520"/>
        </w:tabs>
        <w:spacing w:before="89"/>
        <w:ind w:left="2878"/>
        <w:rPr>
          <w:sz w:val="21"/>
        </w:rPr>
      </w:pPr>
      <w:r w:rsidRPr="002D7A83">
        <w:rPr>
          <w:color w:val="231F20"/>
          <w:sz w:val="21"/>
        </w:rPr>
        <w:t>Personal history of ovarian ca</w:t>
      </w:r>
      <w:r w:rsidR="007C13A4" w:rsidRPr="002D7A83">
        <w:rPr>
          <w:color w:val="231F20"/>
          <w:sz w:val="21"/>
        </w:rPr>
        <w:t>ncer</w:t>
      </w:r>
      <w:r w:rsidRPr="002D7A83">
        <w:rPr>
          <w:color w:val="231F20"/>
          <w:sz w:val="21"/>
        </w:rPr>
        <w:t>; OR</w:t>
      </w:r>
    </w:p>
    <w:p w14:paraId="5A603C79" w14:textId="30E2DBBE" w:rsidR="00334D4B" w:rsidRPr="002D7A83" w:rsidRDefault="002C73FC" w:rsidP="0005400E">
      <w:pPr>
        <w:pStyle w:val="ListParagraph"/>
        <w:numPr>
          <w:ilvl w:val="2"/>
          <w:numId w:val="5"/>
        </w:numPr>
        <w:tabs>
          <w:tab w:val="left" w:pos="2520"/>
        </w:tabs>
        <w:spacing w:before="88"/>
        <w:ind w:left="2878"/>
        <w:rPr>
          <w:sz w:val="21"/>
        </w:rPr>
      </w:pPr>
      <w:r w:rsidRPr="002D7A83">
        <w:rPr>
          <w:color w:val="231F20"/>
          <w:sz w:val="21"/>
        </w:rPr>
        <w:t xml:space="preserve">Personal history of </w:t>
      </w:r>
      <w:r w:rsidR="007C13A4" w:rsidRPr="002D7A83">
        <w:rPr>
          <w:color w:val="231F20"/>
          <w:sz w:val="21"/>
        </w:rPr>
        <w:t xml:space="preserve">exocrine </w:t>
      </w:r>
      <w:r w:rsidRPr="002D7A83">
        <w:rPr>
          <w:color w:val="231F20"/>
          <w:sz w:val="21"/>
        </w:rPr>
        <w:t>pancreatic cancer; OR</w:t>
      </w:r>
    </w:p>
    <w:p w14:paraId="5A603C7A" w14:textId="2A6F37E7" w:rsidR="00334D4B" w:rsidRPr="002D7A83" w:rsidRDefault="002C73FC" w:rsidP="0005400E">
      <w:pPr>
        <w:pStyle w:val="ListParagraph"/>
        <w:numPr>
          <w:ilvl w:val="2"/>
          <w:numId w:val="5"/>
        </w:numPr>
        <w:tabs>
          <w:tab w:val="left" w:pos="2519"/>
          <w:tab w:val="left" w:pos="2520"/>
        </w:tabs>
        <w:spacing w:before="89"/>
        <w:ind w:left="2878"/>
        <w:rPr>
          <w:sz w:val="21"/>
        </w:rPr>
      </w:pPr>
      <w:r w:rsidRPr="002D7A83">
        <w:rPr>
          <w:color w:val="231F20"/>
          <w:sz w:val="21"/>
        </w:rPr>
        <w:t xml:space="preserve">Personal history of metastatic </w:t>
      </w:r>
      <w:r w:rsidR="00A0145B" w:rsidRPr="002D7A83">
        <w:rPr>
          <w:color w:val="231F20"/>
          <w:sz w:val="21"/>
        </w:rPr>
        <w:t xml:space="preserve">(Stage IVB) or node-positive </w:t>
      </w:r>
      <w:r w:rsidRPr="002D7A83">
        <w:rPr>
          <w:color w:val="231F20"/>
          <w:sz w:val="21"/>
        </w:rPr>
        <w:t>prostate cancer; OR</w:t>
      </w:r>
    </w:p>
    <w:p w14:paraId="5A603C7B" w14:textId="728CA617" w:rsidR="00334D4B" w:rsidRPr="002D7A83" w:rsidRDefault="002C73FC" w:rsidP="0005400E">
      <w:pPr>
        <w:pStyle w:val="ListParagraph"/>
        <w:numPr>
          <w:ilvl w:val="2"/>
          <w:numId w:val="5"/>
        </w:numPr>
        <w:tabs>
          <w:tab w:val="left" w:pos="2520"/>
        </w:tabs>
        <w:spacing w:before="113"/>
        <w:ind w:left="2879" w:right="208"/>
        <w:rPr>
          <w:sz w:val="21"/>
        </w:rPr>
      </w:pPr>
      <w:r w:rsidRPr="002D7A83">
        <w:rPr>
          <w:color w:val="231F20"/>
          <w:sz w:val="21"/>
        </w:rPr>
        <w:t xml:space="preserve">BRCA1 or 2, PALB2, </w:t>
      </w:r>
      <w:r w:rsidR="009857D2" w:rsidRPr="002D7A83">
        <w:rPr>
          <w:color w:val="231F20"/>
          <w:sz w:val="21"/>
        </w:rPr>
        <w:t xml:space="preserve">or </w:t>
      </w:r>
      <w:r w:rsidRPr="002D7A83">
        <w:rPr>
          <w:color w:val="231F20"/>
          <w:sz w:val="21"/>
        </w:rPr>
        <w:t xml:space="preserve">pathogenic/likely pathogenic </w:t>
      </w:r>
      <w:proofErr w:type="gramStart"/>
      <w:r w:rsidRPr="002D7A83">
        <w:rPr>
          <w:color w:val="231F20"/>
          <w:sz w:val="21"/>
        </w:rPr>
        <w:t>variant</w:t>
      </w:r>
      <w:proofErr w:type="gramEnd"/>
      <w:r w:rsidRPr="002D7A83">
        <w:rPr>
          <w:color w:val="231F20"/>
          <w:sz w:val="21"/>
        </w:rPr>
        <w:t xml:space="preserve"> detected by tumor-profiling on any tumor type in the absence of germline pathogenic/likely pathogenic variant analysis.</w:t>
      </w:r>
    </w:p>
    <w:p w14:paraId="5A603C81" w14:textId="77777777" w:rsidR="00334D4B" w:rsidRDefault="002C73FC" w:rsidP="0005400E">
      <w:pPr>
        <w:pStyle w:val="Heading4"/>
        <w:ind w:left="2518"/>
      </w:pPr>
      <w:r>
        <w:t>Category</w:t>
      </w:r>
      <w:r>
        <w:rPr>
          <w:spacing w:val="-4"/>
        </w:rPr>
        <w:t xml:space="preserve"> </w:t>
      </w:r>
      <w:r>
        <w:t>III.</w:t>
      </w:r>
      <w:r>
        <w:rPr>
          <w:spacing w:val="-4"/>
        </w:rPr>
        <w:t xml:space="preserve"> </w:t>
      </w:r>
      <w:r>
        <w:t>Individuals</w:t>
      </w:r>
      <w:r>
        <w:rPr>
          <w:spacing w:val="-4"/>
        </w:rPr>
        <w:t xml:space="preserve"> </w:t>
      </w:r>
      <w:r>
        <w:t>with</w:t>
      </w:r>
      <w:r>
        <w:rPr>
          <w:spacing w:val="-4"/>
        </w:rPr>
        <w:t xml:space="preserve"> </w:t>
      </w:r>
      <w:r>
        <w:t>No</w:t>
      </w:r>
      <w:r>
        <w:rPr>
          <w:spacing w:val="-4"/>
        </w:rPr>
        <w:t xml:space="preserve"> </w:t>
      </w:r>
      <w:r>
        <w:t>Personal</w:t>
      </w:r>
      <w:r>
        <w:rPr>
          <w:spacing w:val="-4"/>
        </w:rPr>
        <w:t xml:space="preserve"> </w:t>
      </w:r>
      <w:r>
        <w:t>History</w:t>
      </w:r>
      <w:r>
        <w:rPr>
          <w:spacing w:val="-4"/>
        </w:rPr>
        <w:t xml:space="preserve"> </w:t>
      </w:r>
      <w:r>
        <w:t>of</w:t>
      </w:r>
      <w:r>
        <w:rPr>
          <w:spacing w:val="-4"/>
        </w:rPr>
        <w:t xml:space="preserve"> </w:t>
      </w:r>
      <w:r>
        <w:t>the</w:t>
      </w:r>
      <w:r>
        <w:rPr>
          <w:spacing w:val="-4"/>
        </w:rPr>
        <w:t xml:space="preserve"> </w:t>
      </w:r>
      <w:r>
        <w:t>Following</w:t>
      </w:r>
      <w:r>
        <w:rPr>
          <w:spacing w:val="-4"/>
        </w:rPr>
        <w:t xml:space="preserve"> </w:t>
      </w:r>
      <w:r>
        <w:t>BRCA‑Related</w:t>
      </w:r>
      <w:r>
        <w:rPr>
          <w:spacing w:val="-4"/>
        </w:rPr>
        <w:t xml:space="preserve"> </w:t>
      </w:r>
      <w:r>
        <w:t>Cancers: Breast, Ovarian, Pancreatic, or Prostate</w:t>
      </w:r>
    </w:p>
    <w:p w14:paraId="5A603C89" w14:textId="67CB698A" w:rsidR="00334D4B" w:rsidRPr="002D7A83" w:rsidRDefault="002C73FC" w:rsidP="0005400E">
      <w:pPr>
        <w:pStyle w:val="BodyText"/>
        <w:spacing w:before="110"/>
        <w:ind w:left="2520" w:right="130" w:firstLine="0"/>
      </w:pPr>
      <w:r w:rsidRPr="002D7A83">
        <w:rPr>
          <w:color w:val="231F20"/>
        </w:rPr>
        <w:t>Testing of an individual without a cancer diagnosis should be considered only when an appropriate family member is unavailable for testing. Genetic testing for BRCA1,</w:t>
      </w:r>
      <w:r w:rsidR="00CF0800" w:rsidRPr="002D7A83">
        <w:rPr>
          <w:color w:val="231F20"/>
        </w:rPr>
        <w:t xml:space="preserve"> </w:t>
      </w:r>
      <w:r w:rsidRPr="002D7A83">
        <w:rPr>
          <w:color w:val="231F20"/>
        </w:rPr>
        <w:t>BRCA2, and PALB2 variants (including large genomic rearrangement testing (i.e., BART) of cancer-unaffected individuals with unknown variant status) may be considered medically necessary when the treating provider has documented genetic counseling and a determination that the patient is high-risk for a BRCA/ PALB2 variant through use of a</w:t>
      </w:r>
      <w:r w:rsidR="0069480D" w:rsidRPr="002D7A83">
        <w:rPr>
          <w:color w:val="231F20"/>
        </w:rPr>
        <w:t xml:space="preserve"> prior probability model, such as a </w:t>
      </w:r>
      <w:r w:rsidRPr="002D7A83">
        <w:rPr>
          <w:color w:val="231F20"/>
        </w:rPr>
        <w:t xml:space="preserve">validated quantitative risk assessment tool endorsed by the U.S. Preventive Services Task Force (USPSTF). </w:t>
      </w:r>
    </w:p>
    <w:p w14:paraId="5A603C8A" w14:textId="77777777" w:rsidR="00334D4B" w:rsidRDefault="002C73FC" w:rsidP="0005400E">
      <w:pPr>
        <w:pStyle w:val="Heading4"/>
        <w:ind w:left="2159" w:firstLine="359"/>
      </w:pPr>
      <w:r>
        <w:t>Category</w:t>
      </w:r>
      <w:r>
        <w:rPr>
          <w:spacing w:val="-8"/>
        </w:rPr>
        <w:t xml:space="preserve"> </w:t>
      </w:r>
      <w:r>
        <w:t>IV:</w:t>
      </w:r>
      <w:r>
        <w:rPr>
          <w:spacing w:val="-8"/>
        </w:rPr>
        <w:t xml:space="preserve"> </w:t>
      </w:r>
      <w:r>
        <w:t>Adults</w:t>
      </w:r>
      <w:r>
        <w:rPr>
          <w:spacing w:val="-7"/>
        </w:rPr>
        <w:t xml:space="preserve"> </w:t>
      </w:r>
      <w:r>
        <w:t>Considering</w:t>
      </w:r>
      <w:r>
        <w:rPr>
          <w:spacing w:val="-8"/>
        </w:rPr>
        <w:t xml:space="preserve"> </w:t>
      </w:r>
      <w:r>
        <w:t>Treatment</w:t>
      </w:r>
      <w:r>
        <w:rPr>
          <w:spacing w:val="-7"/>
        </w:rPr>
        <w:t xml:space="preserve"> </w:t>
      </w:r>
      <w:r>
        <w:t>with</w:t>
      </w:r>
      <w:r>
        <w:rPr>
          <w:spacing w:val="-8"/>
        </w:rPr>
        <w:t xml:space="preserve"> </w:t>
      </w:r>
      <w:r>
        <w:t>a</w:t>
      </w:r>
      <w:r>
        <w:rPr>
          <w:spacing w:val="-7"/>
        </w:rPr>
        <w:t xml:space="preserve"> </w:t>
      </w:r>
      <w:r>
        <w:rPr>
          <w:spacing w:val="-2"/>
        </w:rPr>
        <w:t>PARP‑Inhibitor</w:t>
      </w:r>
    </w:p>
    <w:p w14:paraId="5A603C8B" w14:textId="2EA61B3E" w:rsidR="00334D4B" w:rsidRPr="002D7A83" w:rsidRDefault="002C73FC" w:rsidP="0005400E">
      <w:pPr>
        <w:pStyle w:val="BodyText"/>
        <w:spacing w:before="99"/>
        <w:ind w:left="2519" w:right="118" w:hanging="1"/>
        <w:rPr>
          <w:color w:val="231F20"/>
        </w:rPr>
      </w:pPr>
      <w:r w:rsidRPr="002D7A83">
        <w:rPr>
          <w:color w:val="231F20"/>
        </w:rPr>
        <w:t>Please</w:t>
      </w:r>
      <w:r w:rsidRPr="002D7A83">
        <w:rPr>
          <w:color w:val="231F20"/>
          <w:spacing w:val="-3"/>
        </w:rPr>
        <w:t xml:space="preserve"> </w:t>
      </w:r>
      <w:r w:rsidRPr="002D7A83">
        <w:rPr>
          <w:color w:val="231F20"/>
        </w:rPr>
        <w:t>refer</w:t>
      </w:r>
      <w:r w:rsidRPr="002D7A83">
        <w:rPr>
          <w:color w:val="231F20"/>
          <w:spacing w:val="-3"/>
        </w:rPr>
        <w:t xml:space="preserve"> </w:t>
      </w:r>
      <w:r w:rsidRPr="002D7A83">
        <w:rPr>
          <w:color w:val="231F20"/>
        </w:rPr>
        <w:t>to</w:t>
      </w:r>
      <w:r w:rsidRPr="002D7A83">
        <w:rPr>
          <w:color w:val="231F20"/>
          <w:spacing w:val="-3"/>
        </w:rPr>
        <w:t xml:space="preserve"> </w:t>
      </w:r>
      <w:r w:rsidRPr="002D7A83">
        <w:rPr>
          <w:color w:val="231F20"/>
        </w:rPr>
        <w:t>the</w:t>
      </w:r>
      <w:r w:rsidRPr="002D7A83">
        <w:rPr>
          <w:color w:val="231F20"/>
          <w:spacing w:val="-3"/>
        </w:rPr>
        <w:t xml:space="preserve"> </w:t>
      </w:r>
      <w:hyperlink r:id="rId14" w:history="1">
        <w:r w:rsidRPr="002D7A83">
          <w:rPr>
            <w:rStyle w:val="Hyperlink"/>
          </w:rPr>
          <w:t>MassHealth</w:t>
        </w:r>
        <w:r w:rsidRPr="002D7A83">
          <w:rPr>
            <w:rStyle w:val="Hyperlink"/>
            <w:spacing w:val="-3"/>
          </w:rPr>
          <w:t xml:space="preserve"> </w:t>
        </w:r>
        <w:r w:rsidRPr="002D7A83">
          <w:rPr>
            <w:rStyle w:val="Hyperlink"/>
          </w:rPr>
          <w:t>Drug</w:t>
        </w:r>
        <w:r w:rsidRPr="002D7A83">
          <w:rPr>
            <w:rStyle w:val="Hyperlink"/>
            <w:spacing w:val="-3"/>
          </w:rPr>
          <w:t xml:space="preserve"> </w:t>
        </w:r>
        <w:r w:rsidRPr="002D7A83">
          <w:rPr>
            <w:rStyle w:val="Hyperlink"/>
          </w:rPr>
          <w:t>List</w:t>
        </w:r>
        <w:r w:rsidRPr="002D7A83">
          <w:rPr>
            <w:rStyle w:val="Hyperlink"/>
            <w:spacing w:val="-3"/>
          </w:rPr>
          <w:t xml:space="preserve"> </w:t>
        </w:r>
        <w:r w:rsidRPr="002D7A83">
          <w:rPr>
            <w:rStyle w:val="Hyperlink"/>
          </w:rPr>
          <w:t>website</w:t>
        </w:r>
      </w:hyperlink>
      <w:r w:rsidRPr="002D7A83">
        <w:rPr>
          <w:color w:val="231F20"/>
          <w:spacing w:val="-3"/>
        </w:rPr>
        <w:t xml:space="preserve"> </w:t>
      </w:r>
      <w:r w:rsidRPr="002D7A83">
        <w:rPr>
          <w:color w:val="231F20"/>
        </w:rPr>
        <w:t>for</w:t>
      </w:r>
      <w:r w:rsidRPr="002D7A83">
        <w:rPr>
          <w:color w:val="231F20"/>
          <w:spacing w:val="-3"/>
        </w:rPr>
        <w:t xml:space="preserve"> </w:t>
      </w:r>
      <w:r w:rsidRPr="002D7A83">
        <w:rPr>
          <w:color w:val="231F20"/>
        </w:rPr>
        <w:t>PA</w:t>
      </w:r>
      <w:r w:rsidRPr="002D7A83">
        <w:rPr>
          <w:color w:val="231F20"/>
          <w:spacing w:val="-3"/>
        </w:rPr>
        <w:t xml:space="preserve"> </w:t>
      </w:r>
      <w:r w:rsidRPr="002D7A83">
        <w:rPr>
          <w:color w:val="231F20"/>
        </w:rPr>
        <w:t>criteria</w:t>
      </w:r>
      <w:r w:rsidRPr="002D7A83">
        <w:rPr>
          <w:color w:val="231F20"/>
          <w:spacing w:val="-3"/>
        </w:rPr>
        <w:t xml:space="preserve"> </w:t>
      </w:r>
      <w:r w:rsidRPr="002D7A83">
        <w:rPr>
          <w:color w:val="231F20"/>
        </w:rPr>
        <w:t>for</w:t>
      </w:r>
      <w:r w:rsidRPr="002D7A83">
        <w:rPr>
          <w:color w:val="231F20"/>
          <w:spacing w:val="-3"/>
        </w:rPr>
        <w:t xml:space="preserve"> </w:t>
      </w:r>
      <w:r w:rsidRPr="002D7A83">
        <w:rPr>
          <w:color w:val="231F20"/>
        </w:rPr>
        <w:t>PARP-inhibitors.</w:t>
      </w:r>
      <w:r w:rsidRPr="002D7A83">
        <w:rPr>
          <w:color w:val="231F20"/>
          <w:spacing w:val="-3"/>
        </w:rPr>
        <w:t xml:space="preserve"> </w:t>
      </w:r>
      <w:r w:rsidRPr="002D7A83">
        <w:rPr>
          <w:color w:val="231F20"/>
        </w:rPr>
        <w:t>Criteria</w:t>
      </w:r>
      <w:r w:rsidRPr="002D7A83">
        <w:rPr>
          <w:color w:val="231F20"/>
          <w:spacing w:val="-3"/>
        </w:rPr>
        <w:t xml:space="preserve"> </w:t>
      </w:r>
      <w:proofErr w:type="gramStart"/>
      <w:r w:rsidRPr="002D7A83">
        <w:rPr>
          <w:color w:val="231F20"/>
        </w:rPr>
        <w:t>is</w:t>
      </w:r>
      <w:proofErr w:type="gramEnd"/>
      <w:r w:rsidRPr="002D7A83">
        <w:rPr>
          <w:color w:val="231F20"/>
        </w:rPr>
        <w:t xml:space="preserve"> available for Lynparza (Olaparib), Rubraca (rucaparib), and Talzenna (talazoparib).</w:t>
      </w:r>
    </w:p>
    <w:p w14:paraId="5A603C8C" w14:textId="7C4ECBB5" w:rsidR="00334D4B" w:rsidRPr="002D7A83" w:rsidRDefault="002C73FC" w:rsidP="002D7A83">
      <w:pPr>
        <w:pStyle w:val="Heading3"/>
      </w:pPr>
      <w:r w:rsidRPr="002D7A83">
        <w:t>Noncoverage</w:t>
      </w:r>
    </w:p>
    <w:p w14:paraId="5A603C8D" w14:textId="02FE1D3C" w:rsidR="00334D4B" w:rsidRDefault="002C73FC" w:rsidP="0005400E">
      <w:pPr>
        <w:pStyle w:val="BodyText"/>
        <w:spacing w:before="195"/>
        <w:ind w:left="1800" w:right="118" w:firstLine="0"/>
      </w:pPr>
      <w:r>
        <w:rPr>
          <w:color w:val="231F20"/>
          <w:w w:val="90"/>
        </w:rPr>
        <w:t>MassHealth considers BRCA and PALB2 testing experimental and investigational for all other indications,</w:t>
      </w:r>
      <w:r>
        <w:rPr>
          <w:color w:val="231F20"/>
          <w:spacing w:val="-2"/>
          <w:w w:val="90"/>
        </w:rPr>
        <w:t xml:space="preserve"> </w:t>
      </w:r>
      <w:r>
        <w:rPr>
          <w:color w:val="231F20"/>
          <w:w w:val="90"/>
        </w:rPr>
        <w:t>including</w:t>
      </w:r>
      <w:r w:rsidR="00195A5C">
        <w:rPr>
          <w:color w:val="231F20"/>
          <w:spacing w:val="-2"/>
          <w:w w:val="90"/>
        </w:rPr>
        <w:t xml:space="preserve"> </w:t>
      </w:r>
      <w:r>
        <w:rPr>
          <w:color w:val="231F20"/>
          <w:w w:val="90"/>
        </w:rPr>
        <w:t>testing</w:t>
      </w:r>
      <w:r>
        <w:rPr>
          <w:color w:val="231F20"/>
          <w:spacing w:val="-2"/>
          <w:w w:val="90"/>
        </w:rPr>
        <w:t xml:space="preserve"> </w:t>
      </w:r>
      <w:r>
        <w:rPr>
          <w:color w:val="231F20"/>
          <w:w w:val="90"/>
        </w:rPr>
        <w:t>in</w:t>
      </w:r>
      <w:r>
        <w:rPr>
          <w:color w:val="231F20"/>
          <w:spacing w:val="-2"/>
          <w:w w:val="90"/>
        </w:rPr>
        <w:t xml:space="preserve"> </w:t>
      </w:r>
      <w:r>
        <w:rPr>
          <w:color w:val="231F20"/>
          <w:w w:val="90"/>
        </w:rPr>
        <w:t>men</w:t>
      </w:r>
      <w:r>
        <w:rPr>
          <w:color w:val="231F20"/>
          <w:spacing w:val="-2"/>
          <w:w w:val="90"/>
        </w:rPr>
        <w:t xml:space="preserve"> </w:t>
      </w:r>
      <w:r>
        <w:rPr>
          <w:color w:val="231F20"/>
          <w:w w:val="90"/>
        </w:rPr>
        <w:t>for</w:t>
      </w:r>
      <w:r>
        <w:rPr>
          <w:color w:val="231F20"/>
          <w:spacing w:val="-2"/>
          <w:w w:val="90"/>
        </w:rPr>
        <w:t xml:space="preserve"> </w:t>
      </w:r>
      <w:r>
        <w:rPr>
          <w:color w:val="231F20"/>
          <w:w w:val="90"/>
        </w:rPr>
        <w:t>surveillance;</w:t>
      </w:r>
      <w:r>
        <w:rPr>
          <w:color w:val="231F20"/>
          <w:spacing w:val="-2"/>
          <w:w w:val="90"/>
        </w:rPr>
        <w:t xml:space="preserve"> </w:t>
      </w:r>
      <w:r>
        <w:rPr>
          <w:color w:val="231F20"/>
          <w:w w:val="90"/>
        </w:rPr>
        <w:t>screening</w:t>
      </w:r>
      <w:r>
        <w:rPr>
          <w:color w:val="231F20"/>
          <w:spacing w:val="-2"/>
          <w:w w:val="90"/>
        </w:rPr>
        <w:t xml:space="preserve"> </w:t>
      </w:r>
      <w:r>
        <w:rPr>
          <w:color w:val="231F20"/>
          <w:w w:val="90"/>
        </w:rPr>
        <w:t>for</w:t>
      </w:r>
      <w:r>
        <w:rPr>
          <w:color w:val="231F20"/>
          <w:spacing w:val="-2"/>
          <w:w w:val="90"/>
        </w:rPr>
        <w:t xml:space="preserve"> </w:t>
      </w:r>
      <w:r>
        <w:rPr>
          <w:color w:val="231F20"/>
          <w:w w:val="90"/>
        </w:rPr>
        <w:t>breast</w:t>
      </w:r>
      <w:r>
        <w:rPr>
          <w:color w:val="231F20"/>
          <w:spacing w:val="-2"/>
          <w:w w:val="90"/>
        </w:rPr>
        <w:t xml:space="preserve"> </w:t>
      </w:r>
      <w:r>
        <w:rPr>
          <w:color w:val="231F20"/>
          <w:w w:val="90"/>
        </w:rPr>
        <w:t>or</w:t>
      </w:r>
      <w:r>
        <w:rPr>
          <w:color w:val="231F20"/>
          <w:spacing w:val="-2"/>
          <w:w w:val="90"/>
        </w:rPr>
        <w:t xml:space="preserve"> </w:t>
      </w:r>
      <w:r>
        <w:rPr>
          <w:color w:val="231F20"/>
          <w:w w:val="90"/>
        </w:rPr>
        <w:t>epithelial</w:t>
      </w:r>
      <w:r>
        <w:rPr>
          <w:color w:val="231F20"/>
          <w:spacing w:val="-2"/>
          <w:w w:val="90"/>
        </w:rPr>
        <w:t xml:space="preserve"> </w:t>
      </w:r>
      <w:r>
        <w:rPr>
          <w:color w:val="231F20"/>
          <w:w w:val="90"/>
        </w:rPr>
        <w:t>ovarian</w:t>
      </w:r>
      <w:r>
        <w:rPr>
          <w:color w:val="231F20"/>
          <w:spacing w:val="-2"/>
          <w:w w:val="90"/>
        </w:rPr>
        <w:t xml:space="preserve"> </w:t>
      </w:r>
      <w:r>
        <w:rPr>
          <w:color w:val="231F20"/>
          <w:w w:val="90"/>
        </w:rPr>
        <w:t>cancers; and assessment of risk of other cancers, such as colon cancer</w:t>
      </w:r>
      <w:r w:rsidR="00B255CE">
        <w:rPr>
          <w:color w:val="231F20"/>
          <w:w w:val="90"/>
        </w:rPr>
        <w:t xml:space="preserve">, </w:t>
      </w:r>
      <w:r>
        <w:rPr>
          <w:color w:val="231F20"/>
          <w:w w:val="90"/>
        </w:rPr>
        <w:t xml:space="preserve">as effectiveness for these indications has </w:t>
      </w:r>
      <w:r>
        <w:rPr>
          <w:color w:val="231F20"/>
        </w:rPr>
        <w:t>not</w:t>
      </w:r>
      <w:r>
        <w:rPr>
          <w:color w:val="231F20"/>
          <w:spacing w:val="-14"/>
        </w:rPr>
        <w:t xml:space="preserve"> </w:t>
      </w:r>
      <w:r>
        <w:rPr>
          <w:color w:val="231F20"/>
        </w:rPr>
        <w:t>been</w:t>
      </w:r>
      <w:r>
        <w:rPr>
          <w:color w:val="231F20"/>
          <w:spacing w:val="-13"/>
        </w:rPr>
        <w:t xml:space="preserve"> </w:t>
      </w:r>
      <w:r>
        <w:rPr>
          <w:color w:val="231F20"/>
        </w:rPr>
        <w:t>established.</w:t>
      </w:r>
    </w:p>
    <w:p w14:paraId="5A603C8E" w14:textId="79469E83" w:rsidR="00334D4B" w:rsidRDefault="002C73FC" w:rsidP="0005400E">
      <w:pPr>
        <w:pStyle w:val="BodyText"/>
        <w:spacing w:before="239"/>
        <w:ind w:left="1800" w:right="118" w:firstLine="0"/>
      </w:pPr>
      <w:r>
        <w:rPr>
          <w:color w:val="231F20"/>
          <w:w w:val="90"/>
        </w:rPr>
        <w:t>MassHealth</w:t>
      </w:r>
      <w:r>
        <w:rPr>
          <w:color w:val="231F20"/>
          <w:spacing w:val="-2"/>
          <w:w w:val="90"/>
        </w:rPr>
        <w:t xml:space="preserve"> </w:t>
      </w:r>
      <w:r>
        <w:rPr>
          <w:color w:val="231F20"/>
          <w:w w:val="90"/>
        </w:rPr>
        <w:t>does</w:t>
      </w:r>
      <w:r>
        <w:rPr>
          <w:color w:val="231F20"/>
          <w:spacing w:val="-2"/>
          <w:w w:val="90"/>
        </w:rPr>
        <w:t xml:space="preserve"> </w:t>
      </w:r>
      <w:r>
        <w:rPr>
          <w:color w:val="231F20"/>
          <w:w w:val="90"/>
        </w:rPr>
        <w:t>not</w:t>
      </w:r>
      <w:r>
        <w:rPr>
          <w:color w:val="231F20"/>
          <w:spacing w:val="-2"/>
          <w:w w:val="90"/>
        </w:rPr>
        <w:t xml:space="preserve"> </w:t>
      </w:r>
      <w:r>
        <w:rPr>
          <w:color w:val="231F20"/>
          <w:w w:val="90"/>
        </w:rPr>
        <w:t>consider</w:t>
      </w:r>
      <w:r>
        <w:rPr>
          <w:color w:val="231F20"/>
          <w:spacing w:val="-2"/>
          <w:w w:val="90"/>
        </w:rPr>
        <w:t xml:space="preserve"> </w:t>
      </w:r>
      <w:r>
        <w:rPr>
          <w:color w:val="231F20"/>
          <w:w w:val="90"/>
        </w:rPr>
        <w:t>genetic</w:t>
      </w:r>
      <w:r>
        <w:rPr>
          <w:color w:val="231F20"/>
          <w:spacing w:val="-2"/>
          <w:w w:val="90"/>
        </w:rPr>
        <w:t xml:space="preserve"> </w:t>
      </w:r>
      <w:r>
        <w:rPr>
          <w:color w:val="231F20"/>
          <w:w w:val="90"/>
        </w:rPr>
        <w:t>testing</w:t>
      </w:r>
      <w:r>
        <w:rPr>
          <w:color w:val="231F20"/>
          <w:spacing w:val="-2"/>
          <w:w w:val="90"/>
        </w:rPr>
        <w:t xml:space="preserve"> </w:t>
      </w:r>
      <w:r>
        <w:rPr>
          <w:color w:val="231F20"/>
          <w:w w:val="90"/>
        </w:rPr>
        <w:t>for</w:t>
      </w:r>
      <w:r>
        <w:rPr>
          <w:color w:val="231F20"/>
          <w:spacing w:val="-2"/>
          <w:w w:val="90"/>
        </w:rPr>
        <w:t xml:space="preserve"> </w:t>
      </w:r>
      <w:r>
        <w:rPr>
          <w:color w:val="231F20"/>
          <w:w w:val="90"/>
        </w:rPr>
        <w:t>BRCA-related</w:t>
      </w:r>
      <w:r>
        <w:rPr>
          <w:color w:val="231F20"/>
          <w:spacing w:val="-2"/>
          <w:w w:val="90"/>
        </w:rPr>
        <w:t xml:space="preserve"> </w:t>
      </w:r>
      <w:r>
        <w:rPr>
          <w:color w:val="231F20"/>
          <w:w w:val="90"/>
        </w:rPr>
        <w:t>cancer</w:t>
      </w:r>
      <w:r>
        <w:rPr>
          <w:color w:val="231F20"/>
          <w:spacing w:val="-2"/>
          <w:w w:val="90"/>
        </w:rPr>
        <w:t xml:space="preserve"> </w:t>
      </w:r>
      <w:r>
        <w:rPr>
          <w:color w:val="231F20"/>
          <w:w w:val="90"/>
        </w:rPr>
        <w:t>to</w:t>
      </w:r>
      <w:r>
        <w:rPr>
          <w:color w:val="231F20"/>
          <w:spacing w:val="-2"/>
          <w:w w:val="90"/>
        </w:rPr>
        <w:t xml:space="preserve"> </w:t>
      </w:r>
      <w:r>
        <w:rPr>
          <w:color w:val="231F20"/>
          <w:w w:val="90"/>
        </w:rPr>
        <w:t>be</w:t>
      </w:r>
      <w:r>
        <w:rPr>
          <w:color w:val="231F20"/>
          <w:spacing w:val="-2"/>
          <w:w w:val="90"/>
        </w:rPr>
        <w:t xml:space="preserve"> </w:t>
      </w:r>
      <w:r>
        <w:rPr>
          <w:color w:val="231F20"/>
          <w:w w:val="90"/>
        </w:rPr>
        <w:t>medically</w:t>
      </w:r>
      <w:r>
        <w:rPr>
          <w:color w:val="231F20"/>
          <w:spacing w:val="-2"/>
          <w:w w:val="90"/>
        </w:rPr>
        <w:t xml:space="preserve"> </w:t>
      </w:r>
      <w:r>
        <w:rPr>
          <w:color w:val="231F20"/>
          <w:w w:val="90"/>
        </w:rPr>
        <w:t>necessary</w:t>
      </w:r>
      <w:r>
        <w:rPr>
          <w:color w:val="231F20"/>
          <w:spacing w:val="-2"/>
          <w:w w:val="90"/>
        </w:rPr>
        <w:t xml:space="preserve"> </w:t>
      </w:r>
      <w:r>
        <w:rPr>
          <w:color w:val="231F20"/>
          <w:w w:val="90"/>
        </w:rPr>
        <w:t>under certain circumstances. Examples of such circumstances include the following</w:t>
      </w:r>
      <w:r w:rsidR="00993FBD">
        <w:rPr>
          <w:color w:val="231F20"/>
          <w:w w:val="90"/>
        </w:rPr>
        <w:t>.</w:t>
      </w:r>
    </w:p>
    <w:p w14:paraId="5A603C8F" w14:textId="13222C2B" w:rsidR="00334D4B" w:rsidRPr="0005400E" w:rsidRDefault="002C73FC" w:rsidP="0005400E">
      <w:pPr>
        <w:pStyle w:val="ListParagraph"/>
        <w:numPr>
          <w:ilvl w:val="0"/>
          <w:numId w:val="3"/>
        </w:numPr>
        <w:tabs>
          <w:tab w:val="left" w:pos="2159"/>
          <w:tab w:val="left" w:pos="2160"/>
        </w:tabs>
        <w:spacing w:before="156"/>
        <w:rPr>
          <w:spacing w:val="-6"/>
          <w:sz w:val="21"/>
        </w:rPr>
      </w:pPr>
      <w:r w:rsidRPr="0005400E">
        <w:rPr>
          <w:color w:val="231F20"/>
          <w:spacing w:val="-6"/>
          <w:sz w:val="21"/>
        </w:rPr>
        <w:lastRenderedPageBreak/>
        <w:t>Genetic testing is being performed primarily for the medical management of a family member</w:t>
      </w:r>
      <w:r w:rsidR="00B255CE" w:rsidRPr="0005400E">
        <w:rPr>
          <w:color w:val="231F20"/>
          <w:spacing w:val="-6"/>
          <w:sz w:val="21"/>
        </w:rPr>
        <w:t>.</w:t>
      </w:r>
    </w:p>
    <w:p w14:paraId="5A603C90" w14:textId="1CE55D7B" w:rsidR="00334D4B" w:rsidRPr="000838B9" w:rsidRDefault="002C73FC" w:rsidP="0005400E">
      <w:pPr>
        <w:pStyle w:val="ListParagraph"/>
        <w:numPr>
          <w:ilvl w:val="0"/>
          <w:numId w:val="3"/>
        </w:numPr>
        <w:tabs>
          <w:tab w:val="left" w:pos="2159"/>
          <w:tab w:val="left" w:pos="2160"/>
        </w:tabs>
        <w:spacing w:before="113"/>
        <w:ind w:left="2160" w:right="331"/>
        <w:rPr>
          <w:sz w:val="21"/>
        </w:rPr>
      </w:pPr>
      <w:r w:rsidRPr="000838B9">
        <w:rPr>
          <w:color w:val="231F20"/>
          <w:sz w:val="21"/>
        </w:rPr>
        <w:t>The only indication for testing is family history, and clinical judgment indicates that the member does not have a reasonable likelihood of having a BRCA/PALB2-pathogenic/likely pathogenic variant, considering the member’s current age and the age of female unaffected relatives who link the member with the affected relatives</w:t>
      </w:r>
      <w:r w:rsidR="00B255CE" w:rsidRPr="000838B9">
        <w:rPr>
          <w:color w:val="231F20"/>
          <w:sz w:val="21"/>
        </w:rPr>
        <w:t>.</w:t>
      </w:r>
    </w:p>
    <w:p w14:paraId="7B906DCF" w14:textId="77777777" w:rsidR="0005400E" w:rsidRDefault="002C73FC" w:rsidP="00C75B69">
      <w:pPr>
        <w:pStyle w:val="ListParagraph"/>
        <w:numPr>
          <w:ilvl w:val="0"/>
          <w:numId w:val="3"/>
        </w:numPr>
        <w:tabs>
          <w:tab w:val="left" w:pos="2159"/>
          <w:tab w:val="left" w:pos="2160"/>
        </w:tabs>
        <w:spacing w:before="95"/>
        <w:rPr>
          <w:sz w:val="21"/>
        </w:rPr>
      </w:pPr>
      <w:r w:rsidRPr="0005400E">
        <w:rPr>
          <w:color w:val="231F20"/>
          <w:sz w:val="21"/>
        </w:rPr>
        <w:t>The member has been previously tested.</w:t>
      </w:r>
    </w:p>
    <w:p w14:paraId="32A92793" w14:textId="77777777" w:rsidR="0005400E" w:rsidRDefault="0005400E" w:rsidP="00646D76">
      <w:pPr>
        <w:pStyle w:val="Heading2"/>
      </w:pPr>
    </w:p>
    <w:p w14:paraId="5A603C95" w14:textId="00BB75F7" w:rsidR="00334D4B" w:rsidRPr="006C09CF" w:rsidRDefault="0005400E" w:rsidP="00646D76">
      <w:pPr>
        <w:pStyle w:val="Heading2"/>
        <w:rPr>
          <w:rFonts w:ascii="Tahoma" w:hAnsi="Tahoma" w:cs="Tahoma"/>
        </w:rPr>
      </w:pPr>
      <w:r w:rsidRPr="006C09CF">
        <w:rPr>
          <w:rFonts w:ascii="Tahoma" w:hAnsi="Tahoma" w:cs="Tahoma"/>
        </w:rPr>
        <w:t>S</w:t>
      </w:r>
      <w:r w:rsidR="002C73FC" w:rsidRPr="006C09CF">
        <w:rPr>
          <w:rFonts w:ascii="Tahoma" w:hAnsi="Tahoma" w:cs="Tahoma"/>
        </w:rPr>
        <w:t>ection III. Submitting Clinical Documentation</w:t>
      </w:r>
    </w:p>
    <w:p w14:paraId="5A603C96" w14:textId="77777777" w:rsidR="00334D4B" w:rsidRPr="00C736B7" w:rsidRDefault="002C73FC" w:rsidP="0005400E">
      <w:pPr>
        <w:pStyle w:val="BodyText"/>
        <w:spacing w:before="188"/>
        <w:ind w:left="1800" w:right="118" w:firstLine="0"/>
      </w:pPr>
      <w:r w:rsidRPr="00C736B7">
        <w:rPr>
          <w:color w:val="231F20"/>
        </w:rPr>
        <w:t>Requests</w:t>
      </w:r>
      <w:r w:rsidRPr="00C736B7">
        <w:rPr>
          <w:color w:val="231F20"/>
          <w:spacing w:val="-2"/>
        </w:rPr>
        <w:t xml:space="preserve"> </w:t>
      </w:r>
      <w:r w:rsidRPr="00C736B7">
        <w:rPr>
          <w:color w:val="231F20"/>
        </w:rPr>
        <w:t>for</w:t>
      </w:r>
      <w:r w:rsidRPr="00C736B7">
        <w:rPr>
          <w:color w:val="231F20"/>
          <w:spacing w:val="-3"/>
        </w:rPr>
        <w:t xml:space="preserve"> </w:t>
      </w:r>
      <w:r w:rsidRPr="00C736B7">
        <w:rPr>
          <w:color w:val="231F20"/>
        </w:rPr>
        <w:t>PA</w:t>
      </w:r>
      <w:r w:rsidRPr="00C736B7">
        <w:rPr>
          <w:color w:val="231F20"/>
          <w:spacing w:val="-2"/>
        </w:rPr>
        <w:t xml:space="preserve"> </w:t>
      </w:r>
      <w:r w:rsidRPr="00C736B7">
        <w:rPr>
          <w:color w:val="231F20"/>
        </w:rPr>
        <w:t>for</w:t>
      </w:r>
      <w:r w:rsidRPr="00C736B7">
        <w:rPr>
          <w:color w:val="231F20"/>
          <w:spacing w:val="-3"/>
        </w:rPr>
        <w:t xml:space="preserve"> </w:t>
      </w:r>
      <w:r w:rsidRPr="00C736B7">
        <w:rPr>
          <w:color w:val="231F20"/>
        </w:rPr>
        <w:t>genetic</w:t>
      </w:r>
      <w:r w:rsidRPr="00C736B7">
        <w:rPr>
          <w:color w:val="231F20"/>
          <w:spacing w:val="-2"/>
        </w:rPr>
        <w:t xml:space="preserve"> </w:t>
      </w:r>
      <w:r w:rsidRPr="00C736B7">
        <w:rPr>
          <w:color w:val="231F20"/>
        </w:rPr>
        <w:t>testing</w:t>
      </w:r>
      <w:r w:rsidRPr="00C736B7">
        <w:rPr>
          <w:color w:val="231F20"/>
          <w:spacing w:val="-3"/>
        </w:rPr>
        <w:t xml:space="preserve"> </w:t>
      </w:r>
      <w:r w:rsidRPr="00C736B7">
        <w:rPr>
          <w:color w:val="231F20"/>
        </w:rPr>
        <w:t>for</w:t>
      </w:r>
      <w:r w:rsidRPr="00C736B7">
        <w:rPr>
          <w:color w:val="231F20"/>
          <w:spacing w:val="-2"/>
        </w:rPr>
        <w:t xml:space="preserve"> </w:t>
      </w:r>
      <w:r w:rsidRPr="00C736B7">
        <w:rPr>
          <w:color w:val="231F20"/>
        </w:rPr>
        <w:t>BRCA-related</w:t>
      </w:r>
      <w:r w:rsidRPr="00C736B7">
        <w:rPr>
          <w:color w:val="231F20"/>
          <w:spacing w:val="-3"/>
        </w:rPr>
        <w:t xml:space="preserve"> </w:t>
      </w:r>
      <w:r w:rsidRPr="00C736B7">
        <w:rPr>
          <w:color w:val="231F20"/>
        </w:rPr>
        <w:t>cancer</w:t>
      </w:r>
      <w:r w:rsidRPr="00C736B7">
        <w:rPr>
          <w:color w:val="231F20"/>
          <w:spacing w:val="-2"/>
        </w:rPr>
        <w:t xml:space="preserve"> </w:t>
      </w:r>
      <w:r w:rsidRPr="00C736B7">
        <w:rPr>
          <w:color w:val="231F20"/>
        </w:rPr>
        <w:t>must</w:t>
      </w:r>
      <w:r w:rsidRPr="00C736B7">
        <w:rPr>
          <w:color w:val="231F20"/>
          <w:spacing w:val="-3"/>
        </w:rPr>
        <w:t xml:space="preserve"> </w:t>
      </w:r>
      <w:r w:rsidRPr="00C736B7">
        <w:rPr>
          <w:color w:val="231F20"/>
        </w:rPr>
        <w:t>be</w:t>
      </w:r>
      <w:r w:rsidRPr="00C736B7">
        <w:rPr>
          <w:color w:val="231F20"/>
          <w:spacing w:val="-2"/>
        </w:rPr>
        <w:t xml:space="preserve"> </w:t>
      </w:r>
      <w:r w:rsidRPr="00C736B7">
        <w:rPr>
          <w:color w:val="231F20"/>
        </w:rPr>
        <w:t>accompanied</w:t>
      </w:r>
      <w:r w:rsidRPr="00C736B7">
        <w:rPr>
          <w:color w:val="231F20"/>
          <w:spacing w:val="-3"/>
        </w:rPr>
        <w:t xml:space="preserve"> </w:t>
      </w:r>
      <w:r w:rsidRPr="00C736B7">
        <w:rPr>
          <w:color w:val="231F20"/>
        </w:rPr>
        <w:t>by</w:t>
      </w:r>
      <w:r w:rsidRPr="00C736B7">
        <w:rPr>
          <w:color w:val="231F20"/>
          <w:spacing w:val="-2"/>
        </w:rPr>
        <w:t xml:space="preserve"> </w:t>
      </w:r>
      <w:r w:rsidRPr="00C736B7">
        <w:rPr>
          <w:color w:val="231F20"/>
        </w:rPr>
        <w:t>clinical documentation that supports the medical necessity of this procedure.</w:t>
      </w:r>
    </w:p>
    <w:p w14:paraId="5A603C97" w14:textId="2A754373" w:rsidR="00334D4B" w:rsidRPr="00C736B7" w:rsidRDefault="002C73FC" w:rsidP="0005400E">
      <w:pPr>
        <w:pStyle w:val="ListParagraph"/>
        <w:numPr>
          <w:ilvl w:val="0"/>
          <w:numId w:val="2"/>
        </w:numPr>
        <w:tabs>
          <w:tab w:val="left" w:pos="2160"/>
        </w:tabs>
        <w:spacing w:before="155"/>
        <w:rPr>
          <w:sz w:val="21"/>
        </w:rPr>
      </w:pPr>
      <w:bookmarkStart w:id="0" w:name="_Hlk198208069"/>
      <w:r w:rsidRPr="00C736B7">
        <w:rPr>
          <w:color w:val="231F20"/>
          <w:sz w:val="21"/>
        </w:rPr>
        <w:t>Documentation of medical necessity must include the following:</w:t>
      </w:r>
    </w:p>
    <w:p w14:paraId="32C1FFF3" w14:textId="77777777" w:rsidR="009857D2" w:rsidRPr="0005400E" w:rsidRDefault="002C73FC" w:rsidP="0005400E">
      <w:pPr>
        <w:pStyle w:val="ListParagraph"/>
        <w:numPr>
          <w:ilvl w:val="1"/>
          <w:numId w:val="2"/>
        </w:numPr>
        <w:tabs>
          <w:tab w:val="left" w:pos="2519"/>
          <w:tab w:val="left" w:pos="2520"/>
        </w:tabs>
        <w:ind w:right="192"/>
        <w:rPr>
          <w:spacing w:val="-4"/>
          <w:sz w:val="21"/>
        </w:rPr>
      </w:pPr>
      <w:r w:rsidRPr="0005400E">
        <w:rPr>
          <w:color w:val="231F20"/>
          <w:spacing w:val="-4"/>
          <w:sz w:val="21"/>
        </w:rPr>
        <w:t>Clinical documentation by the provider (e.g., primary care provider, gynecologist, oncologist) of personal or family history, risk factors, and supporting rationale for the requested test(s)</w:t>
      </w:r>
      <w:r w:rsidR="00865ED1" w:rsidRPr="0005400E">
        <w:rPr>
          <w:color w:val="231F20"/>
          <w:spacing w:val="-4"/>
          <w:sz w:val="21"/>
        </w:rPr>
        <w:t>; OR a copy of the completed BRCA or PALB2 test request form, with the exact gene(s) and/or variants being tested, which has been signed and dated by the ordering physician. MassHealth does not have its own BRCA/PALB2 test request form.</w:t>
      </w:r>
    </w:p>
    <w:p w14:paraId="5A603C99" w14:textId="26F36435" w:rsidR="00334D4B" w:rsidRPr="0005400E" w:rsidRDefault="002C73FC" w:rsidP="0005400E">
      <w:pPr>
        <w:pStyle w:val="ListParagraph"/>
        <w:numPr>
          <w:ilvl w:val="2"/>
          <w:numId w:val="2"/>
        </w:numPr>
        <w:tabs>
          <w:tab w:val="left" w:pos="2519"/>
          <w:tab w:val="left" w:pos="2520"/>
        </w:tabs>
        <w:ind w:right="192"/>
        <w:rPr>
          <w:spacing w:val="-4"/>
          <w:sz w:val="21"/>
        </w:rPr>
      </w:pPr>
      <w:r w:rsidRPr="0005400E">
        <w:rPr>
          <w:color w:val="231F20"/>
          <w:spacing w:val="-4"/>
          <w:sz w:val="21"/>
        </w:rPr>
        <w:t>If</w:t>
      </w:r>
      <w:r w:rsidR="003B0519" w:rsidRPr="0005400E">
        <w:rPr>
          <w:color w:val="231F20"/>
          <w:spacing w:val="-4"/>
          <w:sz w:val="21"/>
        </w:rPr>
        <w:t xml:space="preserve"> a</w:t>
      </w:r>
      <w:r w:rsidRPr="0005400E">
        <w:rPr>
          <w:color w:val="231F20"/>
          <w:spacing w:val="-4"/>
          <w:sz w:val="21"/>
        </w:rPr>
        <w:t xml:space="preserve"> member qualifies for coverage under Category III, the </w:t>
      </w:r>
      <w:r w:rsidR="003B0519" w:rsidRPr="0005400E">
        <w:rPr>
          <w:color w:val="231F20"/>
          <w:spacing w:val="-4"/>
          <w:sz w:val="21"/>
        </w:rPr>
        <w:t xml:space="preserve">following items must be included: the </w:t>
      </w:r>
      <w:r w:rsidRPr="0005400E">
        <w:rPr>
          <w:color w:val="231F20"/>
          <w:spacing w:val="-4"/>
          <w:sz w:val="21"/>
        </w:rPr>
        <w:t>validated quantitative risk assessment tool used and</w:t>
      </w:r>
      <w:r w:rsidR="003B0519" w:rsidRPr="0005400E">
        <w:rPr>
          <w:color w:val="231F20"/>
          <w:spacing w:val="-4"/>
          <w:sz w:val="21"/>
        </w:rPr>
        <w:t xml:space="preserve"> the</w:t>
      </w:r>
      <w:r w:rsidRPr="0005400E">
        <w:rPr>
          <w:color w:val="231F20"/>
          <w:spacing w:val="-4"/>
          <w:sz w:val="21"/>
        </w:rPr>
        <w:t xml:space="preserve"> responses to the </w:t>
      </w:r>
      <w:r w:rsidR="003B0519" w:rsidRPr="0005400E">
        <w:rPr>
          <w:color w:val="231F20"/>
          <w:spacing w:val="-4"/>
          <w:sz w:val="21"/>
        </w:rPr>
        <w:t xml:space="preserve">tool </w:t>
      </w:r>
      <w:r w:rsidRPr="0005400E">
        <w:rPr>
          <w:color w:val="231F20"/>
          <w:spacing w:val="-4"/>
          <w:sz w:val="21"/>
        </w:rPr>
        <w:t>that compose the positive scoring</w:t>
      </w:r>
      <w:r w:rsidR="001B5C0C" w:rsidRPr="0005400E">
        <w:rPr>
          <w:color w:val="231F20"/>
          <w:spacing w:val="-4"/>
          <w:sz w:val="21"/>
        </w:rPr>
        <w:t xml:space="preserve"> and/or </w:t>
      </w:r>
      <w:proofErr w:type="gramStart"/>
      <w:r w:rsidR="001B5C0C" w:rsidRPr="0005400E">
        <w:rPr>
          <w:color w:val="231F20"/>
          <w:spacing w:val="-4"/>
          <w:sz w:val="21"/>
        </w:rPr>
        <w:t>guidelines</w:t>
      </w:r>
      <w:proofErr w:type="gramEnd"/>
      <w:r w:rsidR="001B5C0C" w:rsidRPr="0005400E">
        <w:rPr>
          <w:color w:val="231F20"/>
          <w:spacing w:val="-4"/>
          <w:sz w:val="21"/>
        </w:rPr>
        <w:t xml:space="preserve"> and risk factors used to determine member risk</w:t>
      </w:r>
      <w:r w:rsidR="00187E6C" w:rsidRPr="0005400E">
        <w:rPr>
          <w:color w:val="231F20"/>
          <w:spacing w:val="-4"/>
          <w:sz w:val="21"/>
        </w:rPr>
        <w:t>.</w:t>
      </w:r>
      <w:r w:rsidRPr="0005400E">
        <w:rPr>
          <w:color w:val="231F20"/>
          <w:spacing w:val="-4"/>
          <w:sz w:val="21"/>
        </w:rPr>
        <w:t xml:space="preserve"> In addition, a three-generation pedigree with documentation of affected family members must be provided to MassHealth.</w:t>
      </w:r>
    </w:p>
    <w:p w14:paraId="5A603C9A" w14:textId="77777777" w:rsidR="00334D4B" w:rsidRPr="00C736B7" w:rsidRDefault="002C73FC" w:rsidP="0005400E">
      <w:pPr>
        <w:pStyle w:val="ListParagraph"/>
        <w:numPr>
          <w:ilvl w:val="2"/>
          <w:numId w:val="2"/>
        </w:numPr>
        <w:tabs>
          <w:tab w:val="left" w:pos="2880"/>
        </w:tabs>
        <w:spacing w:before="119"/>
        <w:ind w:right="324"/>
        <w:jc w:val="both"/>
        <w:rPr>
          <w:sz w:val="21"/>
        </w:rPr>
      </w:pPr>
      <w:r w:rsidRPr="00C736B7">
        <w:rPr>
          <w:color w:val="231F20"/>
          <w:sz w:val="21"/>
        </w:rPr>
        <w:t>If member qualifies for coverage under Category IV, the diagnosis and hormone receptor status, prior and current treatment, and rationale for testing to impact treatment must be included.</w:t>
      </w:r>
    </w:p>
    <w:bookmarkEnd w:id="0"/>
    <w:p w14:paraId="5A603C9B" w14:textId="77777777" w:rsidR="00334D4B" w:rsidRPr="00C736B7" w:rsidRDefault="002C73FC" w:rsidP="0005400E">
      <w:pPr>
        <w:pStyle w:val="ListParagraph"/>
        <w:numPr>
          <w:ilvl w:val="1"/>
          <w:numId w:val="2"/>
        </w:numPr>
        <w:tabs>
          <w:tab w:val="left" w:pos="2519"/>
          <w:tab w:val="left" w:pos="2520"/>
        </w:tabs>
        <w:ind w:right="760"/>
        <w:rPr>
          <w:sz w:val="21"/>
        </w:rPr>
      </w:pPr>
      <w:r w:rsidRPr="00C736B7">
        <w:rPr>
          <w:color w:val="231F20"/>
          <w:sz w:val="21"/>
        </w:rPr>
        <w:t>A description of how the genetic test results will guide clinical decisions that would not otherwise be made in the absence of testing.</w:t>
      </w:r>
    </w:p>
    <w:p w14:paraId="1C3D8F2B" w14:textId="77777777" w:rsidR="00787B6C" w:rsidRPr="0005400E" w:rsidRDefault="002C73FC" w:rsidP="0005400E">
      <w:pPr>
        <w:pStyle w:val="BodyText"/>
        <w:spacing w:before="184"/>
        <w:ind w:left="1800" w:right="118" w:firstLine="0"/>
        <w:rPr>
          <w:color w:val="231F20"/>
          <w:spacing w:val="-6"/>
        </w:rPr>
      </w:pPr>
      <w:r w:rsidRPr="0005400E">
        <w:rPr>
          <w:color w:val="231F20"/>
          <w:spacing w:val="-6"/>
        </w:rPr>
        <w:t xml:space="preserve">Clinical information must be submitted by the clinical laboratory performing the genetic testing. </w:t>
      </w:r>
    </w:p>
    <w:p w14:paraId="154DE11E" w14:textId="35980E09" w:rsidR="00A940CD" w:rsidRPr="00C736B7" w:rsidRDefault="00A940CD" w:rsidP="0005400E">
      <w:pPr>
        <w:pStyle w:val="BodyText"/>
        <w:spacing w:before="184"/>
        <w:ind w:left="1800" w:right="118" w:firstLine="0"/>
        <w:rPr>
          <w:color w:val="231F20"/>
        </w:rPr>
      </w:pPr>
      <w:r w:rsidRPr="00C736B7">
        <w:rPr>
          <w:color w:val="231F20"/>
        </w:rPr>
        <w:t>Providers must electronically submit PA requests and all supporting documentation using the</w:t>
      </w:r>
      <w:r w:rsidRPr="00C736B7">
        <w:rPr>
          <w:rFonts w:eastAsia="Calibri" w:cs="Calibri"/>
          <w:color w:val="000000" w:themeColor="text1"/>
        </w:rPr>
        <w:t xml:space="preserve"> Provider </w:t>
      </w:r>
      <w:r w:rsidRPr="00C736B7">
        <w:rPr>
          <w:color w:val="231F20"/>
        </w:rPr>
        <w:t xml:space="preserve">Online Service Center (POSC), unless the provider has a currently approved electronic claims waiver (hereinafter, “waiver”). Please see </w:t>
      </w:r>
      <w:hyperlink r:id="rId15">
        <w:r w:rsidRPr="00C736B7">
          <w:rPr>
            <w:color w:val="231F20"/>
          </w:rPr>
          <w:t>All Provider Bulletin 369</w:t>
        </w:r>
      </w:hyperlink>
      <w:r w:rsidRPr="00C736B7">
        <w:rPr>
          <w:color w:val="231F20"/>
        </w:rPr>
        <w:t xml:space="preserve"> for further waiver information. Questions about POSC access should be directed to the MassHealth Customer Service Center at (800) 841-2900, TDD/TTY: 711.</w:t>
      </w:r>
    </w:p>
    <w:p w14:paraId="67C200C1" w14:textId="62ED9347" w:rsidR="00A940CD" w:rsidRPr="00C736B7" w:rsidRDefault="00A940CD" w:rsidP="0005400E">
      <w:pPr>
        <w:pStyle w:val="BodyText"/>
        <w:spacing w:before="184"/>
        <w:ind w:left="1800" w:right="118" w:firstLine="0"/>
        <w:rPr>
          <w:color w:val="231F20"/>
        </w:rPr>
      </w:pPr>
      <w:r w:rsidRPr="00C736B7">
        <w:rPr>
          <w:color w:val="231F20"/>
        </w:rPr>
        <w:t xml:space="preserve">For PA requests that are not submitted using the POSC, providers with currently approved waivers must include the MassHealth Prior Authorization Request (PA-1 Form) and all supporting documentation. The PA-1 Form can be found at </w:t>
      </w:r>
      <w:hyperlink r:id="rId16">
        <w:r w:rsidRPr="00C736B7">
          <w:rPr>
            <w:color w:val="231F20"/>
          </w:rPr>
          <w:t>mass.gov/prior-authorization-for-masshealth-providers</w:t>
        </w:r>
      </w:hyperlink>
      <w:r w:rsidRPr="00C736B7">
        <w:rPr>
          <w:color w:val="231F20"/>
        </w:rPr>
        <w:t xml:space="preserve">. </w:t>
      </w:r>
    </w:p>
    <w:p w14:paraId="51A35F49" w14:textId="77777777" w:rsidR="00787B6C" w:rsidRDefault="00787B6C">
      <w:pPr>
        <w:pStyle w:val="BodyText"/>
        <w:spacing w:before="184" w:line="208" w:lineRule="auto"/>
        <w:ind w:left="1800" w:right="118" w:firstLine="0"/>
        <w:rPr>
          <w:color w:val="231F20"/>
          <w:w w:val="90"/>
        </w:rPr>
      </w:pPr>
    </w:p>
    <w:p w14:paraId="5A603C9E" w14:textId="77777777" w:rsidR="00334D4B" w:rsidRDefault="00334D4B">
      <w:pPr>
        <w:spacing w:line="208" w:lineRule="auto"/>
        <w:sectPr w:rsidR="00334D4B">
          <w:footerReference w:type="default" r:id="rId17"/>
          <w:pgSz w:w="12240" w:h="15840"/>
          <w:pgMar w:top="720" w:right="1320" w:bottom="1580" w:left="360" w:header="0" w:footer="1380" w:gutter="0"/>
          <w:cols w:space="720"/>
        </w:sectPr>
      </w:pPr>
    </w:p>
    <w:p w14:paraId="5A603C9F" w14:textId="70B02178" w:rsidR="00334D4B" w:rsidRPr="00CE13F1" w:rsidRDefault="00942200" w:rsidP="00993FBD">
      <w:pPr>
        <w:pStyle w:val="Heading2"/>
        <w:rPr>
          <w:rFonts w:ascii="Tahoma" w:hAnsi="Tahoma" w:cs="Tahoma"/>
          <w:sz w:val="30"/>
        </w:rPr>
      </w:pPr>
      <w:r w:rsidRPr="00CE13F1">
        <w:rPr>
          <w:rFonts w:ascii="Tahoma" w:hAnsi="Tahoma" w:cs="Tahoma"/>
        </w:rPr>
        <w:lastRenderedPageBreak/>
        <w:t>Appendix</w:t>
      </w:r>
    </w:p>
    <w:p w14:paraId="6B952AD7" w14:textId="14E9C106" w:rsidR="005E021A" w:rsidRDefault="002C73FC" w:rsidP="00CA61ED">
      <w:pPr>
        <w:spacing w:before="232"/>
        <w:ind w:left="1440"/>
        <w:rPr>
          <w:rFonts w:ascii="Minion Pro Capt"/>
          <w:b/>
          <w:color w:val="231F20"/>
          <w:spacing w:val="-2"/>
          <w:sz w:val="21"/>
        </w:rPr>
      </w:pPr>
      <w:r>
        <w:rPr>
          <w:rFonts w:ascii="Minion Pro Capt"/>
          <w:b/>
          <w:color w:val="231F20"/>
          <w:sz w:val="21"/>
        </w:rPr>
        <w:t>CPT</w:t>
      </w:r>
      <w:r>
        <w:rPr>
          <w:rFonts w:ascii="Minion Pro Capt"/>
          <w:b/>
          <w:color w:val="231F20"/>
          <w:spacing w:val="-3"/>
          <w:sz w:val="21"/>
        </w:rPr>
        <w:t xml:space="preserve"> </w:t>
      </w:r>
      <w:r>
        <w:rPr>
          <w:rFonts w:ascii="Minion Pro Capt"/>
          <w:b/>
          <w:color w:val="231F20"/>
          <w:sz w:val="21"/>
        </w:rPr>
        <w:t>Codes</w:t>
      </w:r>
      <w:r>
        <w:rPr>
          <w:rFonts w:ascii="Minion Pro Capt"/>
          <w:b/>
          <w:color w:val="231F20"/>
          <w:spacing w:val="-1"/>
          <w:sz w:val="21"/>
        </w:rPr>
        <w:t xml:space="preserve"> </w:t>
      </w:r>
      <w:r>
        <w:rPr>
          <w:rFonts w:ascii="Minion Pro Capt"/>
          <w:b/>
          <w:color w:val="231F20"/>
          <w:sz w:val="21"/>
        </w:rPr>
        <w:t>for</w:t>
      </w:r>
      <w:r>
        <w:rPr>
          <w:rFonts w:ascii="Minion Pro Capt"/>
          <w:b/>
          <w:color w:val="231F20"/>
          <w:spacing w:val="-1"/>
          <w:sz w:val="21"/>
        </w:rPr>
        <w:t xml:space="preserve"> </w:t>
      </w:r>
      <w:r>
        <w:rPr>
          <w:rFonts w:ascii="Minion Pro Capt"/>
          <w:b/>
          <w:color w:val="231F20"/>
          <w:sz w:val="21"/>
        </w:rPr>
        <w:t xml:space="preserve">BRCA </w:t>
      </w:r>
      <w:r>
        <w:rPr>
          <w:rFonts w:ascii="Minion Pro Capt"/>
          <w:b/>
          <w:color w:val="231F20"/>
          <w:spacing w:val="-2"/>
          <w:sz w:val="21"/>
        </w:rPr>
        <w:t>testing</w:t>
      </w:r>
    </w:p>
    <w:p w14:paraId="1CAA24EF" w14:textId="77777777" w:rsidR="005E021A" w:rsidRDefault="005E021A" w:rsidP="005E021A">
      <w:pPr>
        <w:spacing w:before="232"/>
        <w:ind w:left="1800"/>
        <w:rPr>
          <w:rFonts w:ascii="Minion Pro Capt"/>
          <w:b/>
          <w:color w:val="231F20"/>
          <w:spacing w:val="-2"/>
          <w:sz w:val="21"/>
        </w:rPr>
      </w:pPr>
    </w:p>
    <w:tbl>
      <w:tblPr>
        <w:tblStyle w:val="TableGrid"/>
        <w:tblW w:w="0" w:type="auto"/>
        <w:tblInd w:w="1194" w:type="dxa"/>
        <w:tblLook w:val="04A0" w:firstRow="1" w:lastRow="0" w:firstColumn="1" w:lastColumn="0" w:noHBand="0" w:noVBand="1"/>
      </w:tblPr>
      <w:tblGrid>
        <w:gridCol w:w="1141"/>
        <w:gridCol w:w="8209"/>
      </w:tblGrid>
      <w:tr w:rsidR="00942200" w14:paraId="6419881D" w14:textId="77777777" w:rsidTr="00E037DF">
        <w:trPr>
          <w:trHeight w:val="587"/>
          <w:tblHeader/>
        </w:trPr>
        <w:tc>
          <w:tcPr>
            <w:tcW w:w="1141" w:type="dxa"/>
            <w:vAlign w:val="bottom"/>
          </w:tcPr>
          <w:p w14:paraId="15CC1BCE" w14:textId="77777777" w:rsidR="00942200" w:rsidRDefault="00942200" w:rsidP="001E1DDF">
            <w:r>
              <w:t>CPT Code</w:t>
            </w:r>
          </w:p>
        </w:tc>
        <w:tc>
          <w:tcPr>
            <w:tcW w:w="8209" w:type="dxa"/>
            <w:vAlign w:val="bottom"/>
          </w:tcPr>
          <w:p w14:paraId="52536369" w14:textId="77777777" w:rsidR="00942200" w:rsidRDefault="00942200" w:rsidP="001E1DDF">
            <w:r>
              <w:t>Description</w:t>
            </w:r>
          </w:p>
        </w:tc>
      </w:tr>
      <w:tr w:rsidR="00942200" w14:paraId="6E257F57" w14:textId="77777777" w:rsidTr="008321BA">
        <w:trPr>
          <w:trHeight w:val="623"/>
        </w:trPr>
        <w:tc>
          <w:tcPr>
            <w:tcW w:w="1141" w:type="dxa"/>
            <w:vAlign w:val="center"/>
          </w:tcPr>
          <w:p w14:paraId="428799A0" w14:textId="77777777" w:rsidR="00942200" w:rsidRPr="00936165" w:rsidRDefault="00942200" w:rsidP="008321BA">
            <w:pPr>
              <w:rPr>
                <w:rFonts w:ascii="Arial" w:hAnsi="Arial" w:cs="Arial"/>
                <w:sz w:val="20"/>
                <w:szCs w:val="20"/>
              </w:rPr>
            </w:pPr>
            <w:r w:rsidRPr="00936165">
              <w:rPr>
                <w:rFonts w:ascii="Arial" w:hAnsi="Arial" w:cs="Arial"/>
                <w:sz w:val="20"/>
                <w:szCs w:val="20"/>
              </w:rPr>
              <w:t>81162</w:t>
            </w:r>
          </w:p>
        </w:tc>
        <w:tc>
          <w:tcPr>
            <w:tcW w:w="8209" w:type="dxa"/>
            <w:vAlign w:val="center"/>
          </w:tcPr>
          <w:p w14:paraId="671D67D7" w14:textId="77777777" w:rsidR="00942200" w:rsidRPr="00ED3159" w:rsidRDefault="00942200" w:rsidP="008321BA">
            <w:pPr>
              <w:rPr>
                <w:rFonts w:ascii="Arial" w:hAnsi="Arial" w:cs="Arial"/>
                <w:sz w:val="20"/>
                <w:szCs w:val="20"/>
              </w:rPr>
            </w:pPr>
            <w:r w:rsidRPr="00ED3159">
              <w:rPr>
                <w:rFonts w:ascii="Arial" w:hAnsi="Arial" w:cs="Arial"/>
                <w:color w:val="231F20"/>
                <w:sz w:val="20"/>
                <w:szCs w:val="20"/>
              </w:rPr>
              <w:t>BRCA1, BRCA2 (breast cancer 1 and 2) (e.g., hereditary breast and ovarian cancer) gene analysis; full sequence analysis and full duplication/deletion analysis</w:t>
            </w:r>
          </w:p>
        </w:tc>
      </w:tr>
      <w:tr w:rsidR="00942200" w14:paraId="038B8290" w14:textId="77777777" w:rsidTr="008321BA">
        <w:trPr>
          <w:trHeight w:val="623"/>
        </w:trPr>
        <w:tc>
          <w:tcPr>
            <w:tcW w:w="1141" w:type="dxa"/>
            <w:vAlign w:val="center"/>
          </w:tcPr>
          <w:p w14:paraId="2F931D73" w14:textId="77777777" w:rsidR="00942200" w:rsidRPr="00936165" w:rsidRDefault="00942200" w:rsidP="008321BA">
            <w:pPr>
              <w:rPr>
                <w:rFonts w:ascii="Arial" w:hAnsi="Arial" w:cs="Arial"/>
                <w:sz w:val="20"/>
                <w:szCs w:val="20"/>
              </w:rPr>
            </w:pPr>
            <w:r w:rsidRPr="00936165">
              <w:rPr>
                <w:rFonts w:ascii="Arial" w:hAnsi="Arial" w:cs="Arial"/>
                <w:sz w:val="20"/>
                <w:szCs w:val="20"/>
              </w:rPr>
              <w:t>81163</w:t>
            </w:r>
          </w:p>
        </w:tc>
        <w:tc>
          <w:tcPr>
            <w:tcW w:w="8209" w:type="dxa"/>
            <w:vAlign w:val="center"/>
          </w:tcPr>
          <w:p w14:paraId="39DD8D89" w14:textId="77777777" w:rsidR="00942200" w:rsidRPr="00ED3159" w:rsidRDefault="00942200" w:rsidP="008321BA">
            <w:pPr>
              <w:rPr>
                <w:rFonts w:ascii="Arial" w:hAnsi="Arial" w:cs="Arial"/>
                <w:sz w:val="20"/>
                <w:szCs w:val="20"/>
              </w:rPr>
            </w:pPr>
            <w:r w:rsidRPr="00ED3159">
              <w:rPr>
                <w:rFonts w:ascii="Arial" w:hAnsi="Arial" w:cs="Arial"/>
                <w:color w:val="231F20"/>
                <w:sz w:val="20"/>
                <w:szCs w:val="20"/>
              </w:rPr>
              <w:t>BRCA1 (BRCA1, DNA repair associated), BRCA2 (BRCA2, DNA repair associated) (e.g., hereditary breast and ovarian cancer) gene analysis; full sequence analysis</w:t>
            </w:r>
          </w:p>
        </w:tc>
      </w:tr>
      <w:tr w:rsidR="00942200" w14:paraId="14948F90" w14:textId="77777777" w:rsidTr="008321BA">
        <w:trPr>
          <w:trHeight w:val="893"/>
        </w:trPr>
        <w:tc>
          <w:tcPr>
            <w:tcW w:w="1141" w:type="dxa"/>
            <w:vAlign w:val="center"/>
          </w:tcPr>
          <w:p w14:paraId="1A1C6DDC" w14:textId="77777777" w:rsidR="00942200" w:rsidRPr="00936165" w:rsidRDefault="00942200" w:rsidP="008321BA">
            <w:pPr>
              <w:rPr>
                <w:rFonts w:ascii="Arial" w:hAnsi="Arial" w:cs="Arial"/>
                <w:sz w:val="20"/>
                <w:szCs w:val="20"/>
              </w:rPr>
            </w:pPr>
            <w:r w:rsidRPr="00936165">
              <w:rPr>
                <w:rFonts w:ascii="Arial" w:hAnsi="Arial" w:cs="Arial"/>
                <w:sz w:val="20"/>
                <w:szCs w:val="20"/>
              </w:rPr>
              <w:t>81164</w:t>
            </w:r>
          </w:p>
        </w:tc>
        <w:tc>
          <w:tcPr>
            <w:tcW w:w="8209" w:type="dxa"/>
            <w:vAlign w:val="center"/>
          </w:tcPr>
          <w:p w14:paraId="4FAF5674" w14:textId="77777777" w:rsidR="00942200" w:rsidRPr="00ED3159" w:rsidRDefault="00942200" w:rsidP="008321BA">
            <w:pPr>
              <w:rPr>
                <w:rFonts w:ascii="Arial" w:hAnsi="Arial" w:cs="Arial"/>
                <w:sz w:val="20"/>
                <w:szCs w:val="20"/>
              </w:rPr>
            </w:pPr>
            <w:r w:rsidRPr="00ED3159">
              <w:rPr>
                <w:rFonts w:ascii="Arial" w:hAnsi="Arial" w:cs="Arial"/>
                <w:color w:val="231F20"/>
                <w:sz w:val="20"/>
                <w:szCs w:val="20"/>
              </w:rPr>
              <w:t>BRCA1 (BRCA1, DNA repair associated), BRCA2 (BRCA2, DNA repair associated) (e.g., hereditary breast and ovarian cancer) gene analysis; full duplication/deletion analysis (i.e., detection of large gene rearrangements</w:t>
            </w:r>
          </w:p>
        </w:tc>
      </w:tr>
      <w:tr w:rsidR="00942200" w14:paraId="401AEFE6" w14:textId="77777777" w:rsidTr="008321BA">
        <w:tc>
          <w:tcPr>
            <w:tcW w:w="1141" w:type="dxa"/>
            <w:vAlign w:val="center"/>
          </w:tcPr>
          <w:p w14:paraId="22543E9D" w14:textId="77777777" w:rsidR="00942200" w:rsidRPr="00936165" w:rsidRDefault="00942200" w:rsidP="008321BA">
            <w:pPr>
              <w:rPr>
                <w:rFonts w:ascii="Arial" w:hAnsi="Arial" w:cs="Arial"/>
                <w:sz w:val="20"/>
                <w:szCs w:val="20"/>
              </w:rPr>
            </w:pPr>
            <w:r w:rsidRPr="00936165">
              <w:rPr>
                <w:rFonts w:ascii="Arial" w:hAnsi="Arial" w:cs="Arial"/>
                <w:sz w:val="20"/>
                <w:szCs w:val="20"/>
              </w:rPr>
              <w:t>81165</w:t>
            </w:r>
          </w:p>
        </w:tc>
        <w:tc>
          <w:tcPr>
            <w:tcW w:w="8209" w:type="dxa"/>
            <w:vAlign w:val="center"/>
          </w:tcPr>
          <w:p w14:paraId="14F2C276" w14:textId="77777777" w:rsidR="00942200" w:rsidRPr="00ED3159" w:rsidRDefault="00942200" w:rsidP="008321BA">
            <w:pPr>
              <w:rPr>
                <w:rFonts w:ascii="Arial" w:hAnsi="Arial" w:cs="Arial"/>
                <w:sz w:val="20"/>
                <w:szCs w:val="20"/>
              </w:rPr>
            </w:pPr>
            <w:r w:rsidRPr="00ED3159">
              <w:rPr>
                <w:rFonts w:ascii="Arial" w:hAnsi="Arial" w:cs="Arial"/>
                <w:color w:val="231F20"/>
                <w:sz w:val="20"/>
                <w:szCs w:val="20"/>
              </w:rPr>
              <w:t>BRCA1 (BRCA1, DNA repair associated) (e.g., hereditary breast and ovarian cancer) gene analysis; full sequence analysis</w:t>
            </w:r>
          </w:p>
        </w:tc>
      </w:tr>
      <w:tr w:rsidR="00942200" w14:paraId="2C2E0E3E" w14:textId="77777777" w:rsidTr="008321BA">
        <w:trPr>
          <w:trHeight w:val="812"/>
        </w:trPr>
        <w:tc>
          <w:tcPr>
            <w:tcW w:w="1141" w:type="dxa"/>
            <w:vAlign w:val="center"/>
          </w:tcPr>
          <w:p w14:paraId="64722BE2" w14:textId="77777777" w:rsidR="00942200" w:rsidRPr="00936165" w:rsidRDefault="00942200" w:rsidP="008321BA">
            <w:pPr>
              <w:rPr>
                <w:rFonts w:ascii="Arial" w:hAnsi="Arial" w:cs="Arial"/>
                <w:sz w:val="20"/>
                <w:szCs w:val="20"/>
              </w:rPr>
            </w:pPr>
            <w:r w:rsidRPr="00936165">
              <w:rPr>
                <w:rFonts w:ascii="Arial" w:hAnsi="Arial" w:cs="Arial"/>
                <w:sz w:val="20"/>
                <w:szCs w:val="20"/>
              </w:rPr>
              <w:t>81166</w:t>
            </w:r>
          </w:p>
        </w:tc>
        <w:tc>
          <w:tcPr>
            <w:tcW w:w="8209" w:type="dxa"/>
            <w:vAlign w:val="center"/>
          </w:tcPr>
          <w:p w14:paraId="0B0A7B6F" w14:textId="77777777" w:rsidR="00942200" w:rsidRPr="00ED3159" w:rsidRDefault="00942200" w:rsidP="008321BA">
            <w:pPr>
              <w:rPr>
                <w:rFonts w:ascii="Arial" w:hAnsi="Arial" w:cs="Arial"/>
                <w:sz w:val="20"/>
                <w:szCs w:val="20"/>
              </w:rPr>
            </w:pPr>
            <w:r w:rsidRPr="00ED3159">
              <w:rPr>
                <w:rFonts w:ascii="Arial" w:hAnsi="Arial" w:cs="Arial"/>
                <w:color w:val="231F20"/>
                <w:sz w:val="20"/>
                <w:szCs w:val="20"/>
              </w:rPr>
              <w:t>BRCA1 (BRCA1, DNA repair associated) (e.g., hereditary breast and ovarian cancer) gene analysis; full duplication/deletion analysis (i.e., detection of large gene rearrangements)</w:t>
            </w:r>
          </w:p>
        </w:tc>
      </w:tr>
      <w:tr w:rsidR="00942200" w14:paraId="5759F53A" w14:textId="77777777" w:rsidTr="008321BA">
        <w:trPr>
          <w:trHeight w:val="623"/>
        </w:trPr>
        <w:tc>
          <w:tcPr>
            <w:tcW w:w="1141" w:type="dxa"/>
            <w:vAlign w:val="center"/>
          </w:tcPr>
          <w:p w14:paraId="7DE52DD9" w14:textId="77777777" w:rsidR="00942200" w:rsidRPr="00936165" w:rsidRDefault="00942200" w:rsidP="008321BA">
            <w:pPr>
              <w:rPr>
                <w:rFonts w:ascii="Arial" w:hAnsi="Arial" w:cs="Arial"/>
                <w:sz w:val="20"/>
                <w:szCs w:val="20"/>
              </w:rPr>
            </w:pPr>
            <w:r w:rsidRPr="00936165">
              <w:rPr>
                <w:rFonts w:ascii="Arial" w:hAnsi="Arial" w:cs="Arial"/>
                <w:sz w:val="20"/>
                <w:szCs w:val="20"/>
              </w:rPr>
              <w:t>81167</w:t>
            </w:r>
          </w:p>
        </w:tc>
        <w:tc>
          <w:tcPr>
            <w:tcW w:w="8209" w:type="dxa"/>
            <w:vAlign w:val="center"/>
          </w:tcPr>
          <w:p w14:paraId="5C1CC90E" w14:textId="77777777" w:rsidR="00942200" w:rsidRPr="00ED3159" w:rsidRDefault="00942200" w:rsidP="008321BA">
            <w:pPr>
              <w:rPr>
                <w:rFonts w:ascii="Arial" w:hAnsi="Arial" w:cs="Arial"/>
                <w:sz w:val="20"/>
                <w:szCs w:val="20"/>
              </w:rPr>
            </w:pPr>
            <w:r w:rsidRPr="00ED3159">
              <w:rPr>
                <w:rFonts w:ascii="Arial" w:hAnsi="Arial" w:cs="Arial"/>
                <w:color w:val="231F20"/>
                <w:sz w:val="20"/>
                <w:szCs w:val="20"/>
              </w:rPr>
              <w:t>BRCA2 (BRCA2, DNA repair associated) (e.g., hereditary breast and ovarian cancer) gene analysis; full duplication/deletion analysis (i.e., detection of large gene rearrangements</w:t>
            </w:r>
          </w:p>
        </w:tc>
      </w:tr>
      <w:tr w:rsidR="00942200" w14:paraId="523BF3EE" w14:textId="77777777" w:rsidTr="008321BA">
        <w:trPr>
          <w:trHeight w:val="623"/>
        </w:trPr>
        <w:tc>
          <w:tcPr>
            <w:tcW w:w="1141" w:type="dxa"/>
            <w:vAlign w:val="center"/>
          </w:tcPr>
          <w:p w14:paraId="3121956D" w14:textId="77777777" w:rsidR="00942200" w:rsidRPr="00936165" w:rsidRDefault="00942200" w:rsidP="008321BA">
            <w:pPr>
              <w:rPr>
                <w:rFonts w:ascii="Arial" w:hAnsi="Arial" w:cs="Arial"/>
                <w:sz w:val="20"/>
                <w:szCs w:val="20"/>
              </w:rPr>
            </w:pPr>
            <w:r w:rsidRPr="00936165">
              <w:rPr>
                <w:rFonts w:ascii="Arial" w:hAnsi="Arial" w:cs="Arial"/>
                <w:sz w:val="20"/>
                <w:szCs w:val="20"/>
              </w:rPr>
              <w:t>81212</w:t>
            </w:r>
          </w:p>
        </w:tc>
        <w:tc>
          <w:tcPr>
            <w:tcW w:w="8209" w:type="dxa"/>
            <w:vAlign w:val="center"/>
          </w:tcPr>
          <w:p w14:paraId="706E4AE4" w14:textId="77777777" w:rsidR="00942200" w:rsidRPr="00ED3159" w:rsidRDefault="00942200" w:rsidP="008321BA">
            <w:pPr>
              <w:rPr>
                <w:rFonts w:ascii="Arial" w:hAnsi="Arial" w:cs="Arial"/>
                <w:sz w:val="20"/>
                <w:szCs w:val="20"/>
              </w:rPr>
            </w:pPr>
            <w:r w:rsidRPr="00ED3159">
              <w:rPr>
                <w:rFonts w:ascii="Arial" w:hAnsi="Arial" w:cs="Arial"/>
                <w:color w:val="231F20"/>
                <w:sz w:val="20"/>
                <w:szCs w:val="20"/>
              </w:rPr>
              <w:t>BRCA1, BRCA2 (breast cancer 1 and 2) (Ashkenazi Jewish descent, founder mutations) gene analysis; 185delAG, 5385insC, 6174delT variants</w:t>
            </w:r>
          </w:p>
        </w:tc>
      </w:tr>
      <w:tr w:rsidR="00942200" w14:paraId="2842C8D5" w14:textId="77777777" w:rsidTr="008321BA">
        <w:trPr>
          <w:trHeight w:val="533"/>
        </w:trPr>
        <w:tc>
          <w:tcPr>
            <w:tcW w:w="1141" w:type="dxa"/>
            <w:vAlign w:val="center"/>
          </w:tcPr>
          <w:p w14:paraId="6109C8E7" w14:textId="77777777" w:rsidR="00942200" w:rsidRPr="00936165" w:rsidRDefault="00942200" w:rsidP="008321BA">
            <w:pPr>
              <w:rPr>
                <w:rFonts w:ascii="Arial" w:hAnsi="Arial" w:cs="Arial"/>
                <w:sz w:val="20"/>
                <w:szCs w:val="20"/>
              </w:rPr>
            </w:pPr>
            <w:r w:rsidRPr="00936165">
              <w:rPr>
                <w:rFonts w:ascii="Arial" w:hAnsi="Arial" w:cs="Arial"/>
                <w:sz w:val="20"/>
                <w:szCs w:val="20"/>
              </w:rPr>
              <w:t>81215</w:t>
            </w:r>
          </w:p>
        </w:tc>
        <w:tc>
          <w:tcPr>
            <w:tcW w:w="8209" w:type="dxa"/>
            <w:vAlign w:val="center"/>
          </w:tcPr>
          <w:p w14:paraId="4F6D1EC8" w14:textId="77777777" w:rsidR="00942200" w:rsidRPr="00ED3159" w:rsidRDefault="00942200" w:rsidP="008321BA">
            <w:pPr>
              <w:rPr>
                <w:rFonts w:ascii="Arial" w:hAnsi="Arial" w:cs="Arial"/>
                <w:sz w:val="20"/>
                <w:szCs w:val="20"/>
              </w:rPr>
            </w:pPr>
            <w:r w:rsidRPr="00ED3159">
              <w:rPr>
                <w:rFonts w:ascii="Arial" w:hAnsi="Arial" w:cs="Arial"/>
                <w:color w:val="231F20"/>
                <w:sz w:val="20"/>
                <w:szCs w:val="20"/>
              </w:rPr>
              <w:t>BRCA1 (breast cancer 1) (e.g., hereditary breast and ovarian cancer) gene analysis; known familial variant</w:t>
            </w:r>
          </w:p>
        </w:tc>
      </w:tr>
      <w:tr w:rsidR="00942200" w14:paraId="13475A49" w14:textId="77777777" w:rsidTr="008321BA">
        <w:trPr>
          <w:trHeight w:val="533"/>
        </w:trPr>
        <w:tc>
          <w:tcPr>
            <w:tcW w:w="1141" w:type="dxa"/>
            <w:vAlign w:val="center"/>
          </w:tcPr>
          <w:p w14:paraId="251F559E" w14:textId="77777777" w:rsidR="00942200" w:rsidRPr="00936165" w:rsidRDefault="00942200" w:rsidP="008321BA">
            <w:pPr>
              <w:rPr>
                <w:rFonts w:ascii="Arial" w:hAnsi="Arial" w:cs="Arial"/>
                <w:sz w:val="20"/>
                <w:szCs w:val="20"/>
              </w:rPr>
            </w:pPr>
            <w:r w:rsidRPr="00936165">
              <w:rPr>
                <w:rFonts w:ascii="Arial" w:hAnsi="Arial" w:cs="Arial"/>
                <w:sz w:val="20"/>
                <w:szCs w:val="20"/>
              </w:rPr>
              <w:t>81216</w:t>
            </w:r>
          </w:p>
        </w:tc>
        <w:tc>
          <w:tcPr>
            <w:tcW w:w="8209" w:type="dxa"/>
            <w:vAlign w:val="center"/>
          </w:tcPr>
          <w:p w14:paraId="3E2457C1" w14:textId="77777777" w:rsidR="00942200" w:rsidRPr="00ED3159" w:rsidRDefault="00942200" w:rsidP="008321BA">
            <w:pPr>
              <w:rPr>
                <w:rFonts w:ascii="Arial" w:hAnsi="Arial" w:cs="Arial"/>
                <w:sz w:val="20"/>
                <w:szCs w:val="20"/>
              </w:rPr>
            </w:pPr>
            <w:r w:rsidRPr="00ED3159">
              <w:rPr>
                <w:rFonts w:ascii="Arial" w:hAnsi="Arial" w:cs="Arial"/>
                <w:color w:val="231F20"/>
                <w:sz w:val="20"/>
                <w:szCs w:val="20"/>
              </w:rPr>
              <w:t>BRCA2 (breast cancer 2) (e.g., hereditary breast and ovarian cancer) gene analysis; full sequence analysis</w:t>
            </w:r>
          </w:p>
        </w:tc>
      </w:tr>
      <w:tr w:rsidR="00942200" w14:paraId="2DE4DE52" w14:textId="77777777" w:rsidTr="008321BA">
        <w:trPr>
          <w:trHeight w:val="533"/>
        </w:trPr>
        <w:tc>
          <w:tcPr>
            <w:tcW w:w="1141" w:type="dxa"/>
            <w:vAlign w:val="center"/>
          </w:tcPr>
          <w:p w14:paraId="335F6DD3" w14:textId="77777777" w:rsidR="00942200" w:rsidRPr="00936165" w:rsidRDefault="00942200" w:rsidP="008321BA">
            <w:pPr>
              <w:rPr>
                <w:rFonts w:ascii="Arial" w:hAnsi="Arial" w:cs="Arial"/>
                <w:sz w:val="20"/>
                <w:szCs w:val="20"/>
              </w:rPr>
            </w:pPr>
            <w:r w:rsidRPr="00936165">
              <w:rPr>
                <w:rFonts w:ascii="Arial" w:hAnsi="Arial" w:cs="Arial"/>
                <w:sz w:val="20"/>
                <w:szCs w:val="20"/>
              </w:rPr>
              <w:t>81217</w:t>
            </w:r>
          </w:p>
        </w:tc>
        <w:tc>
          <w:tcPr>
            <w:tcW w:w="8209" w:type="dxa"/>
            <w:vAlign w:val="center"/>
          </w:tcPr>
          <w:p w14:paraId="6F05002E" w14:textId="77777777" w:rsidR="00942200" w:rsidRPr="00ED3159" w:rsidRDefault="00942200" w:rsidP="008321BA">
            <w:pPr>
              <w:rPr>
                <w:rFonts w:ascii="Arial" w:hAnsi="Arial" w:cs="Arial"/>
                <w:sz w:val="20"/>
                <w:szCs w:val="20"/>
              </w:rPr>
            </w:pPr>
            <w:r w:rsidRPr="00ED3159">
              <w:rPr>
                <w:rFonts w:ascii="Arial" w:hAnsi="Arial" w:cs="Arial"/>
                <w:color w:val="231F20"/>
                <w:sz w:val="20"/>
                <w:szCs w:val="20"/>
              </w:rPr>
              <w:t>BRCA2 (breast cancer 2) (e.g., hereditary breast and ovarian cancer) gene analysis; known familial variant</w:t>
            </w:r>
          </w:p>
        </w:tc>
      </w:tr>
      <w:tr w:rsidR="00942200" w14:paraId="7F655C37" w14:textId="77777777" w:rsidTr="008321BA">
        <w:trPr>
          <w:trHeight w:val="515"/>
        </w:trPr>
        <w:tc>
          <w:tcPr>
            <w:tcW w:w="1141" w:type="dxa"/>
            <w:vAlign w:val="center"/>
          </w:tcPr>
          <w:p w14:paraId="4031C223" w14:textId="77777777" w:rsidR="00942200" w:rsidRPr="00936165" w:rsidRDefault="00942200" w:rsidP="008321BA">
            <w:pPr>
              <w:rPr>
                <w:rFonts w:ascii="Arial" w:hAnsi="Arial" w:cs="Arial"/>
                <w:sz w:val="20"/>
                <w:szCs w:val="20"/>
              </w:rPr>
            </w:pPr>
            <w:r w:rsidRPr="00936165">
              <w:rPr>
                <w:rFonts w:ascii="Arial" w:hAnsi="Arial" w:cs="Arial"/>
                <w:sz w:val="20"/>
                <w:szCs w:val="20"/>
              </w:rPr>
              <w:t>81307</w:t>
            </w:r>
          </w:p>
        </w:tc>
        <w:tc>
          <w:tcPr>
            <w:tcW w:w="8209" w:type="dxa"/>
            <w:vAlign w:val="center"/>
          </w:tcPr>
          <w:p w14:paraId="4FF18418" w14:textId="77777777" w:rsidR="00942200" w:rsidRPr="00ED3159" w:rsidRDefault="00942200" w:rsidP="008321BA">
            <w:pPr>
              <w:rPr>
                <w:rFonts w:ascii="Arial" w:hAnsi="Arial" w:cs="Arial"/>
                <w:sz w:val="20"/>
                <w:szCs w:val="20"/>
              </w:rPr>
            </w:pPr>
            <w:r w:rsidRPr="00ED3159">
              <w:rPr>
                <w:rFonts w:ascii="Arial" w:hAnsi="Arial" w:cs="Arial"/>
                <w:color w:val="231F20"/>
                <w:sz w:val="20"/>
                <w:szCs w:val="20"/>
              </w:rPr>
              <w:t>PALB2 (partner and localizer of BRCA2) (e.g., breast and pancreatic cancer) gene analysis; full gene sequence</w:t>
            </w:r>
          </w:p>
        </w:tc>
      </w:tr>
      <w:tr w:rsidR="00942200" w14:paraId="0001B87E" w14:textId="77777777" w:rsidTr="008321BA">
        <w:trPr>
          <w:trHeight w:val="623"/>
        </w:trPr>
        <w:tc>
          <w:tcPr>
            <w:tcW w:w="1141" w:type="dxa"/>
            <w:vAlign w:val="center"/>
          </w:tcPr>
          <w:p w14:paraId="6E8F9F77" w14:textId="77777777" w:rsidR="00942200" w:rsidRPr="00936165" w:rsidRDefault="00942200" w:rsidP="008321BA">
            <w:pPr>
              <w:rPr>
                <w:rFonts w:ascii="Arial" w:hAnsi="Arial" w:cs="Arial"/>
                <w:sz w:val="20"/>
                <w:szCs w:val="20"/>
              </w:rPr>
            </w:pPr>
            <w:r w:rsidRPr="00936165">
              <w:rPr>
                <w:rFonts w:ascii="Arial" w:hAnsi="Arial" w:cs="Arial"/>
                <w:sz w:val="20"/>
                <w:szCs w:val="20"/>
              </w:rPr>
              <w:t>81308</w:t>
            </w:r>
          </w:p>
        </w:tc>
        <w:tc>
          <w:tcPr>
            <w:tcW w:w="8209" w:type="dxa"/>
            <w:vAlign w:val="center"/>
          </w:tcPr>
          <w:p w14:paraId="16E5913E" w14:textId="77777777" w:rsidR="00942200" w:rsidRPr="00ED3159" w:rsidRDefault="00942200" w:rsidP="008321BA">
            <w:pPr>
              <w:rPr>
                <w:rFonts w:ascii="Arial" w:hAnsi="Arial" w:cs="Arial"/>
                <w:sz w:val="20"/>
                <w:szCs w:val="20"/>
              </w:rPr>
            </w:pPr>
            <w:r w:rsidRPr="00ED3159">
              <w:rPr>
                <w:rFonts w:ascii="Arial" w:hAnsi="Arial" w:cs="Arial"/>
                <w:color w:val="231F20"/>
                <w:sz w:val="20"/>
                <w:szCs w:val="20"/>
              </w:rPr>
              <w:t>PALB2 (partner and localizer of BRCA2) (e.g., breast and pancreatic cancer) gene analysis; known familial variant</w:t>
            </w:r>
          </w:p>
        </w:tc>
      </w:tr>
      <w:tr w:rsidR="00942200" w14:paraId="667604F5" w14:textId="77777777" w:rsidTr="008321BA">
        <w:trPr>
          <w:trHeight w:val="425"/>
        </w:trPr>
        <w:tc>
          <w:tcPr>
            <w:tcW w:w="1141" w:type="dxa"/>
            <w:vAlign w:val="center"/>
          </w:tcPr>
          <w:p w14:paraId="5D0F5964" w14:textId="77777777" w:rsidR="00942200" w:rsidRPr="00936165" w:rsidRDefault="00942200" w:rsidP="008321BA">
            <w:pPr>
              <w:rPr>
                <w:rFonts w:ascii="Arial" w:hAnsi="Arial" w:cs="Arial"/>
                <w:sz w:val="20"/>
                <w:szCs w:val="20"/>
              </w:rPr>
            </w:pPr>
            <w:r w:rsidRPr="00936165">
              <w:rPr>
                <w:rFonts w:ascii="Arial" w:hAnsi="Arial" w:cs="Arial"/>
                <w:sz w:val="20"/>
                <w:szCs w:val="20"/>
              </w:rPr>
              <w:t>81479</w:t>
            </w:r>
          </w:p>
        </w:tc>
        <w:tc>
          <w:tcPr>
            <w:tcW w:w="8209" w:type="dxa"/>
            <w:vAlign w:val="center"/>
          </w:tcPr>
          <w:p w14:paraId="30E54432" w14:textId="77777777" w:rsidR="00942200" w:rsidRPr="00ED3159" w:rsidRDefault="00942200" w:rsidP="008321BA">
            <w:pPr>
              <w:rPr>
                <w:rFonts w:ascii="Arial" w:hAnsi="Arial" w:cs="Arial"/>
                <w:sz w:val="20"/>
                <w:szCs w:val="20"/>
              </w:rPr>
            </w:pPr>
            <w:r w:rsidRPr="00ED3159">
              <w:rPr>
                <w:rFonts w:ascii="Arial" w:hAnsi="Arial" w:cs="Arial"/>
                <w:color w:val="231F20"/>
                <w:sz w:val="20"/>
                <w:szCs w:val="20"/>
              </w:rPr>
              <w:t>Unlisted Molecular Pathology</w:t>
            </w:r>
          </w:p>
        </w:tc>
      </w:tr>
    </w:tbl>
    <w:p w14:paraId="5A603CA1" w14:textId="077A0F78" w:rsidR="00334D4B" w:rsidRPr="005E021A" w:rsidRDefault="002C73FC" w:rsidP="005E021A">
      <w:pPr>
        <w:spacing w:before="232"/>
        <w:ind w:left="1800"/>
        <w:rPr>
          <w:rFonts w:ascii="Minion Pro Capt"/>
          <w:b/>
          <w:sz w:val="21"/>
        </w:rPr>
      </w:pPr>
      <w:r>
        <w:br w:type="column"/>
      </w:r>
    </w:p>
    <w:p w14:paraId="5A603CB3" w14:textId="77777777" w:rsidR="00334D4B" w:rsidRDefault="002C73FC">
      <w:pPr>
        <w:pStyle w:val="Heading2"/>
        <w:spacing w:before="79"/>
        <w:ind w:left="5111"/>
        <w:rPr>
          <w:rFonts w:ascii="Minion Pro SmBd Capt"/>
          <w:b/>
        </w:rPr>
      </w:pPr>
      <w:r>
        <w:rPr>
          <w:rFonts w:ascii="Minion Pro SmBd Capt"/>
          <w:b/>
          <w:color w:val="231F20"/>
        </w:rPr>
        <w:t>Select</w:t>
      </w:r>
      <w:r>
        <w:rPr>
          <w:rFonts w:ascii="Minion Pro SmBd Capt"/>
          <w:b/>
          <w:color w:val="231F20"/>
          <w:spacing w:val="6"/>
        </w:rPr>
        <w:t xml:space="preserve"> </w:t>
      </w:r>
      <w:r>
        <w:rPr>
          <w:rFonts w:ascii="Minion Pro SmBd Capt"/>
          <w:b/>
          <w:color w:val="231F20"/>
          <w:spacing w:val="-2"/>
        </w:rPr>
        <w:t>References</w:t>
      </w:r>
    </w:p>
    <w:p w14:paraId="2CF8F57A" w14:textId="339F0710" w:rsidR="006D4A9F" w:rsidRPr="00546501" w:rsidRDefault="006D4A9F" w:rsidP="00187E6C">
      <w:pPr>
        <w:pStyle w:val="ListParagraph"/>
        <w:tabs>
          <w:tab w:val="left" w:pos="2159"/>
          <w:tab w:val="left" w:pos="2160"/>
        </w:tabs>
        <w:spacing w:before="132" w:line="213" w:lineRule="auto"/>
        <w:ind w:right="161" w:firstLine="0"/>
        <w:rPr>
          <w:color w:val="000000" w:themeColor="text1"/>
          <w:sz w:val="21"/>
          <w:szCs w:val="21"/>
        </w:rPr>
      </w:pPr>
      <w:r w:rsidRPr="00546501">
        <w:rPr>
          <w:color w:val="000000" w:themeColor="text1"/>
          <w:sz w:val="21"/>
          <w:szCs w:val="21"/>
        </w:rPr>
        <w:t xml:space="preserve">American College of Obstetricians and Gynecologists, ACOG Committee on Practice Bulletins—Gynecology, ACOG Committee on Genetics, Society of Gynecologic Oncologists. </w:t>
      </w:r>
      <w:hyperlink r:id="rId18">
        <w:r w:rsidRPr="00202B20">
          <w:rPr>
            <w:color w:val="0000FF"/>
            <w:sz w:val="21"/>
            <w:szCs w:val="21"/>
            <w:u w:val="single" w:color="0082C3"/>
          </w:rPr>
          <w:t>ACOG Practic</w:t>
        </w:r>
      </w:hyperlink>
      <w:hyperlink r:id="rId19">
        <w:r w:rsidRPr="00202B20">
          <w:rPr>
            <w:color w:val="0000FF"/>
            <w:sz w:val="21"/>
            <w:szCs w:val="21"/>
            <w:u w:val="single" w:color="0082C3"/>
          </w:rPr>
          <w:t xml:space="preserve">e </w:t>
        </w:r>
      </w:hyperlink>
      <w:r w:rsidRPr="00202B20">
        <w:rPr>
          <w:color w:val="0000FF"/>
          <w:sz w:val="21"/>
          <w:szCs w:val="21"/>
        </w:rPr>
        <w:t xml:space="preserve"> </w:t>
      </w:r>
      <w:hyperlink r:id="rId20">
        <w:r w:rsidRPr="00202B20">
          <w:rPr>
            <w:color w:val="0000FF"/>
            <w:sz w:val="21"/>
            <w:szCs w:val="21"/>
            <w:u w:val="single" w:color="0082C3"/>
          </w:rPr>
          <w:t>Bulletin No. 182: hereditary breast and ovarian cancer syndrome</w:t>
        </w:r>
      </w:hyperlink>
      <w:r w:rsidRPr="00546501">
        <w:rPr>
          <w:color w:val="000000" w:themeColor="text1"/>
          <w:sz w:val="21"/>
          <w:szCs w:val="21"/>
        </w:rPr>
        <w:t>. Obstet Gynecol. 2017;130(3): e110-26. Accessed April 15, 2025.</w:t>
      </w:r>
    </w:p>
    <w:p w14:paraId="65EE0C91" w14:textId="5ACFAF0F" w:rsidR="006D4A9F" w:rsidRDefault="006D4A9F" w:rsidP="00187E6C">
      <w:pPr>
        <w:pStyle w:val="ListParagraph"/>
        <w:ind w:firstLine="0"/>
        <w:rPr>
          <w:color w:val="000000" w:themeColor="text1"/>
          <w:sz w:val="21"/>
          <w:szCs w:val="21"/>
        </w:rPr>
      </w:pPr>
      <w:r w:rsidRPr="00BF0024">
        <w:rPr>
          <w:color w:val="000000" w:themeColor="text1"/>
          <w:sz w:val="21"/>
          <w:szCs w:val="21"/>
        </w:rPr>
        <w:t xml:space="preserve">Centers for Disease Control. Hereditary breast and ovarian cancer. Accessed March 4, 2025. </w:t>
      </w:r>
      <w:hyperlink r:id="rId21" w:history="1">
        <w:r w:rsidR="002467ED" w:rsidRPr="00C9191E">
          <w:rPr>
            <w:rStyle w:val="Hyperlink"/>
            <w:sz w:val="21"/>
            <w:szCs w:val="21"/>
          </w:rPr>
          <w:t>https://www.cdc.gov/breast-ovarian-cancer-hereditary/causes/index.html</w:t>
        </w:r>
      </w:hyperlink>
    </w:p>
    <w:p w14:paraId="7AD4AE4D" w14:textId="707CEB43" w:rsidR="002467ED" w:rsidRDefault="002467ED" w:rsidP="00187E6C">
      <w:pPr>
        <w:pStyle w:val="ListParagraph"/>
        <w:ind w:firstLine="0"/>
        <w:rPr>
          <w:color w:val="231F20"/>
          <w:spacing w:val="-2"/>
          <w:sz w:val="21"/>
          <w:szCs w:val="21"/>
        </w:rPr>
      </w:pPr>
      <w:r w:rsidRPr="00546501">
        <w:rPr>
          <w:color w:val="231F20"/>
          <w:sz w:val="21"/>
          <w:szCs w:val="21"/>
        </w:rPr>
        <w:t xml:space="preserve">DL, Shuster LT, Wick MJ, et al. </w:t>
      </w:r>
      <w:hyperlink r:id="rId22">
        <w:r w:rsidRPr="00A369A5">
          <w:rPr>
            <w:color w:val="0000FF"/>
            <w:sz w:val="21"/>
            <w:szCs w:val="21"/>
            <w:u w:val="single" w:color="0082C3"/>
          </w:rPr>
          <w:t>Challenging and Complex Decisions in the Management o</w:t>
        </w:r>
      </w:hyperlink>
      <w:hyperlink r:id="rId23">
        <w:r w:rsidRPr="00A369A5">
          <w:rPr>
            <w:color w:val="0000FF"/>
            <w:sz w:val="21"/>
            <w:szCs w:val="21"/>
            <w:u w:val="single" w:color="0082C3"/>
          </w:rPr>
          <w:t xml:space="preserve">f </w:t>
        </w:r>
      </w:hyperlink>
      <w:r w:rsidRPr="00A369A5">
        <w:rPr>
          <w:color w:val="0000FF"/>
          <w:sz w:val="21"/>
          <w:szCs w:val="21"/>
        </w:rPr>
        <w:t xml:space="preserve"> </w:t>
      </w:r>
      <w:hyperlink r:id="rId24">
        <w:r w:rsidRPr="00A369A5">
          <w:rPr>
            <w:color w:val="0000FF"/>
            <w:sz w:val="21"/>
            <w:szCs w:val="21"/>
            <w:u w:val="single" w:color="0082C3"/>
          </w:rPr>
          <w:t>the BRCA Pathogenic/likely pathogenic variant Carrier</w:t>
        </w:r>
      </w:hyperlink>
      <w:r w:rsidRPr="00546501">
        <w:rPr>
          <w:color w:val="231F20"/>
          <w:sz w:val="21"/>
          <w:szCs w:val="21"/>
        </w:rPr>
        <w:t>. Journal of Women’s Health. 2013; 00(0): 1-10</w:t>
      </w:r>
      <w:r w:rsidRPr="00912636">
        <w:rPr>
          <w:color w:val="231F20"/>
          <w:spacing w:val="-2"/>
          <w:sz w:val="21"/>
          <w:szCs w:val="21"/>
        </w:rPr>
        <w:t>.</w:t>
      </w:r>
    </w:p>
    <w:p w14:paraId="59107EBF" w14:textId="77777777" w:rsidR="00FC4F8A" w:rsidRPr="006046EA" w:rsidRDefault="00FC4F8A" w:rsidP="00FC4F8A">
      <w:pPr>
        <w:pStyle w:val="ListParagraph"/>
        <w:tabs>
          <w:tab w:val="left" w:pos="2160"/>
        </w:tabs>
        <w:spacing w:before="119" w:line="213" w:lineRule="auto"/>
        <w:ind w:right="158" w:firstLine="0"/>
        <w:rPr>
          <w:color w:val="000000" w:themeColor="text1"/>
          <w:sz w:val="21"/>
          <w:szCs w:val="21"/>
        </w:rPr>
      </w:pPr>
      <w:r w:rsidRPr="006046EA">
        <w:rPr>
          <w:color w:val="000000" w:themeColor="text1"/>
          <w:sz w:val="21"/>
          <w:szCs w:val="21"/>
        </w:rPr>
        <w:t xml:space="preserve">Della Palma M, </w:t>
      </w:r>
      <w:proofErr w:type="spellStart"/>
      <w:r w:rsidRPr="006046EA">
        <w:rPr>
          <w:color w:val="000000" w:themeColor="text1"/>
          <w:sz w:val="21"/>
          <w:szCs w:val="21"/>
        </w:rPr>
        <w:t>Domchek</w:t>
      </w:r>
      <w:proofErr w:type="spellEnd"/>
      <w:r w:rsidRPr="006046EA">
        <w:rPr>
          <w:color w:val="000000" w:themeColor="text1"/>
          <w:sz w:val="21"/>
          <w:szCs w:val="21"/>
        </w:rPr>
        <w:t xml:space="preserve"> SM, </w:t>
      </w:r>
      <w:proofErr w:type="spellStart"/>
      <w:r w:rsidRPr="006046EA">
        <w:rPr>
          <w:color w:val="000000" w:themeColor="text1"/>
          <w:sz w:val="21"/>
          <w:szCs w:val="21"/>
        </w:rPr>
        <w:t>Stopfer</w:t>
      </w:r>
      <w:proofErr w:type="spellEnd"/>
      <w:r w:rsidRPr="006046EA">
        <w:rPr>
          <w:color w:val="000000" w:themeColor="text1"/>
          <w:sz w:val="21"/>
          <w:szCs w:val="21"/>
        </w:rPr>
        <w:t xml:space="preserve"> J et al. </w:t>
      </w:r>
      <w:hyperlink r:id="rId25">
        <w:r w:rsidRPr="00A369A5">
          <w:rPr>
            <w:color w:val="0000FF"/>
            <w:sz w:val="21"/>
            <w:szCs w:val="21"/>
            <w:u w:val="single" w:color="0082C3"/>
          </w:rPr>
          <w:t>The Relative Contribution of Point pathogenic/likel</w:t>
        </w:r>
      </w:hyperlink>
      <w:hyperlink r:id="rId26">
        <w:r w:rsidRPr="00A369A5">
          <w:rPr>
            <w:color w:val="0000FF"/>
            <w:sz w:val="21"/>
            <w:szCs w:val="21"/>
            <w:u w:val="single" w:color="0082C3"/>
          </w:rPr>
          <w:t xml:space="preserve">y </w:t>
        </w:r>
      </w:hyperlink>
      <w:r w:rsidRPr="00A369A5">
        <w:rPr>
          <w:color w:val="0000FF"/>
          <w:sz w:val="21"/>
          <w:szCs w:val="21"/>
        </w:rPr>
        <w:t xml:space="preserve"> </w:t>
      </w:r>
      <w:hyperlink r:id="rId27">
        <w:r w:rsidRPr="00A369A5">
          <w:rPr>
            <w:color w:val="0000FF"/>
            <w:sz w:val="21"/>
            <w:szCs w:val="21"/>
            <w:u w:val="single" w:color="0082C3"/>
          </w:rPr>
          <w:t>pathogenic variants and Genomic Rearrangements in BRCA1 and BRCA2 in High-Risk Breas</w:t>
        </w:r>
      </w:hyperlink>
      <w:hyperlink r:id="rId28">
        <w:r w:rsidRPr="00A369A5">
          <w:rPr>
            <w:color w:val="0000FF"/>
            <w:sz w:val="21"/>
            <w:szCs w:val="21"/>
            <w:u w:val="single" w:color="0082C3"/>
          </w:rPr>
          <w:t xml:space="preserve">t </w:t>
        </w:r>
      </w:hyperlink>
      <w:r w:rsidRPr="00A369A5">
        <w:rPr>
          <w:color w:val="0000FF"/>
          <w:sz w:val="21"/>
          <w:szCs w:val="21"/>
        </w:rPr>
        <w:t xml:space="preserve"> </w:t>
      </w:r>
      <w:hyperlink r:id="rId29">
        <w:r w:rsidRPr="00A369A5">
          <w:rPr>
            <w:color w:val="0000FF"/>
            <w:sz w:val="21"/>
            <w:szCs w:val="21"/>
            <w:u w:val="single" w:color="0082C3"/>
          </w:rPr>
          <w:t>Cancer Families</w:t>
        </w:r>
      </w:hyperlink>
      <w:r w:rsidRPr="006046EA">
        <w:rPr>
          <w:color w:val="000000" w:themeColor="text1"/>
          <w:sz w:val="21"/>
          <w:szCs w:val="21"/>
        </w:rPr>
        <w:t>. Cancer Res. 2008; 68(17): 7006-14.</w:t>
      </w:r>
    </w:p>
    <w:p w14:paraId="7865048E" w14:textId="77777777" w:rsidR="006D4A9F" w:rsidRDefault="006D4A9F" w:rsidP="00187E6C">
      <w:pPr>
        <w:pStyle w:val="ListParagraph"/>
        <w:ind w:firstLine="0"/>
        <w:rPr>
          <w:color w:val="000000" w:themeColor="text1"/>
          <w:sz w:val="21"/>
          <w:szCs w:val="21"/>
        </w:rPr>
      </w:pPr>
      <w:r w:rsidRPr="00BF0024">
        <w:rPr>
          <w:color w:val="000000" w:themeColor="text1"/>
          <w:sz w:val="21"/>
          <w:szCs w:val="21"/>
        </w:rPr>
        <w:t xml:space="preserve">Dominguez-Valentin M, Nakken S, Tubeuf H, et al. Results of multigene panel testing in familial cancer cases without genetic cause demonstrated by single gene testing. </w:t>
      </w:r>
      <w:r w:rsidRPr="00BF0024">
        <w:rPr>
          <w:i/>
          <w:iCs/>
          <w:color w:val="000000" w:themeColor="text1"/>
          <w:sz w:val="21"/>
          <w:szCs w:val="21"/>
        </w:rPr>
        <w:t>Sci Rep</w:t>
      </w:r>
      <w:r w:rsidRPr="00BF0024">
        <w:rPr>
          <w:color w:val="000000" w:themeColor="text1"/>
          <w:sz w:val="21"/>
          <w:szCs w:val="21"/>
        </w:rPr>
        <w:t>. 2019;9(1). doi:10.1038/S41598-019-54517-Z</w:t>
      </w:r>
    </w:p>
    <w:p w14:paraId="23696F0B" w14:textId="77777777" w:rsidR="00CD1B44" w:rsidRDefault="00912636" w:rsidP="0056700A">
      <w:pPr>
        <w:tabs>
          <w:tab w:val="left" w:pos="2160"/>
        </w:tabs>
        <w:spacing w:before="120" w:line="204" w:lineRule="auto"/>
        <w:ind w:left="2160" w:right="403"/>
        <w:rPr>
          <w:color w:val="231F20"/>
          <w:sz w:val="21"/>
          <w:szCs w:val="21"/>
        </w:rPr>
      </w:pPr>
      <w:r w:rsidRPr="006046EA">
        <w:rPr>
          <w:color w:val="231F20"/>
          <w:sz w:val="21"/>
          <w:szCs w:val="21"/>
        </w:rPr>
        <w:t xml:space="preserve">Dorling L, Carvalho S, Allen J, et al. Breast Cancer Risk Genes — </w:t>
      </w:r>
      <w:hyperlink r:id="rId30">
        <w:r w:rsidRPr="00A369A5">
          <w:rPr>
            <w:color w:val="0000FF"/>
            <w:sz w:val="21"/>
            <w:szCs w:val="21"/>
            <w:u w:val="single" w:color="0082C3"/>
          </w:rPr>
          <w:t xml:space="preserve">Association Analysis in More </w:t>
        </w:r>
      </w:hyperlink>
      <w:hyperlink r:id="rId31">
        <w:r w:rsidRPr="00A369A5">
          <w:rPr>
            <w:color w:val="0000FF"/>
            <w:sz w:val="21"/>
            <w:szCs w:val="21"/>
            <w:u w:val="single" w:color="0082C3"/>
          </w:rPr>
          <w:t>than 113,000 Women</w:t>
        </w:r>
      </w:hyperlink>
      <w:r w:rsidRPr="006046EA">
        <w:rPr>
          <w:color w:val="231F20"/>
          <w:sz w:val="21"/>
          <w:szCs w:val="21"/>
        </w:rPr>
        <w:t xml:space="preserve">. </w:t>
      </w:r>
      <w:r w:rsidRPr="006046EA">
        <w:rPr>
          <w:i/>
          <w:color w:val="231F20"/>
          <w:sz w:val="21"/>
          <w:szCs w:val="21"/>
        </w:rPr>
        <w:t>N Engl J Med</w:t>
      </w:r>
      <w:r w:rsidRPr="006046EA">
        <w:rPr>
          <w:color w:val="231F20"/>
          <w:sz w:val="21"/>
          <w:szCs w:val="21"/>
        </w:rPr>
        <w:t>. 2021;384(5):428-439.</w:t>
      </w:r>
    </w:p>
    <w:p w14:paraId="566CB711" w14:textId="77777777" w:rsidR="006D4A9F" w:rsidRDefault="006D4A9F" w:rsidP="00187E6C">
      <w:pPr>
        <w:pStyle w:val="ListParagraph"/>
        <w:ind w:firstLine="0"/>
        <w:rPr>
          <w:color w:val="000000" w:themeColor="text1"/>
          <w:sz w:val="21"/>
          <w:szCs w:val="21"/>
        </w:rPr>
      </w:pPr>
      <w:r w:rsidRPr="00BF0024">
        <w:rPr>
          <w:color w:val="000000" w:themeColor="text1"/>
          <w:sz w:val="21"/>
          <w:szCs w:val="21"/>
        </w:rPr>
        <w:t xml:space="preserve">Dwyer, Mary. </w:t>
      </w:r>
      <w:r w:rsidRPr="00BF0024">
        <w:rPr>
          <w:i/>
          <w:iCs/>
          <w:color w:val="000000" w:themeColor="text1"/>
          <w:sz w:val="21"/>
          <w:szCs w:val="21"/>
        </w:rPr>
        <w:t>NCCN Clinical Practice Guidelines in Oncology (NCCN Guidelines ®) Genetic/Familial High-Risk Assessment: Breast, Ovarian, Pancreatic, and Prostate</w:t>
      </w:r>
      <w:r w:rsidRPr="00BF0024">
        <w:rPr>
          <w:color w:val="000000" w:themeColor="text1"/>
          <w:sz w:val="21"/>
          <w:szCs w:val="21"/>
        </w:rPr>
        <w:t>.; 2024.</w:t>
      </w:r>
    </w:p>
    <w:p w14:paraId="4F4CA66A" w14:textId="77777777" w:rsidR="00CD1B44" w:rsidRPr="006046EA" w:rsidRDefault="00CD1B44" w:rsidP="0056700A">
      <w:pPr>
        <w:tabs>
          <w:tab w:val="left" w:pos="2160"/>
        </w:tabs>
        <w:spacing w:before="120" w:line="204" w:lineRule="auto"/>
        <w:ind w:left="2160" w:right="403"/>
        <w:rPr>
          <w:sz w:val="21"/>
          <w:szCs w:val="21"/>
        </w:rPr>
      </w:pPr>
      <w:r w:rsidRPr="006046EA">
        <w:rPr>
          <w:color w:val="231F20"/>
          <w:sz w:val="21"/>
          <w:szCs w:val="21"/>
        </w:rPr>
        <w:t xml:space="preserve">Hu C, Hart SN, </w:t>
      </w:r>
      <w:proofErr w:type="spellStart"/>
      <w:r w:rsidRPr="006046EA">
        <w:rPr>
          <w:color w:val="231F20"/>
          <w:sz w:val="21"/>
          <w:szCs w:val="21"/>
        </w:rPr>
        <w:t>Gnanaolivu</w:t>
      </w:r>
      <w:proofErr w:type="spellEnd"/>
      <w:r w:rsidRPr="006046EA">
        <w:rPr>
          <w:color w:val="231F20"/>
          <w:sz w:val="21"/>
          <w:szCs w:val="21"/>
        </w:rPr>
        <w:t xml:space="preserve"> R, et al. </w:t>
      </w:r>
      <w:hyperlink r:id="rId32">
        <w:r w:rsidRPr="00A369A5">
          <w:rPr>
            <w:color w:val="0000FF"/>
            <w:sz w:val="21"/>
            <w:szCs w:val="21"/>
            <w:u w:val="single" w:color="0082C3"/>
          </w:rPr>
          <w:t xml:space="preserve">A Population-Based Study of Genes Previously Implicated in </w:t>
        </w:r>
      </w:hyperlink>
      <w:hyperlink r:id="rId33">
        <w:r w:rsidRPr="00A369A5">
          <w:rPr>
            <w:color w:val="0000FF"/>
            <w:sz w:val="21"/>
            <w:szCs w:val="21"/>
            <w:u w:val="single" w:color="0082C3"/>
          </w:rPr>
          <w:t>Breast Cancer</w:t>
        </w:r>
      </w:hyperlink>
      <w:r w:rsidRPr="006046EA">
        <w:rPr>
          <w:color w:val="231F20"/>
          <w:sz w:val="21"/>
          <w:szCs w:val="21"/>
        </w:rPr>
        <w:t xml:space="preserve">. </w:t>
      </w:r>
      <w:r w:rsidRPr="006046EA">
        <w:rPr>
          <w:i/>
          <w:color w:val="231F20"/>
          <w:sz w:val="21"/>
          <w:szCs w:val="21"/>
        </w:rPr>
        <w:t>N Engl J Med</w:t>
      </w:r>
      <w:r w:rsidRPr="006046EA">
        <w:rPr>
          <w:color w:val="231F20"/>
          <w:sz w:val="21"/>
          <w:szCs w:val="21"/>
        </w:rPr>
        <w:t>. 2021;384(5)</w:t>
      </w:r>
    </w:p>
    <w:p w14:paraId="5EE4D4A0" w14:textId="77777777" w:rsidR="00CD1B44" w:rsidRDefault="006D4A9F" w:rsidP="0056700A">
      <w:pPr>
        <w:pStyle w:val="ListParagraph"/>
        <w:tabs>
          <w:tab w:val="left" w:pos="2160"/>
        </w:tabs>
        <w:spacing w:line="214" w:lineRule="auto"/>
        <w:ind w:right="158" w:firstLine="0"/>
        <w:rPr>
          <w:color w:val="000000" w:themeColor="text1"/>
          <w:sz w:val="21"/>
          <w:szCs w:val="21"/>
        </w:rPr>
      </w:pPr>
      <w:r w:rsidRPr="006046EA">
        <w:rPr>
          <w:color w:val="000000" w:themeColor="text1"/>
          <w:sz w:val="21"/>
          <w:szCs w:val="21"/>
        </w:rPr>
        <w:t xml:space="preserve">Judkins T, Rosenthal E, Arnell C, et al. </w:t>
      </w:r>
      <w:hyperlink r:id="rId34">
        <w:r w:rsidRPr="006046EA">
          <w:rPr>
            <w:color w:val="000000" w:themeColor="text1"/>
            <w:sz w:val="21"/>
            <w:szCs w:val="21"/>
          </w:rPr>
          <w:t>Clinical significance of large rearrangements in BRCA1 and</w:t>
        </w:r>
      </w:hyperlink>
      <w:r w:rsidRPr="006046EA">
        <w:rPr>
          <w:color w:val="000000" w:themeColor="text1"/>
          <w:sz w:val="21"/>
          <w:szCs w:val="21"/>
        </w:rPr>
        <w:t xml:space="preserve"> </w:t>
      </w:r>
      <w:hyperlink r:id="rId35">
        <w:r w:rsidRPr="006046EA">
          <w:rPr>
            <w:color w:val="000000" w:themeColor="text1"/>
            <w:sz w:val="21"/>
            <w:szCs w:val="21"/>
          </w:rPr>
          <w:t>BRCA2</w:t>
        </w:r>
      </w:hyperlink>
      <w:r w:rsidRPr="006046EA">
        <w:rPr>
          <w:color w:val="000000" w:themeColor="text1"/>
          <w:sz w:val="21"/>
          <w:szCs w:val="21"/>
        </w:rPr>
        <w:t>. Cancer. 2012 Nov 1; 118(21): 5210-6.</w:t>
      </w:r>
    </w:p>
    <w:p w14:paraId="7A829308" w14:textId="77777777" w:rsidR="00FC4F8A" w:rsidRDefault="006D4A9F" w:rsidP="0056700A">
      <w:pPr>
        <w:pStyle w:val="ListParagraph"/>
        <w:tabs>
          <w:tab w:val="left" w:pos="2160"/>
        </w:tabs>
        <w:spacing w:line="214" w:lineRule="auto"/>
        <w:ind w:right="158" w:firstLine="0"/>
        <w:rPr>
          <w:color w:val="000000" w:themeColor="text1"/>
          <w:sz w:val="21"/>
          <w:szCs w:val="21"/>
        </w:rPr>
      </w:pPr>
      <w:r w:rsidRPr="006046EA">
        <w:rPr>
          <w:color w:val="000000" w:themeColor="text1"/>
          <w:sz w:val="21"/>
          <w:szCs w:val="21"/>
        </w:rPr>
        <w:t xml:space="preserve">Lerner-Ellis J, Lerner-Ellis J, Lerner-Ellis J, et al. Retesting of women who are negative for a BRCA1 and BRCA2 mutation using a 20-gene panel. </w:t>
      </w:r>
      <w:r w:rsidRPr="006046EA">
        <w:rPr>
          <w:i/>
          <w:iCs/>
          <w:color w:val="000000" w:themeColor="text1"/>
          <w:sz w:val="21"/>
          <w:szCs w:val="21"/>
        </w:rPr>
        <w:t>J Med Genet</w:t>
      </w:r>
      <w:r w:rsidRPr="006046EA">
        <w:rPr>
          <w:color w:val="000000" w:themeColor="text1"/>
          <w:sz w:val="21"/>
          <w:szCs w:val="21"/>
        </w:rPr>
        <w:t>. 2020;57(6):380-384. doi:10.1136/JMEDGENET-2019-10640.</w:t>
      </w:r>
    </w:p>
    <w:p w14:paraId="05AC18DA" w14:textId="77777777" w:rsidR="00CD1B44" w:rsidRPr="006046EA" w:rsidRDefault="00CD1B44" w:rsidP="0056700A">
      <w:pPr>
        <w:pStyle w:val="ListParagraph"/>
        <w:tabs>
          <w:tab w:val="left" w:pos="2160"/>
        </w:tabs>
        <w:spacing w:line="214" w:lineRule="auto"/>
        <w:ind w:right="158" w:firstLine="0"/>
        <w:rPr>
          <w:color w:val="000000" w:themeColor="text1"/>
          <w:sz w:val="21"/>
          <w:szCs w:val="21"/>
        </w:rPr>
      </w:pPr>
      <w:r w:rsidRPr="006046EA">
        <w:rPr>
          <w:color w:val="000000" w:themeColor="text1"/>
          <w:sz w:val="21"/>
          <w:szCs w:val="21"/>
        </w:rPr>
        <w:t xml:space="preserve">Massachusetts General Laws. Chapter 111, Section 70G Genetic information and reports protected as private </w:t>
      </w:r>
      <w:proofErr w:type="gramStart"/>
      <w:r w:rsidRPr="006046EA">
        <w:rPr>
          <w:color w:val="000000" w:themeColor="text1"/>
          <w:sz w:val="21"/>
          <w:szCs w:val="21"/>
        </w:rPr>
        <w:t>information;</w:t>
      </w:r>
      <w:proofErr w:type="gramEnd"/>
      <w:r w:rsidRPr="006046EA">
        <w:rPr>
          <w:color w:val="000000" w:themeColor="text1"/>
          <w:sz w:val="21"/>
          <w:szCs w:val="21"/>
        </w:rPr>
        <w:t xml:space="preserve"> prior written consent for genetic testing. Available at: </w:t>
      </w:r>
      <w:hyperlink r:id="rId36">
        <w:r w:rsidRPr="00A369A5">
          <w:rPr>
            <w:color w:val="0000FF"/>
            <w:sz w:val="21"/>
            <w:szCs w:val="21"/>
            <w:u w:val="single" w:color="0082C3"/>
          </w:rPr>
          <w:t>https://malegislature</w:t>
        </w:r>
      </w:hyperlink>
      <w:r w:rsidRPr="00A369A5">
        <w:rPr>
          <w:color w:val="0000FF"/>
          <w:sz w:val="21"/>
          <w:szCs w:val="21"/>
          <w:u w:val="single" w:color="0082C3"/>
        </w:rPr>
        <w:t>.</w:t>
      </w:r>
      <w:hyperlink r:id="rId37">
        <w:r w:rsidRPr="00A369A5">
          <w:rPr>
            <w:color w:val="0000FF"/>
            <w:sz w:val="21"/>
            <w:szCs w:val="21"/>
            <w:u w:val="single" w:color="0082C3"/>
          </w:rPr>
          <w:t>gov/Laws/GeneralLaws/PartI/TitleXVI/Chapter111/Section70G</w:t>
        </w:r>
      </w:hyperlink>
      <w:r w:rsidRPr="006046EA">
        <w:rPr>
          <w:color w:val="000000" w:themeColor="text1"/>
          <w:sz w:val="21"/>
          <w:szCs w:val="21"/>
        </w:rPr>
        <w:t>.</w:t>
      </w:r>
    </w:p>
    <w:p w14:paraId="68B8F9C5" w14:textId="77777777" w:rsidR="006D4A9F" w:rsidRPr="006046EA" w:rsidRDefault="006D4A9F" w:rsidP="0056700A">
      <w:pPr>
        <w:pStyle w:val="ListParagraph"/>
        <w:tabs>
          <w:tab w:val="left" w:pos="2159"/>
          <w:tab w:val="left" w:pos="2160"/>
        </w:tabs>
        <w:spacing w:line="214" w:lineRule="auto"/>
        <w:ind w:right="547" w:firstLine="0"/>
        <w:rPr>
          <w:color w:val="000000" w:themeColor="text1"/>
          <w:sz w:val="21"/>
          <w:szCs w:val="21"/>
        </w:rPr>
      </w:pPr>
      <w:r w:rsidRPr="006046EA">
        <w:rPr>
          <w:color w:val="000000" w:themeColor="text1"/>
          <w:sz w:val="21"/>
          <w:szCs w:val="21"/>
        </w:rPr>
        <w:t xml:space="preserve">Mersch J1, Jackson MA, Park M, Nebgen D, Peterson SK, Singletary C, Arun BK, Litton JK. Cancers </w:t>
      </w:r>
      <w:proofErr w:type="gramStart"/>
      <w:r w:rsidRPr="006046EA">
        <w:rPr>
          <w:color w:val="000000" w:themeColor="text1"/>
          <w:sz w:val="21"/>
          <w:szCs w:val="21"/>
        </w:rPr>
        <w:t>associated</w:t>
      </w:r>
      <w:proofErr w:type="gramEnd"/>
      <w:r w:rsidRPr="006046EA">
        <w:rPr>
          <w:color w:val="000000" w:themeColor="text1"/>
          <w:sz w:val="21"/>
          <w:szCs w:val="21"/>
        </w:rPr>
        <w:t xml:space="preserve"> with BRCA1 and BRCA2 pathogenic/likely pathogenic variants other than breast and ovarian. Cancer. 2015 Jan 15; 121(2): 269-75.</w:t>
      </w:r>
    </w:p>
    <w:p w14:paraId="1B52E45E" w14:textId="77777777" w:rsidR="006D4A9F" w:rsidRPr="00BF0024" w:rsidRDefault="006D4A9F" w:rsidP="00187E6C">
      <w:pPr>
        <w:pStyle w:val="ListParagraph"/>
        <w:ind w:firstLine="0"/>
        <w:rPr>
          <w:color w:val="000000" w:themeColor="text1"/>
          <w:sz w:val="21"/>
          <w:szCs w:val="21"/>
        </w:rPr>
      </w:pPr>
      <w:r w:rsidRPr="006D4A9F">
        <w:rPr>
          <w:color w:val="000000" w:themeColor="text1"/>
          <w:sz w:val="21"/>
          <w:szCs w:val="21"/>
        </w:rPr>
        <w:t xml:space="preserve">Moran O, Nikitina D, Royer R, et al. </w:t>
      </w:r>
      <w:r w:rsidRPr="00BF0024">
        <w:rPr>
          <w:color w:val="000000" w:themeColor="text1"/>
          <w:sz w:val="21"/>
          <w:szCs w:val="21"/>
        </w:rPr>
        <w:t xml:space="preserve">Revisiting breast cancer patients who previously tested negative for BRCA mutations using a 12-gene panel. </w:t>
      </w:r>
      <w:r w:rsidRPr="00BF0024">
        <w:rPr>
          <w:i/>
          <w:iCs/>
          <w:color w:val="000000" w:themeColor="text1"/>
          <w:sz w:val="21"/>
          <w:szCs w:val="21"/>
        </w:rPr>
        <w:t>Breast Cancer Res Treat</w:t>
      </w:r>
      <w:r w:rsidRPr="00BF0024">
        <w:rPr>
          <w:color w:val="000000" w:themeColor="text1"/>
          <w:sz w:val="21"/>
          <w:szCs w:val="21"/>
        </w:rPr>
        <w:t>. 2017;161(1):135-142. doi:10.1007/S10549-016-4038-Y</w:t>
      </w:r>
    </w:p>
    <w:p w14:paraId="560FAFE8" w14:textId="14D5128E" w:rsidR="006046EA" w:rsidRDefault="006D4A9F" w:rsidP="00187E6C">
      <w:pPr>
        <w:pStyle w:val="ListParagraph"/>
        <w:tabs>
          <w:tab w:val="left" w:pos="2159"/>
          <w:tab w:val="left" w:pos="2160"/>
        </w:tabs>
        <w:spacing w:before="118" w:line="213" w:lineRule="auto"/>
        <w:ind w:right="330" w:firstLine="0"/>
        <w:rPr>
          <w:color w:val="000000" w:themeColor="text1"/>
          <w:sz w:val="21"/>
          <w:szCs w:val="21"/>
        </w:rPr>
      </w:pPr>
      <w:r w:rsidRPr="006046EA">
        <w:rPr>
          <w:color w:val="000000" w:themeColor="text1"/>
          <w:sz w:val="21"/>
          <w:szCs w:val="21"/>
        </w:rPr>
        <w:t xml:space="preserve">Powles TJ, Ashley S, Tidy A, Smith IE, Dowsett M. </w:t>
      </w:r>
      <w:hyperlink r:id="rId38">
        <w:r w:rsidRPr="00A369A5">
          <w:rPr>
            <w:color w:val="0000FF"/>
            <w:sz w:val="21"/>
            <w:szCs w:val="21"/>
          </w:rPr>
          <w:t>Twenty-year follow-up of the Royal Marsde</w:t>
        </w:r>
      </w:hyperlink>
      <w:hyperlink r:id="rId39">
        <w:r w:rsidRPr="00A369A5">
          <w:rPr>
            <w:color w:val="0000FF"/>
            <w:sz w:val="21"/>
            <w:szCs w:val="21"/>
          </w:rPr>
          <w:t>n</w:t>
        </w:r>
        <w:r w:rsidRPr="00A369A5">
          <w:rPr>
            <w:color w:val="0000FF"/>
            <w:spacing w:val="-5"/>
            <w:sz w:val="21"/>
            <w:szCs w:val="21"/>
            <w:u w:val="single" w:color="0082C3"/>
          </w:rPr>
          <w:t xml:space="preserve"> </w:t>
        </w:r>
      </w:hyperlink>
      <w:r w:rsidRPr="00A369A5">
        <w:rPr>
          <w:color w:val="0000FF"/>
          <w:spacing w:val="-5"/>
          <w:sz w:val="21"/>
          <w:szCs w:val="21"/>
        </w:rPr>
        <w:t xml:space="preserve"> </w:t>
      </w:r>
      <w:hyperlink r:id="rId40">
        <w:r w:rsidRPr="00A369A5">
          <w:rPr>
            <w:color w:val="0000FF"/>
            <w:sz w:val="21"/>
            <w:szCs w:val="21"/>
            <w:u w:val="single" w:color="0082C3"/>
          </w:rPr>
          <w:t>randomized, double-blinded tamoxifen breast cancer prevention trial</w:t>
        </w:r>
      </w:hyperlink>
      <w:r w:rsidRPr="006046EA">
        <w:rPr>
          <w:color w:val="000000" w:themeColor="text1"/>
          <w:sz w:val="21"/>
          <w:szCs w:val="21"/>
        </w:rPr>
        <w:t>. J Natl Cancer Inst. 2007; 99(4): 283-90</w:t>
      </w:r>
      <w:r w:rsidRPr="00912636">
        <w:rPr>
          <w:color w:val="000000" w:themeColor="text1"/>
          <w:sz w:val="21"/>
          <w:szCs w:val="21"/>
        </w:rPr>
        <w:t>.</w:t>
      </w:r>
    </w:p>
    <w:p w14:paraId="4D3586A2" w14:textId="77777777" w:rsidR="006046EA" w:rsidRDefault="006046EA">
      <w:pPr>
        <w:rPr>
          <w:color w:val="000000" w:themeColor="text1"/>
          <w:sz w:val="21"/>
          <w:szCs w:val="21"/>
        </w:rPr>
      </w:pPr>
      <w:r>
        <w:rPr>
          <w:color w:val="000000" w:themeColor="text1"/>
          <w:sz w:val="21"/>
          <w:szCs w:val="21"/>
        </w:rPr>
        <w:br w:type="page"/>
      </w:r>
    </w:p>
    <w:p w14:paraId="44F35CD2" w14:textId="6E3FD154" w:rsidR="006D4A9F" w:rsidRPr="000836B1" w:rsidRDefault="006D4A9F" w:rsidP="00187E6C">
      <w:pPr>
        <w:pStyle w:val="list-inline-item"/>
        <w:shd w:val="clear" w:color="auto" w:fill="FFFFFF"/>
        <w:ind w:left="2160"/>
        <w:rPr>
          <w:rFonts w:ascii="Palatino Linotype" w:hAnsi="Palatino Linotype" w:cs="Segoe UI"/>
          <w:color w:val="505050"/>
          <w:spacing w:val="5"/>
          <w:sz w:val="21"/>
          <w:szCs w:val="21"/>
        </w:rPr>
      </w:pPr>
      <w:r w:rsidRPr="000836B1">
        <w:rPr>
          <w:rStyle w:val="hlfld-contribauthor"/>
          <w:rFonts w:ascii="Palatino Linotype" w:eastAsiaTheme="majorEastAsia" w:hAnsi="Palatino Linotype"/>
          <w:color w:val="000000" w:themeColor="text1"/>
          <w:sz w:val="21"/>
          <w:szCs w:val="21"/>
        </w:rPr>
        <w:lastRenderedPageBreak/>
        <w:t>Robson</w:t>
      </w:r>
      <w:r w:rsidRPr="000836B1">
        <w:rPr>
          <w:rStyle w:val="hlfld-contribauthor"/>
          <w:rFonts w:ascii="Palatino Linotype" w:eastAsiaTheme="majorEastAsia" w:hAnsi="Palatino Linotype" w:cs="Segoe UI"/>
          <w:color w:val="000000" w:themeColor="text1"/>
          <w:spacing w:val="5"/>
          <w:sz w:val="21"/>
          <w:szCs w:val="21"/>
        </w:rPr>
        <w:t xml:space="preserve"> ME, Bradbury AR, Arun B, et al.</w:t>
      </w:r>
      <w:r w:rsidRPr="000836B1">
        <w:rPr>
          <w:rStyle w:val="hlfld-contribauthor"/>
          <w:rFonts w:ascii="Palatino Linotype" w:hAnsi="Palatino Linotype" w:cs="Segoe UI"/>
          <w:color w:val="000000" w:themeColor="text1"/>
          <w:spacing w:val="5"/>
          <w:sz w:val="21"/>
          <w:szCs w:val="21"/>
        </w:rPr>
        <w:t xml:space="preserve"> </w:t>
      </w:r>
      <w:r w:rsidRPr="000836B1">
        <w:rPr>
          <w:rFonts w:ascii="Palatino Linotype" w:hAnsi="Palatino Linotype" w:cs="Segoe UI"/>
          <w:color w:val="000000" w:themeColor="text1"/>
          <w:spacing w:val="5"/>
          <w:sz w:val="21"/>
          <w:szCs w:val="21"/>
          <w:shd w:val="clear" w:color="auto" w:fill="FFFFFF"/>
        </w:rPr>
        <w:t xml:space="preserve">American Society of Clinical Oncology Policy Statement Update: Genetic and Genomic Testing for Cancer </w:t>
      </w:r>
      <w:r w:rsidRPr="000836B1">
        <w:rPr>
          <w:rFonts w:ascii="Palatino Linotype" w:hAnsi="Palatino Linotype" w:cs="Segoe UI"/>
          <w:color w:val="505050"/>
          <w:spacing w:val="5"/>
          <w:sz w:val="21"/>
          <w:szCs w:val="21"/>
          <w:shd w:val="clear" w:color="auto" w:fill="FFFFFF"/>
        </w:rPr>
        <w:t>Susceptibility.</w:t>
      </w:r>
      <w:r w:rsidRPr="000836B1">
        <w:rPr>
          <w:rFonts w:ascii="Palatino Linotype" w:hAnsi="Palatino Linotype" w:cs="Segoe UI"/>
          <w:i/>
          <w:iCs/>
          <w:color w:val="505050"/>
          <w:spacing w:val="5"/>
          <w:sz w:val="21"/>
          <w:szCs w:val="21"/>
          <w:shd w:val="clear" w:color="auto" w:fill="FFFFFF"/>
        </w:rPr>
        <w:t>JCO</w:t>
      </w:r>
      <w:r w:rsidRPr="000836B1">
        <w:rPr>
          <w:rFonts w:ascii="Palatino Linotype" w:hAnsi="Palatino Linotype" w:cs="Segoe UI"/>
          <w:b/>
          <w:bCs/>
          <w:color w:val="505050"/>
          <w:spacing w:val="5"/>
          <w:sz w:val="21"/>
          <w:szCs w:val="21"/>
          <w:shd w:val="clear" w:color="auto" w:fill="FFFFFF"/>
        </w:rPr>
        <w:t>33</w:t>
      </w:r>
      <w:r w:rsidRPr="000836B1">
        <w:rPr>
          <w:rFonts w:ascii="Palatino Linotype" w:hAnsi="Palatino Linotype" w:cs="Segoe UI"/>
          <w:color w:val="505050"/>
          <w:spacing w:val="5"/>
          <w:sz w:val="21"/>
          <w:szCs w:val="21"/>
          <w:shd w:val="clear" w:color="auto" w:fill="FFFFFF"/>
        </w:rPr>
        <w:t xml:space="preserve">, 3660-3667(2015). </w:t>
      </w:r>
      <w:r w:rsidRPr="000836B1">
        <w:rPr>
          <w:rFonts w:ascii="Palatino Linotype" w:hAnsi="Palatino Linotype" w:cs="Segoe UI"/>
          <w:color w:val="505050"/>
          <w:spacing w:val="5"/>
          <w:sz w:val="21"/>
          <w:szCs w:val="21"/>
        </w:rPr>
        <w:t>DOI:</w:t>
      </w:r>
      <w:hyperlink r:id="rId41" w:tooltip="Link to DOI" w:history="1">
        <w:r w:rsidRPr="000836B1">
          <w:rPr>
            <w:rStyle w:val="Hyperlink"/>
            <w:rFonts w:ascii="Palatino Linotype" w:eastAsiaTheme="majorEastAsia" w:hAnsi="Palatino Linotype" w:cs="Segoe UI"/>
            <w:color w:val="0000FF"/>
            <w:spacing w:val="5"/>
            <w:sz w:val="21"/>
            <w:szCs w:val="21"/>
          </w:rPr>
          <w:t>10.1200/JCO.2015.63.0996</w:t>
        </w:r>
      </w:hyperlink>
      <w:r w:rsidRPr="000836B1">
        <w:rPr>
          <w:rFonts w:ascii="Palatino Linotype" w:hAnsi="Palatino Linotype" w:cs="Segoe UI"/>
          <w:color w:val="505050"/>
          <w:spacing w:val="5"/>
          <w:sz w:val="21"/>
          <w:szCs w:val="21"/>
        </w:rPr>
        <w:t xml:space="preserve">. Accessed </w:t>
      </w:r>
      <w:r w:rsidR="001449BF">
        <w:rPr>
          <w:rFonts w:ascii="Palatino Linotype" w:hAnsi="Palatino Linotype" w:cs="Segoe UI"/>
          <w:color w:val="505050"/>
          <w:spacing w:val="5"/>
          <w:sz w:val="21"/>
          <w:szCs w:val="21"/>
        </w:rPr>
        <w:br/>
      </w:r>
      <w:r w:rsidRPr="000836B1">
        <w:rPr>
          <w:rFonts w:ascii="Palatino Linotype" w:hAnsi="Palatino Linotype" w:cs="Segoe UI"/>
          <w:color w:val="505050"/>
          <w:spacing w:val="5"/>
          <w:sz w:val="21"/>
          <w:szCs w:val="21"/>
        </w:rPr>
        <w:t>April 15, 2025.</w:t>
      </w:r>
    </w:p>
    <w:p w14:paraId="473CC133" w14:textId="77777777" w:rsidR="006D4A9F" w:rsidRPr="000836B1" w:rsidRDefault="006D4A9F" w:rsidP="00187E6C">
      <w:pPr>
        <w:pStyle w:val="list-inline-item"/>
        <w:shd w:val="clear" w:color="auto" w:fill="FFFFFF"/>
        <w:ind w:left="2160"/>
        <w:rPr>
          <w:rFonts w:ascii="Palatino Linotype" w:hAnsi="Palatino Linotype"/>
          <w:color w:val="231F20"/>
          <w:sz w:val="21"/>
          <w:szCs w:val="21"/>
        </w:rPr>
      </w:pPr>
      <w:r w:rsidRPr="000836B1">
        <w:rPr>
          <w:rFonts w:ascii="Palatino Linotype" w:hAnsi="Palatino Linotype"/>
          <w:color w:val="231F20"/>
          <w:sz w:val="21"/>
          <w:szCs w:val="21"/>
        </w:rPr>
        <w:t xml:space="preserve">Sharma P1, Klemp JR, Kimler BF, et al. </w:t>
      </w:r>
      <w:hyperlink r:id="rId42">
        <w:r w:rsidRPr="000836B1">
          <w:rPr>
            <w:rFonts w:ascii="Palatino Linotype" w:hAnsi="Palatino Linotype"/>
            <w:color w:val="0000FF"/>
            <w:sz w:val="21"/>
            <w:szCs w:val="21"/>
            <w:u w:val="single" w:color="0082C3"/>
          </w:rPr>
          <w:t>Germline BRCA pathogenic/likely pathogenic variant evaluation in a prospectiv</w:t>
        </w:r>
      </w:hyperlink>
      <w:hyperlink r:id="rId43">
        <w:r w:rsidRPr="000836B1">
          <w:rPr>
            <w:rFonts w:ascii="Palatino Linotype" w:hAnsi="Palatino Linotype"/>
            <w:color w:val="0000FF"/>
            <w:sz w:val="21"/>
            <w:szCs w:val="21"/>
            <w:u w:val="single" w:color="0082C3"/>
          </w:rPr>
          <w:t xml:space="preserve">e </w:t>
        </w:r>
      </w:hyperlink>
      <w:r w:rsidRPr="000836B1">
        <w:rPr>
          <w:rFonts w:ascii="Palatino Linotype" w:hAnsi="Palatino Linotype"/>
          <w:color w:val="0000FF"/>
          <w:sz w:val="21"/>
          <w:szCs w:val="21"/>
        </w:rPr>
        <w:t xml:space="preserve"> </w:t>
      </w:r>
      <w:hyperlink r:id="rId44">
        <w:r w:rsidRPr="000836B1">
          <w:rPr>
            <w:rFonts w:ascii="Palatino Linotype" w:hAnsi="Palatino Linotype"/>
            <w:color w:val="0000FF"/>
            <w:sz w:val="21"/>
            <w:szCs w:val="21"/>
            <w:u w:val="single" w:color="0082C3"/>
          </w:rPr>
          <w:t>triple-negative breast cancer registry: implications for hereditary breast and/or ovarian cance</w:t>
        </w:r>
      </w:hyperlink>
      <w:hyperlink r:id="rId45">
        <w:r w:rsidRPr="000836B1">
          <w:rPr>
            <w:rFonts w:ascii="Palatino Linotype" w:hAnsi="Palatino Linotype"/>
            <w:color w:val="0000FF"/>
            <w:sz w:val="21"/>
            <w:szCs w:val="21"/>
            <w:u w:val="single" w:color="0082C3"/>
          </w:rPr>
          <w:t xml:space="preserve">r </w:t>
        </w:r>
      </w:hyperlink>
      <w:r w:rsidRPr="000836B1">
        <w:rPr>
          <w:rFonts w:ascii="Palatino Linotype" w:hAnsi="Palatino Linotype"/>
          <w:color w:val="0000FF"/>
          <w:sz w:val="21"/>
          <w:szCs w:val="21"/>
        </w:rPr>
        <w:t xml:space="preserve"> </w:t>
      </w:r>
      <w:hyperlink r:id="rId46">
        <w:r w:rsidRPr="000836B1">
          <w:rPr>
            <w:rFonts w:ascii="Palatino Linotype" w:hAnsi="Palatino Linotype"/>
            <w:color w:val="0000FF"/>
            <w:sz w:val="21"/>
            <w:szCs w:val="21"/>
            <w:u w:val="single" w:color="0082C3"/>
          </w:rPr>
          <w:t>syndrome testing</w:t>
        </w:r>
      </w:hyperlink>
      <w:r w:rsidRPr="000836B1">
        <w:rPr>
          <w:rFonts w:ascii="Palatino Linotype" w:hAnsi="Palatino Linotype"/>
          <w:color w:val="231F20"/>
          <w:sz w:val="21"/>
          <w:szCs w:val="21"/>
        </w:rPr>
        <w:t>. Breast Cancer Res Treat. 2014 Jun; 145(3): 707-</w:t>
      </w:r>
      <w:proofErr w:type="gramStart"/>
      <w:r w:rsidRPr="000836B1">
        <w:rPr>
          <w:rFonts w:ascii="Palatino Linotype" w:hAnsi="Palatino Linotype"/>
          <w:color w:val="231F20"/>
          <w:sz w:val="21"/>
          <w:szCs w:val="21"/>
        </w:rPr>
        <w:t>14.Stadler</w:t>
      </w:r>
      <w:proofErr w:type="gramEnd"/>
      <w:r w:rsidRPr="000836B1">
        <w:rPr>
          <w:rFonts w:ascii="Palatino Linotype" w:hAnsi="Palatino Linotype"/>
          <w:color w:val="231F20"/>
          <w:sz w:val="21"/>
          <w:szCs w:val="21"/>
        </w:rPr>
        <w:t xml:space="preserve"> </w:t>
      </w:r>
    </w:p>
    <w:p w14:paraId="54A459EC" w14:textId="77777777" w:rsidR="002467ED" w:rsidRPr="000836B1" w:rsidRDefault="002467ED" w:rsidP="002467ED">
      <w:pPr>
        <w:pStyle w:val="list-inline-item"/>
        <w:shd w:val="clear" w:color="auto" w:fill="FFFFFF"/>
        <w:ind w:left="2160"/>
        <w:rPr>
          <w:rFonts w:ascii="Palatino Linotype" w:hAnsi="Palatino Linotype"/>
          <w:color w:val="231F20"/>
          <w:sz w:val="21"/>
          <w:szCs w:val="21"/>
        </w:rPr>
      </w:pPr>
      <w:r w:rsidRPr="000836B1">
        <w:rPr>
          <w:rFonts w:ascii="Palatino Linotype" w:hAnsi="Palatino Linotype"/>
          <w:color w:val="231F20"/>
          <w:sz w:val="21"/>
          <w:szCs w:val="21"/>
        </w:rPr>
        <w:t xml:space="preserve">United States Preventive Services Task Force. BRCA-related cancer: risk assessment, genetic counseling, and genetic testing. Accessed March 4, 2025. </w:t>
      </w:r>
      <w:hyperlink r:id="rId47" w:tgtFrame="_new" w:history="1">
        <w:r w:rsidRPr="000836B1">
          <w:rPr>
            <w:rStyle w:val="Hyperlink"/>
            <w:rFonts w:ascii="Palatino Linotype" w:hAnsi="Palatino Linotype"/>
            <w:sz w:val="21"/>
            <w:szCs w:val="21"/>
          </w:rPr>
          <w:t>https://www.uspreventiveservicestaskforce.org/uspstf/draft-update-summary/brca-related-</w:t>
        </w:r>
        <w:r w:rsidRPr="000836B1">
          <w:rPr>
            <w:rStyle w:val="Hyperlink"/>
            <w:rFonts w:ascii="Palatino Linotype" w:hAnsi="Palatino Linotype"/>
            <w:color w:val="0000FF"/>
            <w:sz w:val="21"/>
            <w:szCs w:val="21"/>
          </w:rPr>
          <w:t>cancer</w:t>
        </w:r>
        <w:r w:rsidRPr="000836B1">
          <w:rPr>
            <w:rStyle w:val="Hyperlink"/>
            <w:rFonts w:ascii="Palatino Linotype" w:hAnsi="Palatino Linotype"/>
            <w:sz w:val="21"/>
            <w:szCs w:val="21"/>
          </w:rPr>
          <w:t>-risk-assessment-genetic-counseling-testing</w:t>
        </w:r>
      </w:hyperlink>
    </w:p>
    <w:p w14:paraId="76C8CDED" w14:textId="77777777" w:rsidR="002467ED" w:rsidRPr="000836B1" w:rsidRDefault="006D4A9F" w:rsidP="00187E6C">
      <w:pPr>
        <w:pStyle w:val="list-inline-item"/>
        <w:shd w:val="clear" w:color="auto" w:fill="FFFFFF"/>
        <w:ind w:left="2160"/>
        <w:rPr>
          <w:rFonts w:ascii="Palatino Linotype" w:hAnsi="Palatino Linotype"/>
          <w:color w:val="231F20"/>
          <w:spacing w:val="-1"/>
          <w:sz w:val="21"/>
          <w:szCs w:val="21"/>
        </w:rPr>
      </w:pPr>
      <w:r w:rsidRPr="000836B1">
        <w:rPr>
          <w:rFonts w:ascii="Palatino Linotype" w:hAnsi="Palatino Linotype"/>
          <w:color w:val="231F20"/>
          <w:sz w:val="21"/>
          <w:szCs w:val="21"/>
          <w:lang w:val="pt-BR"/>
        </w:rPr>
        <w:t xml:space="preserve">ZK, Saloustros E, Hansen NA, et al. </w:t>
      </w:r>
      <w:r>
        <w:fldChar w:fldCharType="begin"/>
      </w:r>
      <w:r w:rsidRPr="0056700A">
        <w:rPr>
          <w:lang w:val="pt-BR"/>
        </w:rPr>
        <w:instrText>HYPERLINK "https://www.ncbi.nlm.nih.gov/pubmed/20221693" \h</w:instrText>
      </w:r>
      <w:r>
        <w:fldChar w:fldCharType="separate"/>
      </w:r>
      <w:r w:rsidRPr="000836B1">
        <w:rPr>
          <w:rFonts w:ascii="Palatino Linotype" w:hAnsi="Palatino Linotype"/>
          <w:color w:val="0000FF"/>
          <w:sz w:val="21"/>
          <w:szCs w:val="21"/>
          <w:u w:val="single" w:color="0082C3"/>
        </w:rPr>
        <w:t>Absence of genomic BRCA1 and BRCA</w:t>
      </w:r>
      <w:r>
        <w:fldChar w:fldCharType="end"/>
      </w:r>
      <w:hyperlink r:id="rId48">
        <w:r w:rsidRPr="000836B1">
          <w:rPr>
            <w:rFonts w:ascii="Palatino Linotype" w:hAnsi="Palatino Linotype"/>
            <w:color w:val="0000FF"/>
            <w:sz w:val="21"/>
            <w:szCs w:val="21"/>
            <w:u w:val="single" w:color="0082C3"/>
          </w:rPr>
          <w:t xml:space="preserve">2 </w:t>
        </w:r>
      </w:hyperlink>
      <w:r w:rsidRPr="000836B1">
        <w:rPr>
          <w:rFonts w:ascii="Palatino Linotype" w:hAnsi="Palatino Linotype"/>
          <w:color w:val="0000FF"/>
          <w:sz w:val="21"/>
          <w:szCs w:val="21"/>
        </w:rPr>
        <w:t xml:space="preserve"> </w:t>
      </w:r>
      <w:hyperlink r:id="rId49">
        <w:r w:rsidRPr="000836B1">
          <w:rPr>
            <w:rFonts w:ascii="Palatino Linotype" w:hAnsi="Palatino Linotype"/>
            <w:color w:val="0000FF"/>
            <w:sz w:val="21"/>
            <w:szCs w:val="21"/>
            <w:u w:val="single" w:color="0082C3"/>
          </w:rPr>
          <w:t>rearrangements</w:t>
        </w:r>
        <w:r w:rsidRPr="000836B1">
          <w:rPr>
            <w:rFonts w:ascii="Palatino Linotype" w:hAnsi="Palatino Linotype"/>
            <w:color w:val="0000FF"/>
            <w:spacing w:val="-2"/>
            <w:sz w:val="21"/>
            <w:szCs w:val="21"/>
            <w:u w:val="single" w:color="0082C3"/>
          </w:rPr>
          <w:t xml:space="preserve"> </w:t>
        </w:r>
        <w:r w:rsidRPr="000836B1">
          <w:rPr>
            <w:rFonts w:ascii="Palatino Linotype" w:hAnsi="Palatino Linotype"/>
            <w:color w:val="0000FF"/>
            <w:sz w:val="21"/>
            <w:szCs w:val="21"/>
            <w:u w:val="single" w:color="0082C3"/>
          </w:rPr>
          <w:t>in</w:t>
        </w:r>
        <w:r w:rsidRPr="000836B1">
          <w:rPr>
            <w:rFonts w:ascii="Palatino Linotype" w:hAnsi="Palatino Linotype"/>
            <w:color w:val="0000FF"/>
            <w:spacing w:val="-2"/>
            <w:sz w:val="21"/>
            <w:szCs w:val="21"/>
            <w:u w:val="single" w:color="0082C3"/>
          </w:rPr>
          <w:t xml:space="preserve"> </w:t>
        </w:r>
        <w:r w:rsidRPr="000836B1">
          <w:rPr>
            <w:rFonts w:ascii="Palatino Linotype" w:hAnsi="Palatino Linotype"/>
            <w:color w:val="0000FF"/>
            <w:sz w:val="21"/>
            <w:szCs w:val="21"/>
            <w:u w:val="single" w:color="0082C3"/>
          </w:rPr>
          <w:t>Ashkenazi</w:t>
        </w:r>
        <w:r w:rsidRPr="000836B1">
          <w:rPr>
            <w:rFonts w:ascii="Palatino Linotype" w:hAnsi="Palatino Linotype"/>
            <w:color w:val="0000FF"/>
            <w:spacing w:val="-2"/>
            <w:sz w:val="21"/>
            <w:szCs w:val="21"/>
            <w:u w:val="single" w:color="0082C3"/>
          </w:rPr>
          <w:t xml:space="preserve"> </w:t>
        </w:r>
        <w:r w:rsidRPr="000836B1">
          <w:rPr>
            <w:rFonts w:ascii="Palatino Linotype" w:hAnsi="Palatino Linotype"/>
            <w:color w:val="0000FF"/>
            <w:sz w:val="21"/>
            <w:szCs w:val="21"/>
            <w:u w:val="single" w:color="0082C3"/>
          </w:rPr>
          <w:t>breast</w:t>
        </w:r>
        <w:r w:rsidRPr="000836B1">
          <w:rPr>
            <w:rFonts w:ascii="Palatino Linotype" w:hAnsi="Palatino Linotype"/>
            <w:color w:val="0000FF"/>
            <w:spacing w:val="-2"/>
            <w:sz w:val="21"/>
            <w:szCs w:val="21"/>
            <w:u w:val="single" w:color="0082C3"/>
          </w:rPr>
          <w:t xml:space="preserve"> </w:t>
        </w:r>
        <w:r w:rsidRPr="000836B1">
          <w:rPr>
            <w:rFonts w:ascii="Palatino Linotype" w:hAnsi="Palatino Linotype"/>
            <w:color w:val="0000FF"/>
            <w:sz w:val="21"/>
            <w:szCs w:val="21"/>
            <w:u w:val="single" w:color="0082C3"/>
          </w:rPr>
          <w:t>and</w:t>
        </w:r>
        <w:r w:rsidRPr="000836B1">
          <w:rPr>
            <w:rFonts w:ascii="Palatino Linotype" w:hAnsi="Palatino Linotype"/>
            <w:color w:val="0000FF"/>
            <w:spacing w:val="-2"/>
            <w:sz w:val="21"/>
            <w:szCs w:val="21"/>
            <w:u w:val="single" w:color="0082C3"/>
          </w:rPr>
          <w:t xml:space="preserve"> </w:t>
        </w:r>
        <w:r w:rsidRPr="000836B1">
          <w:rPr>
            <w:rFonts w:ascii="Palatino Linotype" w:hAnsi="Palatino Linotype"/>
            <w:color w:val="0000FF"/>
            <w:sz w:val="21"/>
            <w:szCs w:val="21"/>
            <w:u w:val="single" w:color="0082C3"/>
          </w:rPr>
          <w:t>ovarian</w:t>
        </w:r>
        <w:r w:rsidRPr="000836B1">
          <w:rPr>
            <w:rFonts w:ascii="Palatino Linotype" w:hAnsi="Palatino Linotype"/>
            <w:color w:val="0000FF"/>
            <w:spacing w:val="-2"/>
            <w:sz w:val="21"/>
            <w:szCs w:val="21"/>
            <w:u w:val="single" w:color="0082C3"/>
          </w:rPr>
          <w:t xml:space="preserve"> </w:t>
        </w:r>
        <w:r w:rsidRPr="000836B1">
          <w:rPr>
            <w:rFonts w:ascii="Palatino Linotype" w:hAnsi="Palatino Linotype"/>
            <w:color w:val="0000FF"/>
            <w:sz w:val="21"/>
            <w:szCs w:val="21"/>
            <w:u w:val="single" w:color="0082C3"/>
          </w:rPr>
          <w:t>cancer</w:t>
        </w:r>
        <w:r w:rsidRPr="000836B1">
          <w:rPr>
            <w:rFonts w:ascii="Palatino Linotype" w:hAnsi="Palatino Linotype"/>
            <w:color w:val="0000FF"/>
            <w:spacing w:val="-2"/>
            <w:sz w:val="21"/>
            <w:szCs w:val="21"/>
            <w:u w:val="single" w:color="0082C3"/>
          </w:rPr>
          <w:t xml:space="preserve"> </w:t>
        </w:r>
        <w:r w:rsidRPr="000836B1">
          <w:rPr>
            <w:rFonts w:ascii="Palatino Linotype" w:hAnsi="Palatino Linotype"/>
            <w:color w:val="0000FF"/>
            <w:sz w:val="21"/>
            <w:szCs w:val="21"/>
            <w:u w:val="single" w:color="0082C3"/>
          </w:rPr>
          <w:t>families</w:t>
        </w:r>
      </w:hyperlink>
      <w:r w:rsidRPr="000836B1">
        <w:rPr>
          <w:rFonts w:ascii="Palatino Linotype" w:hAnsi="Palatino Linotype"/>
          <w:color w:val="231F20"/>
          <w:sz w:val="21"/>
          <w:szCs w:val="21"/>
        </w:rPr>
        <w:t>.</w:t>
      </w:r>
      <w:r w:rsidRPr="000836B1">
        <w:rPr>
          <w:rFonts w:ascii="Palatino Linotype" w:hAnsi="Palatino Linotype"/>
          <w:color w:val="231F20"/>
          <w:spacing w:val="-2"/>
          <w:sz w:val="21"/>
          <w:szCs w:val="21"/>
        </w:rPr>
        <w:t xml:space="preserve"> </w:t>
      </w:r>
      <w:r w:rsidRPr="000836B1">
        <w:rPr>
          <w:rFonts w:ascii="Palatino Linotype" w:hAnsi="Palatino Linotype"/>
          <w:color w:val="231F20"/>
          <w:sz w:val="21"/>
          <w:szCs w:val="21"/>
        </w:rPr>
        <w:t>Breast</w:t>
      </w:r>
      <w:r w:rsidRPr="000836B1">
        <w:rPr>
          <w:rFonts w:ascii="Palatino Linotype" w:hAnsi="Palatino Linotype"/>
          <w:color w:val="231F20"/>
          <w:spacing w:val="-2"/>
          <w:sz w:val="21"/>
          <w:szCs w:val="21"/>
        </w:rPr>
        <w:t xml:space="preserve"> </w:t>
      </w:r>
      <w:r w:rsidRPr="000836B1">
        <w:rPr>
          <w:rFonts w:ascii="Palatino Linotype" w:hAnsi="Palatino Linotype"/>
          <w:color w:val="231F20"/>
          <w:sz w:val="21"/>
          <w:szCs w:val="21"/>
        </w:rPr>
        <w:t>Cancer</w:t>
      </w:r>
      <w:r w:rsidRPr="000836B1">
        <w:rPr>
          <w:rFonts w:ascii="Palatino Linotype" w:hAnsi="Palatino Linotype"/>
          <w:color w:val="231F20"/>
          <w:spacing w:val="-2"/>
          <w:sz w:val="21"/>
          <w:szCs w:val="21"/>
        </w:rPr>
        <w:t xml:space="preserve"> </w:t>
      </w:r>
      <w:r w:rsidRPr="000836B1">
        <w:rPr>
          <w:rFonts w:ascii="Palatino Linotype" w:hAnsi="Palatino Linotype"/>
          <w:color w:val="231F20"/>
          <w:sz w:val="21"/>
          <w:szCs w:val="21"/>
        </w:rPr>
        <w:t>Res</w:t>
      </w:r>
      <w:r w:rsidRPr="000836B1">
        <w:rPr>
          <w:rFonts w:ascii="Palatino Linotype" w:hAnsi="Palatino Linotype"/>
          <w:color w:val="231F20"/>
          <w:spacing w:val="-2"/>
          <w:sz w:val="21"/>
          <w:szCs w:val="21"/>
        </w:rPr>
        <w:t xml:space="preserve"> </w:t>
      </w:r>
      <w:r w:rsidRPr="000836B1">
        <w:rPr>
          <w:rFonts w:ascii="Palatino Linotype" w:hAnsi="Palatino Linotype"/>
          <w:color w:val="231F20"/>
          <w:sz w:val="21"/>
          <w:szCs w:val="21"/>
        </w:rPr>
        <w:t>Treat.</w:t>
      </w:r>
      <w:r w:rsidRPr="000836B1">
        <w:rPr>
          <w:rFonts w:ascii="Palatino Linotype" w:hAnsi="Palatino Linotype"/>
          <w:color w:val="231F20"/>
          <w:spacing w:val="-2"/>
          <w:sz w:val="21"/>
          <w:szCs w:val="21"/>
        </w:rPr>
        <w:t xml:space="preserve"> </w:t>
      </w:r>
      <w:r w:rsidRPr="000836B1">
        <w:rPr>
          <w:rFonts w:ascii="Palatino Linotype" w:hAnsi="Palatino Linotype"/>
          <w:color w:val="231F20"/>
          <w:sz w:val="21"/>
          <w:szCs w:val="21"/>
        </w:rPr>
        <w:t>2010 Sep; 123(2): 581-</w:t>
      </w:r>
      <w:proofErr w:type="gramStart"/>
      <w:r w:rsidRPr="000836B1">
        <w:rPr>
          <w:rFonts w:ascii="Palatino Linotype" w:hAnsi="Palatino Linotype"/>
          <w:color w:val="231F20"/>
          <w:sz w:val="21"/>
          <w:szCs w:val="21"/>
        </w:rPr>
        <w:t>5.Stan</w:t>
      </w:r>
      <w:proofErr w:type="gramEnd"/>
      <w:r w:rsidRPr="000836B1">
        <w:rPr>
          <w:rFonts w:ascii="Palatino Linotype" w:hAnsi="Palatino Linotype"/>
          <w:color w:val="231F20"/>
          <w:spacing w:val="-1"/>
          <w:sz w:val="21"/>
          <w:szCs w:val="21"/>
        </w:rPr>
        <w:t xml:space="preserve"> </w:t>
      </w:r>
    </w:p>
    <w:p w14:paraId="00CCA45D" w14:textId="738D6A6B" w:rsidR="006D4A9F" w:rsidRPr="00787B6C" w:rsidRDefault="006D4A9F" w:rsidP="00187E6C">
      <w:pPr>
        <w:pStyle w:val="list-inline-item"/>
        <w:shd w:val="clear" w:color="auto" w:fill="FFFFFF"/>
        <w:ind w:left="2160"/>
        <w:rPr>
          <w:sz w:val="21"/>
          <w:szCs w:val="21"/>
        </w:rPr>
      </w:pPr>
    </w:p>
    <w:p w14:paraId="5A603CC1" w14:textId="77777777" w:rsidR="00334D4B" w:rsidRDefault="00334D4B">
      <w:pPr>
        <w:spacing w:line="213" w:lineRule="auto"/>
        <w:rPr>
          <w:sz w:val="21"/>
        </w:rPr>
        <w:sectPr w:rsidR="00334D4B">
          <w:pgSz w:w="12240" w:h="15840"/>
          <w:pgMar w:top="960" w:right="1320" w:bottom="1580" w:left="360" w:header="0" w:footer="1380" w:gutter="0"/>
          <w:cols w:space="720"/>
        </w:sectPr>
      </w:pPr>
    </w:p>
    <w:p w14:paraId="5A603CCC" w14:textId="77777777" w:rsidR="00334D4B" w:rsidRPr="00BC40A5" w:rsidRDefault="002C73FC" w:rsidP="00912636">
      <w:pPr>
        <w:pStyle w:val="BodyText"/>
        <w:spacing w:before="480" w:line="214" w:lineRule="auto"/>
        <w:ind w:left="1800" w:right="331" w:firstLine="0"/>
      </w:pPr>
      <w:r w:rsidRPr="00BC40A5">
        <w:rPr>
          <w:color w:val="231F20"/>
        </w:rPr>
        <w:lastRenderedPageBreak/>
        <w:t xml:space="preserve">These Guidelines are based on review of the medical literature and current practice in genetic testing for BRCA-related cancer. MassHealth reserves the right to review and update the contents of these Guidelines and </w:t>
      </w:r>
      <w:proofErr w:type="gramStart"/>
      <w:r w:rsidRPr="00BC40A5">
        <w:rPr>
          <w:color w:val="231F20"/>
        </w:rPr>
        <w:t>cited</w:t>
      </w:r>
      <w:proofErr w:type="gramEnd"/>
      <w:r w:rsidRPr="00BC40A5">
        <w:rPr>
          <w:color w:val="231F20"/>
        </w:rPr>
        <w:t xml:space="preserve"> references as new clinical evidence and medical technology emerge.</w:t>
      </w:r>
    </w:p>
    <w:p w14:paraId="5A603CCD" w14:textId="521E5A48" w:rsidR="00334D4B" w:rsidRPr="00BC40A5" w:rsidRDefault="002C73FC">
      <w:pPr>
        <w:pStyle w:val="BodyText"/>
        <w:spacing w:before="240" w:line="213" w:lineRule="auto"/>
        <w:ind w:left="1800" w:right="118" w:firstLine="0"/>
      </w:pPr>
      <w:r w:rsidRPr="00BC40A5">
        <w:rPr>
          <w:color w:val="231F20"/>
        </w:rPr>
        <w:t>This document was prepared for medical professionals to assist them in submitting documentation supporting the medical necessity of the proposed treatment, products, or services. Some language used in this communication may be unfamiliar to other readers; in this case, such readers should contact their health care provider for guidance or explanation.</w:t>
      </w:r>
    </w:p>
    <w:p w14:paraId="5A603CCE" w14:textId="77777777" w:rsidR="00334D4B" w:rsidRDefault="00334D4B">
      <w:pPr>
        <w:pStyle w:val="BodyText"/>
        <w:ind w:left="0" w:firstLine="0"/>
        <w:rPr>
          <w:sz w:val="28"/>
        </w:rPr>
      </w:pPr>
    </w:p>
    <w:p w14:paraId="5A603CCF" w14:textId="77777777" w:rsidR="00334D4B" w:rsidRDefault="00334D4B">
      <w:pPr>
        <w:pStyle w:val="BodyText"/>
        <w:ind w:left="0" w:firstLine="0"/>
        <w:rPr>
          <w:sz w:val="28"/>
        </w:rPr>
      </w:pPr>
    </w:p>
    <w:p w14:paraId="3FAAC4E3" w14:textId="77777777" w:rsidR="00947D6A" w:rsidRDefault="00947D6A">
      <w:pPr>
        <w:pStyle w:val="BodyText"/>
        <w:tabs>
          <w:tab w:val="left" w:pos="4606"/>
          <w:tab w:val="left" w:pos="8617"/>
        </w:tabs>
        <w:spacing w:before="203" w:line="268" w:lineRule="exact"/>
        <w:ind w:left="0" w:right="140" w:firstLine="0"/>
        <w:jc w:val="right"/>
        <w:rPr>
          <w:color w:val="231F20"/>
          <w:w w:val="90"/>
        </w:rPr>
      </w:pPr>
    </w:p>
    <w:p w14:paraId="0F2467D3" w14:textId="79ED8C5F" w:rsidR="006B6FF6" w:rsidRDefault="00947D6A" w:rsidP="0056700A">
      <w:pPr>
        <w:tabs>
          <w:tab w:val="left" w:pos="6480"/>
        </w:tabs>
        <w:spacing w:before="120" w:line="288" w:lineRule="auto"/>
        <w:ind w:left="1800"/>
        <w:rPr>
          <w:color w:val="000000" w:themeColor="text1"/>
          <w:sz w:val="21"/>
          <w:szCs w:val="21"/>
        </w:rPr>
      </w:pPr>
      <w:r w:rsidRPr="4ED61B96">
        <w:rPr>
          <w:color w:val="000000" w:themeColor="text1"/>
          <w:sz w:val="21"/>
          <w:szCs w:val="21"/>
        </w:rPr>
        <w:t xml:space="preserve">Revised policy effective: </w:t>
      </w:r>
      <w:r w:rsidR="006B6FF6">
        <w:rPr>
          <w:color w:val="000000" w:themeColor="text1"/>
          <w:sz w:val="21"/>
          <w:szCs w:val="21"/>
        </w:rPr>
        <w:t xml:space="preserve">June 25, </w:t>
      </w:r>
      <w:proofErr w:type="gramStart"/>
      <w:r w:rsidR="006B6FF6">
        <w:rPr>
          <w:color w:val="000000" w:themeColor="text1"/>
          <w:sz w:val="21"/>
          <w:szCs w:val="21"/>
        </w:rPr>
        <w:t>2025</w:t>
      </w:r>
      <w:proofErr w:type="gramEnd"/>
      <w:r w:rsidR="009A5A17">
        <w:rPr>
          <w:color w:val="000000" w:themeColor="text1"/>
          <w:sz w:val="21"/>
          <w:szCs w:val="21"/>
        </w:rPr>
        <w:t xml:space="preserve"> </w:t>
      </w:r>
      <w:r w:rsidR="006B6FF6">
        <w:tab/>
      </w:r>
      <w:r w:rsidR="009A5A17">
        <w:t>Approved</w:t>
      </w:r>
      <w:r w:rsidRPr="4ED61B96">
        <w:rPr>
          <w:color w:val="000000" w:themeColor="text1"/>
          <w:sz w:val="21"/>
          <w:szCs w:val="21"/>
        </w:rPr>
        <w:t xml:space="preserve"> by: [signature of Clara Filice]</w:t>
      </w:r>
    </w:p>
    <w:p w14:paraId="6BE33616" w14:textId="042E7A71" w:rsidR="006B6FF6" w:rsidRDefault="00947D6A" w:rsidP="0056700A">
      <w:pPr>
        <w:tabs>
          <w:tab w:val="left" w:pos="6480"/>
        </w:tabs>
        <w:spacing w:line="288" w:lineRule="auto"/>
        <w:ind w:left="1800"/>
        <w:rPr>
          <w:b/>
          <w:bCs/>
          <w:color w:val="000000" w:themeColor="text1"/>
          <w:sz w:val="21"/>
          <w:szCs w:val="21"/>
        </w:rPr>
      </w:pPr>
      <w:r>
        <w:tab/>
      </w:r>
      <w:r w:rsidRPr="4ED61B96">
        <w:rPr>
          <w:b/>
          <w:bCs/>
          <w:color w:val="000000" w:themeColor="text1"/>
          <w:sz w:val="21"/>
          <w:szCs w:val="21"/>
        </w:rPr>
        <w:t>Clara Filice, MD, MPH, MHS</w:t>
      </w:r>
    </w:p>
    <w:p w14:paraId="16FCD972" w14:textId="0874562D" w:rsidR="00835D30" w:rsidRDefault="00947D6A" w:rsidP="0056700A">
      <w:pPr>
        <w:tabs>
          <w:tab w:val="left" w:pos="6480"/>
        </w:tabs>
        <w:spacing w:line="288" w:lineRule="auto"/>
        <w:ind w:left="1800"/>
        <w:rPr>
          <w:color w:val="000000" w:themeColor="text1"/>
          <w:sz w:val="21"/>
          <w:szCs w:val="21"/>
        </w:rPr>
      </w:pPr>
      <w:r>
        <w:tab/>
      </w:r>
      <w:r w:rsidRPr="4ED61B96">
        <w:rPr>
          <w:color w:val="000000" w:themeColor="text1"/>
          <w:sz w:val="21"/>
          <w:szCs w:val="21"/>
        </w:rPr>
        <w:t>Chief Medical Officer, MassHealth</w:t>
      </w:r>
    </w:p>
    <w:p w14:paraId="75130495" w14:textId="721AA089" w:rsidR="00947D6A" w:rsidRDefault="00947D6A" w:rsidP="0056700A">
      <w:pPr>
        <w:spacing w:before="120" w:after="120" w:line="288" w:lineRule="auto"/>
        <w:ind w:left="1440" w:firstLine="360"/>
        <w:rPr>
          <w:color w:val="000000" w:themeColor="text1"/>
          <w:sz w:val="21"/>
          <w:szCs w:val="21"/>
        </w:rPr>
      </w:pPr>
      <w:r w:rsidRPr="4ED61B96">
        <w:rPr>
          <w:color w:val="000000" w:themeColor="text1"/>
          <w:sz w:val="21"/>
          <w:szCs w:val="21"/>
        </w:rPr>
        <w:t xml:space="preserve">Supersedes policy </w:t>
      </w:r>
      <w:r w:rsidR="009A5A17" w:rsidRPr="4ED61B96">
        <w:rPr>
          <w:color w:val="000000" w:themeColor="text1"/>
          <w:sz w:val="21"/>
          <w:szCs w:val="21"/>
        </w:rPr>
        <w:t>dated February</w:t>
      </w:r>
      <w:r w:rsidR="00835D30">
        <w:rPr>
          <w:color w:val="000000" w:themeColor="text1"/>
          <w:sz w:val="21"/>
          <w:szCs w:val="21"/>
        </w:rPr>
        <w:t xml:space="preserve"> 10, 2023</w:t>
      </w:r>
    </w:p>
    <w:p w14:paraId="398DC685" w14:textId="77777777" w:rsidR="00947D6A" w:rsidRDefault="00947D6A">
      <w:pPr>
        <w:pStyle w:val="BodyText"/>
        <w:tabs>
          <w:tab w:val="left" w:pos="4606"/>
          <w:tab w:val="left" w:pos="8617"/>
        </w:tabs>
        <w:spacing w:before="203" w:line="268" w:lineRule="exact"/>
        <w:ind w:left="0" w:right="140" w:firstLine="0"/>
        <w:jc w:val="right"/>
        <w:rPr>
          <w:color w:val="231F20"/>
          <w:w w:val="90"/>
        </w:rPr>
      </w:pPr>
    </w:p>
    <w:p w14:paraId="69384D8E" w14:textId="77777777" w:rsidR="00947D6A" w:rsidRDefault="00947D6A">
      <w:pPr>
        <w:pStyle w:val="BodyText"/>
        <w:tabs>
          <w:tab w:val="left" w:pos="4606"/>
          <w:tab w:val="left" w:pos="8617"/>
        </w:tabs>
        <w:spacing w:before="203" w:line="268" w:lineRule="exact"/>
        <w:ind w:left="0" w:right="140" w:firstLine="0"/>
        <w:jc w:val="right"/>
        <w:rPr>
          <w:color w:val="231F20"/>
          <w:w w:val="90"/>
        </w:rPr>
      </w:pPr>
    </w:p>
    <w:p w14:paraId="2B0E9B66" w14:textId="77777777" w:rsidR="00947D6A" w:rsidRDefault="00947D6A">
      <w:pPr>
        <w:pStyle w:val="BodyText"/>
        <w:tabs>
          <w:tab w:val="left" w:pos="4606"/>
          <w:tab w:val="left" w:pos="8617"/>
        </w:tabs>
        <w:spacing w:before="203" w:line="268" w:lineRule="exact"/>
        <w:ind w:left="0" w:right="140" w:firstLine="0"/>
        <w:jc w:val="right"/>
        <w:rPr>
          <w:color w:val="231F20"/>
          <w:w w:val="90"/>
        </w:rPr>
      </w:pPr>
    </w:p>
    <w:p w14:paraId="589A4691" w14:textId="77777777" w:rsidR="00947D6A" w:rsidRDefault="00947D6A">
      <w:pPr>
        <w:pStyle w:val="BodyText"/>
        <w:tabs>
          <w:tab w:val="left" w:pos="4606"/>
          <w:tab w:val="left" w:pos="8617"/>
        </w:tabs>
        <w:spacing w:before="203" w:line="268" w:lineRule="exact"/>
        <w:ind w:left="0" w:right="140" w:firstLine="0"/>
        <w:jc w:val="right"/>
        <w:rPr>
          <w:color w:val="231F20"/>
          <w:w w:val="90"/>
        </w:rPr>
      </w:pPr>
    </w:p>
    <w:p w14:paraId="4BECD74D" w14:textId="77777777" w:rsidR="00947D6A" w:rsidRDefault="00947D6A">
      <w:pPr>
        <w:pStyle w:val="BodyText"/>
        <w:tabs>
          <w:tab w:val="left" w:pos="4606"/>
          <w:tab w:val="left" w:pos="8617"/>
        </w:tabs>
        <w:spacing w:before="203" w:line="268" w:lineRule="exact"/>
        <w:ind w:left="0" w:right="140" w:firstLine="0"/>
        <w:jc w:val="right"/>
        <w:rPr>
          <w:color w:val="231F20"/>
          <w:w w:val="90"/>
        </w:rPr>
      </w:pPr>
    </w:p>
    <w:p w14:paraId="5A603CD3" w14:textId="77777777" w:rsidR="00334D4B" w:rsidRDefault="00334D4B">
      <w:pPr>
        <w:pStyle w:val="BodyText"/>
        <w:ind w:left="0" w:firstLine="0"/>
        <w:rPr>
          <w:sz w:val="28"/>
        </w:rPr>
      </w:pPr>
    </w:p>
    <w:p w14:paraId="5A603CD4" w14:textId="77777777" w:rsidR="00334D4B" w:rsidRDefault="00334D4B">
      <w:pPr>
        <w:pStyle w:val="BodyText"/>
        <w:spacing w:before="13"/>
        <w:ind w:left="0" w:firstLine="0"/>
        <w:rPr>
          <w:sz w:val="23"/>
        </w:rPr>
      </w:pPr>
    </w:p>
    <w:sectPr w:rsidR="00334D4B">
      <w:pgSz w:w="12240" w:h="15840"/>
      <w:pgMar w:top="1300" w:right="1320" w:bottom="1580" w:left="360" w:header="0" w:footer="13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09EB4" w14:textId="77777777" w:rsidR="00871298" w:rsidRDefault="00871298">
      <w:r>
        <w:separator/>
      </w:r>
    </w:p>
  </w:endnote>
  <w:endnote w:type="continuationSeparator" w:id="0">
    <w:p w14:paraId="67F70F31" w14:textId="77777777" w:rsidR="00871298" w:rsidRDefault="00871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Med">
    <w:altName w:val="Cambria"/>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 Pro Capt">
    <w:altName w:val="Cambria"/>
    <w:panose1 w:val="0204050305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ntonSans Regular">
    <w:altName w:val="Calibri"/>
    <w:panose1 w:val="02000603040000020004"/>
    <w:charset w:val="00"/>
    <w:family w:val="moder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 Pro SmBd Capt">
    <w:altName w:val="Cambria"/>
    <w:panose1 w:val="02040603050306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3CE2" w14:textId="1376120C" w:rsidR="00334D4B" w:rsidRDefault="00546501">
    <w:pPr>
      <w:pStyle w:val="BodyText"/>
      <w:spacing w:line="14" w:lineRule="auto"/>
      <w:ind w:left="0" w:firstLine="0"/>
      <w:rPr>
        <w:sz w:val="20"/>
      </w:rPr>
    </w:pPr>
    <w:r>
      <w:rPr>
        <w:noProof/>
      </w:rPr>
      <mc:AlternateContent>
        <mc:Choice Requires="wps">
          <w:drawing>
            <wp:anchor distT="0" distB="0" distL="114300" distR="114300" simplePos="0" relativeHeight="487438336" behindDoc="1" locked="0" layoutInCell="1" allowOverlap="1" wp14:anchorId="5A5C7816" wp14:editId="3C16AC85">
              <wp:simplePos x="0" y="0"/>
              <wp:positionH relativeFrom="margin">
                <wp:posOffset>228600</wp:posOffset>
              </wp:positionH>
              <wp:positionV relativeFrom="page">
                <wp:posOffset>9582151</wp:posOffset>
              </wp:positionV>
              <wp:extent cx="1174750" cy="120650"/>
              <wp:effectExtent l="0" t="0" r="6350" b="12700"/>
              <wp:wrapNone/>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ECD19" w14:textId="028D9DB6" w:rsidR="000C1F82" w:rsidRPr="00C736B7" w:rsidRDefault="000C1F82" w:rsidP="000C1F82">
                          <w:pPr>
                            <w:spacing w:before="21"/>
                            <w:ind w:left="20"/>
                            <w:rPr>
                              <w:rFonts w:ascii="BentonSans Regular" w:hAnsi="BentonSans Regular"/>
                              <w:color w:val="231F20"/>
                              <w:sz w:val="14"/>
                            </w:rPr>
                          </w:pPr>
                          <w:r w:rsidRPr="00C736B7">
                            <w:rPr>
                              <w:rFonts w:ascii="BentonSans Regular" w:hAnsi="BentonSans Regular"/>
                              <w:color w:val="231F20"/>
                              <w:sz w:val="14"/>
                            </w:rPr>
                            <w:t>MNG-GT-BRCA_2025-0</w:t>
                          </w:r>
                          <w:r w:rsidR="005C512B">
                            <w:rPr>
                              <w:rFonts w:ascii="BentonSans Regular" w:hAnsi="BentonSans Regular"/>
                              <w:color w:val="231F20"/>
                              <w:sz w:val="14"/>
                            </w:rPr>
                            <w:t>6</w:t>
                          </w:r>
                        </w:p>
                        <w:p w14:paraId="63A0D5DF" w14:textId="289B00EA" w:rsidR="000C1F82" w:rsidRDefault="000C1F82" w:rsidP="000C1F82">
                          <w:pPr>
                            <w:spacing w:before="21"/>
                            <w:ind w:left="20"/>
                            <w:rPr>
                              <w:rFonts w:ascii="BentonSans Regular"/>
                              <w:sz w:val="14"/>
                            </w:rPr>
                          </w:pPr>
                          <w:r>
                            <w:rPr>
                              <w:rFonts w:ascii="BentonSans Regular"/>
                              <w:color w:val="231F20"/>
                              <w:spacing w:val="-4"/>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C7816" id="_x0000_t202" coordsize="21600,21600" o:spt="202" path="m,l,21600r21600,l21600,xe">
              <v:stroke joinstyle="miter"/>
              <v:path gradientshapeok="t" o:connecttype="rect"/>
            </v:shapetype>
            <v:shape id="docshape3" o:spid="_x0000_s1026" type="#_x0000_t202" style="position:absolute;margin-left:18pt;margin-top:754.5pt;width:92.5pt;height:9.5pt;z-index:-15878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" filled="f" stroked="f">
              <v:textbox inset="0,0,0,0">
                <w:txbxContent>
                  <w:p w14:paraId="5D7ECD19" w14:textId="028D9DB6" w:rsidR="000C1F82" w:rsidRPr="00C736B7" w:rsidRDefault="000C1F82" w:rsidP="000C1F82">
                    <w:pPr>
                      <w:spacing w:before="21"/>
                      <w:ind w:left="20"/>
                      <w:rPr>
                        <w:rFonts w:ascii="BentonSans Regular" w:hAnsi="BentonSans Regular"/>
                        <w:color w:val="231F20"/>
                        <w:sz w:val="14"/>
                      </w:rPr>
                    </w:pPr>
                    <w:r w:rsidRPr="00C736B7">
                      <w:rPr>
                        <w:rFonts w:ascii="BentonSans Regular" w:hAnsi="BentonSans Regular"/>
                        <w:color w:val="231F20"/>
                        <w:sz w:val="14"/>
                      </w:rPr>
                      <w:t>MNG-GT-BRCA_2025-0</w:t>
                    </w:r>
                    <w:r w:rsidR="005C512B">
                      <w:rPr>
                        <w:rFonts w:ascii="BentonSans Regular" w:hAnsi="BentonSans Regular"/>
                        <w:color w:val="231F20"/>
                        <w:sz w:val="14"/>
                      </w:rPr>
                      <w:t>6</w:t>
                    </w:r>
                  </w:p>
                  <w:p w14:paraId="63A0D5DF" w14:textId="289B00EA" w:rsidR="000C1F82" w:rsidRDefault="000C1F82" w:rsidP="000C1F82">
                    <w:pPr>
                      <w:spacing w:before="21"/>
                      <w:ind w:left="20"/>
                      <w:rPr>
                        <w:rFonts w:ascii="BentonSans Regular"/>
                        <w:sz w:val="14"/>
                      </w:rPr>
                    </w:pPr>
                    <w:r>
                      <w:rPr>
                        <w:rFonts w:ascii="BentonSans Regular"/>
                        <w:color w:val="231F20"/>
                        <w:spacing w:val="-4"/>
                        <w:sz w:val="14"/>
                      </w:rPr>
                      <w:t>)</w:t>
                    </w:r>
                  </w:p>
                </w:txbxContent>
              </v:textbox>
              <w10:wrap anchorx="margin" anchory="page"/>
            </v:shape>
          </w:pict>
        </mc:Fallback>
      </mc:AlternateContent>
    </w:r>
    <w:r w:rsidR="00050085">
      <w:rPr>
        <w:noProof/>
      </w:rPr>
      <mc:AlternateContent>
        <mc:Choice Requires="wps">
          <w:drawing>
            <wp:anchor distT="0" distB="0" distL="114300" distR="114300" simplePos="0" relativeHeight="487435776" behindDoc="1" locked="0" layoutInCell="1" allowOverlap="1" wp14:anchorId="5A603CE8" wp14:editId="08F125C0">
              <wp:simplePos x="0" y="0"/>
              <wp:positionH relativeFrom="page">
                <wp:posOffset>1358900</wp:posOffset>
              </wp:positionH>
              <wp:positionV relativeFrom="page">
                <wp:posOffset>9144000</wp:posOffset>
              </wp:positionV>
              <wp:extent cx="508000" cy="222250"/>
              <wp:effectExtent l="0" t="0" r="6350" b="6350"/>
              <wp:wrapNone/>
              <wp:docPr id="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03CF0" w14:textId="68CF6A97" w:rsidR="00334D4B" w:rsidRPr="00C736B7" w:rsidRDefault="00303B52">
                          <w:pPr>
                            <w:pStyle w:val="BodyText"/>
                            <w:spacing w:before="7"/>
                            <w:ind w:left="20" w:firstLine="0"/>
                          </w:pPr>
                          <w:r w:rsidRPr="00C736B7">
                            <w:rPr>
                              <w:color w:val="231F20"/>
                            </w:rPr>
                            <w:t>P</w:t>
                          </w:r>
                          <w:r w:rsidR="002C73FC" w:rsidRPr="00C736B7">
                            <w:rPr>
                              <w:color w:val="231F20"/>
                            </w:rPr>
                            <w:t>age</w:t>
                          </w:r>
                          <w:r w:rsidRPr="00C736B7">
                            <w:rPr>
                              <w:color w:val="231F20"/>
                            </w:rPr>
                            <w:t xml:space="preserve"> </w:t>
                          </w:r>
                          <w:r w:rsidR="002C73FC" w:rsidRPr="00C736B7">
                            <w:rPr>
                              <w:color w:val="231F20"/>
                            </w:rPr>
                            <w:fldChar w:fldCharType="begin"/>
                          </w:r>
                          <w:r w:rsidR="002C73FC" w:rsidRPr="00C736B7">
                            <w:rPr>
                              <w:color w:val="231F20"/>
                            </w:rPr>
                            <w:instrText xml:space="preserve"> PAGE </w:instrText>
                          </w:r>
                          <w:r w:rsidR="002C73FC" w:rsidRPr="00C736B7">
                            <w:rPr>
                              <w:color w:val="231F20"/>
                            </w:rPr>
                            <w:fldChar w:fldCharType="separate"/>
                          </w:r>
                          <w:r w:rsidR="002C73FC" w:rsidRPr="00C736B7">
                            <w:rPr>
                              <w:color w:val="231F20"/>
                            </w:rPr>
                            <w:t>2</w:t>
                          </w:r>
                          <w:r w:rsidR="002C73FC" w:rsidRPr="00C736B7">
                            <w:rPr>
                              <w:color w:val="231F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03CE8" id="docshape5" o:spid="_x0000_s1027" type="#_x0000_t202" style="position:absolute;margin-left:107pt;margin-top:10in;width:40pt;height:17.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" filled="f" stroked="f">
              <v:textbox inset="0,0,0,0">
                <w:txbxContent>
                  <w:p w14:paraId="5A603CF0" w14:textId="68CF6A97" w:rsidR="00334D4B" w:rsidRPr="00C736B7" w:rsidRDefault="00303B52">
                    <w:pPr>
                      <w:pStyle w:val="BodyText"/>
                      <w:spacing w:before="7"/>
                      <w:ind w:left="20" w:firstLine="0"/>
                    </w:pPr>
                    <w:r w:rsidRPr="00C736B7">
                      <w:rPr>
                        <w:color w:val="231F20"/>
                      </w:rPr>
                      <w:t>P</w:t>
                    </w:r>
                    <w:r w:rsidR="002C73FC" w:rsidRPr="00C736B7">
                      <w:rPr>
                        <w:color w:val="231F20"/>
                      </w:rPr>
                      <w:t>age</w:t>
                    </w:r>
                    <w:r w:rsidRPr="00C736B7">
                      <w:rPr>
                        <w:color w:val="231F20"/>
                      </w:rPr>
                      <w:t xml:space="preserve"> </w:t>
                    </w:r>
                    <w:r w:rsidR="002C73FC" w:rsidRPr="00C736B7">
                      <w:rPr>
                        <w:color w:val="231F20"/>
                      </w:rPr>
                      <w:fldChar w:fldCharType="begin"/>
                    </w:r>
                    <w:r w:rsidR="002C73FC" w:rsidRPr="00C736B7">
                      <w:rPr>
                        <w:color w:val="231F20"/>
                      </w:rPr>
                      <w:instrText xml:space="preserve"> PAGE </w:instrText>
                    </w:r>
                    <w:r w:rsidR="002C73FC" w:rsidRPr="00C736B7">
                      <w:rPr>
                        <w:color w:val="231F20"/>
                      </w:rPr>
                      <w:fldChar w:fldCharType="separate"/>
                    </w:r>
                    <w:r w:rsidR="002C73FC" w:rsidRPr="00C736B7">
                      <w:rPr>
                        <w:color w:val="231F20"/>
                      </w:rPr>
                      <w:t>2</w:t>
                    </w:r>
                    <w:r w:rsidR="002C73FC" w:rsidRPr="00C736B7">
                      <w:rPr>
                        <w:color w:val="231F20"/>
                      </w:rPr>
                      <w:fldChar w:fldCharType="end"/>
                    </w:r>
                  </w:p>
                </w:txbxContent>
              </v:textbox>
              <w10:wrap anchorx="page" anchory="page"/>
            </v:shape>
          </w:pict>
        </mc:Fallback>
      </mc:AlternateContent>
    </w:r>
    <w:r w:rsidR="00FF0A8C">
      <w:rPr>
        <w:noProof/>
      </w:rPr>
      <mc:AlternateContent>
        <mc:Choice Requires="wps">
          <w:drawing>
            <wp:anchor distT="0" distB="0" distL="114300" distR="114300" simplePos="0" relativeHeight="487435264" behindDoc="1" locked="0" layoutInCell="1" allowOverlap="1" wp14:anchorId="5A603CE7" wp14:editId="247F2BC0">
              <wp:simplePos x="0" y="0"/>
              <wp:positionH relativeFrom="page">
                <wp:posOffset>1371600</wp:posOffset>
              </wp:positionH>
              <wp:positionV relativeFrom="page">
                <wp:posOffset>9067800</wp:posOffset>
              </wp:positionV>
              <wp:extent cx="5486400" cy="0"/>
              <wp:effectExtent l="0" t="0" r="0" b="0"/>
              <wp:wrapNone/>
              <wp:docPr id="4"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254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AE22D" id="Line 3" o:spid="_x0000_s1026" alt="&quot;&quot;" style="position:absolute;z-index:-1588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pt,714pt" to="540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" strokecolor="#231f20" strokeweight="2pt">
              <w10:wrap anchorx="page" anchory="page"/>
            </v:line>
          </w:pict>
        </mc:Fallback>
      </mc:AlternateContent>
    </w:r>
    <w:r w:rsidR="00FF0A8C">
      <w:rPr>
        <w:noProof/>
      </w:rPr>
      <mc:AlternateContent>
        <mc:Choice Requires="wps">
          <w:drawing>
            <wp:anchor distT="0" distB="0" distL="114300" distR="114300" simplePos="0" relativeHeight="487436288" behindDoc="1" locked="0" layoutInCell="1" allowOverlap="1" wp14:anchorId="5A603CE9" wp14:editId="27401B57">
              <wp:simplePos x="0" y="0"/>
              <wp:positionH relativeFrom="page">
                <wp:posOffset>4503420</wp:posOffset>
              </wp:positionH>
              <wp:positionV relativeFrom="page">
                <wp:posOffset>9188450</wp:posOffset>
              </wp:positionV>
              <wp:extent cx="2367915" cy="461645"/>
              <wp:effectExtent l="0" t="0" r="0" b="0"/>
              <wp:wrapNone/>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91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03CF1" w14:textId="77777777" w:rsidR="00334D4B" w:rsidRDefault="002C73FC">
                          <w:pPr>
                            <w:spacing w:before="21" w:line="256" w:lineRule="auto"/>
                            <w:ind w:left="816" w:right="18" w:hanging="797"/>
                            <w:jc w:val="right"/>
                            <w:rPr>
                              <w:rFonts w:ascii="Lucida Sans"/>
                              <w:sz w:val="14"/>
                            </w:rPr>
                          </w:pPr>
                          <w:r>
                            <w:rPr>
                              <w:rFonts w:ascii="Lucida Sans"/>
                              <w:color w:val="231F20"/>
                              <w:w w:val="110"/>
                              <w:sz w:val="14"/>
                            </w:rPr>
                            <w:t xml:space="preserve">guidelines for </w:t>
                          </w:r>
                          <w:r>
                            <w:rPr>
                              <w:rFonts w:ascii="Lucida Sans"/>
                              <w:color w:val="231F20"/>
                              <w:spacing w:val="1"/>
                              <w:w w:val="81"/>
                              <w:sz w:val="14"/>
                            </w:rPr>
                            <w:t>m</w:t>
                          </w:r>
                          <w:r>
                            <w:rPr>
                              <w:rFonts w:ascii="Lucida Sans"/>
                              <w:color w:val="231F20"/>
                              <w:spacing w:val="1"/>
                              <w:w w:val="94"/>
                              <w:sz w:val="14"/>
                            </w:rPr>
                            <w:t>e</w:t>
                          </w:r>
                          <w:r>
                            <w:rPr>
                              <w:rFonts w:ascii="Lucida Sans"/>
                              <w:color w:val="231F20"/>
                              <w:spacing w:val="1"/>
                              <w:w w:val="99"/>
                              <w:sz w:val="14"/>
                            </w:rPr>
                            <w:t>d</w:t>
                          </w:r>
                          <w:r>
                            <w:rPr>
                              <w:rFonts w:ascii="Lucida Sans"/>
                              <w:color w:val="231F20"/>
                              <w:spacing w:val="1"/>
                              <w:w w:val="93"/>
                              <w:sz w:val="14"/>
                            </w:rPr>
                            <w:t>i</w:t>
                          </w:r>
                          <w:r>
                            <w:rPr>
                              <w:rFonts w:ascii="Lucida Sans"/>
                              <w:color w:val="231F20"/>
                              <w:spacing w:val="-3"/>
                              <w:w w:val="119"/>
                              <w:sz w:val="14"/>
                            </w:rPr>
                            <w:t>c</w:t>
                          </w:r>
                          <w:r>
                            <w:rPr>
                              <w:rFonts w:ascii="Lucida Sans"/>
                              <w:color w:val="231F20"/>
                              <w:spacing w:val="1"/>
                              <w:w w:val="107"/>
                              <w:sz w:val="14"/>
                            </w:rPr>
                            <w:t>a</w:t>
                          </w:r>
                          <w:r>
                            <w:rPr>
                              <w:rFonts w:ascii="Lucida Sans"/>
                              <w:color w:val="231F20"/>
                              <w:spacing w:val="-4"/>
                              <w:w w:val="177"/>
                              <w:sz w:val="14"/>
                            </w:rPr>
                            <w:t>l</w:t>
                          </w:r>
                          <w:r>
                            <w:rPr>
                              <w:rFonts w:ascii="Lucida Sans"/>
                              <w:color w:val="231F20"/>
                              <w:spacing w:val="-1"/>
                              <w:w w:val="110"/>
                              <w:sz w:val="14"/>
                            </w:rPr>
                            <w:t xml:space="preserve"> </w:t>
                          </w:r>
                          <w:r>
                            <w:rPr>
                              <w:rFonts w:ascii="Lucida Sans"/>
                              <w:color w:val="231F20"/>
                              <w:w w:val="110"/>
                              <w:sz w:val="14"/>
                            </w:rPr>
                            <w:t>necessity determination</w:t>
                          </w:r>
                          <w:r>
                            <w:rPr>
                              <w:rFonts w:ascii="Lucida Sans"/>
                              <w:color w:val="231F20"/>
                              <w:spacing w:val="80"/>
                              <w:w w:val="120"/>
                              <w:sz w:val="14"/>
                            </w:rPr>
                            <w:t xml:space="preserve"> </w:t>
                          </w:r>
                          <w:r>
                            <w:rPr>
                              <w:rFonts w:ascii="Lucida Sans"/>
                              <w:color w:val="231F20"/>
                              <w:w w:val="120"/>
                              <w:sz w:val="14"/>
                            </w:rPr>
                            <w:t>for genetic testing for brca</w:t>
                          </w:r>
                          <w:r>
                            <w:rPr>
                              <w:rFonts w:ascii="Lucida Sans"/>
                              <w:color w:val="231F20"/>
                              <w:w w:val="120"/>
                              <w:sz w:val="21"/>
                            </w:rPr>
                            <w:t>-</w:t>
                          </w:r>
                          <w:r>
                            <w:rPr>
                              <w:rFonts w:ascii="Lucida Sans"/>
                              <w:color w:val="231F20"/>
                              <w:w w:val="120"/>
                              <w:sz w:val="14"/>
                            </w:rPr>
                            <w:t>related breast and</w:t>
                          </w:r>
                          <w:r>
                            <w:rPr>
                              <w:rFonts w:ascii="Lucida Sans"/>
                              <w:color w:val="231F20"/>
                              <w:w w:val="120"/>
                              <w:sz w:val="21"/>
                            </w:rPr>
                            <w:t>/</w:t>
                          </w:r>
                          <w:r>
                            <w:rPr>
                              <w:rFonts w:ascii="Lucida Sans"/>
                              <w:color w:val="231F20"/>
                              <w:w w:val="120"/>
                              <w:sz w:val="14"/>
                            </w:rPr>
                            <w:t>or ovarian cancer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03CE9" id="docshape6" o:spid="_x0000_s1028" type="#_x0000_t202" style="position:absolute;margin-left:354.6pt;margin-top:723.5pt;width:186.45pt;height:36.35pt;z-index:-1588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" filled="f" stroked="f">
              <v:textbox inset="0,0,0,0">
                <w:txbxContent>
                  <w:p w14:paraId="5A603CF1" w14:textId="77777777" w:rsidR="00334D4B" w:rsidRDefault="002C73FC">
                    <w:pPr>
                      <w:spacing w:before="21" w:line="256" w:lineRule="auto"/>
                      <w:ind w:left="816" w:right="18" w:hanging="797"/>
                      <w:jc w:val="right"/>
                      <w:rPr>
                        <w:rFonts w:ascii="Lucida Sans"/>
                        <w:sz w:val="14"/>
                      </w:rPr>
                    </w:pPr>
                    <w:r>
                      <w:rPr>
                        <w:rFonts w:ascii="Lucida Sans"/>
                        <w:color w:val="231F20"/>
                        <w:w w:val="110"/>
                        <w:sz w:val="14"/>
                      </w:rPr>
                      <w:t xml:space="preserve">guidelines for </w:t>
                    </w:r>
                    <w:r>
                      <w:rPr>
                        <w:rFonts w:ascii="Lucida Sans"/>
                        <w:color w:val="231F20"/>
                        <w:spacing w:val="1"/>
                        <w:w w:val="81"/>
                        <w:sz w:val="14"/>
                      </w:rPr>
                      <w:t>m</w:t>
                    </w:r>
                    <w:r>
                      <w:rPr>
                        <w:rFonts w:ascii="Lucida Sans"/>
                        <w:color w:val="231F20"/>
                        <w:spacing w:val="1"/>
                        <w:w w:val="94"/>
                        <w:sz w:val="14"/>
                      </w:rPr>
                      <w:t>e</w:t>
                    </w:r>
                    <w:r>
                      <w:rPr>
                        <w:rFonts w:ascii="Lucida Sans"/>
                        <w:color w:val="231F20"/>
                        <w:spacing w:val="1"/>
                        <w:w w:val="99"/>
                        <w:sz w:val="14"/>
                      </w:rPr>
                      <w:t>d</w:t>
                    </w:r>
                    <w:r>
                      <w:rPr>
                        <w:rFonts w:ascii="Lucida Sans"/>
                        <w:color w:val="231F20"/>
                        <w:spacing w:val="1"/>
                        <w:w w:val="93"/>
                        <w:sz w:val="14"/>
                      </w:rPr>
                      <w:t>i</w:t>
                    </w:r>
                    <w:r>
                      <w:rPr>
                        <w:rFonts w:ascii="Lucida Sans"/>
                        <w:color w:val="231F20"/>
                        <w:spacing w:val="-3"/>
                        <w:w w:val="119"/>
                        <w:sz w:val="14"/>
                      </w:rPr>
                      <w:t>c</w:t>
                    </w:r>
                    <w:r>
                      <w:rPr>
                        <w:rFonts w:ascii="Lucida Sans"/>
                        <w:color w:val="231F20"/>
                        <w:spacing w:val="1"/>
                        <w:w w:val="107"/>
                        <w:sz w:val="14"/>
                      </w:rPr>
                      <w:t>a</w:t>
                    </w:r>
                    <w:r>
                      <w:rPr>
                        <w:rFonts w:ascii="Lucida Sans"/>
                        <w:color w:val="231F20"/>
                        <w:spacing w:val="-4"/>
                        <w:w w:val="177"/>
                        <w:sz w:val="14"/>
                      </w:rPr>
                      <w:t>l</w:t>
                    </w:r>
                    <w:r>
                      <w:rPr>
                        <w:rFonts w:ascii="Lucida Sans"/>
                        <w:color w:val="231F20"/>
                        <w:spacing w:val="-1"/>
                        <w:w w:val="110"/>
                        <w:sz w:val="14"/>
                      </w:rPr>
                      <w:t xml:space="preserve"> </w:t>
                    </w:r>
                    <w:r>
                      <w:rPr>
                        <w:rFonts w:ascii="Lucida Sans"/>
                        <w:color w:val="231F20"/>
                        <w:w w:val="110"/>
                        <w:sz w:val="14"/>
                      </w:rPr>
                      <w:t>necessity determination</w:t>
                    </w:r>
                    <w:r>
                      <w:rPr>
                        <w:rFonts w:ascii="Lucida Sans"/>
                        <w:color w:val="231F20"/>
                        <w:spacing w:val="80"/>
                        <w:w w:val="120"/>
                        <w:sz w:val="14"/>
                      </w:rPr>
                      <w:t xml:space="preserve"> </w:t>
                    </w:r>
                    <w:r>
                      <w:rPr>
                        <w:rFonts w:ascii="Lucida Sans"/>
                        <w:color w:val="231F20"/>
                        <w:w w:val="120"/>
                        <w:sz w:val="14"/>
                      </w:rPr>
                      <w:t>for genetic testing for brca</w:t>
                    </w:r>
                    <w:r>
                      <w:rPr>
                        <w:rFonts w:ascii="Lucida Sans"/>
                        <w:color w:val="231F20"/>
                        <w:w w:val="120"/>
                        <w:sz w:val="21"/>
                      </w:rPr>
                      <w:t>-</w:t>
                    </w:r>
                    <w:r>
                      <w:rPr>
                        <w:rFonts w:ascii="Lucida Sans"/>
                        <w:color w:val="231F20"/>
                        <w:w w:val="120"/>
                        <w:sz w:val="14"/>
                      </w:rPr>
                      <w:t>related breast and</w:t>
                    </w:r>
                    <w:r>
                      <w:rPr>
                        <w:rFonts w:ascii="Lucida Sans"/>
                        <w:color w:val="231F20"/>
                        <w:w w:val="120"/>
                        <w:sz w:val="21"/>
                      </w:rPr>
                      <w:t>/</w:t>
                    </w:r>
                    <w:r>
                      <w:rPr>
                        <w:rFonts w:ascii="Lucida Sans"/>
                        <w:color w:val="231F20"/>
                        <w:w w:val="120"/>
                        <w:sz w:val="14"/>
                      </w:rPr>
                      <w:t>or ovarian cancer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EC41A" w14:textId="77777777" w:rsidR="00871298" w:rsidRDefault="00871298">
      <w:r>
        <w:separator/>
      </w:r>
    </w:p>
  </w:footnote>
  <w:footnote w:type="continuationSeparator" w:id="0">
    <w:p w14:paraId="093F0B35" w14:textId="77777777" w:rsidR="00871298" w:rsidRDefault="00871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03B"/>
    <w:multiLevelType w:val="hybridMultilevel"/>
    <w:tmpl w:val="F21EF3B4"/>
    <w:lvl w:ilvl="0" w:tplc="D6A89A98">
      <w:numFmt w:val="bullet"/>
      <w:lvlText w:val="•"/>
      <w:lvlJc w:val="left"/>
      <w:pPr>
        <w:ind w:left="2520" w:hanging="360"/>
      </w:pPr>
      <w:rPr>
        <w:rFonts w:ascii="Palatino Linotype" w:eastAsia="Palatino Linotype" w:hAnsi="Palatino Linotype" w:cs="Palatino Linotype" w:hint="default"/>
        <w:b w:val="0"/>
        <w:bCs w:val="0"/>
        <w:i w:val="0"/>
        <w:iCs w:val="0"/>
        <w:color w:val="231F20"/>
        <w:w w:val="64"/>
        <w:sz w:val="21"/>
        <w:szCs w:val="21"/>
        <w:lang w:val="en-US" w:eastAsia="en-US" w:bidi="ar-SA"/>
      </w:rPr>
    </w:lvl>
    <w:lvl w:ilvl="1" w:tplc="440CE8EE">
      <w:numFmt w:val="bullet"/>
      <w:lvlText w:val="•"/>
      <w:lvlJc w:val="left"/>
      <w:pPr>
        <w:ind w:left="3324" w:hanging="360"/>
      </w:pPr>
      <w:rPr>
        <w:rFonts w:hint="default"/>
        <w:lang w:val="en-US" w:eastAsia="en-US" w:bidi="ar-SA"/>
      </w:rPr>
    </w:lvl>
    <w:lvl w:ilvl="2" w:tplc="A01A9162">
      <w:numFmt w:val="bullet"/>
      <w:lvlText w:val="•"/>
      <w:lvlJc w:val="left"/>
      <w:pPr>
        <w:ind w:left="4128" w:hanging="360"/>
      </w:pPr>
      <w:rPr>
        <w:rFonts w:hint="default"/>
        <w:lang w:val="en-US" w:eastAsia="en-US" w:bidi="ar-SA"/>
      </w:rPr>
    </w:lvl>
    <w:lvl w:ilvl="3" w:tplc="0414C086">
      <w:numFmt w:val="bullet"/>
      <w:lvlText w:val="•"/>
      <w:lvlJc w:val="left"/>
      <w:pPr>
        <w:ind w:left="4932" w:hanging="360"/>
      </w:pPr>
      <w:rPr>
        <w:rFonts w:hint="default"/>
        <w:lang w:val="en-US" w:eastAsia="en-US" w:bidi="ar-SA"/>
      </w:rPr>
    </w:lvl>
    <w:lvl w:ilvl="4" w:tplc="49E8C006">
      <w:numFmt w:val="bullet"/>
      <w:lvlText w:val="•"/>
      <w:lvlJc w:val="left"/>
      <w:pPr>
        <w:ind w:left="5736" w:hanging="360"/>
      </w:pPr>
      <w:rPr>
        <w:rFonts w:hint="default"/>
        <w:lang w:val="en-US" w:eastAsia="en-US" w:bidi="ar-SA"/>
      </w:rPr>
    </w:lvl>
    <w:lvl w:ilvl="5" w:tplc="426C76B8">
      <w:numFmt w:val="bullet"/>
      <w:lvlText w:val="•"/>
      <w:lvlJc w:val="left"/>
      <w:pPr>
        <w:ind w:left="6540" w:hanging="360"/>
      </w:pPr>
      <w:rPr>
        <w:rFonts w:hint="default"/>
        <w:lang w:val="en-US" w:eastAsia="en-US" w:bidi="ar-SA"/>
      </w:rPr>
    </w:lvl>
    <w:lvl w:ilvl="6" w:tplc="1430EEC4">
      <w:numFmt w:val="bullet"/>
      <w:lvlText w:val="•"/>
      <w:lvlJc w:val="left"/>
      <w:pPr>
        <w:ind w:left="7344" w:hanging="360"/>
      </w:pPr>
      <w:rPr>
        <w:rFonts w:hint="default"/>
        <w:lang w:val="en-US" w:eastAsia="en-US" w:bidi="ar-SA"/>
      </w:rPr>
    </w:lvl>
    <w:lvl w:ilvl="7" w:tplc="6BD070C6">
      <w:numFmt w:val="bullet"/>
      <w:lvlText w:val="•"/>
      <w:lvlJc w:val="left"/>
      <w:pPr>
        <w:ind w:left="8148" w:hanging="360"/>
      </w:pPr>
      <w:rPr>
        <w:rFonts w:hint="default"/>
        <w:lang w:val="en-US" w:eastAsia="en-US" w:bidi="ar-SA"/>
      </w:rPr>
    </w:lvl>
    <w:lvl w:ilvl="8" w:tplc="D038A02E">
      <w:numFmt w:val="bullet"/>
      <w:lvlText w:val="•"/>
      <w:lvlJc w:val="left"/>
      <w:pPr>
        <w:ind w:left="8952" w:hanging="360"/>
      </w:pPr>
      <w:rPr>
        <w:rFonts w:hint="default"/>
        <w:lang w:val="en-US" w:eastAsia="en-US" w:bidi="ar-SA"/>
      </w:rPr>
    </w:lvl>
  </w:abstractNum>
  <w:abstractNum w:abstractNumId="1" w15:restartNumberingAfterBreak="0">
    <w:nsid w:val="19BC075E"/>
    <w:multiLevelType w:val="hybridMultilevel"/>
    <w:tmpl w:val="920A1944"/>
    <w:lvl w:ilvl="0" w:tplc="1B5869E0">
      <w:start w:val="1"/>
      <w:numFmt w:val="upperLetter"/>
      <w:lvlText w:val="%1."/>
      <w:lvlJc w:val="left"/>
      <w:pPr>
        <w:ind w:left="2159" w:hanging="360"/>
      </w:pPr>
      <w:rPr>
        <w:rFonts w:ascii="Palatino Linotype" w:eastAsia="Palatino Linotype" w:hAnsi="Palatino Linotype" w:cs="Palatino Linotype" w:hint="default"/>
        <w:b w:val="0"/>
        <w:bCs w:val="0"/>
        <w:i w:val="0"/>
        <w:iCs w:val="0"/>
        <w:color w:val="231F20"/>
        <w:w w:val="89"/>
        <w:sz w:val="21"/>
        <w:szCs w:val="21"/>
        <w:lang w:val="en-US" w:eastAsia="en-US" w:bidi="ar-SA"/>
      </w:rPr>
    </w:lvl>
    <w:lvl w:ilvl="1" w:tplc="1FC8BB1E">
      <w:start w:val="1"/>
      <w:numFmt w:val="decimal"/>
      <w:lvlText w:val="%2."/>
      <w:lvlJc w:val="left"/>
      <w:pPr>
        <w:ind w:left="2520" w:hanging="360"/>
      </w:pPr>
      <w:rPr>
        <w:rFonts w:ascii="Palatino Linotype" w:eastAsia="Palatino Linotype" w:hAnsi="Palatino Linotype" w:cs="Palatino Linotype" w:hint="default"/>
        <w:b w:val="0"/>
        <w:bCs w:val="0"/>
        <w:i w:val="0"/>
        <w:iCs w:val="0"/>
        <w:color w:val="231F20"/>
        <w:w w:val="94"/>
        <w:sz w:val="21"/>
        <w:szCs w:val="21"/>
        <w:lang w:val="en-US" w:eastAsia="en-US" w:bidi="ar-SA"/>
      </w:rPr>
    </w:lvl>
    <w:lvl w:ilvl="2" w:tplc="CC52EA28">
      <w:start w:val="1"/>
      <w:numFmt w:val="lowerLetter"/>
      <w:lvlText w:val="%3."/>
      <w:lvlJc w:val="left"/>
      <w:pPr>
        <w:ind w:left="2880" w:hanging="360"/>
      </w:pPr>
      <w:rPr>
        <w:rFonts w:ascii="Palatino Linotype" w:eastAsia="Palatino Linotype" w:hAnsi="Palatino Linotype" w:cs="Palatino Linotype" w:hint="default"/>
        <w:b w:val="0"/>
        <w:bCs w:val="0"/>
        <w:i w:val="0"/>
        <w:iCs w:val="0"/>
        <w:color w:val="231F20"/>
        <w:w w:val="100"/>
        <w:sz w:val="21"/>
        <w:szCs w:val="21"/>
        <w:lang w:val="en-US" w:eastAsia="en-US" w:bidi="ar-SA"/>
      </w:rPr>
    </w:lvl>
    <w:lvl w:ilvl="3" w:tplc="EE7CAB42">
      <w:numFmt w:val="bullet"/>
      <w:lvlText w:val="•"/>
      <w:lvlJc w:val="left"/>
      <w:pPr>
        <w:ind w:left="3840" w:hanging="360"/>
      </w:pPr>
      <w:rPr>
        <w:rFonts w:hint="default"/>
        <w:lang w:val="en-US" w:eastAsia="en-US" w:bidi="ar-SA"/>
      </w:rPr>
    </w:lvl>
    <w:lvl w:ilvl="4" w:tplc="6CE03B72">
      <w:numFmt w:val="bullet"/>
      <w:lvlText w:val="•"/>
      <w:lvlJc w:val="left"/>
      <w:pPr>
        <w:ind w:left="4800" w:hanging="360"/>
      </w:pPr>
      <w:rPr>
        <w:rFonts w:hint="default"/>
        <w:lang w:val="en-US" w:eastAsia="en-US" w:bidi="ar-SA"/>
      </w:rPr>
    </w:lvl>
    <w:lvl w:ilvl="5" w:tplc="CE10BFFA">
      <w:numFmt w:val="bullet"/>
      <w:lvlText w:val="•"/>
      <w:lvlJc w:val="left"/>
      <w:pPr>
        <w:ind w:left="5760" w:hanging="360"/>
      </w:pPr>
      <w:rPr>
        <w:rFonts w:hint="default"/>
        <w:lang w:val="en-US" w:eastAsia="en-US" w:bidi="ar-SA"/>
      </w:rPr>
    </w:lvl>
    <w:lvl w:ilvl="6" w:tplc="7C96EE50">
      <w:numFmt w:val="bullet"/>
      <w:lvlText w:val="•"/>
      <w:lvlJc w:val="left"/>
      <w:pPr>
        <w:ind w:left="6720" w:hanging="360"/>
      </w:pPr>
      <w:rPr>
        <w:rFonts w:hint="default"/>
        <w:lang w:val="en-US" w:eastAsia="en-US" w:bidi="ar-SA"/>
      </w:rPr>
    </w:lvl>
    <w:lvl w:ilvl="7" w:tplc="12B03D2E">
      <w:numFmt w:val="bullet"/>
      <w:lvlText w:val="•"/>
      <w:lvlJc w:val="left"/>
      <w:pPr>
        <w:ind w:left="7680" w:hanging="360"/>
      </w:pPr>
      <w:rPr>
        <w:rFonts w:hint="default"/>
        <w:lang w:val="en-US" w:eastAsia="en-US" w:bidi="ar-SA"/>
      </w:rPr>
    </w:lvl>
    <w:lvl w:ilvl="8" w:tplc="657A73EC">
      <w:numFmt w:val="bullet"/>
      <w:lvlText w:val="•"/>
      <w:lvlJc w:val="left"/>
      <w:pPr>
        <w:ind w:left="8640" w:hanging="360"/>
      </w:pPr>
      <w:rPr>
        <w:rFonts w:hint="default"/>
        <w:lang w:val="en-US" w:eastAsia="en-US" w:bidi="ar-SA"/>
      </w:rPr>
    </w:lvl>
  </w:abstractNum>
  <w:abstractNum w:abstractNumId="2" w15:restartNumberingAfterBreak="0">
    <w:nsid w:val="26385A68"/>
    <w:multiLevelType w:val="hybridMultilevel"/>
    <w:tmpl w:val="48AC5904"/>
    <w:lvl w:ilvl="0" w:tplc="3F9EE61A">
      <w:start w:val="1"/>
      <w:numFmt w:val="upperLetter"/>
      <w:lvlText w:val="%1."/>
      <w:lvlJc w:val="left"/>
      <w:pPr>
        <w:ind w:left="2519" w:hanging="360"/>
      </w:pPr>
      <w:rPr>
        <w:rFonts w:hint="default"/>
        <w:w w:val="120"/>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3" w15:restartNumberingAfterBreak="0">
    <w:nsid w:val="292D6A99"/>
    <w:multiLevelType w:val="hybridMultilevel"/>
    <w:tmpl w:val="56F69E06"/>
    <w:lvl w:ilvl="0" w:tplc="C814620C">
      <w:start w:val="7"/>
      <w:numFmt w:val="decimal"/>
      <w:lvlText w:val="%1."/>
      <w:lvlJc w:val="left"/>
      <w:pPr>
        <w:ind w:left="1800" w:hanging="360"/>
      </w:pPr>
      <w:rPr>
        <w:rFonts w:hint="default"/>
      </w:rPr>
    </w:lvl>
    <w:lvl w:ilvl="1" w:tplc="04090019" w:tentative="1">
      <w:start w:val="1"/>
      <w:numFmt w:val="lowerLetter"/>
      <w:lvlText w:val="%2."/>
      <w:lvlJc w:val="left"/>
      <w:pPr>
        <w:ind w:left="361" w:hanging="360"/>
      </w:pPr>
    </w:lvl>
    <w:lvl w:ilvl="2" w:tplc="0409001B" w:tentative="1">
      <w:start w:val="1"/>
      <w:numFmt w:val="lowerRoman"/>
      <w:lvlText w:val="%3."/>
      <w:lvlJc w:val="right"/>
      <w:pPr>
        <w:ind w:left="1081" w:hanging="180"/>
      </w:pPr>
    </w:lvl>
    <w:lvl w:ilvl="3" w:tplc="0409000F" w:tentative="1">
      <w:start w:val="1"/>
      <w:numFmt w:val="decimal"/>
      <w:lvlText w:val="%4."/>
      <w:lvlJc w:val="left"/>
      <w:pPr>
        <w:ind w:left="1801" w:hanging="360"/>
      </w:pPr>
    </w:lvl>
    <w:lvl w:ilvl="4" w:tplc="04090019" w:tentative="1">
      <w:start w:val="1"/>
      <w:numFmt w:val="lowerLetter"/>
      <w:lvlText w:val="%5."/>
      <w:lvlJc w:val="left"/>
      <w:pPr>
        <w:ind w:left="2521" w:hanging="360"/>
      </w:pPr>
    </w:lvl>
    <w:lvl w:ilvl="5" w:tplc="0409001B" w:tentative="1">
      <w:start w:val="1"/>
      <w:numFmt w:val="lowerRoman"/>
      <w:lvlText w:val="%6."/>
      <w:lvlJc w:val="right"/>
      <w:pPr>
        <w:ind w:left="3241" w:hanging="180"/>
      </w:pPr>
    </w:lvl>
    <w:lvl w:ilvl="6" w:tplc="0409000F" w:tentative="1">
      <w:start w:val="1"/>
      <w:numFmt w:val="decimal"/>
      <w:lvlText w:val="%7."/>
      <w:lvlJc w:val="left"/>
      <w:pPr>
        <w:ind w:left="3961" w:hanging="360"/>
      </w:pPr>
    </w:lvl>
    <w:lvl w:ilvl="7" w:tplc="04090019" w:tentative="1">
      <w:start w:val="1"/>
      <w:numFmt w:val="lowerLetter"/>
      <w:lvlText w:val="%8."/>
      <w:lvlJc w:val="left"/>
      <w:pPr>
        <w:ind w:left="4681" w:hanging="360"/>
      </w:pPr>
    </w:lvl>
    <w:lvl w:ilvl="8" w:tplc="0409001B" w:tentative="1">
      <w:start w:val="1"/>
      <w:numFmt w:val="lowerRoman"/>
      <w:lvlText w:val="%9."/>
      <w:lvlJc w:val="right"/>
      <w:pPr>
        <w:ind w:left="5401" w:hanging="180"/>
      </w:pPr>
    </w:lvl>
  </w:abstractNum>
  <w:abstractNum w:abstractNumId="4" w15:restartNumberingAfterBreak="0">
    <w:nsid w:val="351B013E"/>
    <w:multiLevelType w:val="hybridMultilevel"/>
    <w:tmpl w:val="964A149A"/>
    <w:lvl w:ilvl="0" w:tplc="DA9C0C64">
      <w:start w:val="1"/>
      <w:numFmt w:val="decimal"/>
      <w:lvlText w:val="%1."/>
      <w:lvlJc w:val="left"/>
      <w:pPr>
        <w:ind w:left="2159" w:hanging="360"/>
      </w:pPr>
      <w:rPr>
        <w:rFonts w:ascii="Palatino Linotype" w:eastAsia="Palatino Linotype" w:hAnsi="Palatino Linotype" w:cs="Palatino Linotype" w:hint="default"/>
        <w:b w:val="0"/>
        <w:bCs w:val="0"/>
        <w:i w:val="0"/>
        <w:iCs w:val="0"/>
        <w:color w:val="231F20"/>
        <w:w w:val="94"/>
        <w:sz w:val="21"/>
        <w:szCs w:val="21"/>
        <w:lang w:val="en-US" w:eastAsia="en-US" w:bidi="ar-SA"/>
      </w:rPr>
    </w:lvl>
    <w:lvl w:ilvl="1" w:tplc="CEAEA9AC">
      <w:numFmt w:val="bullet"/>
      <w:lvlText w:val="•"/>
      <w:lvlJc w:val="left"/>
      <w:pPr>
        <w:ind w:left="3000" w:hanging="360"/>
      </w:pPr>
      <w:rPr>
        <w:rFonts w:hint="default"/>
        <w:lang w:val="en-US" w:eastAsia="en-US" w:bidi="ar-SA"/>
      </w:rPr>
    </w:lvl>
    <w:lvl w:ilvl="2" w:tplc="A7C4A2A6">
      <w:numFmt w:val="bullet"/>
      <w:lvlText w:val="•"/>
      <w:lvlJc w:val="left"/>
      <w:pPr>
        <w:ind w:left="3840" w:hanging="360"/>
      </w:pPr>
      <w:rPr>
        <w:rFonts w:hint="default"/>
        <w:lang w:val="en-US" w:eastAsia="en-US" w:bidi="ar-SA"/>
      </w:rPr>
    </w:lvl>
    <w:lvl w:ilvl="3" w:tplc="6622839C">
      <w:numFmt w:val="bullet"/>
      <w:lvlText w:val="•"/>
      <w:lvlJc w:val="left"/>
      <w:pPr>
        <w:ind w:left="4680" w:hanging="360"/>
      </w:pPr>
      <w:rPr>
        <w:rFonts w:hint="default"/>
        <w:lang w:val="en-US" w:eastAsia="en-US" w:bidi="ar-SA"/>
      </w:rPr>
    </w:lvl>
    <w:lvl w:ilvl="4" w:tplc="8A7C3714">
      <w:numFmt w:val="bullet"/>
      <w:lvlText w:val="•"/>
      <w:lvlJc w:val="left"/>
      <w:pPr>
        <w:ind w:left="5520" w:hanging="360"/>
      </w:pPr>
      <w:rPr>
        <w:rFonts w:hint="default"/>
        <w:lang w:val="en-US" w:eastAsia="en-US" w:bidi="ar-SA"/>
      </w:rPr>
    </w:lvl>
    <w:lvl w:ilvl="5" w:tplc="6EC28A92">
      <w:numFmt w:val="bullet"/>
      <w:lvlText w:val="•"/>
      <w:lvlJc w:val="left"/>
      <w:pPr>
        <w:ind w:left="6360" w:hanging="360"/>
      </w:pPr>
      <w:rPr>
        <w:rFonts w:hint="default"/>
        <w:lang w:val="en-US" w:eastAsia="en-US" w:bidi="ar-SA"/>
      </w:rPr>
    </w:lvl>
    <w:lvl w:ilvl="6" w:tplc="8DE4C606">
      <w:numFmt w:val="bullet"/>
      <w:lvlText w:val="•"/>
      <w:lvlJc w:val="left"/>
      <w:pPr>
        <w:ind w:left="7200" w:hanging="360"/>
      </w:pPr>
      <w:rPr>
        <w:rFonts w:hint="default"/>
        <w:lang w:val="en-US" w:eastAsia="en-US" w:bidi="ar-SA"/>
      </w:rPr>
    </w:lvl>
    <w:lvl w:ilvl="7" w:tplc="9258DC30">
      <w:numFmt w:val="bullet"/>
      <w:lvlText w:val="•"/>
      <w:lvlJc w:val="left"/>
      <w:pPr>
        <w:ind w:left="8040" w:hanging="360"/>
      </w:pPr>
      <w:rPr>
        <w:rFonts w:hint="default"/>
        <w:lang w:val="en-US" w:eastAsia="en-US" w:bidi="ar-SA"/>
      </w:rPr>
    </w:lvl>
    <w:lvl w:ilvl="8" w:tplc="D97E6D64">
      <w:numFmt w:val="bullet"/>
      <w:lvlText w:val="•"/>
      <w:lvlJc w:val="left"/>
      <w:pPr>
        <w:ind w:left="8880" w:hanging="360"/>
      </w:pPr>
      <w:rPr>
        <w:rFonts w:hint="default"/>
        <w:lang w:val="en-US" w:eastAsia="en-US" w:bidi="ar-SA"/>
      </w:rPr>
    </w:lvl>
  </w:abstractNum>
  <w:abstractNum w:abstractNumId="5" w15:restartNumberingAfterBreak="0">
    <w:nsid w:val="38F41E56"/>
    <w:multiLevelType w:val="hybridMultilevel"/>
    <w:tmpl w:val="0CC68620"/>
    <w:lvl w:ilvl="0" w:tplc="231ADEA2">
      <w:start w:val="1"/>
      <w:numFmt w:val="decimal"/>
      <w:lvlText w:val="%1."/>
      <w:lvlJc w:val="left"/>
      <w:pPr>
        <w:ind w:left="2160" w:hanging="360"/>
      </w:pPr>
      <w:rPr>
        <w:rFonts w:ascii="Palatino Linotype" w:eastAsia="Palatino Linotype" w:hAnsi="Palatino Linotype" w:cs="Palatino Linotype" w:hint="default"/>
        <w:b w:val="0"/>
        <w:bCs w:val="0"/>
        <w:i w:val="0"/>
        <w:iCs w:val="0"/>
        <w:color w:val="231F20"/>
        <w:w w:val="94"/>
        <w:sz w:val="21"/>
        <w:szCs w:val="21"/>
        <w:lang w:val="en-US" w:eastAsia="en-US" w:bidi="ar-SA"/>
      </w:rPr>
    </w:lvl>
    <w:lvl w:ilvl="1" w:tplc="9D16E170">
      <w:numFmt w:val="bullet"/>
      <w:lvlText w:val="•"/>
      <w:lvlJc w:val="left"/>
      <w:pPr>
        <w:ind w:left="3000" w:hanging="360"/>
      </w:pPr>
      <w:rPr>
        <w:rFonts w:hint="default"/>
        <w:lang w:val="en-US" w:eastAsia="en-US" w:bidi="ar-SA"/>
      </w:rPr>
    </w:lvl>
    <w:lvl w:ilvl="2" w:tplc="3D2077AE">
      <w:numFmt w:val="bullet"/>
      <w:lvlText w:val="•"/>
      <w:lvlJc w:val="left"/>
      <w:pPr>
        <w:ind w:left="3840" w:hanging="360"/>
      </w:pPr>
      <w:rPr>
        <w:rFonts w:hint="default"/>
        <w:lang w:val="en-US" w:eastAsia="en-US" w:bidi="ar-SA"/>
      </w:rPr>
    </w:lvl>
    <w:lvl w:ilvl="3" w:tplc="B68C9638">
      <w:numFmt w:val="bullet"/>
      <w:lvlText w:val="•"/>
      <w:lvlJc w:val="left"/>
      <w:pPr>
        <w:ind w:left="4680" w:hanging="360"/>
      </w:pPr>
      <w:rPr>
        <w:rFonts w:hint="default"/>
        <w:lang w:val="en-US" w:eastAsia="en-US" w:bidi="ar-SA"/>
      </w:rPr>
    </w:lvl>
    <w:lvl w:ilvl="4" w:tplc="6400F26C">
      <w:numFmt w:val="bullet"/>
      <w:lvlText w:val="•"/>
      <w:lvlJc w:val="left"/>
      <w:pPr>
        <w:ind w:left="5520" w:hanging="360"/>
      </w:pPr>
      <w:rPr>
        <w:rFonts w:hint="default"/>
        <w:lang w:val="en-US" w:eastAsia="en-US" w:bidi="ar-SA"/>
      </w:rPr>
    </w:lvl>
    <w:lvl w:ilvl="5" w:tplc="9F24D914">
      <w:numFmt w:val="bullet"/>
      <w:lvlText w:val="•"/>
      <w:lvlJc w:val="left"/>
      <w:pPr>
        <w:ind w:left="6360" w:hanging="360"/>
      </w:pPr>
      <w:rPr>
        <w:rFonts w:hint="default"/>
        <w:lang w:val="en-US" w:eastAsia="en-US" w:bidi="ar-SA"/>
      </w:rPr>
    </w:lvl>
    <w:lvl w:ilvl="6" w:tplc="78304D06">
      <w:numFmt w:val="bullet"/>
      <w:lvlText w:val="•"/>
      <w:lvlJc w:val="left"/>
      <w:pPr>
        <w:ind w:left="7200" w:hanging="360"/>
      </w:pPr>
      <w:rPr>
        <w:rFonts w:hint="default"/>
        <w:lang w:val="en-US" w:eastAsia="en-US" w:bidi="ar-SA"/>
      </w:rPr>
    </w:lvl>
    <w:lvl w:ilvl="7" w:tplc="4962B8E4">
      <w:numFmt w:val="bullet"/>
      <w:lvlText w:val="•"/>
      <w:lvlJc w:val="left"/>
      <w:pPr>
        <w:ind w:left="8040" w:hanging="360"/>
      </w:pPr>
      <w:rPr>
        <w:rFonts w:hint="default"/>
        <w:lang w:val="en-US" w:eastAsia="en-US" w:bidi="ar-SA"/>
      </w:rPr>
    </w:lvl>
    <w:lvl w:ilvl="8" w:tplc="778A7AC6">
      <w:numFmt w:val="bullet"/>
      <w:lvlText w:val="•"/>
      <w:lvlJc w:val="left"/>
      <w:pPr>
        <w:ind w:left="8880" w:hanging="360"/>
      </w:pPr>
      <w:rPr>
        <w:rFonts w:hint="default"/>
        <w:lang w:val="en-US" w:eastAsia="en-US" w:bidi="ar-SA"/>
      </w:rPr>
    </w:lvl>
  </w:abstractNum>
  <w:abstractNum w:abstractNumId="6" w15:restartNumberingAfterBreak="0">
    <w:nsid w:val="64ED3643"/>
    <w:multiLevelType w:val="hybridMultilevel"/>
    <w:tmpl w:val="AEAEE0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D442B74"/>
    <w:multiLevelType w:val="multilevel"/>
    <w:tmpl w:val="7838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203131"/>
    <w:multiLevelType w:val="hybridMultilevel"/>
    <w:tmpl w:val="4A18F19C"/>
    <w:lvl w:ilvl="0" w:tplc="6F0A67E6">
      <w:start w:val="1"/>
      <w:numFmt w:val="upperLetter"/>
      <w:pStyle w:val="Heading3"/>
      <w:lvlText w:val="%1."/>
      <w:lvlJc w:val="left"/>
      <w:pPr>
        <w:ind w:left="2179" w:hanging="380"/>
      </w:pPr>
      <w:rPr>
        <w:rFonts w:ascii="Minion Pro Med" w:eastAsia="Minion Pro Med" w:hAnsi="Minion Pro Med" w:cs="Minion Pro Med" w:hint="default"/>
        <w:b w:val="0"/>
        <w:bCs w:val="0"/>
        <w:i w:val="0"/>
        <w:iCs w:val="0"/>
        <w:color w:val="231F20"/>
        <w:spacing w:val="0"/>
        <w:w w:val="100"/>
        <w:sz w:val="28"/>
        <w:szCs w:val="28"/>
        <w:lang w:val="en-US" w:eastAsia="en-US" w:bidi="ar-SA"/>
      </w:rPr>
    </w:lvl>
    <w:lvl w:ilvl="1" w:tplc="C32E6AF4">
      <w:start w:val="1"/>
      <w:numFmt w:val="decimal"/>
      <w:lvlText w:val="%2."/>
      <w:lvlJc w:val="left"/>
      <w:pPr>
        <w:ind w:left="2159" w:hanging="360"/>
      </w:pPr>
      <w:rPr>
        <w:rFonts w:ascii="Palatino Linotype" w:eastAsia="Palatino Linotype" w:hAnsi="Palatino Linotype" w:cs="Palatino Linotype" w:hint="default"/>
        <w:b w:val="0"/>
        <w:bCs w:val="0"/>
        <w:i w:val="0"/>
        <w:iCs w:val="0"/>
        <w:color w:val="231F20"/>
        <w:w w:val="94"/>
        <w:sz w:val="21"/>
        <w:szCs w:val="21"/>
        <w:lang w:val="en-US" w:eastAsia="en-US" w:bidi="ar-SA"/>
      </w:rPr>
    </w:lvl>
    <w:lvl w:ilvl="2" w:tplc="AA700E06">
      <w:start w:val="1"/>
      <w:numFmt w:val="upperLetter"/>
      <w:lvlText w:val="%3."/>
      <w:lvlJc w:val="left"/>
      <w:pPr>
        <w:ind w:left="2519" w:hanging="360"/>
      </w:pPr>
      <w:rPr>
        <w:rFonts w:ascii="Palatino Linotype" w:eastAsia="Palatino Linotype" w:hAnsi="Palatino Linotype" w:cs="Palatino Linotype" w:hint="default"/>
        <w:b w:val="0"/>
        <w:bCs w:val="0"/>
        <w:i w:val="0"/>
        <w:iCs w:val="0"/>
        <w:color w:val="231F20"/>
        <w:w w:val="89"/>
        <w:sz w:val="21"/>
        <w:szCs w:val="21"/>
        <w:lang w:val="en-US" w:eastAsia="en-US" w:bidi="ar-SA"/>
      </w:rPr>
    </w:lvl>
    <w:lvl w:ilvl="3" w:tplc="499AF734">
      <w:start w:val="1"/>
      <w:numFmt w:val="decimal"/>
      <w:lvlText w:val="%4."/>
      <w:lvlJc w:val="left"/>
      <w:pPr>
        <w:ind w:left="2879" w:hanging="360"/>
      </w:pPr>
      <w:rPr>
        <w:rFonts w:ascii="Palatino Linotype" w:eastAsia="Palatino Linotype" w:hAnsi="Palatino Linotype" w:cs="Palatino Linotype" w:hint="default"/>
        <w:b w:val="0"/>
        <w:bCs w:val="0"/>
        <w:i w:val="0"/>
        <w:iCs w:val="0"/>
        <w:color w:val="231F20"/>
        <w:w w:val="94"/>
        <w:sz w:val="21"/>
        <w:szCs w:val="21"/>
        <w:lang w:val="en-US" w:eastAsia="en-US" w:bidi="ar-SA"/>
      </w:rPr>
    </w:lvl>
    <w:lvl w:ilvl="4" w:tplc="22F69186">
      <w:start w:val="1"/>
      <w:numFmt w:val="lowerLetter"/>
      <w:lvlText w:val="%5."/>
      <w:lvlJc w:val="left"/>
      <w:pPr>
        <w:ind w:left="3239" w:hanging="360"/>
      </w:pPr>
      <w:rPr>
        <w:rFonts w:ascii="Palatino Linotype" w:eastAsia="Palatino Linotype" w:hAnsi="Palatino Linotype" w:cs="Palatino Linotype" w:hint="default"/>
        <w:b w:val="0"/>
        <w:bCs w:val="0"/>
        <w:i w:val="0"/>
        <w:iCs w:val="0"/>
        <w:color w:val="231F20"/>
        <w:w w:val="100"/>
        <w:sz w:val="21"/>
        <w:szCs w:val="21"/>
        <w:lang w:val="en-US" w:eastAsia="en-US" w:bidi="ar-SA"/>
      </w:rPr>
    </w:lvl>
    <w:lvl w:ilvl="5" w:tplc="5740B886">
      <w:numFmt w:val="bullet"/>
      <w:lvlText w:val="•"/>
      <w:lvlJc w:val="left"/>
      <w:pPr>
        <w:ind w:left="4460" w:hanging="360"/>
      </w:pPr>
      <w:rPr>
        <w:rFonts w:hint="default"/>
        <w:lang w:val="en-US" w:eastAsia="en-US" w:bidi="ar-SA"/>
      </w:rPr>
    </w:lvl>
    <w:lvl w:ilvl="6" w:tplc="9C201E70">
      <w:numFmt w:val="bullet"/>
      <w:lvlText w:val="•"/>
      <w:lvlJc w:val="left"/>
      <w:pPr>
        <w:ind w:left="5680" w:hanging="360"/>
      </w:pPr>
      <w:rPr>
        <w:rFonts w:hint="default"/>
        <w:lang w:val="en-US" w:eastAsia="en-US" w:bidi="ar-SA"/>
      </w:rPr>
    </w:lvl>
    <w:lvl w:ilvl="7" w:tplc="FB441622">
      <w:numFmt w:val="bullet"/>
      <w:lvlText w:val="•"/>
      <w:lvlJc w:val="left"/>
      <w:pPr>
        <w:ind w:left="6900" w:hanging="360"/>
      </w:pPr>
      <w:rPr>
        <w:rFonts w:hint="default"/>
        <w:lang w:val="en-US" w:eastAsia="en-US" w:bidi="ar-SA"/>
      </w:rPr>
    </w:lvl>
    <w:lvl w:ilvl="8" w:tplc="58ECA942">
      <w:numFmt w:val="bullet"/>
      <w:lvlText w:val="•"/>
      <w:lvlJc w:val="left"/>
      <w:pPr>
        <w:ind w:left="8120" w:hanging="360"/>
      </w:pPr>
      <w:rPr>
        <w:rFonts w:hint="default"/>
        <w:lang w:val="en-US" w:eastAsia="en-US" w:bidi="ar-SA"/>
      </w:rPr>
    </w:lvl>
  </w:abstractNum>
  <w:abstractNum w:abstractNumId="9" w15:restartNumberingAfterBreak="0">
    <w:nsid w:val="787D2769"/>
    <w:multiLevelType w:val="hybridMultilevel"/>
    <w:tmpl w:val="4C5248B2"/>
    <w:lvl w:ilvl="0" w:tplc="26D8B10C">
      <w:start w:val="1"/>
      <w:numFmt w:val="decimal"/>
      <w:lvlText w:val="%1."/>
      <w:lvlJc w:val="left"/>
      <w:pPr>
        <w:ind w:left="2160" w:hanging="360"/>
      </w:pPr>
      <w:rPr>
        <w:rFonts w:ascii="Palatino Linotype" w:eastAsia="Palatino Linotype" w:hAnsi="Palatino Linotype" w:cs="Palatino Linotype" w:hint="default"/>
        <w:b w:val="0"/>
        <w:bCs w:val="0"/>
        <w:i w:val="0"/>
        <w:iCs w:val="0"/>
        <w:color w:val="231F20"/>
        <w:w w:val="94"/>
        <w:sz w:val="21"/>
        <w:szCs w:val="21"/>
        <w:lang w:val="en-US" w:eastAsia="en-US" w:bidi="ar-SA"/>
      </w:rPr>
    </w:lvl>
    <w:lvl w:ilvl="1" w:tplc="B8948898">
      <w:numFmt w:val="bullet"/>
      <w:lvlText w:val="•"/>
      <w:lvlJc w:val="left"/>
      <w:pPr>
        <w:ind w:left="2520" w:hanging="360"/>
      </w:pPr>
      <w:rPr>
        <w:rFonts w:ascii="Palatino Linotype" w:eastAsia="Palatino Linotype" w:hAnsi="Palatino Linotype" w:cs="Palatino Linotype" w:hint="default"/>
        <w:b w:val="0"/>
        <w:bCs w:val="0"/>
        <w:i w:val="0"/>
        <w:iCs w:val="0"/>
        <w:color w:val="231F20"/>
        <w:w w:val="64"/>
        <w:sz w:val="21"/>
        <w:szCs w:val="21"/>
        <w:lang w:val="en-US" w:eastAsia="en-US" w:bidi="ar-SA"/>
      </w:rPr>
    </w:lvl>
    <w:lvl w:ilvl="2" w:tplc="BB3A13F4">
      <w:numFmt w:val="bullet"/>
      <w:lvlText w:val="•"/>
      <w:lvlJc w:val="left"/>
      <w:pPr>
        <w:ind w:left="3413" w:hanging="360"/>
      </w:pPr>
      <w:rPr>
        <w:rFonts w:hint="default"/>
        <w:lang w:val="en-US" w:eastAsia="en-US" w:bidi="ar-SA"/>
      </w:rPr>
    </w:lvl>
    <w:lvl w:ilvl="3" w:tplc="CE9CE5C8">
      <w:numFmt w:val="bullet"/>
      <w:lvlText w:val="•"/>
      <w:lvlJc w:val="left"/>
      <w:pPr>
        <w:ind w:left="4306" w:hanging="360"/>
      </w:pPr>
      <w:rPr>
        <w:rFonts w:hint="default"/>
        <w:lang w:val="en-US" w:eastAsia="en-US" w:bidi="ar-SA"/>
      </w:rPr>
    </w:lvl>
    <w:lvl w:ilvl="4" w:tplc="DCAC5A9C">
      <w:numFmt w:val="bullet"/>
      <w:lvlText w:val="•"/>
      <w:lvlJc w:val="left"/>
      <w:pPr>
        <w:ind w:left="5200" w:hanging="360"/>
      </w:pPr>
      <w:rPr>
        <w:rFonts w:hint="default"/>
        <w:lang w:val="en-US" w:eastAsia="en-US" w:bidi="ar-SA"/>
      </w:rPr>
    </w:lvl>
    <w:lvl w:ilvl="5" w:tplc="8AAA4356">
      <w:numFmt w:val="bullet"/>
      <w:lvlText w:val="•"/>
      <w:lvlJc w:val="left"/>
      <w:pPr>
        <w:ind w:left="6093" w:hanging="360"/>
      </w:pPr>
      <w:rPr>
        <w:rFonts w:hint="default"/>
        <w:lang w:val="en-US" w:eastAsia="en-US" w:bidi="ar-SA"/>
      </w:rPr>
    </w:lvl>
    <w:lvl w:ilvl="6" w:tplc="AB128136">
      <w:numFmt w:val="bullet"/>
      <w:lvlText w:val="•"/>
      <w:lvlJc w:val="left"/>
      <w:pPr>
        <w:ind w:left="6986" w:hanging="360"/>
      </w:pPr>
      <w:rPr>
        <w:rFonts w:hint="default"/>
        <w:lang w:val="en-US" w:eastAsia="en-US" w:bidi="ar-SA"/>
      </w:rPr>
    </w:lvl>
    <w:lvl w:ilvl="7" w:tplc="7CE6ED84">
      <w:numFmt w:val="bullet"/>
      <w:lvlText w:val="•"/>
      <w:lvlJc w:val="left"/>
      <w:pPr>
        <w:ind w:left="7880" w:hanging="360"/>
      </w:pPr>
      <w:rPr>
        <w:rFonts w:hint="default"/>
        <w:lang w:val="en-US" w:eastAsia="en-US" w:bidi="ar-SA"/>
      </w:rPr>
    </w:lvl>
    <w:lvl w:ilvl="8" w:tplc="600C1750">
      <w:numFmt w:val="bullet"/>
      <w:lvlText w:val="•"/>
      <w:lvlJc w:val="left"/>
      <w:pPr>
        <w:ind w:left="8773" w:hanging="360"/>
      </w:pPr>
      <w:rPr>
        <w:rFonts w:hint="default"/>
        <w:lang w:val="en-US" w:eastAsia="en-US" w:bidi="ar-SA"/>
      </w:rPr>
    </w:lvl>
  </w:abstractNum>
  <w:num w:numId="1" w16cid:durableId="1143354668">
    <w:abstractNumId w:val="5"/>
  </w:num>
  <w:num w:numId="2" w16cid:durableId="847254346">
    <w:abstractNumId w:val="1"/>
  </w:num>
  <w:num w:numId="3" w16cid:durableId="2092391947">
    <w:abstractNumId w:val="4"/>
  </w:num>
  <w:num w:numId="4" w16cid:durableId="1486313006">
    <w:abstractNumId w:val="0"/>
  </w:num>
  <w:num w:numId="5" w16cid:durableId="620847749">
    <w:abstractNumId w:val="8"/>
  </w:num>
  <w:num w:numId="6" w16cid:durableId="1507329116">
    <w:abstractNumId w:val="9"/>
  </w:num>
  <w:num w:numId="7" w16cid:durableId="562570812">
    <w:abstractNumId w:val="2"/>
  </w:num>
  <w:num w:numId="8" w16cid:durableId="1433624014">
    <w:abstractNumId w:val="6"/>
  </w:num>
  <w:num w:numId="9" w16cid:durableId="839850650">
    <w:abstractNumId w:val="7"/>
  </w:num>
  <w:num w:numId="10" w16cid:durableId="1649820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D4B"/>
    <w:rsid w:val="00011F24"/>
    <w:rsid w:val="00011F67"/>
    <w:rsid w:val="00012BA7"/>
    <w:rsid w:val="00034CEA"/>
    <w:rsid w:val="0004222D"/>
    <w:rsid w:val="00042B93"/>
    <w:rsid w:val="00050085"/>
    <w:rsid w:val="0005400E"/>
    <w:rsid w:val="00061FB5"/>
    <w:rsid w:val="00065826"/>
    <w:rsid w:val="00076119"/>
    <w:rsid w:val="00076531"/>
    <w:rsid w:val="000810AD"/>
    <w:rsid w:val="000836B1"/>
    <w:rsid w:val="000838B9"/>
    <w:rsid w:val="000B4246"/>
    <w:rsid w:val="000B64FD"/>
    <w:rsid w:val="000C1F82"/>
    <w:rsid w:val="000D14FF"/>
    <w:rsid w:val="000D183D"/>
    <w:rsid w:val="000D3CCF"/>
    <w:rsid w:val="000F55E3"/>
    <w:rsid w:val="00101047"/>
    <w:rsid w:val="001138B8"/>
    <w:rsid w:val="00126B0B"/>
    <w:rsid w:val="00143CFD"/>
    <w:rsid w:val="001449BF"/>
    <w:rsid w:val="00155C19"/>
    <w:rsid w:val="00160274"/>
    <w:rsid w:val="00167B75"/>
    <w:rsid w:val="00173EB2"/>
    <w:rsid w:val="00176CA5"/>
    <w:rsid w:val="001847CF"/>
    <w:rsid w:val="00187E6C"/>
    <w:rsid w:val="00195A5C"/>
    <w:rsid w:val="001A7ECA"/>
    <w:rsid w:val="001B4B77"/>
    <w:rsid w:val="001B5C0C"/>
    <w:rsid w:val="001C3A01"/>
    <w:rsid w:val="001E1DDF"/>
    <w:rsid w:val="001E634D"/>
    <w:rsid w:val="001F385F"/>
    <w:rsid w:val="001F4D88"/>
    <w:rsid w:val="00202B20"/>
    <w:rsid w:val="00210764"/>
    <w:rsid w:val="00222AA7"/>
    <w:rsid w:val="002350C9"/>
    <w:rsid w:val="002364C4"/>
    <w:rsid w:val="002467ED"/>
    <w:rsid w:val="00254755"/>
    <w:rsid w:val="00255372"/>
    <w:rsid w:val="00261E97"/>
    <w:rsid w:val="00270E3B"/>
    <w:rsid w:val="00277F33"/>
    <w:rsid w:val="002A1278"/>
    <w:rsid w:val="002A640B"/>
    <w:rsid w:val="002B1F74"/>
    <w:rsid w:val="002C73FC"/>
    <w:rsid w:val="002D0F1E"/>
    <w:rsid w:val="002D7A83"/>
    <w:rsid w:val="002F21F2"/>
    <w:rsid w:val="002F38CA"/>
    <w:rsid w:val="0030289A"/>
    <w:rsid w:val="00303B52"/>
    <w:rsid w:val="00306FEC"/>
    <w:rsid w:val="00314AD3"/>
    <w:rsid w:val="00334D4B"/>
    <w:rsid w:val="00342BFB"/>
    <w:rsid w:val="003552E6"/>
    <w:rsid w:val="00362D45"/>
    <w:rsid w:val="003800A5"/>
    <w:rsid w:val="0038711A"/>
    <w:rsid w:val="0039277B"/>
    <w:rsid w:val="00394D93"/>
    <w:rsid w:val="003B0519"/>
    <w:rsid w:val="003B28F3"/>
    <w:rsid w:val="003D4FF2"/>
    <w:rsid w:val="003E30AA"/>
    <w:rsid w:val="003E4100"/>
    <w:rsid w:val="00407CA9"/>
    <w:rsid w:val="00432730"/>
    <w:rsid w:val="004719D3"/>
    <w:rsid w:val="00490A2B"/>
    <w:rsid w:val="004A5FAA"/>
    <w:rsid w:val="004D5A17"/>
    <w:rsid w:val="004F1606"/>
    <w:rsid w:val="00517193"/>
    <w:rsid w:val="00521820"/>
    <w:rsid w:val="005271A9"/>
    <w:rsid w:val="00527CAC"/>
    <w:rsid w:val="00532881"/>
    <w:rsid w:val="005330AD"/>
    <w:rsid w:val="005334F1"/>
    <w:rsid w:val="00546501"/>
    <w:rsid w:val="005504F4"/>
    <w:rsid w:val="0056700A"/>
    <w:rsid w:val="0057556C"/>
    <w:rsid w:val="00577104"/>
    <w:rsid w:val="005C512B"/>
    <w:rsid w:val="005E021A"/>
    <w:rsid w:val="006046EA"/>
    <w:rsid w:val="00617521"/>
    <w:rsid w:val="00621005"/>
    <w:rsid w:val="00646D76"/>
    <w:rsid w:val="006515BF"/>
    <w:rsid w:val="00663796"/>
    <w:rsid w:val="0066476E"/>
    <w:rsid w:val="006676CE"/>
    <w:rsid w:val="00675845"/>
    <w:rsid w:val="006774AA"/>
    <w:rsid w:val="0069480D"/>
    <w:rsid w:val="006A106B"/>
    <w:rsid w:val="006A27DD"/>
    <w:rsid w:val="006B6FF6"/>
    <w:rsid w:val="006C09CF"/>
    <w:rsid w:val="006D378F"/>
    <w:rsid w:val="006D4A9F"/>
    <w:rsid w:val="006E3402"/>
    <w:rsid w:val="00702050"/>
    <w:rsid w:val="007375DC"/>
    <w:rsid w:val="00747E79"/>
    <w:rsid w:val="00766F46"/>
    <w:rsid w:val="00770F54"/>
    <w:rsid w:val="00773D74"/>
    <w:rsid w:val="00787B6C"/>
    <w:rsid w:val="007B2B93"/>
    <w:rsid w:val="007C0CBD"/>
    <w:rsid w:val="007C13A4"/>
    <w:rsid w:val="007C54A2"/>
    <w:rsid w:val="007C6F5A"/>
    <w:rsid w:val="007F1A0F"/>
    <w:rsid w:val="00810DB7"/>
    <w:rsid w:val="008200A0"/>
    <w:rsid w:val="0082759E"/>
    <w:rsid w:val="008321BA"/>
    <w:rsid w:val="008330A3"/>
    <w:rsid w:val="00835D30"/>
    <w:rsid w:val="00837499"/>
    <w:rsid w:val="0085307A"/>
    <w:rsid w:val="00856D09"/>
    <w:rsid w:val="00865ED1"/>
    <w:rsid w:val="00871298"/>
    <w:rsid w:val="008A6506"/>
    <w:rsid w:val="008B58BB"/>
    <w:rsid w:val="008E0C75"/>
    <w:rsid w:val="008F0C9C"/>
    <w:rsid w:val="008F4694"/>
    <w:rsid w:val="00905A9C"/>
    <w:rsid w:val="00910545"/>
    <w:rsid w:val="00912636"/>
    <w:rsid w:val="009160B7"/>
    <w:rsid w:val="009312C6"/>
    <w:rsid w:val="009323F7"/>
    <w:rsid w:val="00933984"/>
    <w:rsid w:val="00942200"/>
    <w:rsid w:val="009452E5"/>
    <w:rsid w:val="00947D6A"/>
    <w:rsid w:val="0097565B"/>
    <w:rsid w:val="009857D2"/>
    <w:rsid w:val="00993FBD"/>
    <w:rsid w:val="009A5A17"/>
    <w:rsid w:val="009B03FD"/>
    <w:rsid w:val="009B3282"/>
    <w:rsid w:val="009C30D7"/>
    <w:rsid w:val="009C3D7D"/>
    <w:rsid w:val="009F14E9"/>
    <w:rsid w:val="009F3F17"/>
    <w:rsid w:val="009F5D56"/>
    <w:rsid w:val="00A0145B"/>
    <w:rsid w:val="00A028FD"/>
    <w:rsid w:val="00A06382"/>
    <w:rsid w:val="00A1193F"/>
    <w:rsid w:val="00A310D6"/>
    <w:rsid w:val="00A369A5"/>
    <w:rsid w:val="00A4592D"/>
    <w:rsid w:val="00A5750F"/>
    <w:rsid w:val="00A64161"/>
    <w:rsid w:val="00A863BD"/>
    <w:rsid w:val="00A86818"/>
    <w:rsid w:val="00A92E91"/>
    <w:rsid w:val="00A940CD"/>
    <w:rsid w:val="00AB6AFD"/>
    <w:rsid w:val="00AE3024"/>
    <w:rsid w:val="00B01FBC"/>
    <w:rsid w:val="00B255CE"/>
    <w:rsid w:val="00B35B24"/>
    <w:rsid w:val="00B46126"/>
    <w:rsid w:val="00B54F28"/>
    <w:rsid w:val="00B71C6C"/>
    <w:rsid w:val="00B92ADF"/>
    <w:rsid w:val="00BA4009"/>
    <w:rsid w:val="00BB09CC"/>
    <w:rsid w:val="00BB1F0D"/>
    <w:rsid w:val="00BB5C1F"/>
    <w:rsid w:val="00BC40A5"/>
    <w:rsid w:val="00BC5FE4"/>
    <w:rsid w:val="00BD44A5"/>
    <w:rsid w:val="00BD4817"/>
    <w:rsid w:val="00BE1641"/>
    <w:rsid w:val="00BE68D6"/>
    <w:rsid w:val="00BF0024"/>
    <w:rsid w:val="00C0459C"/>
    <w:rsid w:val="00C32EB1"/>
    <w:rsid w:val="00C33712"/>
    <w:rsid w:val="00C40C1A"/>
    <w:rsid w:val="00C47B23"/>
    <w:rsid w:val="00C736B7"/>
    <w:rsid w:val="00C80505"/>
    <w:rsid w:val="00C82652"/>
    <w:rsid w:val="00C92720"/>
    <w:rsid w:val="00C94C44"/>
    <w:rsid w:val="00CA61ED"/>
    <w:rsid w:val="00CD1A84"/>
    <w:rsid w:val="00CD1B44"/>
    <w:rsid w:val="00CD6639"/>
    <w:rsid w:val="00CE13F1"/>
    <w:rsid w:val="00CF0800"/>
    <w:rsid w:val="00CF688B"/>
    <w:rsid w:val="00D07E74"/>
    <w:rsid w:val="00D2090E"/>
    <w:rsid w:val="00D536AA"/>
    <w:rsid w:val="00D55F91"/>
    <w:rsid w:val="00D65A2D"/>
    <w:rsid w:val="00D66E0E"/>
    <w:rsid w:val="00D84D5D"/>
    <w:rsid w:val="00DC686B"/>
    <w:rsid w:val="00DD4C3A"/>
    <w:rsid w:val="00DF4900"/>
    <w:rsid w:val="00E015CE"/>
    <w:rsid w:val="00E01603"/>
    <w:rsid w:val="00E037DF"/>
    <w:rsid w:val="00E0522A"/>
    <w:rsid w:val="00E4297C"/>
    <w:rsid w:val="00E50C5A"/>
    <w:rsid w:val="00E603B1"/>
    <w:rsid w:val="00E6611B"/>
    <w:rsid w:val="00E6786D"/>
    <w:rsid w:val="00E71F60"/>
    <w:rsid w:val="00E81822"/>
    <w:rsid w:val="00EA230F"/>
    <w:rsid w:val="00EA232E"/>
    <w:rsid w:val="00EC393F"/>
    <w:rsid w:val="00ED3159"/>
    <w:rsid w:val="00EE57B7"/>
    <w:rsid w:val="00EE5BD7"/>
    <w:rsid w:val="00EF5016"/>
    <w:rsid w:val="00EF60A2"/>
    <w:rsid w:val="00F04F04"/>
    <w:rsid w:val="00F07A45"/>
    <w:rsid w:val="00F1182E"/>
    <w:rsid w:val="00F3375A"/>
    <w:rsid w:val="00F33F56"/>
    <w:rsid w:val="00F667F6"/>
    <w:rsid w:val="00F808D4"/>
    <w:rsid w:val="00F832D2"/>
    <w:rsid w:val="00F87093"/>
    <w:rsid w:val="00F95DC7"/>
    <w:rsid w:val="00FA5C2B"/>
    <w:rsid w:val="00FB322B"/>
    <w:rsid w:val="00FC452C"/>
    <w:rsid w:val="00FC4F8A"/>
    <w:rsid w:val="00FF0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03C43"/>
  <w15:docId w15:val="{3F765E9F-03E7-488C-9755-0A506D5F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1800"/>
      <w:outlineLvl w:val="0"/>
    </w:pPr>
    <w:rPr>
      <w:sz w:val="36"/>
      <w:szCs w:val="36"/>
    </w:rPr>
  </w:style>
  <w:style w:type="paragraph" w:styleId="Heading2">
    <w:name w:val="heading 2"/>
    <w:basedOn w:val="Normal"/>
    <w:uiPriority w:val="9"/>
    <w:unhideWhenUsed/>
    <w:qFormat/>
    <w:rsid w:val="00277F33"/>
    <w:pPr>
      <w:spacing w:before="75"/>
      <w:ind w:left="1440"/>
      <w:outlineLvl w:val="1"/>
    </w:pPr>
    <w:rPr>
      <w:rFonts w:ascii="Minion Pro Med" w:eastAsia="Minion Pro Med" w:hAnsi="Minion Pro Med" w:cs="Minion Pro Med"/>
      <w:sz w:val="28"/>
      <w:szCs w:val="28"/>
    </w:rPr>
  </w:style>
  <w:style w:type="paragraph" w:styleId="Heading3">
    <w:name w:val="heading 3"/>
    <w:basedOn w:val="Normal"/>
    <w:autoRedefine/>
    <w:uiPriority w:val="9"/>
    <w:unhideWhenUsed/>
    <w:qFormat/>
    <w:rsid w:val="002D7A83"/>
    <w:pPr>
      <w:numPr>
        <w:numId w:val="5"/>
      </w:numPr>
      <w:spacing w:before="90"/>
      <w:outlineLvl w:val="2"/>
    </w:pPr>
    <w:rPr>
      <w:rFonts w:ascii="Minion Pro Capt" w:eastAsia="Minion Pro Capt" w:hAnsi="Minion Pro Capt" w:cs="Minion Pro Capt"/>
      <w:b/>
      <w:bCs/>
      <w:sz w:val="21"/>
      <w:szCs w:val="21"/>
    </w:rPr>
  </w:style>
  <w:style w:type="paragraph" w:styleId="Heading4">
    <w:name w:val="heading 4"/>
    <w:basedOn w:val="Normal"/>
    <w:next w:val="Normal"/>
    <w:link w:val="Heading4Char"/>
    <w:uiPriority w:val="9"/>
    <w:unhideWhenUsed/>
    <w:qFormat/>
    <w:rsid w:val="009B03FD"/>
    <w:pPr>
      <w:keepNext/>
      <w:keepLines/>
      <w:spacing w:before="180" w:after="80"/>
      <w:ind w:left="180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60" w:hanging="360"/>
    </w:pPr>
    <w:rPr>
      <w:sz w:val="21"/>
      <w:szCs w:val="21"/>
    </w:rPr>
  </w:style>
  <w:style w:type="paragraph" w:styleId="ListParagraph">
    <w:name w:val="List Paragraph"/>
    <w:basedOn w:val="Normal"/>
    <w:uiPriority w:val="1"/>
    <w:qFormat/>
    <w:pPr>
      <w:spacing w:before="120"/>
      <w:ind w:left="2160" w:hanging="360"/>
    </w:pPr>
  </w:style>
  <w:style w:type="paragraph" w:customStyle="1" w:styleId="TableParagraph">
    <w:name w:val="Table Paragraph"/>
    <w:basedOn w:val="Normal"/>
    <w:uiPriority w:val="1"/>
    <w:qFormat/>
  </w:style>
  <w:style w:type="character" w:customStyle="1" w:styleId="Heading4Char">
    <w:name w:val="Heading 4 Char"/>
    <w:basedOn w:val="DefaultParagraphFont"/>
    <w:link w:val="Heading4"/>
    <w:uiPriority w:val="9"/>
    <w:rsid w:val="009B03FD"/>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97565B"/>
    <w:pPr>
      <w:widowControl/>
      <w:autoSpaceDE/>
      <w:autoSpaceDN/>
    </w:pPr>
    <w:rPr>
      <w:rFonts w:ascii="Palatino Linotype" w:eastAsia="Palatino Linotype" w:hAnsi="Palatino Linotype" w:cs="Palatino Linotype"/>
    </w:rPr>
  </w:style>
  <w:style w:type="character" w:styleId="CommentReference">
    <w:name w:val="annotation reference"/>
    <w:basedOn w:val="DefaultParagraphFont"/>
    <w:uiPriority w:val="99"/>
    <w:semiHidden/>
    <w:unhideWhenUsed/>
    <w:rsid w:val="0097565B"/>
    <w:rPr>
      <w:sz w:val="16"/>
      <w:szCs w:val="16"/>
    </w:rPr>
  </w:style>
  <w:style w:type="paragraph" w:styleId="CommentText">
    <w:name w:val="annotation text"/>
    <w:basedOn w:val="Normal"/>
    <w:link w:val="CommentTextChar"/>
    <w:uiPriority w:val="99"/>
    <w:unhideWhenUsed/>
    <w:rsid w:val="0097565B"/>
    <w:rPr>
      <w:sz w:val="20"/>
      <w:szCs w:val="20"/>
    </w:rPr>
  </w:style>
  <w:style w:type="character" w:customStyle="1" w:styleId="CommentTextChar">
    <w:name w:val="Comment Text Char"/>
    <w:basedOn w:val="DefaultParagraphFont"/>
    <w:link w:val="CommentText"/>
    <w:uiPriority w:val="99"/>
    <w:rsid w:val="0097565B"/>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97565B"/>
    <w:rPr>
      <w:b/>
      <w:bCs/>
    </w:rPr>
  </w:style>
  <w:style w:type="character" w:customStyle="1" w:styleId="CommentSubjectChar">
    <w:name w:val="Comment Subject Char"/>
    <w:basedOn w:val="CommentTextChar"/>
    <w:link w:val="CommentSubject"/>
    <w:uiPriority w:val="99"/>
    <w:semiHidden/>
    <w:rsid w:val="0097565B"/>
    <w:rPr>
      <w:rFonts w:ascii="Palatino Linotype" w:eastAsia="Palatino Linotype" w:hAnsi="Palatino Linotype" w:cs="Palatino Linotype"/>
      <w:b/>
      <w:bCs/>
      <w:sz w:val="20"/>
      <w:szCs w:val="20"/>
    </w:rPr>
  </w:style>
  <w:style w:type="character" w:styleId="Hyperlink">
    <w:name w:val="Hyperlink"/>
    <w:basedOn w:val="DefaultParagraphFont"/>
    <w:uiPriority w:val="99"/>
    <w:unhideWhenUsed/>
    <w:rsid w:val="000B64FD"/>
    <w:rPr>
      <w:color w:val="0000FF" w:themeColor="hyperlink"/>
      <w:u w:val="single"/>
    </w:rPr>
  </w:style>
  <w:style w:type="character" w:styleId="UnresolvedMention">
    <w:name w:val="Unresolved Mention"/>
    <w:basedOn w:val="DefaultParagraphFont"/>
    <w:uiPriority w:val="99"/>
    <w:semiHidden/>
    <w:unhideWhenUsed/>
    <w:rsid w:val="000B64FD"/>
    <w:rPr>
      <w:color w:val="605E5C"/>
      <w:shd w:val="clear" w:color="auto" w:fill="E1DFDD"/>
    </w:rPr>
  </w:style>
  <w:style w:type="paragraph" w:customStyle="1" w:styleId="list-inline-item">
    <w:name w:val="list-inline-item"/>
    <w:basedOn w:val="Normal"/>
    <w:rsid w:val="00F1182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lfld-contribauthor">
    <w:name w:val="hlfld-contribauthor"/>
    <w:basedOn w:val="DefaultParagraphFont"/>
    <w:rsid w:val="00F1182E"/>
  </w:style>
  <w:style w:type="table" w:styleId="TableGrid">
    <w:name w:val="Table Grid"/>
    <w:basedOn w:val="TableNormal"/>
    <w:uiPriority w:val="39"/>
    <w:rsid w:val="00A94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54F28"/>
    <w:rPr>
      <w:color w:val="800080" w:themeColor="followedHyperlink"/>
      <w:u w:val="single"/>
    </w:rPr>
  </w:style>
  <w:style w:type="paragraph" w:styleId="Header">
    <w:name w:val="header"/>
    <w:basedOn w:val="Normal"/>
    <w:link w:val="HeaderChar"/>
    <w:uiPriority w:val="99"/>
    <w:unhideWhenUsed/>
    <w:rsid w:val="00065826"/>
    <w:pPr>
      <w:tabs>
        <w:tab w:val="center" w:pos="4680"/>
        <w:tab w:val="right" w:pos="9360"/>
      </w:tabs>
    </w:pPr>
  </w:style>
  <w:style w:type="character" w:customStyle="1" w:styleId="HeaderChar">
    <w:name w:val="Header Char"/>
    <w:basedOn w:val="DefaultParagraphFont"/>
    <w:link w:val="Header"/>
    <w:uiPriority w:val="99"/>
    <w:rsid w:val="00065826"/>
    <w:rPr>
      <w:rFonts w:ascii="Palatino Linotype" w:eastAsia="Palatino Linotype" w:hAnsi="Palatino Linotype" w:cs="Palatino Linotype"/>
    </w:rPr>
  </w:style>
  <w:style w:type="paragraph" w:styleId="Footer">
    <w:name w:val="footer"/>
    <w:basedOn w:val="Normal"/>
    <w:link w:val="FooterChar"/>
    <w:uiPriority w:val="99"/>
    <w:unhideWhenUsed/>
    <w:rsid w:val="00065826"/>
    <w:pPr>
      <w:tabs>
        <w:tab w:val="center" w:pos="4680"/>
        <w:tab w:val="right" w:pos="9360"/>
      </w:tabs>
    </w:pPr>
  </w:style>
  <w:style w:type="character" w:customStyle="1" w:styleId="FooterChar">
    <w:name w:val="Footer Char"/>
    <w:basedOn w:val="DefaultParagraphFont"/>
    <w:link w:val="Footer"/>
    <w:uiPriority w:val="99"/>
    <w:rsid w:val="00065826"/>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539231">
      <w:bodyDiv w:val="1"/>
      <w:marLeft w:val="0"/>
      <w:marRight w:val="0"/>
      <w:marTop w:val="0"/>
      <w:marBottom w:val="0"/>
      <w:divBdr>
        <w:top w:val="none" w:sz="0" w:space="0" w:color="auto"/>
        <w:left w:val="none" w:sz="0" w:space="0" w:color="auto"/>
        <w:bottom w:val="none" w:sz="0" w:space="0" w:color="auto"/>
        <w:right w:val="none" w:sz="0" w:space="0" w:color="auto"/>
      </w:divBdr>
    </w:div>
    <w:div w:id="1314724597">
      <w:bodyDiv w:val="1"/>
      <w:marLeft w:val="0"/>
      <w:marRight w:val="0"/>
      <w:marTop w:val="0"/>
      <w:marBottom w:val="0"/>
      <w:divBdr>
        <w:top w:val="none" w:sz="0" w:space="0" w:color="auto"/>
        <w:left w:val="none" w:sz="0" w:space="0" w:color="auto"/>
        <w:bottom w:val="none" w:sz="0" w:space="0" w:color="auto"/>
        <w:right w:val="none" w:sz="0" w:space="0" w:color="auto"/>
      </w:divBdr>
    </w:div>
    <w:div w:id="1709141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lists/physician-manual-for-masshealth-providers" TargetMode="External"/><Relationship Id="rId18" Type="http://schemas.openxmlformats.org/officeDocument/2006/relationships/hyperlink" Target="https://www.ncbi.nlm.nih.gov/pubmed/19305347" TargetMode="External"/><Relationship Id="rId26" Type="http://schemas.openxmlformats.org/officeDocument/2006/relationships/hyperlink" Target="https://www.ncbi.nlm.nih.gov/pubmed/18703817" TargetMode="External"/><Relationship Id="rId39" Type="http://schemas.openxmlformats.org/officeDocument/2006/relationships/hyperlink" Target="https://www.ncbi.nlm.nih.gov/pubmed/17312305" TargetMode="External"/><Relationship Id="rId21" Type="http://schemas.openxmlformats.org/officeDocument/2006/relationships/hyperlink" Target="https://www.cdc.gov/breast-ovarian-cancer-hereditary/causes/index.html" TargetMode="External"/><Relationship Id="rId34" Type="http://schemas.openxmlformats.org/officeDocument/2006/relationships/hyperlink" Target="https://onlinelibrary.wiley.com/doi/full/10.1002/cncr.27556" TargetMode="External"/><Relationship Id="rId42" Type="http://schemas.openxmlformats.org/officeDocument/2006/relationships/hyperlink" Target="https://www.ncbi.nlm.nih.gov/pubmed/24807107" TargetMode="External"/><Relationship Id="rId47" Type="http://schemas.openxmlformats.org/officeDocument/2006/relationships/hyperlink" Target="https://www.uspreventiveservicestaskforce.org/uspstf/draft-update-summary/brca-related-cancer-risk-assessment-genetic-counseling-testing"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ass.gov/prior-authorization-for-masshealth-providers" TargetMode="External"/><Relationship Id="rId29" Type="http://schemas.openxmlformats.org/officeDocument/2006/relationships/hyperlink" Target="https://www.ncbi.nlm.nih.gov/pubmed/18703817" TargetMode="External"/><Relationship Id="rId11" Type="http://schemas.openxmlformats.org/officeDocument/2006/relationships/hyperlink" Target="https://www.mass.gov/regulations/130-CMR-450000-administrative-and-billing-regulations" TargetMode="External"/><Relationship Id="rId24" Type="http://schemas.openxmlformats.org/officeDocument/2006/relationships/hyperlink" Target="https://www.ncbi.nlm.nih.gov/pubmed/23987739" TargetMode="External"/><Relationship Id="rId32" Type="http://schemas.openxmlformats.org/officeDocument/2006/relationships/hyperlink" Target="https://pubmed.ncbi.nlm.nih.gov/33471974/" TargetMode="External"/><Relationship Id="rId37" Type="http://schemas.openxmlformats.org/officeDocument/2006/relationships/hyperlink" Target="https://malegislature.gov/Laws/GeneralLaws/PartI/TitleXVI/Chapter111/Section70G" TargetMode="External"/><Relationship Id="rId40" Type="http://schemas.openxmlformats.org/officeDocument/2006/relationships/hyperlink" Target="https://www.ncbi.nlm.nih.gov/pubmed/17312305" TargetMode="External"/><Relationship Id="rId45" Type="http://schemas.openxmlformats.org/officeDocument/2006/relationships/hyperlink" Target="https://www.ncbi.nlm.nih.gov/pubmed/24807107" TargetMode="External"/><Relationship Id="rId5" Type="http://schemas.openxmlformats.org/officeDocument/2006/relationships/webSettings" Target="webSettings.xml"/><Relationship Id="rId15" Type="http://schemas.openxmlformats.org/officeDocument/2006/relationships/hyperlink" Target="https://www.mass.gov/lists/402-through-300" TargetMode="External"/><Relationship Id="rId23" Type="http://schemas.openxmlformats.org/officeDocument/2006/relationships/hyperlink" Target="https://www.ncbi.nlm.nih.gov/pubmed/23987739" TargetMode="External"/><Relationship Id="rId28" Type="http://schemas.openxmlformats.org/officeDocument/2006/relationships/hyperlink" Target="https://www.ncbi.nlm.nih.gov/pubmed/18703817" TargetMode="External"/><Relationship Id="rId36" Type="http://schemas.openxmlformats.org/officeDocument/2006/relationships/hyperlink" Target="https://malegislature.gov/Laws/GeneralLaws/PartI/TitleXVI/Chapter111/Section70G" TargetMode="External"/><Relationship Id="rId49" Type="http://schemas.openxmlformats.org/officeDocument/2006/relationships/hyperlink" Target="https://www.ncbi.nlm.nih.gov/pubmed/20221693" TargetMode="External"/><Relationship Id="rId10" Type="http://schemas.openxmlformats.org/officeDocument/2006/relationships/hyperlink" Target="https://www.mass.gov/regulations/130-CMR-433000-physician-services" TargetMode="External"/><Relationship Id="rId19" Type="http://schemas.openxmlformats.org/officeDocument/2006/relationships/hyperlink" Target="https://www.ncbi.nlm.nih.gov/pubmed/19305347" TargetMode="External"/><Relationship Id="rId31" Type="http://schemas.openxmlformats.org/officeDocument/2006/relationships/hyperlink" Target="https://pubmed.ncbi.nlm.nih.gov/33471991/" TargetMode="External"/><Relationship Id="rId44" Type="http://schemas.openxmlformats.org/officeDocument/2006/relationships/hyperlink" Target="https://www.ncbi.nlm.nih.gov/pubmed/24807107" TargetMode="External"/><Relationship Id="rId4" Type="http://schemas.openxmlformats.org/officeDocument/2006/relationships/settings" Target="settings.xml"/><Relationship Id="rId9" Type="http://schemas.openxmlformats.org/officeDocument/2006/relationships/hyperlink" Target="https://www.mass.gov/regulations/130-CMR-401000-independent-clinical-laboratory-services" TargetMode="External"/><Relationship Id="rId14" Type="http://schemas.openxmlformats.org/officeDocument/2006/relationships/hyperlink" Target="https://mhdl.pharmacy.services.conduent.com/MHDL/" TargetMode="External"/><Relationship Id="rId22" Type="http://schemas.openxmlformats.org/officeDocument/2006/relationships/hyperlink" Target="https://www.ncbi.nlm.nih.gov/pubmed/23987739" TargetMode="External"/><Relationship Id="rId27" Type="http://schemas.openxmlformats.org/officeDocument/2006/relationships/hyperlink" Target="https://www.ncbi.nlm.nih.gov/pubmed/18703817" TargetMode="External"/><Relationship Id="rId30" Type="http://schemas.openxmlformats.org/officeDocument/2006/relationships/hyperlink" Target="https://pubmed.ncbi.nlm.nih.gov/33471991/" TargetMode="External"/><Relationship Id="rId35" Type="http://schemas.openxmlformats.org/officeDocument/2006/relationships/hyperlink" Target="https://onlinelibrary.wiley.com/doi/full/10.1002/cncr.27556" TargetMode="External"/><Relationship Id="rId43" Type="http://schemas.openxmlformats.org/officeDocument/2006/relationships/hyperlink" Target="https://www.ncbi.nlm.nih.gov/pubmed/24807107" TargetMode="External"/><Relationship Id="rId48" Type="http://schemas.openxmlformats.org/officeDocument/2006/relationships/hyperlink" Target="https://www.ncbi.nlm.nih.gov/pubmed/20221693" TargetMode="Externa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mass.gov/lists/independent-clinical-laboratory-manual-for-masshealth-providers" TargetMode="External"/><Relationship Id="rId17" Type="http://schemas.openxmlformats.org/officeDocument/2006/relationships/footer" Target="footer1.xml"/><Relationship Id="rId25" Type="http://schemas.openxmlformats.org/officeDocument/2006/relationships/hyperlink" Target="https://www.ncbi.nlm.nih.gov/pubmed/18703817" TargetMode="External"/><Relationship Id="rId33" Type="http://schemas.openxmlformats.org/officeDocument/2006/relationships/hyperlink" Target="https://pubmed.ncbi.nlm.nih.gov/33471974/" TargetMode="External"/><Relationship Id="rId38" Type="http://schemas.openxmlformats.org/officeDocument/2006/relationships/hyperlink" Target="https://www.ncbi.nlm.nih.gov/pubmed/17312305" TargetMode="External"/><Relationship Id="rId46" Type="http://schemas.openxmlformats.org/officeDocument/2006/relationships/hyperlink" Target="https://www.ncbi.nlm.nih.gov/pubmed/24807107" TargetMode="External"/><Relationship Id="rId20" Type="http://schemas.openxmlformats.org/officeDocument/2006/relationships/hyperlink" Target="https://www.ncbi.nlm.nih.gov/pubmed/19305347" TargetMode="External"/><Relationship Id="rId41" Type="http://schemas.openxmlformats.org/officeDocument/2006/relationships/hyperlink" Target="https://doi.org/10.1200/JCO.2015.63.0996"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71CDD-9AE3-4A2A-9B90-68BE7DD5025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37</TotalTime>
  <Pages>1</Pages>
  <Words>3308</Words>
  <Characters>18862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Colella-Yantosca, Lucia (EHS)</dc:creator>
  <cp:keywords/>
  <dc:description/>
  <cp:lastModifiedBy>Finn, Jonathan F. (EHS)</cp:lastModifiedBy>
  <cp:revision>6</cp:revision>
  <cp:lastPrinted>2025-04-14T19:56:00Z</cp:lastPrinted>
  <dcterms:created xsi:type="dcterms:W3CDTF">2025-06-25T14:12:00Z</dcterms:created>
  <dcterms:modified xsi:type="dcterms:W3CDTF">2025-06-25T14:49:00Z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2023-02-09T00:00:00Z</vt:filetime>
  </property>
  <property fmtid="{D5CDD505-2E9C-101B-9397-08002B2CF9AE}" pid="3" name="Creator">
    <vt:lpwstr>Adobe InDesign 18.1 (Windows)</vt:lpwstr>
  </property>
  <property fmtid="{D5CDD505-2E9C-101B-9397-08002B2CF9AE}" pid="4" name="LastSaved">
    <vt:filetime>2023-02-09T00:00:00Z</vt:filetime>
  </property>
  <property fmtid="{D5CDD505-2E9C-101B-9397-08002B2CF9AE}" pid="5" name="Producer">
    <vt:lpwstr>Adobe PDF Library 17.0</vt:lpwstr>
  </property>
</Properties>
</file>