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7" w:rsidRPr="000C61E7" w:rsidRDefault="000C61E7" w:rsidP="00CA6D67">
      <w:pPr>
        <w:jc w:val="both"/>
        <w:rPr>
          <w:rFonts w:ascii="Arial" w:hAnsi="Arial" w:cs="Arial"/>
          <w:b/>
          <w:sz w:val="28"/>
        </w:rPr>
      </w:pPr>
      <w:bookmarkStart w:id="0" w:name="_GoBack"/>
      <w:bookmarkEnd w:id="0"/>
      <w:r w:rsidRPr="000C61E7">
        <w:rPr>
          <w:rFonts w:ascii="Arial" w:hAnsi="Arial" w:cs="Arial"/>
          <w:b/>
          <w:sz w:val="28"/>
        </w:rPr>
        <w:t>Proposed Changes to Board of Registration in Medicine Regulations</w:t>
      </w:r>
      <w:r w:rsidR="00CC5A26">
        <w:rPr>
          <w:rFonts w:ascii="Arial" w:hAnsi="Arial" w:cs="Arial"/>
          <w:b/>
          <w:sz w:val="28"/>
        </w:rPr>
        <w:t xml:space="preserve"> </w:t>
      </w:r>
      <w:r w:rsidR="00544164">
        <w:rPr>
          <w:rFonts w:ascii="Arial" w:hAnsi="Arial" w:cs="Arial"/>
          <w:b/>
          <w:sz w:val="28"/>
        </w:rPr>
        <w:t>- 2017</w:t>
      </w:r>
    </w:p>
    <w:p w:rsidR="000C61E7" w:rsidRDefault="004C54DA" w:rsidP="00CA6D67">
      <w:pPr>
        <w:jc w:val="both"/>
        <w:rPr>
          <w:rFonts w:ascii="Arial" w:hAnsi="Arial" w:cs="Arial"/>
          <w:b/>
        </w:rPr>
      </w:pPr>
      <w:hyperlink r:id="rId8" w:history="1">
        <w:r w:rsidR="000C61E7" w:rsidRPr="000C61E7">
          <w:rPr>
            <w:rStyle w:val="Hyperlink"/>
            <w:rFonts w:ascii="Arial" w:hAnsi="Arial" w:cs="Arial"/>
            <w:b/>
          </w:rPr>
          <w:t>243 CMR 1.00 Disciplinary Proceedings for Physicians</w:t>
        </w:r>
      </w:hyperlink>
    </w:p>
    <w:p w:rsidR="000C61E7" w:rsidRDefault="004C54DA" w:rsidP="00CA6D67">
      <w:pPr>
        <w:jc w:val="both"/>
        <w:rPr>
          <w:rFonts w:ascii="Arial" w:hAnsi="Arial" w:cs="Arial"/>
          <w:b/>
        </w:rPr>
      </w:pPr>
      <w:hyperlink r:id="rId9" w:history="1">
        <w:r w:rsidR="000C61E7" w:rsidRPr="000C61E7">
          <w:rPr>
            <w:rStyle w:val="Hyperlink"/>
            <w:rFonts w:ascii="Arial" w:hAnsi="Arial" w:cs="Arial"/>
            <w:b/>
          </w:rPr>
          <w:t>243 CMR 3.00 Patient Care Assessment Programs</w:t>
        </w:r>
      </w:hyperlink>
    </w:p>
    <w:p w:rsidR="00F326E9" w:rsidRDefault="00F326E9" w:rsidP="00F326E9"/>
    <w:p w:rsidR="00F326E9" w:rsidRDefault="00F326E9" w:rsidP="00F326E9">
      <w:r>
        <w:t>Gregory M. McSweeney, MD, MBA, Chief Medical Officer</w:t>
      </w:r>
    </w:p>
    <w:p w:rsidR="00F326E9" w:rsidRDefault="00F326E9" w:rsidP="00F326E9">
      <w:r>
        <w:t>Beth Israel Deaconess Hospital-Needham</w:t>
      </w:r>
    </w:p>
    <w:p w:rsidR="00F326E9" w:rsidRDefault="00F326E9" w:rsidP="00F326E9">
      <w:r>
        <w:t>148 Chestnut Street, Needham, MA 02492 T- 781-453-4511</w:t>
      </w:r>
    </w:p>
    <w:p w:rsidR="00F326E9" w:rsidRDefault="00F326E9" w:rsidP="00F326E9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2365"/>
        <w:gridCol w:w="9083"/>
        <w:gridCol w:w="2250"/>
      </w:tblGrid>
      <w:tr w:rsidR="009C413B" w:rsidRPr="00167300" w:rsidTr="006153D0">
        <w:trPr>
          <w:trHeight w:val="233"/>
        </w:trPr>
        <w:tc>
          <w:tcPr>
            <w:tcW w:w="13698" w:type="dxa"/>
            <w:gridSpan w:val="3"/>
            <w:shd w:val="clear" w:color="auto" w:fill="8DB3E2" w:themeFill="text2" w:themeFillTint="66"/>
          </w:tcPr>
          <w:p w:rsidR="009C413B" w:rsidRPr="00167300" w:rsidRDefault="009C413B" w:rsidP="006153D0">
            <w:pPr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  <w:b/>
              </w:rPr>
              <w:t>243 CMR 1.00 DISCIPLINARY PROCEEDINGS FOR PHYSICIANS</w:t>
            </w:r>
          </w:p>
        </w:tc>
      </w:tr>
      <w:tr w:rsidR="006153D0" w:rsidRPr="00167300" w:rsidTr="006153D0">
        <w:tc>
          <w:tcPr>
            <w:tcW w:w="2365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firstLine="360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9083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left="360" w:right="720" w:hanging="360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left="360" w:hanging="288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>Comments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1.01 (2) Definitions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Pr="00167300" w:rsidRDefault="006153D0" w:rsidP="006153D0">
            <w:pPr>
              <w:pStyle w:val="ListParagraph"/>
              <w:numPr>
                <w:ilvl w:val="0"/>
                <w:numId w:val="17"/>
              </w:numPr>
              <w:ind w:right="720"/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 xml:space="preserve">Complaint expanded to include info from “from any source” and expands the definition from “misconduct” 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17"/>
              </w:numPr>
              <w:ind w:right="720"/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Disciplinary Action - expanded to include remediation, probation and academic probation</w:t>
            </w:r>
          </w:p>
        </w:tc>
        <w:tc>
          <w:tcPr>
            <w:tcW w:w="2250" w:type="dxa"/>
          </w:tcPr>
          <w:p w:rsidR="006153D0" w:rsidRDefault="00B70948" w:rsidP="006153D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Any allegations or comments about a provider would be permitted into record w/o facts or source.</w:t>
            </w:r>
          </w:p>
          <w:p w:rsidR="00B70948" w:rsidRDefault="00B70948" w:rsidP="006153D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Remediation added w/o guidance on type. </w:t>
            </w:r>
          </w:p>
          <w:p w:rsidR="00B70948" w:rsidRDefault="00B70948" w:rsidP="006153D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Hospital Bylaws allow for fair hearing- expanded reporting </w:t>
            </w:r>
            <w:r w:rsidR="002110E4">
              <w:rPr>
                <w:rFonts w:ascii="Arial" w:hAnsi="Arial" w:cs="Arial"/>
                <w:i/>
              </w:rPr>
              <w:t>requirement will</w:t>
            </w:r>
            <w:r>
              <w:rPr>
                <w:rFonts w:ascii="Arial" w:hAnsi="Arial" w:cs="Arial"/>
                <w:i/>
              </w:rPr>
              <w:t xml:space="preserve"> increase hosp hearings.</w:t>
            </w:r>
          </w:p>
          <w:p w:rsidR="00B70948" w:rsidRPr="00167300" w:rsidRDefault="00B70948" w:rsidP="006153D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Academic probation should be limited to med school-too broad as written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B70948" w:rsidP="00615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</w:t>
            </w:r>
            <w:r w:rsidR="006153D0" w:rsidRPr="00167300">
              <w:rPr>
                <w:rFonts w:ascii="Arial" w:hAnsi="Arial" w:cs="Arial"/>
              </w:rPr>
              <w:t>(5) Grounds for Complaint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Pr="00167300" w:rsidRDefault="006153D0" w:rsidP="006153D0">
            <w:pPr>
              <w:pStyle w:val="ListParagraph"/>
              <w:numPr>
                <w:ilvl w:val="0"/>
                <w:numId w:val="18"/>
              </w:numPr>
              <w:ind w:right="720"/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Gross and repeated negligence replaced with negligence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18"/>
              </w:numPr>
              <w:ind w:right="720"/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New grounds for discipline added "conduct which is in violation of the ethical standards of the profession”</w:t>
            </w:r>
          </w:p>
        </w:tc>
        <w:tc>
          <w:tcPr>
            <w:tcW w:w="2250" w:type="dxa"/>
          </w:tcPr>
          <w:p w:rsidR="006153D0" w:rsidRDefault="00B70948" w:rsidP="00B7094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Too broad</w:t>
            </w:r>
            <w:r w:rsidR="002110E4">
              <w:rPr>
                <w:rFonts w:ascii="Arial" w:hAnsi="Arial" w:cs="Arial"/>
                <w:i/>
              </w:rPr>
              <w:t xml:space="preserve">: </w:t>
            </w:r>
            <w:r w:rsidR="00E22B1B">
              <w:rPr>
                <w:rFonts w:ascii="Arial" w:hAnsi="Arial" w:cs="Arial"/>
                <w:i/>
              </w:rPr>
              <w:t xml:space="preserve">“Any person, </w:t>
            </w:r>
            <w:r w:rsidR="005D2D0D">
              <w:rPr>
                <w:rFonts w:ascii="Arial" w:hAnsi="Arial" w:cs="Arial"/>
                <w:i/>
              </w:rPr>
              <w:t>organization, or</w:t>
            </w:r>
            <w:r w:rsidR="00E22B1B">
              <w:rPr>
                <w:rFonts w:ascii="Arial" w:hAnsi="Arial" w:cs="Arial"/>
                <w:i/>
              </w:rPr>
              <w:t xml:space="preserve"> member may make a </w:t>
            </w:r>
            <w:r w:rsidR="00E22B1B">
              <w:rPr>
                <w:rFonts w:ascii="Arial" w:hAnsi="Arial" w:cs="Arial"/>
                <w:i/>
              </w:rPr>
              <w:lastRenderedPageBreak/>
              <w:t>complaint to the Board</w:t>
            </w:r>
            <w:r w:rsidR="00544164">
              <w:rPr>
                <w:rFonts w:ascii="Arial" w:hAnsi="Arial" w:cs="Arial"/>
                <w:i/>
              </w:rPr>
              <w:t xml:space="preserve">”. </w:t>
            </w:r>
            <w:r w:rsidR="002110E4">
              <w:rPr>
                <w:rFonts w:ascii="Arial" w:hAnsi="Arial" w:cs="Arial"/>
                <w:i/>
              </w:rPr>
              <w:t>Need to leave in</w:t>
            </w:r>
            <w:r w:rsidR="00E22B1B">
              <w:rPr>
                <w:rFonts w:ascii="Arial" w:hAnsi="Arial" w:cs="Arial"/>
                <w:i/>
              </w:rPr>
              <w:t xml:space="preserve"> “which charges a licensee with misconduct”.</w:t>
            </w:r>
          </w:p>
          <w:p w:rsidR="00B70948" w:rsidRPr="00B70948" w:rsidRDefault="00B70948" w:rsidP="002110E4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F1396F">
            <w:pPr>
              <w:pStyle w:val="NoSpacing"/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  <w:sz w:val="22"/>
                <w:u w:val="single"/>
              </w:rPr>
              <w:lastRenderedPageBreak/>
              <w:t>1</w:t>
            </w:r>
            <w:r w:rsidRPr="00167300">
              <w:rPr>
                <w:rFonts w:ascii="Arial" w:hAnsi="Arial" w:cs="Arial"/>
                <w:sz w:val="22"/>
              </w:rPr>
              <w:t>.05</w:t>
            </w:r>
            <w:r w:rsidRPr="00167300">
              <w:rPr>
                <w:rFonts w:ascii="Arial" w:hAnsi="Arial" w:cs="Arial"/>
                <w:sz w:val="22"/>
              </w:rPr>
              <w:tab/>
              <w:t>Final Decision and Order and Miscellaneous Provisions</w:t>
            </w:r>
          </w:p>
        </w:tc>
        <w:tc>
          <w:tcPr>
            <w:tcW w:w="9083" w:type="dxa"/>
          </w:tcPr>
          <w:p w:rsidR="006153D0" w:rsidRPr="00167300" w:rsidRDefault="006153D0" w:rsidP="00F1396F">
            <w:pPr>
              <w:pStyle w:val="ListParagraph"/>
              <w:numPr>
                <w:ilvl w:val="0"/>
                <w:numId w:val="21"/>
              </w:numPr>
              <w:ind w:right="720"/>
              <w:rPr>
                <w:rFonts w:ascii="Arial" w:hAnsi="Arial" w:cs="Arial"/>
                <w:i/>
              </w:rPr>
            </w:pPr>
            <w:r w:rsidRPr="004F117C">
              <w:rPr>
                <w:rFonts w:ascii="Arial" w:hAnsi="Arial" w:cs="Arial"/>
              </w:rPr>
              <w:t>Require the physician entering into a Probation Agreement as a condition of the stay of an indefinite suspension; and that failure to comply with the Probation Agreement may result in an immediate suspension.</w:t>
            </w: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  <w:tr w:rsidR="00223504" w:rsidRPr="00167300" w:rsidTr="006153D0">
        <w:trPr>
          <w:trHeight w:val="332"/>
        </w:trPr>
        <w:tc>
          <w:tcPr>
            <w:tcW w:w="13698" w:type="dxa"/>
            <w:gridSpan w:val="3"/>
            <w:shd w:val="clear" w:color="auto" w:fill="8DB3E2" w:themeFill="text2" w:themeFillTint="66"/>
          </w:tcPr>
          <w:p w:rsidR="00223504" w:rsidRPr="00167300" w:rsidRDefault="00223504" w:rsidP="006153D0">
            <w:pPr>
              <w:rPr>
                <w:rFonts w:ascii="Arial" w:hAnsi="Arial" w:cs="Arial"/>
                <w:i/>
              </w:rPr>
            </w:pPr>
            <w:r w:rsidRPr="006153D0">
              <w:rPr>
                <w:rFonts w:ascii="Arial" w:hAnsi="Arial" w:cs="Arial"/>
                <w:b/>
              </w:rPr>
              <w:t>243 CMR 3.00 PATIENT CARE ASSESSMENT PROGRAMS</w:t>
            </w:r>
          </w:p>
        </w:tc>
      </w:tr>
      <w:tr w:rsidR="006153D0" w:rsidRPr="00167300" w:rsidTr="006153D0">
        <w:tc>
          <w:tcPr>
            <w:tcW w:w="2365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firstLine="360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9083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left="360" w:right="720" w:hanging="360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6153D0" w:rsidRPr="006153D0" w:rsidRDefault="006153D0" w:rsidP="006153D0">
            <w:pPr>
              <w:ind w:left="360" w:hanging="288"/>
              <w:rPr>
                <w:rFonts w:ascii="Arial" w:hAnsi="Arial" w:cs="Arial"/>
                <w:b/>
              </w:rPr>
            </w:pPr>
            <w:r w:rsidRPr="006153D0">
              <w:rPr>
                <w:rFonts w:ascii="Arial" w:hAnsi="Arial" w:cs="Arial"/>
                <w:b/>
              </w:rPr>
              <w:t>Comments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3.01Scope and Purpose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ind w:right="720"/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Removes applicability to office settings</w:t>
            </w:r>
          </w:p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ind w:right="720"/>
              <w:rPr>
                <w:rFonts w:ascii="Arial" w:hAnsi="Arial" w:cs="Arial"/>
                <w:i/>
              </w:rPr>
            </w:pPr>
            <w:r w:rsidRPr="006153D0">
              <w:rPr>
                <w:rFonts w:ascii="Arial" w:hAnsi="Arial" w:cs="Arial"/>
              </w:rPr>
              <w:t>Removes reference to PCA regulations' role in assisting Board with its disciplinary function</w:t>
            </w: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3.02 Definitions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New Definitions</w:t>
            </w:r>
          </w:p>
          <w:p w:rsidR="006153D0" w:rsidRPr="006153D0" w:rsidRDefault="006153D0" w:rsidP="006153D0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Adverse Event any incident or variation in processes that causes or could potentially cause serious injury or an undesirable patient outcome.</w:t>
            </w:r>
          </w:p>
          <w:p w:rsidR="006153D0" w:rsidRPr="006153D0" w:rsidRDefault="006153D0" w:rsidP="006153D0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Close Call any adverse event that did not affect a patient’s outcome but for which a recurrence carries a significant chance of causing serious injury to a patient.</w:t>
            </w:r>
          </w:p>
          <w:p w:rsidR="006153D0" w:rsidRPr="006153D0" w:rsidRDefault="006153D0" w:rsidP="006153D0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 xml:space="preserve">Serious Reportable Event -  those events required to be reported to DPH under </w:t>
            </w:r>
            <w:hyperlink r:id="rId10" w:history="1">
              <w:r w:rsidRPr="006153D0">
                <w:rPr>
                  <w:rStyle w:val="Hyperlink"/>
                  <w:rFonts w:ascii="Arial" w:hAnsi="Arial" w:cs="Arial"/>
                </w:rPr>
                <w:t>105 CMR 130.332</w:t>
              </w:r>
            </w:hyperlink>
            <w:r w:rsidRPr="006153D0">
              <w:rPr>
                <w:rFonts w:ascii="Arial" w:hAnsi="Arial" w:cs="Arial"/>
              </w:rPr>
              <w:t>.</w:t>
            </w:r>
          </w:p>
          <w:p w:rsidR="006153D0" w:rsidRPr="006153D0" w:rsidRDefault="006153D0" w:rsidP="006153D0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</w:rPr>
            </w:pPr>
          </w:p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Allows a Medical Peer Review Committee to be a nonprofit established by a professional society whose primary purpose is evaluation of and assistance to impaired providers.</w:t>
            </w:r>
          </w:p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Changes definition of “Patient Care Assessment Coordinator” to require the it to be a person in leadership (had previously allowed a Committee to fulfill the role)</w:t>
            </w:r>
          </w:p>
          <w:p w:rsidR="006153D0" w:rsidRP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2250" w:type="dxa"/>
          </w:tcPr>
          <w:p w:rsidR="006153D0" w:rsidRDefault="00E22B1B" w:rsidP="00E22B1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Very broad use of the word adverse event; should reference natl’ std such as NQF</w:t>
            </w:r>
          </w:p>
          <w:p w:rsidR="00E22B1B" w:rsidRPr="00E22B1B" w:rsidRDefault="001827D3" w:rsidP="00E22B1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Close C</w:t>
            </w:r>
            <w:r w:rsidR="00E22B1B">
              <w:rPr>
                <w:rFonts w:ascii="Arial" w:hAnsi="Arial" w:cs="Arial"/>
                <w:i/>
              </w:rPr>
              <w:t>all</w:t>
            </w:r>
            <w:r w:rsidR="00876C2A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as defined too </w:t>
            </w:r>
            <w:r w:rsidR="00876C2A">
              <w:rPr>
                <w:rFonts w:ascii="Arial" w:hAnsi="Arial" w:cs="Arial"/>
                <w:i/>
              </w:rPr>
              <w:t>broad and undefined &gt; unnecessary reporting.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3.03 Establishment and Participating in Patient Care Assessment Programs</w:t>
            </w:r>
          </w:p>
        </w:tc>
        <w:tc>
          <w:tcPr>
            <w:tcW w:w="9083" w:type="dxa"/>
          </w:tcPr>
          <w:p w:rsidR="006153D0" w:rsidRPr="00920545" w:rsidRDefault="006153D0" w:rsidP="006153D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Relates to nursing homes</w:t>
            </w: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 xml:space="preserve">3.05 Patient Care Assessment Program - Credentialing 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FC34C9">
              <w:rPr>
                <w:rFonts w:ascii="Arial" w:hAnsi="Arial" w:cs="Arial"/>
              </w:rPr>
              <w:t xml:space="preserve">Requires physicians to include application for privileges all disciplinary proceedings and all criminal convictions (misdemeanor or felony and all medical malpractice claims in all jurisdictions at any </w:t>
            </w:r>
            <w:r>
              <w:rPr>
                <w:rFonts w:ascii="Arial" w:hAnsi="Arial" w:cs="Arial"/>
              </w:rPr>
              <w:t xml:space="preserve">time </w:t>
            </w:r>
          </w:p>
          <w:p w:rsidR="006153D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FC34C9">
              <w:rPr>
                <w:rFonts w:ascii="Arial" w:hAnsi="Arial" w:cs="Arial"/>
              </w:rPr>
              <w:t>Removes 10 year malpractice look back to now be unlimited</w:t>
            </w:r>
          </w:p>
          <w:p w:rsidR="006153D0" w:rsidRPr="004F117C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117C">
              <w:rPr>
                <w:rFonts w:ascii="Arial" w:hAnsi="Arial" w:cs="Arial"/>
              </w:rPr>
              <w:t xml:space="preserve">removes 10 year </w:t>
            </w:r>
            <w:r>
              <w:rPr>
                <w:rFonts w:ascii="Arial" w:hAnsi="Arial" w:cs="Arial"/>
              </w:rPr>
              <w:t>look back to other healthcare facilities where the applicant had privileges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 w:rsidRPr="00FC34C9">
              <w:rPr>
                <w:rFonts w:ascii="Arial" w:hAnsi="Arial" w:cs="Arial"/>
              </w:rPr>
              <w:t xml:space="preserve">Adds telemedicine credentialing provision, allowing facility to follow the requirement of </w:t>
            </w:r>
            <w:hyperlink r:id="rId11" w:history="1">
              <w:r w:rsidRPr="00FC34C9">
                <w:rPr>
                  <w:rStyle w:val="Hyperlink"/>
                  <w:rFonts w:ascii="Arial" w:hAnsi="Arial" w:cs="Arial"/>
                </w:rPr>
                <w:t>42 CFR 482.12</w:t>
              </w:r>
            </w:hyperlink>
            <w:r w:rsidRPr="00FC34C9">
              <w:rPr>
                <w:rFonts w:ascii="Arial" w:hAnsi="Arial" w:cs="Arial"/>
              </w:rPr>
              <w:t xml:space="preserve"> and </w:t>
            </w:r>
            <w:hyperlink r:id="rId12" w:history="1">
              <w:r w:rsidRPr="00FC34C9">
                <w:rPr>
                  <w:rStyle w:val="Hyperlink"/>
                  <w:rFonts w:ascii="Arial" w:hAnsi="Arial" w:cs="Arial"/>
                </w:rPr>
                <w:t>482.22</w:t>
              </w:r>
            </w:hyperlink>
            <w:r w:rsidRPr="00FC34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</w:tcPr>
          <w:p w:rsidR="006153D0" w:rsidRPr="00876C2A" w:rsidRDefault="00876C2A" w:rsidP="00876C2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Extending beyond the 10 yr reporting period&gt;admin burden. Slow credentialing process&gt;delay pt care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F1396F">
            <w:pPr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3.06 Patient Care Assessment Program – Structure</w:t>
            </w:r>
          </w:p>
        </w:tc>
        <w:tc>
          <w:tcPr>
            <w:tcW w:w="9083" w:type="dxa"/>
          </w:tcPr>
          <w:p w:rsidR="006153D0" w:rsidRPr="00167300" w:rsidRDefault="006153D0" w:rsidP="006153D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</w:rPr>
            </w:pPr>
            <w:r w:rsidRPr="000C61E7">
              <w:rPr>
                <w:rFonts w:ascii="Arial" w:hAnsi="Arial" w:cs="Arial"/>
              </w:rPr>
              <w:t>Eliminates option of having a committee fulfill the duties of the Patient Care Assessment Coordinator</w:t>
            </w: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3.07 Patient Care Assessment Program -  Internal Audits and Internal Incident Reporting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Pr="00F32C64" w:rsidRDefault="006153D0" w:rsidP="006153D0">
            <w:pPr>
              <w:pStyle w:val="ListParagraph"/>
              <w:numPr>
                <w:ilvl w:val="0"/>
                <w:numId w:val="24"/>
              </w:numPr>
              <w:tabs>
                <w:tab w:val="left" w:pos="1816"/>
              </w:tabs>
              <w:rPr>
                <w:rFonts w:ascii="Arial" w:hAnsi="Arial" w:cs="Arial"/>
              </w:rPr>
            </w:pPr>
            <w:r w:rsidRPr="00F32C64">
              <w:rPr>
                <w:rFonts w:ascii="Arial" w:hAnsi="Arial" w:cs="Arial"/>
              </w:rPr>
              <w:t>QPSD of the Board may require facility to add additional incidents to its list of adverse events which must be reported</w:t>
            </w:r>
          </w:p>
          <w:p w:rsidR="006153D0" w:rsidRPr="00F32C64" w:rsidRDefault="006153D0" w:rsidP="006153D0">
            <w:pPr>
              <w:pStyle w:val="ListParagraph"/>
              <w:numPr>
                <w:ilvl w:val="0"/>
                <w:numId w:val="24"/>
              </w:numPr>
              <w:tabs>
                <w:tab w:val="left" w:pos="1816"/>
              </w:tabs>
              <w:rPr>
                <w:rFonts w:ascii="Arial" w:hAnsi="Arial" w:cs="Arial"/>
              </w:rPr>
            </w:pPr>
            <w:r w:rsidRPr="00F32C64">
              <w:rPr>
                <w:rFonts w:ascii="Arial" w:hAnsi="Arial" w:cs="Arial"/>
              </w:rPr>
              <w:t>Internal incident reporting system must allow for the reporting of close calls and other adverse events not on the facility's list of reportable events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24"/>
              </w:numPr>
              <w:tabs>
                <w:tab w:val="left" w:pos="1816"/>
              </w:tabs>
              <w:rPr>
                <w:rFonts w:ascii="Arial" w:hAnsi="Arial" w:cs="Arial"/>
                <w:i/>
              </w:rPr>
            </w:pPr>
            <w:r w:rsidRPr="00F32C64">
              <w:rPr>
                <w:rFonts w:ascii="Arial" w:hAnsi="Arial" w:cs="Arial"/>
              </w:rPr>
              <w:t>Extends retention time of incident reports, summary reports and recommendations to and from Patient Care Assessment Coordinator from 3 years to 10 years</w:t>
            </w:r>
          </w:p>
        </w:tc>
        <w:tc>
          <w:tcPr>
            <w:tcW w:w="2250" w:type="dxa"/>
          </w:tcPr>
          <w:p w:rsidR="006153D0" w:rsidRPr="00876C2A" w:rsidRDefault="00876C2A" w:rsidP="00876C2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i/>
              </w:rPr>
            </w:pPr>
            <w:r w:rsidRPr="00876C2A">
              <w:rPr>
                <w:rFonts w:ascii="Arial" w:hAnsi="Arial" w:cs="Arial"/>
                <w:i/>
              </w:rPr>
              <w:t xml:space="preserve">Similar to comments about </w:t>
            </w:r>
            <w:r w:rsidR="002110E4">
              <w:rPr>
                <w:rFonts w:ascii="Arial" w:hAnsi="Arial" w:cs="Arial"/>
                <w:i/>
              </w:rPr>
              <w:t>“</w:t>
            </w:r>
            <w:r w:rsidRPr="00876C2A">
              <w:rPr>
                <w:rFonts w:ascii="Arial" w:hAnsi="Arial" w:cs="Arial"/>
                <w:i/>
              </w:rPr>
              <w:t>adverse events</w:t>
            </w:r>
            <w:r w:rsidR="002110E4">
              <w:rPr>
                <w:rFonts w:ascii="Arial" w:hAnsi="Arial" w:cs="Arial"/>
                <w:i/>
              </w:rPr>
              <w:t>”</w:t>
            </w:r>
            <w:r w:rsidRPr="00876C2A">
              <w:rPr>
                <w:rFonts w:ascii="Arial" w:hAnsi="Arial" w:cs="Arial"/>
                <w:i/>
              </w:rPr>
              <w:t xml:space="preserve"> and </w:t>
            </w:r>
            <w:r w:rsidR="002110E4">
              <w:rPr>
                <w:rFonts w:ascii="Arial" w:hAnsi="Arial" w:cs="Arial"/>
                <w:i/>
              </w:rPr>
              <w:t>“</w:t>
            </w:r>
            <w:r w:rsidRPr="00876C2A">
              <w:rPr>
                <w:rFonts w:ascii="Arial" w:hAnsi="Arial" w:cs="Arial"/>
                <w:i/>
              </w:rPr>
              <w:t>close calls</w:t>
            </w:r>
            <w:r w:rsidR="002110E4">
              <w:rPr>
                <w:rFonts w:ascii="Arial" w:hAnsi="Arial" w:cs="Arial"/>
                <w:i/>
              </w:rPr>
              <w:t>”</w:t>
            </w:r>
            <w:r w:rsidRPr="00876C2A">
              <w:rPr>
                <w:rFonts w:ascii="Arial" w:hAnsi="Arial" w:cs="Arial"/>
                <w:i/>
              </w:rPr>
              <w:t>. Allows broad discretion to the Board w/o ability of provider to appeal or question the need to report. . No uniform definition or criteria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FE7766" w:rsidRDefault="006153D0" w:rsidP="006153D0">
            <w:pPr>
              <w:rPr>
                <w:rFonts w:ascii="Arial" w:hAnsi="Arial" w:cs="Arial"/>
                <w:i/>
              </w:rPr>
            </w:pPr>
            <w:r w:rsidRPr="00FE7766">
              <w:rPr>
                <w:rFonts w:ascii="Arial" w:hAnsi="Arial" w:cs="Arial"/>
              </w:rPr>
              <w:t>3.08 Patient Care Assessment Program- Reporting to the QPSD</w:t>
            </w:r>
          </w:p>
        </w:tc>
        <w:tc>
          <w:tcPr>
            <w:tcW w:w="9083" w:type="dxa"/>
          </w:tcPr>
          <w:p w:rsidR="006153D0" w:rsidRPr="00FE7766" w:rsidRDefault="006153D0" w:rsidP="006153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Adverse events that have not been reported to DPH as Serious Reportable Events have to be reported to QPSD of the Board:</w:t>
            </w:r>
          </w:p>
          <w:p w:rsidR="006153D0" w:rsidRPr="00FE7766" w:rsidRDefault="006153D0" w:rsidP="006153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“serious injuries” that were unanticipated, including</w:t>
            </w:r>
          </w:p>
          <w:p w:rsidR="006153D0" w:rsidRPr="00FE7766" w:rsidRDefault="006153D0" w:rsidP="006153D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physical or mental impairment substantially limiting one or more major life activities in the short term, which may become a disability if extended long term; substantial change in the patient’s long term risk status</w:t>
            </w:r>
          </w:p>
          <w:p w:rsidR="006153D0" w:rsidRPr="00FE7766" w:rsidRDefault="006153D0" w:rsidP="006153D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loss of a body part</w:t>
            </w:r>
          </w:p>
          <w:p w:rsidR="006153D0" w:rsidRPr="00FE7766" w:rsidRDefault="006153D0" w:rsidP="006153D0">
            <w:pPr>
              <w:pStyle w:val="ListParagraph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major intervention for correction, such as surgery or transfer to a higher level of care.</w:t>
            </w:r>
          </w:p>
          <w:p w:rsidR="006153D0" w:rsidRPr="00FE7766" w:rsidRDefault="006153D0" w:rsidP="006153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E7766">
              <w:rPr>
                <w:rFonts w:ascii="Arial" w:hAnsi="Arial" w:cs="Arial"/>
              </w:rPr>
              <w:t>Name of patient and licensee is not required to be reported unless required by the Board</w:t>
            </w:r>
          </w:p>
          <w:p w:rsidR="006153D0" w:rsidRPr="00FE7766" w:rsidRDefault="006153D0" w:rsidP="006153D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</w:rPr>
            </w:pPr>
            <w:r w:rsidRPr="00FE7766">
              <w:rPr>
                <w:rFonts w:ascii="Arial" w:hAnsi="Arial" w:cs="Arial"/>
              </w:rPr>
              <w:t>Facility may report close calls and other events</w:t>
            </w:r>
          </w:p>
        </w:tc>
        <w:tc>
          <w:tcPr>
            <w:tcW w:w="2250" w:type="dxa"/>
          </w:tcPr>
          <w:p w:rsidR="006153D0" w:rsidRPr="00876C2A" w:rsidRDefault="00876C2A" w:rsidP="00876C2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Fact that pts may be sent to a higher level of care</w:t>
            </w:r>
            <w:r w:rsidR="005D2D0D">
              <w:rPr>
                <w:rFonts w:ascii="Arial" w:hAnsi="Arial" w:cs="Arial"/>
                <w:i/>
              </w:rPr>
              <w:t xml:space="preserve"> despite highest level of care and safety</w:t>
            </w:r>
            <w:r w:rsidR="002110E4">
              <w:rPr>
                <w:rFonts w:ascii="Arial" w:hAnsi="Arial" w:cs="Arial"/>
                <w:i/>
              </w:rPr>
              <w:t xml:space="preserve"> provided</w:t>
            </w:r>
            <w:r w:rsidR="005D2D0D">
              <w:rPr>
                <w:rFonts w:ascii="Arial" w:hAnsi="Arial" w:cs="Arial"/>
                <w:i/>
              </w:rPr>
              <w:t>. No Natl’ evi</w:t>
            </w:r>
            <w:r w:rsidR="001827D3">
              <w:rPr>
                <w:rFonts w:ascii="Arial" w:hAnsi="Arial" w:cs="Arial"/>
                <w:i/>
              </w:rPr>
              <w:t>dence based stds to support proposed requirement</w:t>
            </w:r>
            <w:r w:rsidR="005D2D0D">
              <w:rPr>
                <w:rFonts w:ascii="Arial" w:hAnsi="Arial" w:cs="Arial"/>
                <w:i/>
              </w:rPr>
              <w:t>; when is it inappropriate to transfer to a higher level of ca</w:t>
            </w:r>
            <w:r w:rsidR="002110E4">
              <w:rPr>
                <w:rFonts w:ascii="Arial" w:hAnsi="Arial" w:cs="Arial"/>
                <w:i/>
              </w:rPr>
              <w:t>re?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 xml:space="preserve">3.10 Patient Care Assessment Program – Informed Consent and Patient Rights 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9083" w:type="dxa"/>
          </w:tcPr>
          <w:p w:rsidR="006153D0" w:rsidRDefault="006153D0" w:rsidP="00615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Extensive new requirements regarding informed consent</w:t>
            </w:r>
          </w:p>
          <w:p w:rsidR="006153D0" w:rsidRDefault="006153D0" w:rsidP="006153D0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="Arial" w:hAnsi="Arial" w:cs="Arial"/>
              </w:rPr>
            </w:pPr>
            <w:r w:rsidRPr="00167300">
              <w:rPr>
                <w:rFonts w:ascii="Arial" w:hAnsi="Arial" w:cs="Arial"/>
              </w:rPr>
              <w:t>informed consent must be in writing</w:t>
            </w:r>
            <w:r>
              <w:rPr>
                <w:rFonts w:ascii="Arial" w:hAnsi="Arial" w:cs="Arial"/>
              </w:rPr>
              <w:t xml:space="preserve"> and must be obtained before all </w:t>
            </w:r>
            <w:r w:rsidRPr="00167300">
              <w:rPr>
                <w:rFonts w:ascii="Arial" w:hAnsi="Arial" w:cs="Arial"/>
              </w:rPr>
              <w:t>diagnostic, therapeutic or invasive procedures, medical interventions or treatments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Requires attending physician or primary operator to </w:t>
            </w:r>
            <w:r w:rsidRPr="00167300">
              <w:rPr>
                <w:rFonts w:ascii="Arial" w:hAnsi="Arial" w:cs="Arial"/>
              </w:rPr>
              <w:t>discuss the risks and obtain the written informed consent.</w:t>
            </w:r>
            <w:r>
              <w:rPr>
                <w:rFonts w:ascii="Arial" w:hAnsi="Arial" w:cs="Arial"/>
              </w:rPr>
              <w:t xml:space="preserve"> Other </w:t>
            </w:r>
            <w:r w:rsidRPr="00167300">
              <w:rPr>
                <w:rFonts w:ascii="Arial" w:hAnsi="Arial" w:cs="Arial"/>
              </w:rPr>
              <w:t xml:space="preserve">facility personnel </w:t>
            </w:r>
            <w:r>
              <w:rPr>
                <w:rFonts w:ascii="Arial" w:hAnsi="Arial" w:cs="Arial"/>
              </w:rPr>
              <w:t xml:space="preserve">may </w:t>
            </w:r>
            <w:r w:rsidRPr="00167300">
              <w:rPr>
                <w:rFonts w:ascii="Arial" w:hAnsi="Arial" w:cs="Arial"/>
              </w:rPr>
              <w:t xml:space="preserve">assist in the completion of the written informed consent documentation.  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27"/>
              </w:numPr>
              <w:ind w:righ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67300">
              <w:rPr>
                <w:rFonts w:ascii="Arial" w:hAnsi="Arial" w:cs="Arial"/>
              </w:rPr>
              <w:t>equir</w:t>
            </w:r>
            <w:r>
              <w:rPr>
                <w:rFonts w:ascii="Arial" w:hAnsi="Arial" w:cs="Arial"/>
              </w:rPr>
              <w:t>es</w:t>
            </w:r>
            <w:r w:rsidRPr="00167300">
              <w:rPr>
                <w:rFonts w:ascii="Arial" w:hAnsi="Arial" w:cs="Arial"/>
              </w:rPr>
              <w:t xml:space="preserve"> attending physician/primary operator to inform the patient of who will be participating in the procedure, intervention, treatment including the names of all </w:t>
            </w:r>
            <w:r>
              <w:rPr>
                <w:rFonts w:ascii="Arial" w:hAnsi="Arial" w:cs="Arial"/>
              </w:rPr>
              <w:t>involved in the procedure/surgery</w:t>
            </w:r>
            <w:r w:rsidRPr="00167300">
              <w:rPr>
                <w:rFonts w:ascii="Arial" w:hAnsi="Arial" w:cs="Arial"/>
              </w:rPr>
              <w:t xml:space="preserve"> </w:t>
            </w:r>
          </w:p>
          <w:p w:rsidR="006153D0" w:rsidRPr="00167300" w:rsidRDefault="006153D0" w:rsidP="006153D0">
            <w:pPr>
              <w:pStyle w:val="ListParagraph"/>
              <w:numPr>
                <w:ilvl w:val="0"/>
                <w:numId w:val="27"/>
              </w:numPr>
              <w:ind w:left="720" w:right="720"/>
              <w:rPr>
                <w:rFonts w:ascii="Arial" w:hAnsi="Arial" w:cs="Arial"/>
                <w:i/>
              </w:rPr>
            </w:pPr>
            <w:r w:rsidRPr="006153D0">
              <w:rPr>
                <w:rFonts w:ascii="Arial" w:hAnsi="Arial" w:cs="Arial"/>
              </w:rPr>
              <w:t>Requires patient record to include  documentation of the attending physician’s presence or absence during the procedure, intervention or treatment - including time of absence and who was supervising during the absence</w:t>
            </w:r>
          </w:p>
        </w:tc>
        <w:tc>
          <w:tcPr>
            <w:tcW w:w="2250" w:type="dxa"/>
          </w:tcPr>
          <w:p w:rsidR="006153D0" w:rsidRDefault="005D2D0D" w:rsidP="005D2D0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Entire section needs to be rewritten. Will lead to legal confusion and increased admin time</w:t>
            </w:r>
          </w:p>
          <w:p w:rsidR="005D2D0D" w:rsidRPr="005D2D0D" w:rsidRDefault="005D2D0D" w:rsidP="005D2D0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Each provider to perform informed consent if pt receiving multiple procedures w/in the same facility</w:t>
            </w: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F1396F">
            <w:pPr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3.13 Medical Care Quality – Reporting to the Board – Nursing Homes</w:t>
            </w:r>
          </w:p>
        </w:tc>
        <w:tc>
          <w:tcPr>
            <w:tcW w:w="9083" w:type="dxa"/>
          </w:tcPr>
          <w:p w:rsidR="006153D0" w:rsidRPr="00167300" w:rsidRDefault="006153D0" w:rsidP="006153D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Relates to nursing homes</w:t>
            </w: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  <w:tr w:rsidR="006153D0" w:rsidRPr="00167300" w:rsidTr="006153D0">
        <w:tc>
          <w:tcPr>
            <w:tcW w:w="2365" w:type="dxa"/>
          </w:tcPr>
          <w:p w:rsidR="006153D0" w:rsidRPr="00167300" w:rsidRDefault="006153D0" w:rsidP="00F1396F">
            <w:pPr>
              <w:rPr>
                <w:rFonts w:ascii="Arial" w:hAnsi="Arial" w:cs="Arial"/>
                <w:i/>
              </w:rPr>
            </w:pPr>
            <w:r w:rsidRPr="00167300">
              <w:rPr>
                <w:rFonts w:ascii="Arial" w:hAnsi="Arial" w:cs="Arial"/>
              </w:rPr>
              <w:t>3.14 Qualified Patient Care Assessment Program – Clinics</w:t>
            </w:r>
          </w:p>
        </w:tc>
        <w:tc>
          <w:tcPr>
            <w:tcW w:w="9083" w:type="dxa"/>
          </w:tcPr>
          <w:p w:rsidR="006153D0" w:rsidRPr="00167300" w:rsidRDefault="006153D0" w:rsidP="006153D0">
            <w:pPr>
              <w:rPr>
                <w:rFonts w:ascii="Arial" w:hAnsi="Arial" w:cs="Arial"/>
              </w:rPr>
            </w:pPr>
          </w:p>
          <w:p w:rsidR="006153D0" w:rsidRPr="006153D0" w:rsidRDefault="006153D0" w:rsidP="006153D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153D0">
              <w:rPr>
                <w:rFonts w:ascii="Arial" w:hAnsi="Arial" w:cs="Arial"/>
              </w:rPr>
              <w:t>Deletes PCA requirements related to clinics</w:t>
            </w:r>
          </w:p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  <w:tc>
          <w:tcPr>
            <w:tcW w:w="2250" w:type="dxa"/>
          </w:tcPr>
          <w:p w:rsidR="006153D0" w:rsidRPr="00167300" w:rsidRDefault="006153D0" w:rsidP="006153D0">
            <w:pPr>
              <w:rPr>
                <w:rFonts w:ascii="Arial" w:hAnsi="Arial" w:cs="Arial"/>
                <w:i/>
              </w:rPr>
            </w:pPr>
          </w:p>
        </w:tc>
      </w:tr>
    </w:tbl>
    <w:p w:rsidR="00223504" w:rsidRPr="00167300" w:rsidRDefault="00223504" w:rsidP="006153D0">
      <w:pPr>
        <w:rPr>
          <w:rFonts w:ascii="Arial" w:hAnsi="Arial" w:cs="Arial"/>
          <w:i/>
          <w:sz w:val="22"/>
        </w:rPr>
      </w:pPr>
    </w:p>
    <w:sectPr w:rsidR="00223504" w:rsidRPr="00167300" w:rsidSect="000C61E7">
      <w:footerReference w:type="default" r:id="rId13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EF" w:rsidRDefault="00F85AEF" w:rsidP="002F3EDC">
      <w:r>
        <w:separator/>
      </w:r>
    </w:p>
  </w:endnote>
  <w:endnote w:type="continuationSeparator" w:id="0">
    <w:p w:rsidR="00F85AEF" w:rsidRDefault="00F85AEF" w:rsidP="002F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D5" w:rsidRDefault="00671503">
    <w:pPr>
      <w:pStyle w:val="Footer"/>
      <w:jc w:val="center"/>
    </w:pPr>
    <w:r>
      <w:fldChar w:fldCharType="begin"/>
    </w:r>
    <w:r w:rsidR="00E341E4">
      <w:instrText xml:space="preserve"> PAGE   \* MERGEFORMAT </w:instrText>
    </w:r>
    <w:r>
      <w:fldChar w:fldCharType="separate"/>
    </w:r>
    <w:r w:rsidR="004C54DA">
      <w:rPr>
        <w:noProof/>
      </w:rPr>
      <w:t>1</w:t>
    </w:r>
    <w:r>
      <w:rPr>
        <w:noProof/>
      </w:rPr>
      <w:fldChar w:fldCharType="end"/>
    </w:r>
  </w:p>
  <w:p w:rsidR="001B7E43" w:rsidRDefault="004C5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EF" w:rsidRDefault="00F85AEF" w:rsidP="002F3EDC">
      <w:r>
        <w:separator/>
      </w:r>
    </w:p>
  </w:footnote>
  <w:footnote w:type="continuationSeparator" w:id="0">
    <w:p w:rsidR="00F85AEF" w:rsidRDefault="00F85AEF" w:rsidP="002F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95B"/>
    <w:multiLevelType w:val="hybridMultilevel"/>
    <w:tmpl w:val="211821B8"/>
    <w:lvl w:ilvl="0" w:tplc="CF2EB92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EF9863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7EDA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2C26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1A22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9C52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DE7C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FACC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D43C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01524"/>
    <w:multiLevelType w:val="hybridMultilevel"/>
    <w:tmpl w:val="B002D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1086B"/>
    <w:multiLevelType w:val="hybridMultilevel"/>
    <w:tmpl w:val="08643436"/>
    <w:lvl w:ilvl="0" w:tplc="3A6EE80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C3421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140D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E0DF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80B3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A145B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A4C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B411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4829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F04FE0"/>
    <w:multiLevelType w:val="hybridMultilevel"/>
    <w:tmpl w:val="DE2E34FE"/>
    <w:lvl w:ilvl="0" w:tplc="8F065B0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C8F61F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C8FD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FED7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BC80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B243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ACF0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6E7C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38A0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693996"/>
    <w:multiLevelType w:val="hybridMultilevel"/>
    <w:tmpl w:val="83EC8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7562C0"/>
    <w:multiLevelType w:val="hybridMultilevel"/>
    <w:tmpl w:val="E1B8D428"/>
    <w:lvl w:ilvl="0" w:tplc="822AE69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6AFE0F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5E820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5651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B015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BE39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92AF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5895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A82F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EC3592"/>
    <w:multiLevelType w:val="multilevel"/>
    <w:tmpl w:val="E6921B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AD522A9"/>
    <w:multiLevelType w:val="hybridMultilevel"/>
    <w:tmpl w:val="4A54EC38"/>
    <w:lvl w:ilvl="0" w:tplc="80EC534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0668C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40AF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FE4E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2E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142C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7848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02F9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A418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E328C6"/>
    <w:multiLevelType w:val="hybridMultilevel"/>
    <w:tmpl w:val="6918486C"/>
    <w:lvl w:ilvl="0" w:tplc="BBDC905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BEFC5E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4292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CC8C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F060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6054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4E4C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FA21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3276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44235E"/>
    <w:multiLevelType w:val="hybridMultilevel"/>
    <w:tmpl w:val="9E268464"/>
    <w:lvl w:ilvl="0" w:tplc="2D9E7B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280FD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E881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20B5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86A9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A60C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CCC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0460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300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803AA4"/>
    <w:multiLevelType w:val="hybridMultilevel"/>
    <w:tmpl w:val="52B67D0C"/>
    <w:lvl w:ilvl="0" w:tplc="26862CE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DE8416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E461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165F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E06D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0C46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CEFC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7031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86AA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B62C66"/>
    <w:multiLevelType w:val="hybridMultilevel"/>
    <w:tmpl w:val="DB46CB82"/>
    <w:lvl w:ilvl="0" w:tplc="A68E2EE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D88874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2FE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A3E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6E88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4AEE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ED9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8062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3408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E173C2"/>
    <w:multiLevelType w:val="hybridMultilevel"/>
    <w:tmpl w:val="79924BDC"/>
    <w:lvl w:ilvl="0" w:tplc="1742C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93C144C" w:tentative="1">
      <w:start w:val="1"/>
      <w:numFmt w:val="lowerLetter"/>
      <w:lvlText w:val="%2."/>
      <w:lvlJc w:val="left"/>
      <w:pPr>
        <w:ind w:left="1440" w:hanging="360"/>
      </w:pPr>
    </w:lvl>
    <w:lvl w:ilvl="2" w:tplc="EE0E1D58" w:tentative="1">
      <w:start w:val="1"/>
      <w:numFmt w:val="lowerRoman"/>
      <w:lvlText w:val="%3."/>
      <w:lvlJc w:val="right"/>
      <w:pPr>
        <w:ind w:left="2160" w:hanging="180"/>
      </w:pPr>
    </w:lvl>
    <w:lvl w:ilvl="3" w:tplc="135286D6" w:tentative="1">
      <w:start w:val="1"/>
      <w:numFmt w:val="decimal"/>
      <w:lvlText w:val="%4."/>
      <w:lvlJc w:val="left"/>
      <w:pPr>
        <w:ind w:left="2880" w:hanging="360"/>
      </w:pPr>
    </w:lvl>
    <w:lvl w:ilvl="4" w:tplc="6AE6904C" w:tentative="1">
      <w:start w:val="1"/>
      <w:numFmt w:val="lowerLetter"/>
      <w:lvlText w:val="%5."/>
      <w:lvlJc w:val="left"/>
      <w:pPr>
        <w:ind w:left="3600" w:hanging="360"/>
      </w:pPr>
    </w:lvl>
    <w:lvl w:ilvl="5" w:tplc="2B00E4FA" w:tentative="1">
      <w:start w:val="1"/>
      <w:numFmt w:val="lowerRoman"/>
      <w:lvlText w:val="%6."/>
      <w:lvlJc w:val="right"/>
      <w:pPr>
        <w:ind w:left="4320" w:hanging="180"/>
      </w:pPr>
    </w:lvl>
    <w:lvl w:ilvl="6" w:tplc="0FD4985A" w:tentative="1">
      <w:start w:val="1"/>
      <w:numFmt w:val="decimal"/>
      <w:lvlText w:val="%7."/>
      <w:lvlJc w:val="left"/>
      <w:pPr>
        <w:ind w:left="5040" w:hanging="360"/>
      </w:pPr>
    </w:lvl>
    <w:lvl w:ilvl="7" w:tplc="4B3476B8" w:tentative="1">
      <w:start w:val="1"/>
      <w:numFmt w:val="lowerLetter"/>
      <w:lvlText w:val="%8."/>
      <w:lvlJc w:val="left"/>
      <w:pPr>
        <w:ind w:left="5760" w:hanging="360"/>
      </w:pPr>
    </w:lvl>
    <w:lvl w:ilvl="8" w:tplc="04E2B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C30D7"/>
    <w:multiLevelType w:val="hybridMultilevel"/>
    <w:tmpl w:val="B754B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E31FAF"/>
    <w:multiLevelType w:val="hybridMultilevel"/>
    <w:tmpl w:val="C1C8C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795B13"/>
    <w:multiLevelType w:val="hybridMultilevel"/>
    <w:tmpl w:val="C1AECC16"/>
    <w:lvl w:ilvl="0" w:tplc="2306D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D52E930" w:tentative="1">
      <w:start w:val="1"/>
      <w:numFmt w:val="lowerLetter"/>
      <w:lvlText w:val="%2."/>
      <w:lvlJc w:val="left"/>
      <w:pPr>
        <w:ind w:left="1440" w:hanging="360"/>
      </w:pPr>
    </w:lvl>
    <w:lvl w:ilvl="2" w:tplc="57889132" w:tentative="1">
      <w:start w:val="1"/>
      <w:numFmt w:val="lowerRoman"/>
      <w:lvlText w:val="%3."/>
      <w:lvlJc w:val="right"/>
      <w:pPr>
        <w:ind w:left="2160" w:hanging="180"/>
      </w:pPr>
    </w:lvl>
    <w:lvl w:ilvl="3" w:tplc="D68AE826" w:tentative="1">
      <w:start w:val="1"/>
      <w:numFmt w:val="decimal"/>
      <w:lvlText w:val="%4."/>
      <w:lvlJc w:val="left"/>
      <w:pPr>
        <w:ind w:left="2880" w:hanging="360"/>
      </w:pPr>
    </w:lvl>
    <w:lvl w:ilvl="4" w:tplc="B61AA5E2" w:tentative="1">
      <w:start w:val="1"/>
      <w:numFmt w:val="lowerLetter"/>
      <w:lvlText w:val="%5."/>
      <w:lvlJc w:val="left"/>
      <w:pPr>
        <w:ind w:left="3600" w:hanging="360"/>
      </w:pPr>
    </w:lvl>
    <w:lvl w:ilvl="5" w:tplc="52424428" w:tentative="1">
      <w:start w:val="1"/>
      <w:numFmt w:val="lowerRoman"/>
      <w:lvlText w:val="%6."/>
      <w:lvlJc w:val="right"/>
      <w:pPr>
        <w:ind w:left="4320" w:hanging="180"/>
      </w:pPr>
    </w:lvl>
    <w:lvl w:ilvl="6" w:tplc="0250FFEE" w:tentative="1">
      <w:start w:val="1"/>
      <w:numFmt w:val="decimal"/>
      <w:lvlText w:val="%7."/>
      <w:lvlJc w:val="left"/>
      <w:pPr>
        <w:ind w:left="5040" w:hanging="360"/>
      </w:pPr>
    </w:lvl>
    <w:lvl w:ilvl="7" w:tplc="1A9E855E" w:tentative="1">
      <w:start w:val="1"/>
      <w:numFmt w:val="lowerLetter"/>
      <w:lvlText w:val="%8."/>
      <w:lvlJc w:val="left"/>
      <w:pPr>
        <w:ind w:left="5760" w:hanging="360"/>
      </w:pPr>
    </w:lvl>
    <w:lvl w:ilvl="8" w:tplc="03CAD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B4D05"/>
    <w:multiLevelType w:val="hybridMultilevel"/>
    <w:tmpl w:val="1EAAD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A836A8"/>
    <w:multiLevelType w:val="hybridMultilevel"/>
    <w:tmpl w:val="18E8E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3872EE"/>
    <w:multiLevelType w:val="multilevel"/>
    <w:tmpl w:val="AA02C2A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>
    <w:nsid w:val="578C574E"/>
    <w:multiLevelType w:val="hybridMultilevel"/>
    <w:tmpl w:val="30E08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8E6771"/>
    <w:multiLevelType w:val="multilevel"/>
    <w:tmpl w:val="567415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C52C3C"/>
    <w:multiLevelType w:val="hybridMultilevel"/>
    <w:tmpl w:val="E58AA1B4"/>
    <w:lvl w:ilvl="0" w:tplc="400C9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9C3DAA" w:tentative="1">
      <w:start w:val="1"/>
      <w:numFmt w:val="lowerLetter"/>
      <w:lvlText w:val="%2."/>
      <w:lvlJc w:val="left"/>
      <w:pPr>
        <w:ind w:left="1440" w:hanging="360"/>
      </w:pPr>
    </w:lvl>
    <w:lvl w:ilvl="2" w:tplc="1B1A2340" w:tentative="1">
      <w:start w:val="1"/>
      <w:numFmt w:val="lowerRoman"/>
      <w:lvlText w:val="%3."/>
      <w:lvlJc w:val="right"/>
      <w:pPr>
        <w:ind w:left="2160" w:hanging="180"/>
      </w:pPr>
    </w:lvl>
    <w:lvl w:ilvl="3" w:tplc="D7CC5CEE" w:tentative="1">
      <w:start w:val="1"/>
      <w:numFmt w:val="decimal"/>
      <w:lvlText w:val="%4."/>
      <w:lvlJc w:val="left"/>
      <w:pPr>
        <w:ind w:left="2880" w:hanging="360"/>
      </w:pPr>
    </w:lvl>
    <w:lvl w:ilvl="4" w:tplc="8788FB0C" w:tentative="1">
      <w:start w:val="1"/>
      <w:numFmt w:val="lowerLetter"/>
      <w:lvlText w:val="%5."/>
      <w:lvlJc w:val="left"/>
      <w:pPr>
        <w:ind w:left="3600" w:hanging="360"/>
      </w:pPr>
    </w:lvl>
    <w:lvl w:ilvl="5" w:tplc="BC301FE0" w:tentative="1">
      <w:start w:val="1"/>
      <w:numFmt w:val="lowerRoman"/>
      <w:lvlText w:val="%6."/>
      <w:lvlJc w:val="right"/>
      <w:pPr>
        <w:ind w:left="4320" w:hanging="180"/>
      </w:pPr>
    </w:lvl>
    <w:lvl w:ilvl="6" w:tplc="2B40A5C4" w:tentative="1">
      <w:start w:val="1"/>
      <w:numFmt w:val="decimal"/>
      <w:lvlText w:val="%7."/>
      <w:lvlJc w:val="left"/>
      <w:pPr>
        <w:ind w:left="5040" w:hanging="360"/>
      </w:pPr>
    </w:lvl>
    <w:lvl w:ilvl="7" w:tplc="0492AC58" w:tentative="1">
      <w:start w:val="1"/>
      <w:numFmt w:val="lowerLetter"/>
      <w:lvlText w:val="%8."/>
      <w:lvlJc w:val="left"/>
      <w:pPr>
        <w:ind w:left="5760" w:hanging="360"/>
      </w:pPr>
    </w:lvl>
    <w:lvl w:ilvl="8" w:tplc="2B4E9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733D4"/>
    <w:multiLevelType w:val="hybridMultilevel"/>
    <w:tmpl w:val="972274BE"/>
    <w:lvl w:ilvl="0" w:tplc="2732288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889E76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BE33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E61F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20A3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6876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304A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40A3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5887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FC685D"/>
    <w:multiLevelType w:val="hybridMultilevel"/>
    <w:tmpl w:val="81285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861705"/>
    <w:multiLevelType w:val="hybridMultilevel"/>
    <w:tmpl w:val="C546A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9D637E"/>
    <w:multiLevelType w:val="hybridMultilevel"/>
    <w:tmpl w:val="4236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16C35"/>
    <w:multiLevelType w:val="hybridMultilevel"/>
    <w:tmpl w:val="8078F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5C5952"/>
    <w:multiLevelType w:val="hybridMultilevel"/>
    <w:tmpl w:val="B43AC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F52E2D"/>
    <w:multiLevelType w:val="hybridMultilevel"/>
    <w:tmpl w:val="700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C3C8C"/>
    <w:multiLevelType w:val="hybridMultilevel"/>
    <w:tmpl w:val="1D743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18"/>
  </w:num>
  <w:num w:numId="5">
    <w:abstractNumId w:val="21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  <w:num w:numId="13">
    <w:abstractNumId w:val="22"/>
  </w:num>
  <w:num w:numId="14">
    <w:abstractNumId w:val="10"/>
  </w:num>
  <w:num w:numId="15">
    <w:abstractNumId w:val="3"/>
  </w:num>
  <w:num w:numId="16">
    <w:abstractNumId w:val="9"/>
  </w:num>
  <w:num w:numId="17">
    <w:abstractNumId w:val="17"/>
  </w:num>
  <w:num w:numId="18">
    <w:abstractNumId w:val="23"/>
  </w:num>
  <w:num w:numId="19">
    <w:abstractNumId w:val="14"/>
  </w:num>
  <w:num w:numId="20">
    <w:abstractNumId w:val="28"/>
  </w:num>
  <w:num w:numId="21">
    <w:abstractNumId w:val="27"/>
  </w:num>
  <w:num w:numId="22">
    <w:abstractNumId w:val="26"/>
  </w:num>
  <w:num w:numId="23">
    <w:abstractNumId w:val="13"/>
  </w:num>
  <w:num w:numId="24">
    <w:abstractNumId w:val="4"/>
  </w:num>
  <w:num w:numId="25">
    <w:abstractNumId w:val="19"/>
  </w:num>
  <w:num w:numId="26">
    <w:abstractNumId w:val="24"/>
  </w:num>
  <w:num w:numId="27">
    <w:abstractNumId w:val="1"/>
  </w:num>
  <w:num w:numId="28">
    <w:abstractNumId w:val="2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Layout" w:val="42"/>
    <w:docVar w:name="SWDocIDLocation" w:val="4"/>
  </w:docVars>
  <w:rsids>
    <w:rsidRoot w:val="002F3EDC"/>
    <w:rsid w:val="00024488"/>
    <w:rsid w:val="000A2560"/>
    <w:rsid w:val="000B12B6"/>
    <w:rsid w:val="000C61E7"/>
    <w:rsid w:val="00144E99"/>
    <w:rsid w:val="00167300"/>
    <w:rsid w:val="001827D3"/>
    <w:rsid w:val="002034B6"/>
    <w:rsid w:val="002110E4"/>
    <w:rsid w:val="00223504"/>
    <w:rsid w:val="00265275"/>
    <w:rsid w:val="002F3EDC"/>
    <w:rsid w:val="004553F6"/>
    <w:rsid w:val="004C54DA"/>
    <w:rsid w:val="004F117C"/>
    <w:rsid w:val="00544164"/>
    <w:rsid w:val="005D2D0D"/>
    <w:rsid w:val="005E0173"/>
    <w:rsid w:val="006153D0"/>
    <w:rsid w:val="00671503"/>
    <w:rsid w:val="00674C66"/>
    <w:rsid w:val="0070652D"/>
    <w:rsid w:val="0078015A"/>
    <w:rsid w:val="00844F37"/>
    <w:rsid w:val="00876C2A"/>
    <w:rsid w:val="00920545"/>
    <w:rsid w:val="00994F8F"/>
    <w:rsid w:val="009C413B"/>
    <w:rsid w:val="00B70948"/>
    <w:rsid w:val="00BA3287"/>
    <w:rsid w:val="00C76369"/>
    <w:rsid w:val="00CC5A26"/>
    <w:rsid w:val="00D12224"/>
    <w:rsid w:val="00DF2BAE"/>
    <w:rsid w:val="00E22B1B"/>
    <w:rsid w:val="00E341E4"/>
    <w:rsid w:val="00E44369"/>
    <w:rsid w:val="00EE674F"/>
    <w:rsid w:val="00F1396F"/>
    <w:rsid w:val="00F326E9"/>
    <w:rsid w:val="00F32C64"/>
    <w:rsid w:val="00F85AEF"/>
    <w:rsid w:val="00FC34C9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1B7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7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4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23AE2"/>
    <w:pPr>
      <w:ind w:left="720"/>
      <w:contextualSpacing/>
    </w:pPr>
  </w:style>
  <w:style w:type="paragraph" w:styleId="NoSpacing">
    <w:name w:val="No Spacing"/>
    <w:uiPriority w:val="1"/>
    <w:qFormat/>
    <w:rsid w:val="009C5592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3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1B7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7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4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23AE2"/>
    <w:pPr>
      <w:ind w:left="720"/>
      <w:contextualSpacing/>
    </w:pPr>
  </w:style>
  <w:style w:type="paragraph" w:styleId="NoSpacing">
    <w:name w:val="No Spacing"/>
    <w:uiPriority w:val="1"/>
    <w:qFormat/>
    <w:rsid w:val="009C5592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3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eohhs/docs/dph/regs/105cmr130.pdf"/>
  <Relationship Id="rId11" Type="http://schemas.openxmlformats.org/officeDocument/2006/relationships/hyperlink" TargetMode="External" Target="https://www.law.cornell.edu/cfr/text/42/482.12"/>
  <Relationship Id="rId12" Type="http://schemas.openxmlformats.org/officeDocument/2006/relationships/hyperlink" TargetMode="External" Target="https://www.law.cornell.edu/cfr/text/42/482.22"/>
  <Relationship Id="rId13" Type="http://schemas.openxmlformats.org/officeDocument/2006/relationships/footer" Target="foot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ass.gov/eohhs/docs/borim/proposed-regs/243-cmr-1.docx"/>
  <Relationship Id="rId9" Type="http://schemas.openxmlformats.org/officeDocument/2006/relationships/hyperlink" TargetMode="External" Target="http://www.mass.gov/eohhs/docs/borim/proposed-regs/243-cmr-3.doc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2017-03-06T16:20:00Z</dcterms:created>
  <dc:creator>John Erwin</dc:creator>
  <lastModifiedBy/>
  <lastPrinted>2017-02-28T19:20:00Z</lastPrinted>
  <dcterms:modified xsi:type="dcterms:W3CDTF">2017-03-06T16:20:00Z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47547128v.1</vt:lpwstr>
  </property>
</Properties>
</file>