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A90" w14:textId="77777777" w:rsidR="00736F5A" w:rsidRDefault="00F0274F">
      <w:pPr>
        <w:spacing w:before="79"/>
        <w:ind w:left="7193" w:right="114" w:hanging="802"/>
        <w:jc w:val="both"/>
        <w:rPr>
          <w:rFonts w:ascii="Cambria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995ABA" wp14:editId="03995ABB">
            <wp:simplePos x="0" y="0"/>
            <wp:positionH relativeFrom="page">
              <wp:posOffset>685800</wp:posOffset>
            </wp:positionH>
            <wp:positionV relativeFrom="paragraph">
              <wp:posOffset>50319</wp:posOffset>
            </wp:positionV>
            <wp:extent cx="1721485" cy="7759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2D3092"/>
        </w:rPr>
        <w:t>The</w:t>
      </w:r>
      <w:r>
        <w:rPr>
          <w:rFonts w:ascii="Cambria"/>
          <w:b/>
          <w:color w:val="2D3092"/>
          <w:spacing w:val="-13"/>
        </w:rPr>
        <w:t xml:space="preserve"> </w:t>
      </w:r>
      <w:r>
        <w:rPr>
          <w:rFonts w:ascii="Cambria"/>
          <w:b/>
          <w:color w:val="2D3092"/>
        </w:rPr>
        <w:t>Commonwealth</w:t>
      </w:r>
      <w:r>
        <w:rPr>
          <w:rFonts w:ascii="Cambria"/>
          <w:b/>
          <w:color w:val="2D3092"/>
          <w:spacing w:val="-11"/>
        </w:rPr>
        <w:t xml:space="preserve"> </w:t>
      </w:r>
      <w:r>
        <w:rPr>
          <w:rFonts w:ascii="Cambria"/>
          <w:b/>
          <w:color w:val="2D3092"/>
        </w:rPr>
        <w:t>of</w:t>
      </w:r>
      <w:r>
        <w:rPr>
          <w:rFonts w:ascii="Cambria"/>
          <w:b/>
          <w:color w:val="2D3092"/>
          <w:spacing w:val="-12"/>
        </w:rPr>
        <w:t xml:space="preserve"> </w:t>
      </w:r>
      <w:r>
        <w:rPr>
          <w:rFonts w:ascii="Cambria"/>
          <w:b/>
          <w:color w:val="2D3092"/>
        </w:rPr>
        <w:t>Massachusetts Operational</w:t>
      </w:r>
      <w:r>
        <w:rPr>
          <w:rFonts w:ascii="Cambria"/>
          <w:b/>
          <w:color w:val="2D3092"/>
          <w:spacing w:val="-13"/>
        </w:rPr>
        <w:t xml:space="preserve"> </w:t>
      </w:r>
      <w:r>
        <w:rPr>
          <w:rFonts w:ascii="Cambria"/>
          <w:b/>
          <w:color w:val="2D3092"/>
        </w:rPr>
        <w:t>Services</w:t>
      </w:r>
      <w:r>
        <w:rPr>
          <w:rFonts w:ascii="Cambria"/>
          <w:b/>
          <w:color w:val="2D3092"/>
          <w:spacing w:val="-12"/>
        </w:rPr>
        <w:t xml:space="preserve"> </w:t>
      </w:r>
      <w:r>
        <w:rPr>
          <w:rFonts w:ascii="Cambria"/>
          <w:b/>
          <w:color w:val="2D3092"/>
        </w:rPr>
        <w:t>Division Office</w:t>
      </w:r>
      <w:r>
        <w:rPr>
          <w:rFonts w:ascii="Cambria"/>
          <w:b/>
          <w:color w:val="2D3092"/>
          <w:spacing w:val="-4"/>
        </w:rPr>
        <w:t xml:space="preserve"> </w:t>
      </w:r>
      <w:r>
        <w:rPr>
          <w:rFonts w:ascii="Cambria"/>
          <w:b/>
          <w:color w:val="2D3092"/>
        </w:rPr>
        <w:t>of</w:t>
      </w:r>
      <w:r>
        <w:rPr>
          <w:rFonts w:ascii="Cambria"/>
          <w:b/>
          <w:color w:val="2D3092"/>
          <w:spacing w:val="-3"/>
        </w:rPr>
        <w:t xml:space="preserve"> </w:t>
      </w:r>
      <w:r>
        <w:rPr>
          <w:rFonts w:ascii="Cambria"/>
          <w:b/>
          <w:color w:val="2D3092"/>
        </w:rPr>
        <w:t>Vehicle</w:t>
      </w:r>
      <w:r>
        <w:rPr>
          <w:rFonts w:ascii="Cambria"/>
          <w:b/>
          <w:color w:val="2D3092"/>
          <w:spacing w:val="-6"/>
        </w:rPr>
        <w:t xml:space="preserve"> </w:t>
      </w:r>
      <w:r>
        <w:rPr>
          <w:rFonts w:ascii="Cambria"/>
          <w:b/>
          <w:color w:val="2D3092"/>
          <w:spacing w:val="-2"/>
        </w:rPr>
        <w:t>Management</w:t>
      </w:r>
    </w:p>
    <w:p w14:paraId="03995A91" w14:textId="27F8EC72" w:rsidR="00736F5A" w:rsidRDefault="00F0274F">
      <w:pPr>
        <w:pStyle w:val="Title"/>
      </w:pPr>
      <w:r>
        <w:t>Glass</w:t>
      </w:r>
      <w:r>
        <w:rPr>
          <w:spacing w:val="-4"/>
        </w:rPr>
        <w:t xml:space="preserve"> </w:t>
      </w:r>
      <w:r>
        <w:rPr>
          <w:spacing w:val="-2"/>
        </w:rPr>
        <w:t>Overview</w:t>
      </w:r>
    </w:p>
    <w:p w14:paraId="03995A92" w14:textId="77777777" w:rsidR="00736F5A" w:rsidRDefault="00736F5A">
      <w:pPr>
        <w:pStyle w:val="BodyText"/>
        <w:rPr>
          <w:rFonts w:ascii="Cambria"/>
          <w:b/>
          <w:sz w:val="20"/>
        </w:rPr>
      </w:pPr>
    </w:p>
    <w:p w14:paraId="03995A93" w14:textId="77777777" w:rsidR="00736F5A" w:rsidRDefault="00736F5A">
      <w:pPr>
        <w:pStyle w:val="BodyText"/>
        <w:spacing w:before="2"/>
        <w:rPr>
          <w:rFonts w:ascii="Cambria"/>
          <w:b/>
          <w:sz w:val="25"/>
        </w:rPr>
      </w:pPr>
    </w:p>
    <w:p w14:paraId="2AD692D0" w14:textId="77777777" w:rsidR="00001D90" w:rsidRDefault="00F0274F" w:rsidP="00F822C0">
      <w:pPr>
        <w:spacing w:before="56" w:line="276" w:lineRule="auto"/>
        <w:ind w:right="205"/>
      </w:pPr>
      <w:r w:rsidRPr="00F822C0">
        <w:rPr>
          <w:b/>
        </w:rPr>
        <w:t>Glass</w:t>
      </w:r>
      <w:r w:rsidRPr="00F822C0">
        <w:rPr>
          <w:b/>
          <w:spacing w:val="-2"/>
        </w:rPr>
        <w:t xml:space="preserve"> </w:t>
      </w:r>
      <w:r w:rsidRPr="00F822C0">
        <w:rPr>
          <w:b/>
        </w:rPr>
        <w:t>Damage</w:t>
      </w:r>
      <w:r w:rsidRPr="00F822C0">
        <w:rPr>
          <w:b/>
          <w:spacing w:val="-3"/>
        </w:rPr>
        <w:t xml:space="preserve"> </w:t>
      </w:r>
      <w:r w:rsidRPr="00F822C0">
        <w:rPr>
          <w:b/>
        </w:rPr>
        <w:t>or</w:t>
      </w:r>
      <w:r w:rsidRPr="00F822C0">
        <w:rPr>
          <w:b/>
          <w:spacing w:val="-4"/>
        </w:rPr>
        <w:t xml:space="preserve"> </w:t>
      </w:r>
      <w:r w:rsidRPr="00F822C0">
        <w:rPr>
          <w:b/>
        </w:rPr>
        <w:t>Replacement:</w:t>
      </w:r>
      <w:r w:rsidR="001276B3" w:rsidRPr="00F822C0">
        <w:rPr>
          <w:b/>
          <w:spacing w:val="40"/>
        </w:rPr>
        <w:t xml:space="preserve">  </w:t>
      </w:r>
      <w:r w:rsidR="001276B3">
        <w:t xml:space="preserve">Effective 7/1/2022, </w:t>
      </w:r>
      <w:r w:rsidR="00492870">
        <w:t>auto g</w:t>
      </w:r>
      <w:r>
        <w:t>lass</w:t>
      </w:r>
      <w:r w:rsidRPr="00F822C0">
        <w:rPr>
          <w:spacing w:val="-2"/>
        </w:rPr>
        <w:t xml:space="preserve"> </w:t>
      </w:r>
      <w:r>
        <w:t>repair</w:t>
      </w:r>
      <w:r w:rsidRPr="00F822C0">
        <w:rPr>
          <w:spacing w:val="-2"/>
        </w:rPr>
        <w:t xml:space="preserve"> </w:t>
      </w:r>
      <w:r>
        <w:t>and</w:t>
      </w:r>
      <w:r w:rsidRPr="00F822C0">
        <w:rPr>
          <w:spacing w:val="-4"/>
        </w:rPr>
        <w:t xml:space="preserve"> </w:t>
      </w:r>
      <w:r>
        <w:t>replacement</w:t>
      </w:r>
      <w:r w:rsidRPr="00F822C0">
        <w:rPr>
          <w:spacing w:val="-2"/>
        </w:rPr>
        <w:t xml:space="preserve"> </w:t>
      </w:r>
      <w:r w:rsidR="00FA0C8F">
        <w:rPr>
          <w:spacing w:val="-2"/>
        </w:rPr>
        <w:t>will be</w:t>
      </w:r>
      <w:r w:rsidRPr="00F822C0">
        <w:rPr>
          <w:spacing w:val="-4"/>
        </w:rPr>
        <w:t xml:space="preserve"> </w:t>
      </w:r>
      <w:r w:rsidR="00D22021">
        <w:t>managed</w:t>
      </w:r>
      <w:r w:rsidRPr="00F822C0">
        <w:rPr>
          <w:spacing w:val="-3"/>
        </w:rPr>
        <w:t xml:space="preserve"> </w:t>
      </w:r>
      <w:r>
        <w:t>by</w:t>
      </w:r>
      <w:r w:rsidRPr="00F822C0">
        <w:rPr>
          <w:spacing w:val="-2"/>
        </w:rPr>
        <w:t xml:space="preserve"> </w:t>
      </w:r>
      <w:r w:rsidR="001276B3" w:rsidRPr="00F822C0">
        <w:rPr>
          <w:spacing w:val="-2"/>
        </w:rPr>
        <w:t>Fleet Response</w:t>
      </w:r>
      <w:r w:rsidR="00395C78" w:rsidRPr="00F822C0">
        <w:rPr>
          <w:spacing w:val="-2"/>
        </w:rPr>
        <w:t xml:space="preserve"> </w:t>
      </w:r>
      <w:r w:rsidR="00FA0C8F">
        <w:rPr>
          <w:spacing w:val="-2"/>
        </w:rPr>
        <w:t>through</w:t>
      </w:r>
      <w:r w:rsidRPr="00F822C0">
        <w:rPr>
          <w:spacing w:val="-2"/>
        </w:rPr>
        <w:t xml:space="preserve"> </w:t>
      </w:r>
      <w:r>
        <w:t>Statewide Contract VEH1</w:t>
      </w:r>
      <w:r w:rsidR="00395C78">
        <w:t>1</w:t>
      </w:r>
      <w:r>
        <w:t>3.</w:t>
      </w:r>
      <w:r w:rsidR="00E95DCE">
        <w:t xml:space="preserve">  The </w:t>
      </w:r>
      <w:r w:rsidR="000B6A63">
        <w:t xml:space="preserve">VEH103 </w:t>
      </w:r>
      <w:r w:rsidR="005B75A1">
        <w:t xml:space="preserve">contract for </w:t>
      </w:r>
      <w:r w:rsidR="00E95DCE">
        <w:t>Glass/Windshields</w:t>
      </w:r>
      <w:r w:rsidR="00B23493">
        <w:t xml:space="preserve"> will be allowed to</w:t>
      </w:r>
      <w:r w:rsidR="001E74F8">
        <w:t xml:space="preserve"> </w:t>
      </w:r>
      <w:r w:rsidR="00537672">
        <w:t>expire</w:t>
      </w:r>
      <w:r w:rsidR="001E74F8">
        <w:t xml:space="preserve"> </w:t>
      </w:r>
      <w:r w:rsidR="000E6137">
        <w:t xml:space="preserve">on </w:t>
      </w:r>
      <w:r w:rsidR="001E74F8">
        <w:t>6/30/</w:t>
      </w:r>
      <w:r w:rsidR="009C4178">
        <w:t>20</w:t>
      </w:r>
      <w:r w:rsidR="001E74F8">
        <w:t>22</w:t>
      </w:r>
      <w:r w:rsidR="001E74F8" w:rsidRPr="00A12539">
        <w:t>.</w:t>
      </w:r>
      <w:r w:rsidR="00256E62" w:rsidRPr="00A12539">
        <w:t xml:space="preserve">  </w:t>
      </w:r>
    </w:p>
    <w:p w14:paraId="5F91B0CF" w14:textId="77777777" w:rsidR="0092059D" w:rsidRDefault="0092059D" w:rsidP="00DE06B0">
      <w:pPr>
        <w:spacing w:before="56" w:line="276" w:lineRule="auto"/>
        <w:ind w:right="205"/>
      </w:pPr>
    </w:p>
    <w:p w14:paraId="3DE829B7" w14:textId="7338D448" w:rsidR="00024127" w:rsidRDefault="009F19B4" w:rsidP="00DE06B0">
      <w:pPr>
        <w:spacing w:before="56" w:line="276" w:lineRule="auto"/>
        <w:ind w:right="205"/>
      </w:pPr>
      <w:r>
        <w:t>This is a guidance document for OVM managed vehicles only.  Agencies enrolled with OVM should experience</w:t>
      </w:r>
      <w:r w:rsidR="0092059D">
        <w:t xml:space="preserve"> a seamless transition of services from one contract to the other.</w:t>
      </w:r>
    </w:p>
    <w:p w14:paraId="6634BB40" w14:textId="10007213" w:rsidR="0092059D" w:rsidRDefault="0092059D" w:rsidP="00DE06B0">
      <w:pPr>
        <w:spacing w:before="56" w:line="276" w:lineRule="auto"/>
        <w:ind w:right="205"/>
      </w:pPr>
    </w:p>
    <w:p w14:paraId="7C2504FC" w14:textId="1807D9DC" w:rsidR="0092059D" w:rsidRDefault="0092059D" w:rsidP="00DE06B0">
      <w:pPr>
        <w:spacing w:before="56" w:line="276" w:lineRule="auto"/>
        <w:ind w:right="205"/>
      </w:pPr>
      <w:r>
        <w:t xml:space="preserve">Agencies should follow the option below which best describes their situation.  Please direct process questions to OVM via </w:t>
      </w:r>
      <w:hyperlink r:id="rId6" w:history="1">
        <w:r w:rsidR="00244688" w:rsidRPr="001A7069">
          <w:rPr>
            <w:rStyle w:val="Hyperlink"/>
          </w:rPr>
          <w:t>osdovmmaintenance@mass.gov</w:t>
        </w:r>
      </w:hyperlink>
      <w:r w:rsidR="00703421">
        <w:t>.</w:t>
      </w:r>
    </w:p>
    <w:p w14:paraId="444DDE27" w14:textId="45CE8765" w:rsidR="00DA559F" w:rsidRPr="00BC7996" w:rsidRDefault="00DA559F" w:rsidP="00244688">
      <w:pPr>
        <w:spacing w:before="56" w:line="276" w:lineRule="auto"/>
        <w:ind w:right="205"/>
      </w:pPr>
    </w:p>
    <w:p w14:paraId="480EDBFC" w14:textId="54244C7A" w:rsidR="00AA7255" w:rsidRDefault="00391F3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2805"/>
      </w:pPr>
      <w:r>
        <w:rPr>
          <w:b/>
          <w:bCs/>
        </w:rPr>
        <w:pict w14:anchorId="03995AB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38.9pt;margin-top:12.95pt;width:124.45pt;height:74.3pt;z-index:15729152;mso-position-horizontal-relative:page" filled="f" strokecolor="#c00000" strokeweight="1pt">
            <v:textbox inset="0,0,0,0">
              <w:txbxContent>
                <w:p w14:paraId="03995ABE" w14:textId="77777777" w:rsidR="00736F5A" w:rsidRDefault="00736F5A">
                  <w:pPr>
                    <w:pStyle w:val="BodyText"/>
                  </w:pPr>
                </w:p>
                <w:p w14:paraId="03995AC2" w14:textId="77777777" w:rsidR="00736F5A" w:rsidRDefault="00F0274F" w:rsidP="00717229">
                  <w:pPr>
                    <w:pStyle w:val="BodyText"/>
                    <w:spacing w:before="147"/>
                    <w:ind w:right="406"/>
                    <w:jc w:val="center"/>
                  </w:pPr>
                  <w:r>
                    <w:t>Fleet</w:t>
                  </w:r>
                  <w:r>
                    <w:rPr>
                      <w:spacing w:val="-2"/>
                    </w:rPr>
                    <w:t xml:space="preserve"> Response</w:t>
                  </w:r>
                </w:p>
                <w:p w14:paraId="03995AC3" w14:textId="546BB8C1" w:rsidR="00736F5A" w:rsidRDefault="00F0274F" w:rsidP="00717229">
                  <w:pPr>
                    <w:spacing w:before="1"/>
                    <w:ind w:right="406"/>
                    <w:jc w:val="center"/>
                    <w:rPr>
                      <w:b/>
                      <w:color w:val="C00000"/>
                      <w:spacing w:val="-4"/>
                      <w:sz w:val="24"/>
                    </w:rPr>
                  </w:pPr>
                  <w:r>
                    <w:rPr>
                      <w:b/>
                      <w:color w:val="C00000"/>
                      <w:spacing w:val="-2"/>
                      <w:sz w:val="24"/>
                    </w:rPr>
                    <w:t>1-800-338-</w:t>
                  </w:r>
                  <w:r>
                    <w:rPr>
                      <w:b/>
                      <w:color w:val="C00000"/>
                      <w:spacing w:val="-4"/>
                      <w:sz w:val="24"/>
                    </w:rPr>
                    <w:t>0619</w:t>
                  </w:r>
                </w:p>
                <w:p w14:paraId="439B9F27" w14:textId="4435693E" w:rsidR="002F435F" w:rsidRDefault="002F435F">
                  <w:pPr>
                    <w:spacing w:before="1"/>
                    <w:ind w:left="407" w:right="406"/>
                    <w:jc w:val="center"/>
                    <w:rPr>
                      <w:b/>
                      <w:color w:val="C00000"/>
                      <w:spacing w:val="-4"/>
                      <w:sz w:val="24"/>
                    </w:rPr>
                  </w:pPr>
                </w:p>
                <w:p w14:paraId="501353B4" w14:textId="107EF49D" w:rsidR="002F435F" w:rsidRDefault="002F435F">
                  <w:pPr>
                    <w:spacing w:before="1"/>
                    <w:ind w:left="407" w:right="406"/>
                    <w:jc w:val="center"/>
                    <w:rPr>
                      <w:b/>
                      <w:color w:val="C00000"/>
                      <w:spacing w:val="-4"/>
                      <w:sz w:val="24"/>
                    </w:rPr>
                  </w:pPr>
                </w:p>
                <w:p w14:paraId="717AE4CD" w14:textId="12A88E67" w:rsidR="002F435F" w:rsidRDefault="002F435F">
                  <w:pPr>
                    <w:spacing w:before="1"/>
                    <w:ind w:left="407" w:right="406"/>
                    <w:jc w:val="center"/>
                    <w:rPr>
                      <w:b/>
                      <w:color w:val="C00000"/>
                      <w:spacing w:val="-4"/>
                      <w:sz w:val="24"/>
                    </w:rPr>
                  </w:pPr>
                </w:p>
                <w:p w14:paraId="676BB7B1" w14:textId="2A72FCEF" w:rsidR="002F435F" w:rsidRDefault="002F435F">
                  <w:pPr>
                    <w:spacing w:before="1"/>
                    <w:ind w:left="407" w:right="406"/>
                    <w:jc w:val="center"/>
                    <w:rPr>
                      <w:b/>
                      <w:color w:val="C00000"/>
                      <w:spacing w:val="-4"/>
                      <w:sz w:val="24"/>
                    </w:rPr>
                  </w:pPr>
                </w:p>
                <w:p w14:paraId="185E2B6D" w14:textId="6FB4BCD3" w:rsidR="002F435F" w:rsidRDefault="002F435F">
                  <w:pPr>
                    <w:spacing w:before="1"/>
                    <w:ind w:left="407" w:right="406"/>
                    <w:jc w:val="center"/>
                    <w:rPr>
                      <w:b/>
                      <w:color w:val="C00000"/>
                      <w:spacing w:val="-4"/>
                      <w:sz w:val="24"/>
                    </w:rPr>
                  </w:pPr>
                </w:p>
                <w:p w14:paraId="03BCEEC1" w14:textId="77777777" w:rsidR="002F435F" w:rsidRDefault="002F435F">
                  <w:pPr>
                    <w:spacing w:before="1"/>
                    <w:ind w:left="407" w:right="406"/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7127DC" w:rsidRPr="00E4795E">
        <w:rPr>
          <w:b/>
          <w:bCs/>
        </w:rPr>
        <w:t>Glass Only</w:t>
      </w:r>
      <w:r w:rsidR="007127DC">
        <w:t xml:space="preserve"> </w:t>
      </w:r>
      <w:r w:rsidR="00755D2B">
        <w:t>–</w:t>
      </w:r>
      <w:r w:rsidR="007127DC">
        <w:t xml:space="preserve"> </w:t>
      </w:r>
      <w:r w:rsidR="00755D2B">
        <w:t xml:space="preserve">Driver </w:t>
      </w:r>
      <w:r w:rsidR="00120343" w:rsidRPr="001C5727">
        <w:rPr>
          <w:b/>
          <w:bCs/>
          <w:u w:val="single"/>
        </w:rPr>
        <w:t>must</w:t>
      </w:r>
      <w:r w:rsidR="00120343">
        <w:t xml:space="preserve"> </w:t>
      </w:r>
      <w:r w:rsidR="00755D2B">
        <w:t xml:space="preserve">call </w:t>
      </w:r>
      <w:r w:rsidR="00D90D59">
        <w:t xml:space="preserve">the </w:t>
      </w:r>
      <w:r w:rsidR="00755D2B">
        <w:t xml:space="preserve">Fleet Response </w:t>
      </w:r>
      <w:r w:rsidR="00DE6E94">
        <w:t xml:space="preserve">toll-free number, listen to </w:t>
      </w:r>
      <w:r w:rsidR="00840BC9">
        <w:t xml:space="preserve">the </w:t>
      </w:r>
      <w:r w:rsidR="008356E1">
        <w:t>menu options</w:t>
      </w:r>
      <w:r w:rsidR="00F44BA0">
        <w:t>,</w:t>
      </w:r>
      <w:r w:rsidR="00DE6E94">
        <w:t xml:space="preserve"> and select Glass.  </w:t>
      </w:r>
      <w:r w:rsidR="004C5617">
        <w:t>The c</w:t>
      </w:r>
      <w:r w:rsidR="00120343">
        <w:t xml:space="preserve">all </w:t>
      </w:r>
      <w:r w:rsidR="004A1C6C">
        <w:t>is</w:t>
      </w:r>
      <w:r w:rsidR="00120343">
        <w:t xml:space="preserve"> routed</w:t>
      </w:r>
      <w:r w:rsidR="00D90D59">
        <w:t xml:space="preserve"> </w:t>
      </w:r>
      <w:r w:rsidR="00120343">
        <w:t>to Safelite who take</w:t>
      </w:r>
      <w:r w:rsidR="003C2E56">
        <w:t>s</w:t>
      </w:r>
      <w:r w:rsidR="00120343">
        <w:t xml:space="preserve"> the claim and coordinates the repair with the driver</w:t>
      </w:r>
      <w:r w:rsidR="003C2E56">
        <w:t xml:space="preserve"> at a </w:t>
      </w:r>
      <w:r w:rsidR="00D82ABB">
        <w:t xml:space="preserve">Safelite </w:t>
      </w:r>
      <w:r w:rsidR="003C2E56">
        <w:t>location.  Safelite bills Fleet Response directly.  Fleet Response bills the Agency thr</w:t>
      </w:r>
      <w:r w:rsidR="008C5E13">
        <w:t>ough</w:t>
      </w:r>
      <w:r w:rsidR="00AA5644">
        <w:t xml:space="preserve"> the regular monthly invoice process.  No </w:t>
      </w:r>
      <w:r w:rsidR="008E4C42">
        <w:t>p</w:t>
      </w:r>
      <w:r w:rsidR="00AA5644">
        <w:t xml:space="preserve">urchase </w:t>
      </w:r>
      <w:r w:rsidR="008E4C42">
        <w:t>o</w:t>
      </w:r>
      <w:r w:rsidR="00AA5644">
        <w:t>rder</w:t>
      </w:r>
      <w:r w:rsidR="000A3A63">
        <w:t xml:space="preserve"> </w:t>
      </w:r>
      <w:r w:rsidR="004D66E2">
        <w:t>or billing information is needed</w:t>
      </w:r>
      <w:r w:rsidR="0066054D">
        <w:t xml:space="preserve"> from the Agency</w:t>
      </w:r>
      <w:r w:rsidR="004D66E2">
        <w:t>.</w:t>
      </w:r>
      <w:r w:rsidR="000A3A63">
        <w:t xml:space="preserve">  </w:t>
      </w:r>
    </w:p>
    <w:p w14:paraId="03995A96" w14:textId="7FBA1578" w:rsidR="00736F5A" w:rsidRDefault="00F26CDB" w:rsidP="00AA7255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76" w:lineRule="auto"/>
        <w:ind w:right="2805"/>
      </w:pPr>
      <w:r>
        <w:t xml:space="preserve">NOTE:  The Driver </w:t>
      </w:r>
      <w:r w:rsidR="003758AD">
        <w:t>may not</w:t>
      </w:r>
      <w:r>
        <w:t xml:space="preserve"> go directly to </w:t>
      </w:r>
      <w:r w:rsidR="003758AD">
        <w:t>a</w:t>
      </w:r>
      <w:r>
        <w:t xml:space="preserve"> Safelite location for </w:t>
      </w:r>
      <w:r w:rsidR="00CE78B2">
        <w:t>service</w:t>
      </w:r>
      <w:r>
        <w:t xml:space="preserve">; </w:t>
      </w:r>
      <w:r w:rsidRPr="008050A9">
        <w:t xml:space="preserve">they </w:t>
      </w:r>
      <w:r w:rsidR="00A6745B" w:rsidRPr="008050A9">
        <w:t xml:space="preserve">first </w:t>
      </w:r>
      <w:r w:rsidR="00A6745B" w:rsidRPr="008050A9">
        <w:rPr>
          <w:b/>
          <w:bCs/>
          <w:u w:val="single"/>
        </w:rPr>
        <w:t>must</w:t>
      </w:r>
      <w:r w:rsidR="00CE78B2" w:rsidRPr="008050A9">
        <w:t xml:space="preserve"> </w:t>
      </w:r>
      <w:r w:rsidRPr="008050A9">
        <w:t>call Fleet Response</w:t>
      </w:r>
      <w:r w:rsidR="009304CD" w:rsidRPr="008050A9">
        <w:t xml:space="preserve"> who will order the required materials</w:t>
      </w:r>
      <w:r w:rsidR="009304CD">
        <w:t xml:space="preserve"> an</w:t>
      </w:r>
      <w:r w:rsidR="00581913">
        <w:t xml:space="preserve">d schedule time to perform the work.  </w:t>
      </w:r>
      <w:r w:rsidR="00B40614">
        <w:t xml:space="preserve">Work performed outside of the </w:t>
      </w:r>
      <w:r w:rsidR="00F33F67">
        <w:t>above-described</w:t>
      </w:r>
      <w:r w:rsidR="002C2D37">
        <w:t xml:space="preserve"> process may result in improper billing or o</w:t>
      </w:r>
      <w:r w:rsidR="0050024D">
        <w:t>ut</w:t>
      </w:r>
      <w:r w:rsidR="002C2D37">
        <w:t>-</w:t>
      </w:r>
      <w:r w:rsidR="0050024D">
        <w:t>of</w:t>
      </w:r>
      <w:r w:rsidR="002C2D37">
        <w:t>-n</w:t>
      </w:r>
      <w:r w:rsidR="0050024D">
        <w:t>etwork fee</w:t>
      </w:r>
      <w:r w:rsidR="002C2D37">
        <w:t>s</w:t>
      </w:r>
      <w:r w:rsidR="0050024D">
        <w:t>.</w:t>
      </w:r>
    </w:p>
    <w:p w14:paraId="6309E54F" w14:textId="77777777" w:rsidR="000E6137" w:rsidRDefault="000E6137" w:rsidP="000E6137">
      <w:pPr>
        <w:pStyle w:val="ListParagraph"/>
        <w:tabs>
          <w:tab w:val="left" w:pos="820"/>
          <w:tab w:val="left" w:pos="821"/>
        </w:tabs>
        <w:spacing w:line="276" w:lineRule="auto"/>
        <w:ind w:left="820" w:right="2805" w:firstLine="0"/>
      </w:pPr>
    </w:p>
    <w:p w14:paraId="409AFBCC" w14:textId="1AD1EC6D" w:rsidR="00735ED5" w:rsidRPr="008356E1" w:rsidRDefault="003F10FA" w:rsidP="008356E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i/>
        </w:rPr>
      </w:pPr>
      <w:r w:rsidRPr="008356E1">
        <w:rPr>
          <w:b/>
          <w:bCs/>
        </w:rPr>
        <w:t>Glass w/Body Damage</w:t>
      </w:r>
      <w:r>
        <w:t xml:space="preserve"> </w:t>
      </w:r>
      <w:r w:rsidR="00735ED5">
        <w:t>–</w:t>
      </w:r>
      <w:r>
        <w:t xml:space="preserve"> </w:t>
      </w:r>
      <w:r w:rsidR="00735ED5">
        <w:t xml:space="preserve">Driver </w:t>
      </w:r>
      <w:r w:rsidR="00735ED5" w:rsidRPr="008356E1">
        <w:rPr>
          <w:b/>
          <w:bCs/>
          <w:u w:val="single"/>
        </w:rPr>
        <w:t>must</w:t>
      </w:r>
      <w:r w:rsidR="00735ED5">
        <w:t xml:space="preserve"> call </w:t>
      </w:r>
      <w:r w:rsidR="00F875D2">
        <w:t xml:space="preserve">the </w:t>
      </w:r>
      <w:r w:rsidR="00735ED5">
        <w:t xml:space="preserve">Fleet Response toll-free number, </w:t>
      </w:r>
      <w:r w:rsidR="00A238E2">
        <w:t xml:space="preserve">within 24 hours of the incident, </w:t>
      </w:r>
      <w:r w:rsidR="00735ED5">
        <w:t xml:space="preserve">listen to the </w:t>
      </w:r>
      <w:r w:rsidR="008356E1">
        <w:t>menu options</w:t>
      </w:r>
      <w:r w:rsidR="00F44BA0">
        <w:t>,</w:t>
      </w:r>
      <w:r w:rsidR="00735ED5">
        <w:t xml:space="preserve"> and select </w:t>
      </w:r>
      <w:r w:rsidR="00757EF0">
        <w:t>Accident</w:t>
      </w:r>
      <w:r w:rsidR="00C935DA">
        <w:t>s</w:t>
      </w:r>
      <w:r w:rsidR="00331364">
        <w:t xml:space="preserve">.  </w:t>
      </w:r>
      <w:r w:rsidR="00DA559F">
        <w:t>Fleet Response take</w:t>
      </w:r>
      <w:r w:rsidR="009D43C3">
        <w:t>s</w:t>
      </w:r>
      <w:r w:rsidR="00DA559F">
        <w:t xml:space="preserve"> all the information</w:t>
      </w:r>
      <w:r w:rsidR="00A24B2F">
        <w:t xml:space="preserve"> </w:t>
      </w:r>
      <w:r w:rsidR="00DA559F">
        <w:t xml:space="preserve">for a First Notice of Loss.  </w:t>
      </w:r>
      <w:r w:rsidR="00A24B2F">
        <w:t>A</w:t>
      </w:r>
      <w:r w:rsidR="009D43C3">
        <w:t xml:space="preserve"> body shop</w:t>
      </w:r>
      <w:r w:rsidR="00A24B2F">
        <w:t xml:space="preserve"> will be assigned</w:t>
      </w:r>
      <w:r w:rsidR="009D43C3">
        <w:t xml:space="preserve"> for the </w:t>
      </w:r>
      <w:r w:rsidR="00094138">
        <w:t>incident estimate and associated photos</w:t>
      </w:r>
      <w:r w:rsidR="0063002C">
        <w:t xml:space="preserve">.  </w:t>
      </w:r>
      <w:r w:rsidR="00331364">
        <w:t>The glass damage</w:t>
      </w:r>
      <w:r w:rsidR="000C53E9">
        <w:t xml:space="preserve"> is handled by the body shop</w:t>
      </w:r>
      <w:r w:rsidR="00F91FA0">
        <w:t xml:space="preserve"> as part of the overall repair</w:t>
      </w:r>
      <w:r w:rsidR="002C4536">
        <w:t xml:space="preserve">.  </w:t>
      </w:r>
      <w:r w:rsidR="004C0C12">
        <w:t>The r</w:t>
      </w:r>
      <w:r w:rsidR="00703922">
        <w:t xml:space="preserve">epair </w:t>
      </w:r>
      <w:r w:rsidR="00CC5C23">
        <w:t>is billed to Fleet Response</w:t>
      </w:r>
      <w:r w:rsidR="008E04F0">
        <w:t xml:space="preserve"> and Agencies are billed </w:t>
      </w:r>
      <w:r w:rsidR="00CC5C23">
        <w:t>thr</w:t>
      </w:r>
      <w:r w:rsidR="00D253B3">
        <w:t>ough</w:t>
      </w:r>
      <w:r w:rsidR="00CC5C23">
        <w:t xml:space="preserve"> the regular </w:t>
      </w:r>
      <w:r w:rsidR="00E26F15">
        <w:t xml:space="preserve">Fleet Response </w:t>
      </w:r>
      <w:r w:rsidR="00CC5C23">
        <w:t>monthly invoice process.</w:t>
      </w:r>
      <w:r w:rsidR="008E4C42">
        <w:t xml:space="preserve">  No purchase order or billing information is needed</w:t>
      </w:r>
      <w:r w:rsidR="00D253B3">
        <w:t xml:space="preserve"> from the Agency</w:t>
      </w:r>
      <w:r w:rsidR="008E4C42">
        <w:t>.</w:t>
      </w:r>
    </w:p>
    <w:p w14:paraId="03995A99" w14:textId="77777777" w:rsidR="00736F5A" w:rsidRDefault="00736F5A">
      <w:pPr>
        <w:pStyle w:val="BodyText"/>
        <w:spacing w:before="4"/>
        <w:rPr>
          <w:sz w:val="25"/>
        </w:rPr>
      </w:pPr>
    </w:p>
    <w:p w14:paraId="03995A9A" w14:textId="3B125CCB" w:rsidR="00736F5A" w:rsidRDefault="00F0274F">
      <w:pPr>
        <w:pStyle w:val="BodyText"/>
        <w:spacing w:line="276" w:lineRule="auto"/>
        <w:ind w:left="100" w:right="205"/>
      </w:pPr>
      <w:r>
        <w:t>Below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VEH1</w:t>
      </w:r>
      <w:r w:rsidR="002F435F">
        <w:t>1</w:t>
      </w:r>
      <w:r>
        <w:t>3</w:t>
      </w:r>
      <w:r>
        <w:rPr>
          <w:spacing w:val="-4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Blanket</w:t>
      </w:r>
      <w:r>
        <w:rPr>
          <w:spacing w:val="-4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(MBPO)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Guide (CUG) within COMMBUYS</w:t>
      </w:r>
      <w:r w:rsidR="00401960">
        <w:t>:</w:t>
      </w:r>
    </w:p>
    <w:p w14:paraId="4A7EBBC6" w14:textId="77777777" w:rsidR="00391F3C" w:rsidRDefault="00391F3C">
      <w:pPr>
        <w:pStyle w:val="BodyText"/>
        <w:spacing w:line="276" w:lineRule="auto"/>
        <w:ind w:left="100" w:right="205"/>
      </w:pPr>
    </w:p>
    <w:tbl>
      <w:tblPr>
        <w:tblW w:w="0" w:type="auto"/>
        <w:tblInd w:w="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2502"/>
        <w:gridCol w:w="2522"/>
        <w:gridCol w:w="2492"/>
      </w:tblGrid>
      <w:tr w:rsidR="00736F5A" w14:paraId="03995A9F" w14:textId="77777777">
        <w:trPr>
          <w:trHeight w:val="338"/>
        </w:trPr>
        <w:tc>
          <w:tcPr>
            <w:tcW w:w="1579" w:type="dxa"/>
            <w:shd w:val="clear" w:color="auto" w:fill="9E3938"/>
          </w:tcPr>
          <w:p w14:paraId="03995A9B" w14:textId="77777777" w:rsidR="00736F5A" w:rsidRDefault="00F0274F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Contract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ID#</w:t>
            </w:r>
          </w:p>
        </w:tc>
        <w:tc>
          <w:tcPr>
            <w:tcW w:w="2502" w:type="dxa"/>
            <w:shd w:val="clear" w:color="auto" w:fill="9E3938"/>
          </w:tcPr>
          <w:p w14:paraId="03995A9C" w14:textId="77777777" w:rsidR="00736F5A" w:rsidRDefault="00F0274F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2522" w:type="dxa"/>
            <w:shd w:val="clear" w:color="auto" w:fill="9E3938"/>
          </w:tcPr>
          <w:p w14:paraId="03995A9D" w14:textId="77777777" w:rsidR="00736F5A" w:rsidRDefault="00F0274F">
            <w:pPr>
              <w:pStyle w:val="TableParagraph"/>
              <w:ind w:left="527"/>
              <w:rPr>
                <w:b/>
              </w:rPr>
            </w:pPr>
            <w:r>
              <w:rPr>
                <w:b/>
                <w:color w:val="FFFFFF"/>
              </w:rPr>
              <w:t>MBPO</w:t>
            </w:r>
            <w:r>
              <w:rPr>
                <w:b/>
                <w:color w:val="FFFFFF"/>
                <w:spacing w:val="-2"/>
              </w:rPr>
              <w:t xml:space="preserve"> Links</w:t>
            </w:r>
          </w:p>
        </w:tc>
        <w:tc>
          <w:tcPr>
            <w:tcW w:w="2492" w:type="dxa"/>
            <w:shd w:val="clear" w:color="auto" w:fill="9E3938"/>
          </w:tcPr>
          <w:p w14:paraId="03995A9E" w14:textId="77777777" w:rsidR="00736F5A" w:rsidRDefault="00F0274F">
            <w:pPr>
              <w:pStyle w:val="TableParagraph"/>
              <w:ind w:left="705"/>
              <w:rPr>
                <w:b/>
              </w:rPr>
            </w:pPr>
            <w:r>
              <w:rPr>
                <w:b/>
                <w:color w:val="FFFFFF"/>
              </w:rPr>
              <w:t>CUG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Link</w:t>
            </w:r>
          </w:p>
        </w:tc>
      </w:tr>
      <w:tr w:rsidR="00736F5A" w14:paraId="03995AA4" w14:textId="77777777">
        <w:trPr>
          <w:trHeight w:val="310"/>
        </w:trPr>
        <w:tc>
          <w:tcPr>
            <w:tcW w:w="1579" w:type="dxa"/>
            <w:shd w:val="clear" w:color="auto" w:fill="ECF1F8"/>
          </w:tcPr>
          <w:p w14:paraId="03995AA0" w14:textId="5CE64EE2" w:rsidR="00736F5A" w:rsidRDefault="00F0274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VEH1</w:t>
            </w:r>
            <w:r w:rsidR="002F435F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3</w:t>
            </w:r>
          </w:p>
        </w:tc>
        <w:tc>
          <w:tcPr>
            <w:tcW w:w="2502" w:type="dxa"/>
            <w:shd w:val="clear" w:color="auto" w:fill="ECF1F8"/>
          </w:tcPr>
          <w:p w14:paraId="03995AA1" w14:textId="1D27CCBE" w:rsidR="00736F5A" w:rsidRDefault="004365BC">
            <w:pPr>
              <w:pStyle w:val="TableParagraph"/>
              <w:ind w:left="328"/>
            </w:pPr>
            <w:r>
              <w:rPr>
                <w:spacing w:val="-2"/>
              </w:rPr>
              <w:t>Fleet Management Services</w:t>
            </w:r>
          </w:p>
        </w:tc>
        <w:tc>
          <w:tcPr>
            <w:tcW w:w="2522" w:type="dxa"/>
            <w:shd w:val="clear" w:color="auto" w:fill="ECF1F8"/>
          </w:tcPr>
          <w:p w14:paraId="03995AA2" w14:textId="48AC0E07" w:rsidR="00736F5A" w:rsidRPr="00401960" w:rsidRDefault="00391F3C">
            <w:pPr>
              <w:pStyle w:val="TableParagraph"/>
              <w:ind w:left="527"/>
              <w:rPr>
                <w:b/>
                <w:bCs/>
                <w:color w:val="1F497D" w:themeColor="text2"/>
              </w:rPr>
            </w:pPr>
            <w:hyperlink r:id="rId7">
              <w:r w:rsidR="007C4884" w:rsidRPr="00401960">
                <w:rPr>
                  <w:b/>
                  <w:bCs/>
                  <w:color w:val="1F497D" w:themeColor="text2"/>
                  <w:spacing w:val="-4"/>
                  <w:u w:val="single" w:color="0000FF"/>
                </w:rPr>
                <w:t>Fleet Response MBPO</w:t>
              </w:r>
            </w:hyperlink>
          </w:p>
        </w:tc>
        <w:tc>
          <w:tcPr>
            <w:tcW w:w="2492" w:type="dxa"/>
            <w:shd w:val="clear" w:color="auto" w:fill="ECF1F8"/>
          </w:tcPr>
          <w:p w14:paraId="03995AA3" w14:textId="57691B8C" w:rsidR="00736F5A" w:rsidRPr="00401960" w:rsidRDefault="00391F3C">
            <w:pPr>
              <w:pStyle w:val="TableParagraph"/>
              <w:ind w:left="705"/>
              <w:rPr>
                <w:b/>
                <w:bCs/>
                <w:color w:val="1F497D" w:themeColor="text2"/>
              </w:rPr>
            </w:pPr>
            <w:hyperlink r:id="rId8">
              <w:r w:rsidR="0050451D">
                <w:rPr>
                  <w:b/>
                  <w:bCs/>
                  <w:color w:val="1F497D" w:themeColor="text2"/>
                  <w:spacing w:val="-5"/>
                  <w:u w:val="single" w:color="0000FF"/>
                </w:rPr>
                <w:t>VEH113 Contract User Guide</w:t>
              </w:r>
            </w:hyperlink>
          </w:p>
        </w:tc>
      </w:tr>
    </w:tbl>
    <w:p w14:paraId="03995AB7" w14:textId="77777777" w:rsidR="00736F5A" w:rsidRDefault="00736F5A">
      <w:pPr>
        <w:pStyle w:val="BodyText"/>
        <w:spacing w:before="1"/>
        <w:rPr>
          <w:i/>
          <w:sz w:val="29"/>
        </w:rPr>
      </w:pPr>
    </w:p>
    <w:p w14:paraId="03995AB8" w14:textId="77777777" w:rsidR="00736F5A" w:rsidRDefault="00F0274F">
      <w:pPr>
        <w:spacing w:before="59"/>
        <w:ind w:left="100"/>
        <w:rPr>
          <w:i/>
          <w:sz w:val="20"/>
        </w:rPr>
      </w:pPr>
      <w:r>
        <w:rPr>
          <w:i/>
          <w:color w:val="2D3092"/>
          <w:sz w:val="20"/>
        </w:rPr>
        <w:t>Individual</w:t>
      </w:r>
      <w:r>
        <w:rPr>
          <w:i/>
          <w:color w:val="2D3092"/>
          <w:spacing w:val="-6"/>
          <w:sz w:val="20"/>
        </w:rPr>
        <w:t xml:space="preserve"> </w:t>
      </w:r>
      <w:r>
        <w:rPr>
          <w:i/>
          <w:color w:val="2D3092"/>
          <w:sz w:val="20"/>
        </w:rPr>
        <w:t>Agencies/Departments</w:t>
      </w:r>
      <w:r>
        <w:rPr>
          <w:i/>
          <w:color w:val="2D3092"/>
          <w:spacing w:val="-8"/>
          <w:sz w:val="20"/>
        </w:rPr>
        <w:t xml:space="preserve"> </w:t>
      </w:r>
      <w:r>
        <w:rPr>
          <w:i/>
          <w:color w:val="2D3092"/>
          <w:sz w:val="20"/>
        </w:rPr>
        <w:t>may</w:t>
      </w:r>
      <w:r>
        <w:rPr>
          <w:i/>
          <w:color w:val="2D3092"/>
          <w:spacing w:val="-7"/>
          <w:sz w:val="20"/>
        </w:rPr>
        <w:t xml:space="preserve"> </w:t>
      </w:r>
      <w:r>
        <w:rPr>
          <w:i/>
          <w:color w:val="2D3092"/>
          <w:sz w:val="20"/>
        </w:rPr>
        <w:t>have</w:t>
      </w:r>
      <w:r>
        <w:rPr>
          <w:i/>
          <w:color w:val="2D3092"/>
          <w:spacing w:val="-7"/>
          <w:sz w:val="20"/>
        </w:rPr>
        <w:t xml:space="preserve"> </w:t>
      </w:r>
      <w:r>
        <w:rPr>
          <w:i/>
          <w:color w:val="2D3092"/>
          <w:sz w:val="20"/>
        </w:rPr>
        <w:t>additional</w:t>
      </w:r>
      <w:r>
        <w:rPr>
          <w:i/>
          <w:color w:val="2D3092"/>
          <w:spacing w:val="-8"/>
          <w:sz w:val="20"/>
        </w:rPr>
        <w:t xml:space="preserve"> </w:t>
      </w:r>
      <w:r>
        <w:rPr>
          <w:i/>
          <w:color w:val="2D3092"/>
          <w:sz w:val="20"/>
        </w:rPr>
        <w:t>processes</w:t>
      </w:r>
      <w:r>
        <w:rPr>
          <w:i/>
          <w:color w:val="2D3092"/>
          <w:spacing w:val="-8"/>
          <w:sz w:val="20"/>
        </w:rPr>
        <w:t xml:space="preserve"> </w:t>
      </w:r>
      <w:r>
        <w:rPr>
          <w:i/>
          <w:color w:val="2D3092"/>
          <w:sz w:val="20"/>
        </w:rPr>
        <w:t>to</w:t>
      </w:r>
      <w:r>
        <w:rPr>
          <w:i/>
          <w:color w:val="2D3092"/>
          <w:spacing w:val="-7"/>
          <w:sz w:val="20"/>
        </w:rPr>
        <w:t xml:space="preserve"> </w:t>
      </w:r>
      <w:r>
        <w:rPr>
          <w:i/>
          <w:color w:val="2D3092"/>
          <w:sz w:val="20"/>
        </w:rPr>
        <w:t>follow.</w:t>
      </w:r>
      <w:r>
        <w:rPr>
          <w:i/>
          <w:color w:val="2D3092"/>
          <w:spacing w:val="-4"/>
          <w:sz w:val="20"/>
        </w:rPr>
        <w:t xml:space="preserve"> </w:t>
      </w:r>
      <w:r>
        <w:rPr>
          <w:i/>
          <w:color w:val="2D3092"/>
          <w:sz w:val="20"/>
        </w:rPr>
        <w:t>Check</w:t>
      </w:r>
      <w:r>
        <w:rPr>
          <w:i/>
          <w:color w:val="2D3092"/>
          <w:spacing w:val="-7"/>
          <w:sz w:val="20"/>
        </w:rPr>
        <w:t xml:space="preserve"> </w:t>
      </w:r>
      <w:r>
        <w:rPr>
          <w:i/>
          <w:color w:val="2D3092"/>
          <w:sz w:val="20"/>
        </w:rPr>
        <w:t>with</w:t>
      </w:r>
      <w:r>
        <w:rPr>
          <w:i/>
          <w:color w:val="2D3092"/>
          <w:spacing w:val="-1"/>
          <w:sz w:val="20"/>
        </w:rPr>
        <w:t xml:space="preserve"> </w:t>
      </w:r>
      <w:r>
        <w:rPr>
          <w:i/>
          <w:color w:val="2D3092"/>
          <w:sz w:val="20"/>
        </w:rPr>
        <w:t>your</w:t>
      </w:r>
      <w:r>
        <w:rPr>
          <w:i/>
          <w:color w:val="2D3092"/>
          <w:spacing w:val="-7"/>
          <w:sz w:val="20"/>
        </w:rPr>
        <w:t xml:space="preserve"> </w:t>
      </w:r>
      <w:r>
        <w:rPr>
          <w:i/>
          <w:color w:val="2D3092"/>
          <w:sz w:val="20"/>
        </w:rPr>
        <w:t>Agency</w:t>
      </w:r>
      <w:r>
        <w:rPr>
          <w:i/>
          <w:color w:val="2D3092"/>
          <w:spacing w:val="-8"/>
          <w:sz w:val="20"/>
        </w:rPr>
        <w:t xml:space="preserve"> </w:t>
      </w:r>
      <w:r>
        <w:rPr>
          <w:i/>
          <w:color w:val="2D3092"/>
          <w:sz w:val="20"/>
        </w:rPr>
        <w:t>Fleet</w:t>
      </w:r>
      <w:r>
        <w:rPr>
          <w:i/>
          <w:color w:val="2D3092"/>
          <w:spacing w:val="-6"/>
          <w:sz w:val="20"/>
        </w:rPr>
        <w:t xml:space="preserve"> </w:t>
      </w:r>
      <w:r>
        <w:rPr>
          <w:i/>
          <w:color w:val="2D3092"/>
          <w:spacing w:val="-2"/>
          <w:sz w:val="20"/>
        </w:rPr>
        <w:t>Manager.</w:t>
      </w:r>
    </w:p>
    <w:p w14:paraId="73E4EC3E" w14:textId="77777777" w:rsidR="00C065BC" w:rsidRDefault="00C065BC">
      <w:pPr>
        <w:tabs>
          <w:tab w:val="right" w:pos="10182"/>
        </w:tabs>
        <w:spacing w:before="1"/>
        <w:ind w:left="100"/>
        <w:rPr>
          <w:color w:val="2D3092"/>
          <w:sz w:val="20"/>
        </w:rPr>
      </w:pPr>
    </w:p>
    <w:p w14:paraId="03995AB9" w14:textId="615C62F2" w:rsidR="00736F5A" w:rsidRDefault="00F0274F">
      <w:pPr>
        <w:tabs>
          <w:tab w:val="right" w:pos="10182"/>
        </w:tabs>
        <w:spacing w:before="1"/>
        <w:ind w:left="100"/>
        <w:rPr>
          <w:sz w:val="20"/>
        </w:rPr>
      </w:pPr>
      <w:r>
        <w:rPr>
          <w:color w:val="2D3092"/>
          <w:sz w:val="20"/>
        </w:rPr>
        <w:t>Last</w:t>
      </w:r>
      <w:r>
        <w:rPr>
          <w:color w:val="2D3092"/>
          <w:spacing w:val="-8"/>
          <w:sz w:val="20"/>
        </w:rPr>
        <w:t xml:space="preserve"> </w:t>
      </w:r>
      <w:r>
        <w:rPr>
          <w:color w:val="2D3092"/>
          <w:sz w:val="20"/>
        </w:rPr>
        <w:t>Updated</w:t>
      </w:r>
      <w:r>
        <w:rPr>
          <w:color w:val="2D3092"/>
          <w:spacing w:val="-7"/>
          <w:sz w:val="20"/>
        </w:rPr>
        <w:t xml:space="preserve"> </w:t>
      </w:r>
      <w:r>
        <w:rPr>
          <w:color w:val="2D3092"/>
          <w:sz w:val="20"/>
        </w:rPr>
        <w:t>0</w:t>
      </w:r>
      <w:r w:rsidR="00E26F15">
        <w:rPr>
          <w:color w:val="2D3092"/>
          <w:sz w:val="20"/>
        </w:rPr>
        <w:t>6</w:t>
      </w:r>
      <w:r w:rsidR="00A50B6F">
        <w:rPr>
          <w:color w:val="2D3092"/>
          <w:sz w:val="20"/>
        </w:rPr>
        <w:t>-2022</w:t>
      </w:r>
      <w:r>
        <w:rPr>
          <w:color w:val="2D3092"/>
          <w:sz w:val="20"/>
        </w:rPr>
        <w:tab/>
      </w:r>
    </w:p>
    <w:sectPr w:rsidR="00736F5A">
      <w:type w:val="continuous"/>
      <w:pgSz w:w="12240" w:h="15840"/>
      <w:pgMar w:top="100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51D"/>
    <w:multiLevelType w:val="hybridMultilevel"/>
    <w:tmpl w:val="77EC084C"/>
    <w:lvl w:ilvl="0" w:tplc="C4EAFA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C641A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C263738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E3F836A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C68ED4B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FAFAD97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A120F0CA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2ED87A9C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2408D40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D57974"/>
    <w:multiLevelType w:val="hybridMultilevel"/>
    <w:tmpl w:val="10167400"/>
    <w:lvl w:ilvl="0" w:tplc="962E0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33D83"/>
    <w:multiLevelType w:val="hybridMultilevel"/>
    <w:tmpl w:val="1D52376C"/>
    <w:lvl w:ilvl="0" w:tplc="B7BA0346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74E32C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 w:tplc="A77E03DA">
      <w:numFmt w:val="bullet"/>
      <w:lvlText w:val="•"/>
      <w:lvlJc w:val="left"/>
      <w:pPr>
        <w:ind w:left="2428" w:hanging="361"/>
      </w:pPr>
      <w:rPr>
        <w:rFonts w:hint="default"/>
        <w:lang w:val="en-US" w:eastAsia="en-US" w:bidi="ar-SA"/>
      </w:rPr>
    </w:lvl>
    <w:lvl w:ilvl="3" w:tplc="3C82A1CA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4" w:tplc="58923AF2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5" w:tplc="E13E96FC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C20A733C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7" w:tplc="546C193E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  <w:lvl w:ilvl="8" w:tplc="9DAA05DC">
      <w:numFmt w:val="bullet"/>
      <w:lvlText w:val="•"/>
      <w:lvlJc w:val="left"/>
      <w:pPr>
        <w:ind w:left="8332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F5A"/>
    <w:rsid w:val="00001D90"/>
    <w:rsid w:val="0000252B"/>
    <w:rsid w:val="00023F2B"/>
    <w:rsid w:val="00024127"/>
    <w:rsid w:val="0003735D"/>
    <w:rsid w:val="00073AE8"/>
    <w:rsid w:val="00094138"/>
    <w:rsid w:val="000A3A63"/>
    <w:rsid w:val="000B6A63"/>
    <w:rsid w:val="000C53E9"/>
    <w:rsid w:val="000E6137"/>
    <w:rsid w:val="000E7CB9"/>
    <w:rsid w:val="00120343"/>
    <w:rsid w:val="001276B3"/>
    <w:rsid w:val="00141243"/>
    <w:rsid w:val="00152907"/>
    <w:rsid w:val="00185912"/>
    <w:rsid w:val="001B46C2"/>
    <w:rsid w:val="001C5727"/>
    <w:rsid w:val="001D42FB"/>
    <w:rsid w:val="001E74F8"/>
    <w:rsid w:val="00205128"/>
    <w:rsid w:val="002071ED"/>
    <w:rsid w:val="00244688"/>
    <w:rsid w:val="00256E62"/>
    <w:rsid w:val="002C2D37"/>
    <w:rsid w:val="002C4536"/>
    <w:rsid w:val="002F435F"/>
    <w:rsid w:val="003019AA"/>
    <w:rsid w:val="00331364"/>
    <w:rsid w:val="003758AD"/>
    <w:rsid w:val="0038186F"/>
    <w:rsid w:val="00391477"/>
    <w:rsid w:val="00391F3C"/>
    <w:rsid w:val="00395C78"/>
    <w:rsid w:val="003C2E56"/>
    <w:rsid w:val="003E5319"/>
    <w:rsid w:val="003F10FA"/>
    <w:rsid w:val="00401960"/>
    <w:rsid w:val="004365BC"/>
    <w:rsid w:val="00441C17"/>
    <w:rsid w:val="00492870"/>
    <w:rsid w:val="004A1C6C"/>
    <w:rsid w:val="004A2133"/>
    <w:rsid w:val="004C0C12"/>
    <w:rsid w:val="004C5617"/>
    <w:rsid w:val="004D66E2"/>
    <w:rsid w:val="0050024D"/>
    <w:rsid w:val="005042EC"/>
    <w:rsid w:val="0050451D"/>
    <w:rsid w:val="005300EE"/>
    <w:rsid w:val="00537672"/>
    <w:rsid w:val="00537DFF"/>
    <w:rsid w:val="00560030"/>
    <w:rsid w:val="005638D6"/>
    <w:rsid w:val="005713C2"/>
    <w:rsid w:val="00581913"/>
    <w:rsid w:val="00597D59"/>
    <w:rsid w:val="005B75A1"/>
    <w:rsid w:val="005D6D08"/>
    <w:rsid w:val="0063002C"/>
    <w:rsid w:val="0066054D"/>
    <w:rsid w:val="006754E7"/>
    <w:rsid w:val="00703421"/>
    <w:rsid w:val="00703922"/>
    <w:rsid w:val="00706750"/>
    <w:rsid w:val="007127DC"/>
    <w:rsid w:val="00717229"/>
    <w:rsid w:val="00735ED5"/>
    <w:rsid w:val="00736F5A"/>
    <w:rsid w:val="00755D2B"/>
    <w:rsid w:val="00757EF0"/>
    <w:rsid w:val="00781307"/>
    <w:rsid w:val="007C4884"/>
    <w:rsid w:val="008050A9"/>
    <w:rsid w:val="008356E1"/>
    <w:rsid w:val="00840BC9"/>
    <w:rsid w:val="00846390"/>
    <w:rsid w:val="008665D5"/>
    <w:rsid w:val="0086771E"/>
    <w:rsid w:val="00887A45"/>
    <w:rsid w:val="008C5E13"/>
    <w:rsid w:val="008E04F0"/>
    <w:rsid w:val="008E4C42"/>
    <w:rsid w:val="0092059D"/>
    <w:rsid w:val="009304CD"/>
    <w:rsid w:val="0095549E"/>
    <w:rsid w:val="009C4178"/>
    <w:rsid w:val="009D43C3"/>
    <w:rsid w:val="009F19B4"/>
    <w:rsid w:val="00A12539"/>
    <w:rsid w:val="00A238E2"/>
    <w:rsid w:val="00A24B2F"/>
    <w:rsid w:val="00A44F36"/>
    <w:rsid w:val="00A50B6F"/>
    <w:rsid w:val="00A6745B"/>
    <w:rsid w:val="00AA5644"/>
    <w:rsid w:val="00AA7255"/>
    <w:rsid w:val="00AC58B3"/>
    <w:rsid w:val="00B23493"/>
    <w:rsid w:val="00B27FF7"/>
    <w:rsid w:val="00B40614"/>
    <w:rsid w:val="00BC6F92"/>
    <w:rsid w:val="00BC7996"/>
    <w:rsid w:val="00C037E5"/>
    <w:rsid w:val="00C048AE"/>
    <w:rsid w:val="00C065BC"/>
    <w:rsid w:val="00C67F6E"/>
    <w:rsid w:val="00C935DA"/>
    <w:rsid w:val="00CB2865"/>
    <w:rsid w:val="00CC5C23"/>
    <w:rsid w:val="00CE78B2"/>
    <w:rsid w:val="00D22021"/>
    <w:rsid w:val="00D253B3"/>
    <w:rsid w:val="00D41BF0"/>
    <w:rsid w:val="00D77731"/>
    <w:rsid w:val="00D82ABB"/>
    <w:rsid w:val="00D831BD"/>
    <w:rsid w:val="00D90D59"/>
    <w:rsid w:val="00DA0C41"/>
    <w:rsid w:val="00DA559F"/>
    <w:rsid w:val="00DE06B0"/>
    <w:rsid w:val="00DE3EE8"/>
    <w:rsid w:val="00DE6E94"/>
    <w:rsid w:val="00E02F0E"/>
    <w:rsid w:val="00E26F15"/>
    <w:rsid w:val="00E3069B"/>
    <w:rsid w:val="00E4795E"/>
    <w:rsid w:val="00E50660"/>
    <w:rsid w:val="00E95DCE"/>
    <w:rsid w:val="00EE6D06"/>
    <w:rsid w:val="00F0274F"/>
    <w:rsid w:val="00F03511"/>
    <w:rsid w:val="00F060BD"/>
    <w:rsid w:val="00F26CDB"/>
    <w:rsid w:val="00F33F67"/>
    <w:rsid w:val="00F44BA0"/>
    <w:rsid w:val="00F822C0"/>
    <w:rsid w:val="00F875D2"/>
    <w:rsid w:val="00F91FA0"/>
    <w:rsid w:val="00FA0C8F"/>
    <w:rsid w:val="00FC539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995A90"/>
  <w15:docId w15:val="{E56E6218-768A-4652-9057-CEB42962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8"/>
      <w:ind w:right="116"/>
      <w:jc w:val="right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037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veh113-fleet-management-services-statewide-contrac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mbuys.com/bso/external/purchaseorder/poSummary.sdo?docId=PO-21-1080-OSD03-SRC01-23300&amp;releaseNbr=0&amp;external=true&amp;parentUrl=cl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dovmmaintenance@mass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Micozzi, Vincent (OSD)</dc:creator>
  <cp:lastModifiedBy>Cushman, Cheryl (OSD)</cp:lastModifiedBy>
  <cp:revision>11</cp:revision>
  <dcterms:created xsi:type="dcterms:W3CDTF">2022-06-01T17:04:00Z</dcterms:created>
  <dcterms:modified xsi:type="dcterms:W3CDTF">2022-06-08T16:15:00Z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2022-05-10T00:00:00Z</vt:filetime>
  </property>
</Properties>
</file>