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BB" w:rsidRPr="002171BB" w:rsidRDefault="002171BB" w:rsidP="002171BB">
      <w:pPr>
        <w:spacing w:before="161" w:after="161"/>
        <w:outlineLvl w:val="0"/>
        <w:rPr>
          <w:rFonts w:ascii="Tahoma" w:eastAsia="Times New Roman" w:hAnsi="Tahoma" w:cs="Tahoma"/>
          <w:b/>
          <w:bCs/>
          <w:color w:val="222222"/>
          <w:kern w:val="36"/>
          <w:sz w:val="32"/>
          <w:szCs w:val="32"/>
        </w:rPr>
      </w:pPr>
      <w:r w:rsidRPr="002171BB">
        <w:rPr>
          <w:rFonts w:ascii="Tahoma" w:eastAsia="Times New Roman" w:hAnsi="Tahoma" w:cs="Tahoma"/>
          <w:b/>
          <w:bCs/>
          <w:color w:val="222222"/>
          <w:kern w:val="36"/>
          <w:sz w:val="32"/>
          <w:szCs w:val="32"/>
        </w:rPr>
        <w:t>Glossary of Commonwealth Terms</w:t>
      </w:r>
    </w:p>
    <w:p w:rsidR="002171BB" w:rsidRPr="002171BB" w:rsidRDefault="002171BB" w:rsidP="002171BB">
      <w:pPr>
        <w:rPr>
          <w:rFonts w:ascii="Arial" w:eastAsia="Times New Roman" w:hAnsi="Arial" w:cs="Arial"/>
          <w:color w:val="222222"/>
          <w:sz w:val="20"/>
          <w:szCs w:val="20"/>
        </w:rPr>
      </w:pPr>
      <w:r w:rsidRPr="002171BB">
        <w:rPr>
          <w:rFonts w:ascii="Arial" w:eastAsia="Times New Roman" w:hAnsi="Arial" w:cs="Arial"/>
          <w:color w:val="222222"/>
          <w:sz w:val="20"/>
          <w:szCs w:val="20"/>
        </w:rPr>
        <w:t>November 18, 2010</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b/>
          <w:bCs/>
          <w:color w:val="222222"/>
          <w:sz w:val="20"/>
          <w:szCs w:val="20"/>
        </w:rPr>
        <w:t>Note:</w:t>
      </w:r>
      <w:r w:rsidRPr="002171BB">
        <w:rPr>
          <w:rFonts w:ascii="Arial" w:eastAsia="Times New Roman" w:hAnsi="Arial" w:cs="Arial"/>
          <w:color w:val="222222"/>
          <w:sz w:val="20"/>
          <w:szCs w:val="20"/>
        </w:rPr>
        <w:t> This Glossary provides definitions for terms that have unique meanings for the Commonwealth. For standard definitions of IT terms please consult Internet dictionaries such as </w:t>
      </w:r>
      <w:hyperlink r:id="rId5" w:history="1">
        <w:r w:rsidRPr="002171BB">
          <w:rPr>
            <w:rFonts w:ascii="Arial" w:eastAsia="Times New Roman" w:hAnsi="Arial" w:cs="Arial"/>
            <w:color w:val="64406B"/>
            <w:sz w:val="20"/>
            <w:szCs w:val="20"/>
            <w:u w:val="single"/>
          </w:rPr>
          <w:t>CMP Tech Web Encyclopedia</w:t>
        </w:r>
      </w:hyperlink>
      <w:r w:rsidRPr="002171BB">
        <w:rPr>
          <w:rFonts w:ascii="Arial" w:eastAsia="Times New Roman" w:hAnsi="Arial" w:cs="Arial"/>
          <w:color w:val="222222"/>
          <w:sz w:val="20"/>
          <w:szCs w:val="20"/>
        </w:rPr>
        <w:t> or </w:t>
      </w:r>
      <w:hyperlink r:id="rId6" w:history="1">
        <w:r w:rsidRPr="002171BB">
          <w:rPr>
            <w:rFonts w:ascii="Arial" w:eastAsia="Times New Roman" w:hAnsi="Arial" w:cs="Arial"/>
            <w:color w:val="64406B"/>
            <w:sz w:val="20"/>
            <w:szCs w:val="20"/>
            <w:u w:val="single"/>
          </w:rPr>
          <w:t>Loosely Coupled</w:t>
        </w:r>
      </w:hyperlink>
      <w:r w:rsidRPr="002171BB">
        <w:rPr>
          <w:rFonts w:ascii="Arial" w:eastAsia="Times New Roman" w:hAnsi="Arial" w:cs="Arial"/>
          <w:color w:val="222222"/>
          <w:sz w:val="20"/>
          <w:szCs w:val="20"/>
        </w:rPr>
        <w:t>.</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Acceptable Use Policy</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policy for employees and contractors ("users") of all agencies under the Executive Office for Administration and Finance on the use of information technology resources; ("Agency ITRs"), including computers, printers and other peripherals, programs, data, local and wide area networks, and the Internet.</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Agency</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department, bureau, commission, board, office, council, or other entity in the executive department of government, which was created by the constitution or statutes of the Commonwealth of Massachusetts.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Agency Security Officer</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person appointed by an Agency Head in conformance with the policies of the Office of the Comptroller, who is authorized to manage security controls for a particular agency.</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Assurance Mechanisms</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system of internal controls including monitoring, evaluation, feedback, and correction activities with respect to the proper design, implementation, and operation of the system of internal controls.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Attack Intrusion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An Attack Intrusion is a propagation of a malicious event through a virus, worm, Trojan horses, botnet, OS vulnerability exploit, etc. that pose a risk to Commonwealth resources.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Authentication</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process of verifying the identity of a user attempting to access the information or attempting to use the Information Technology assets of the Commonwealth.</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Best Value</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Commonwealth's procurement philosophy, embodied in regulations issued by the Operational Services Division, that it is in the best interest of the Commonwealth for solicitation evaluation criteria to measure factors beyond cost. Please see the </w:t>
      </w:r>
      <w:hyperlink r:id="rId7" w:history="1">
        <w:r w:rsidRPr="002171BB">
          <w:rPr>
            <w:rFonts w:ascii="Arial" w:eastAsia="Times New Roman" w:hAnsi="Arial" w:cs="Arial"/>
            <w:color w:val="64406B"/>
            <w:sz w:val="20"/>
            <w:szCs w:val="20"/>
            <w:u w:val="single"/>
          </w:rPr>
          <w:t>Procurement Information Center (PIC)</w:t>
        </w:r>
      </w:hyperlink>
      <w:r w:rsidRPr="002171BB">
        <w:rPr>
          <w:rFonts w:ascii="Arial" w:eastAsia="Times New Roman" w:hAnsi="Arial" w:cs="Arial"/>
          <w:color w:val="222222"/>
          <w:sz w:val="20"/>
          <w:szCs w:val="20"/>
        </w:rPr>
        <w:t> for a more complete definition of Best Value. For IT investments, a best value evaluation should, at a minimum, consider total cost of ownership over the entire period the IT solution is required, fit with identified business requirements, reliability, performance, scalability, security, maintenance requirements, legal risks, ease of customization, and ease of migration.</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Branding</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Establishment of an identity to represent key attributes of a site or enterprise, such as the Mass.Gov portal.</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lastRenderedPageBreak/>
        <w:t>Business Partner</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 generic term referring to both contracted business partners and statutory business partners as those terms are defined in this glossary.</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Contracted Business Partner and Statutory Business Partner.</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Chief Information Officer (CIO)</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person in the agency, department, secretariat, branch of government, authority, or other entity who has received the delegated authority for all information technology resources within the entity.</w:t>
      </w:r>
      <w:proofErr w:type="gramEnd"/>
      <w:r w:rsidRPr="002171BB">
        <w:rPr>
          <w:rFonts w:ascii="Arial" w:eastAsia="Times New Roman" w:hAnsi="Arial" w:cs="Arial"/>
          <w:color w:val="222222"/>
          <w:sz w:val="20"/>
          <w:szCs w:val="20"/>
        </w:rPr>
        <w:t xml:space="preserve"> In some entities, the CIO has the day-to-day responsibilities for planning, budgeting, deploying, maintaining, and controlling the information technology resources of the entity. The CIO and the CSO may or may not be the same person.</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Chief Security Officer (CSO)</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 person in the agency, department, secretariat, branch of government, authority or other entity who has received the delegated authority for ensuring that the information and IT systems of an entity have adequate security controls in place and functioning so that the entity is in conformance with its security policies and is in conformance with good practice. The CIO and the CSO may or may not be the same person.</w:t>
      </w:r>
    </w:p>
    <w:p w:rsidR="002171BB" w:rsidRPr="002171BB" w:rsidRDefault="002171BB" w:rsidP="002171BB">
      <w:pPr>
        <w:spacing w:after="192"/>
        <w:outlineLvl w:val="3"/>
        <w:rPr>
          <w:rFonts w:ascii="Tahoma" w:eastAsia="Times New Roman" w:hAnsi="Tahoma" w:cs="Tahoma"/>
          <w:b/>
          <w:bCs/>
          <w:color w:val="222222"/>
        </w:rPr>
      </w:pPr>
      <w:proofErr w:type="spellStart"/>
      <w:r w:rsidRPr="002171BB">
        <w:rPr>
          <w:rFonts w:ascii="Tahoma" w:eastAsia="Times New Roman" w:hAnsi="Tahoma" w:cs="Tahoma"/>
          <w:b/>
          <w:bCs/>
          <w:color w:val="222222"/>
        </w:rPr>
        <w:t>CommonHelp</w:t>
      </w:r>
      <w:proofErr w:type="spellEnd"/>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technical help desk for the Information Technology Division of the Commonwealth, available at 866-888-2808, </w:t>
      </w:r>
      <w:hyperlink r:id="rId8" w:history="1">
        <w:r w:rsidRPr="002171BB">
          <w:rPr>
            <w:rFonts w:ascii="Arial" w:eastAsia="Times New Roman" w:hAnsi="Arial" w:cs="Arial"/>
            <w:color w:val="64406B"/>
            <w:sz w:val="20"/>
            <w:szCs w:val="20"/>
            <w:u w:val="single"/>
          </w:rPr>
          <w:t>CommonHelpServiceDesk@MassMail.state.ma.us</w:t>
        </w:r>
      </w:hyperlink>
      <w:r w:rsidRPr="002171BB">
        <w:rPr>
          <w:rFonts w:ascii="Arial" w:eastAsia="Times New Roman" w:hAnsi="Arial" w:cs="Arial"/>
          <w:color w:val="222222"/>
          <w:sz w:val="20"/>
          <w:szCs w:val="20"/>
        </w:rPr>
        <w:t xml:space="preserve">, </w:t>
      </w:r>
      <w:proofErr w:type="spellStart"/>
      <w:r w:rsidRPr="002171BB">
        <w:rPr>
          <w:rFonts w:ascii="Arial" w:eastAsia="Times New Roman" w:hAnsi="Arial" w:cs="Arial"/>
          <w:color w:val="222222"/>
          <w:sz w:val="20"/>
          <w:szCs w:val="20"/>
        </w:rPr>
        <w:t>CommonHelp</w:t>
      </w:r>
      <w:proofErr w:type="spellEnd"/>
      <w:r w:rsidRPr="002171BB">
        <w:rPr>
          <w:rFonts w:ascii="Arial" w:eastAsia="Times New Roman" w:hAnsi="Arial" w:cs="Arial"/>
          <w:color w:val="222222"/>
          <w:sz w:val="20"/>
          <w:szCs w:val="20"/>
        </w:rPr>
        <w:t xml:space="preserve"> </w:t>
      </w:r>
      <w:proofErr w:type="spellStart"/>
      <w:r w:rsidRPr="002171BB">
        <w:rPr>
          <w:rFonts w:ascii="Arial" w:eastAsia="Times New Roman" w:hAnsi="Arial" w:cs="Arial"/>
          <w:color w:val="222222"/>
          <w:sz w:val="20"/>
          <w:szCs w:val="20"/>
        </w:rPr>
        <w:t>ServiceDesk</w:t>
      </w:r>
      <w:proofErr w:type="spellEnd"/>
      <w:r w:rsidRPr="002171BB">
        <w:rPr>
          <w:rFonts w:ascii="Arial" w:eastAsia="Times New Roman" w:hAnsi="Arial" w:cs="Arial"/>
          <w:color w:val="222222"/>
          <w:sz w:val="20"/>
          <w:szCs w:val="20"/>
        </w:rPr>
        <w:t>.</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Contracted Business Partner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An entity under contract with the Commonwealth with which the Commonwealth has an agreement to share data or engage in secure communications for a limited purpose.</w:t>
      </w:r>
      <w:proofErr w:type="gramEnd"/>
      <w:r w:rsidRPr="002171BB">
        <w:rPr>
          <w:rFonts w:ascii="Arial" w:eastAsia="Times New Roman" w:hAnsi="Arial" w:cs="Arial"/>
          <w:color w:val="222222"/>
          <w:sz w:val="20"/>
          <w:szCs w:val="20"/>
        </w:rPr>
        <w:t xml:space="preserve"> Contracted business partners do not include individuals who are under contract with and paid directly by the Commonwealth.</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Contracted Vendor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An entity under contract with the Commonwealth to provide goods and services to Commonwealth entities.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Controlled Network</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network physically or operationally controlled and security-managed by a specific Commonwealth entity.</w:t>
      </w:r>
      <w:proofErr w:type="gramEnd"/>
      <w:r w:rsidRPr="002171BB">
        <w:rPr>
          <w:rFonts w:ascii="Arial" w:eastAsia="Times New Roman" w:hAnsi="Arial" w:cs="Arial"/>
          <w:color w:val="222222"/>
          <w:sz w:val="20"/>
          <w:szCs w:val="20"/>
        </w:rPr>
        <w:t xml:space="preserve"> Controls include physical, operating system, application and patch security.</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Uncontrolled Network.</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Custodian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person who has actual custody of the information and IT systems of an entity (e.g., Agency, Department, Secretariat, Branch of Government, college or authority), and may provide services to the entity. For example, ITD may have custody of an agency's information and IT system's application since the processing and storage of the information and application resides on the computers at ITD.</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Data User</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 Data User is any individual who is eligible and authorized to access and use the data.</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lastRenderedPageBreak/>
        <w:t>Demilitarized Zone (DMZ)</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 xml:space="preserve">A combination of computers, routers, and software that separates Controlled networks from </w:t>
      </w:r>
      <w:proofErr w:type="gramStart"/>
      <w:r w:rsidRPr="002171BB">
        <w:rPr>
          <w:rFonts w:ascii="Arial" w:eastAsia="Times New Roman" w:hAnsi="Arial" w:cs="Arial"/>
          <w:color w:val="222222"/>
          <w:sz w:val="20"/>
          <w:szCs w:val="20"/>
        </w:rPr>
        <w:t>Uncontrolled</w:t>
      </w:r>
      <w:proofErr w:type="gramEnd"/>
      <w:r w:rsidRPr="002171BB">
        <w:rPr>
          <w:rFonts w:ascii="Arial" w:eastAsia="Times New Roman" w:hAnsi="Arial" w:cs="Arial"/>
          <w:color w:val="222222"/>
          <w:sz w:val="20"/>
          <w:szCs w:val="20"/>
        </w:rPr>
        <w:t xml:space="preserve"> networks. Specific policies or rules govern the types of traffic allowed between DMZs and Controlled/Uncontrolled networks, and, likewise, traffic originating from or terminating in DMZ networks. Located at the edge of a controlled network, these zones are tightly restricted, all systems are security hardened, and trust relationships between systems and services always originate or terminate in these zones. Port/Protocol communications between DMZs may be controlled through the use of a TCP/IP firewall that meets Common Criteria EAL4 certification at the discretion of the agency network security administrator.</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Extended Demilitarized Zone.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Employee</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(1) The agency's employees or (2) individuals under contract with the agency to provide services and who are paid directly by the agency and whose work is controlled and directed by the agency.</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Enterprise</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term Enterprise encompasses the IT environment of the Commonwealth of Massachusetts' Executive Department.</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Enterprise Security Board</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voluntary board that represents the Executive, Legislative, and Judicial branches of Massachusetts' government.</w:t>
      </w:r>
      <w:proofErr w:type="gramEnd"/>
      <w:r w:rsidRPr="002171BB">
        <w:rPr>
          <w:rFonts w:ascii="Arial" w:eastAsia="Times New Roman" w:hAnsi="Arial" w:cs="Arial"/>
          <w:color w:val="222222"/>
          <w:sz w:val="20"/>
          <w:szCs w:val="20"/>
        </w:rPr>
        <w:t xml:space="preserve"> The mission of the Enterprise Security Board is to develop and recommend policies and guidelines, consistent with best practices and state and federal law and regulation, designed to ensure adequate levels of security, integrity, and availability of electronic data captured, stored, and produced by the Commonwealth's IT resources. Because it lacks its own statutory authority, the Board's recommendations cannot become policy unless adopted by the Executive Department's CIO (in which case they become policy for the Executive Department) or by CIO's or agency heads of other departments or branches of state government. The Board's mission, as conceived by ITD and the Board's members, includes promoting the education and communication of generally accepted IT management and control practices and encouraging compliance with established standards and procedures.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Enterprise Technical Reference Model (ETRM)</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An enterprise architecture document that includes reference specifications for systems and technologies.</w:t>
      </w:r>
      <w:proofErr w:type="gramEnd"/>
      <w:r w:rsidRPr="002171BB">
        <w:rPr>
          <w:rFonts w:ascii="Arial" w:eastAsia="Times New Roman" w:hAnsi="Arial" w:cs="Arial"/>
          <w:color w:val="222222"/>
          <w:sz w:val="20"/>
          <w:szCs w:val="20"/>
        </w:rPr>
        <w:t xml:space="preserve"> These specifications include technical standards that are most often open standards but may also be proprietary </w:t>
      </w:r>
      <w:r w:rsidRPr="002171BB">
        <w:rPr>
          <w:rFonts w:ascii="Arial" w:eastAsia="Times New Roman" w:hAnsi="Arial" w:cs="Arial"/>
          <w:i/>
          <w:iCs/>
          <w:color w:val="222222"/>
          <w:sz w:val="20"/>
          <w:szCs w:val="20"/>
        </w:rPr>
        <w:t>de facto</w:t>
      </w:r>
      <w:r w:rsidRPr="002171BB">
        <w:rPr>
          <w:rFonts w:ascii="Arial" w:eastAsia="Times New Roman" w:hAnsi="Arial" w:cs="Arial"/>
          <w:color w:val="222222"/>
          <w:sz w:val="20"/>
          <w:szCs w:val="20"/>
        </w:rPr>
        <w:t> standards where there is no consensus on an open standard. The specifications may also include Enterprise Technology Solutions which include Commonwealth shared business or technical services that agencies are required or encouraged to use when there is a business need, or products or tools on which the Commonwealth has standardized.</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Enterprise Technology Solutions</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Shared services that agencies are required or encouraged to use when there is a business need, or products or tools on which the Commonwealth has standardized.</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Entity</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An agency, department, secretariat, authority, college or other unit of government of the Commonwealth of Massachusetts.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lastRenderedPageBreak/>
        <w:t>Executive Department</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agencies that comprise the Executive Branch of state government with the exception of the Constitutional Offices - the State Auditor, State Treasurer and Receiver General, the Attorney General, and the Secretary of the Commonwealth.</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Extended Demilitarized Zone (XDMZ)</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An extended Demilitarized Zone is a DMZ that has been deployed either within the internal network, managed by ITD, or local agency environment.</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Demilitarized Zone.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FID</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Federal employer identification number.</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Fusion Center</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 xml:space="preserve">The Fusion Center provides 24 hours </w:t>
      </w:r>
      <w:proofErr w:type="gramStart"/>
      <w:r w:rsidRPr="002171BB">
        <w:rPr>
          <w:rFonts w:ascii="Arial" w:eastAsia="Times New Roman" w:hAnsi="Arial" w:cs="Arial"/>
          <w:color w:val="222222"/>
          <w:sz w:val="20"/>
          <w:szCs w:val="20"/>
        </w:rPr>
        <w:t>a day</w:t>
      </w:r>
      <w:proofErr w:type="gramEnd"/>
      <w:r w:rsidRPr="002171BB">
        <w:rPr>
          <w:rFonts w:ascii="Arial" w:eastAsia="Times New Roman" w:hAnsi="Arial" w:cs="Arial"/>
          <w:color w:val="222222"/>
          <w:sz w:val="20"/>
          <w:szCs w:val="20"/>
        </w:rPr>
        <w:t xml:space="preserve"> statewide information sharing among local, state and federal public safety agencies and private sector organizations in order to facilitate the collection, analysis and dissemination of intelligence relevant to terrorism and public safety. The Commonwealth Fusion Center collects and analyzes information from all available sources to produce and disseminate actionable intelligence to stakeholders for strategic and tactical decision-making in order to disrupt domestic and international terrorism.</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Guideline</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collection of system-specific or procedure-specific suggestions for best practices that guide the implementation of policies and standards.</w:t>
      </w:r>
      <w:proofErr w:type="gramEnd"/>
      <w:r w:rsidRPr="002171BB">
        <w:rPr>
          <w:rFonts w:ascii="Arial" w:eastAsia="Times New Roman" w:hAnsi="Arial" w:cs="Arial"/>
          <w:color w:val="222222"/>
          <w:sz w:val="20"/>
          <w:szCs w:val="20"/>
        </w:rPr>
        <w:t xml:space="preserve"> Guidelines are advisory in nature and are strongly recommended.</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Incident Response</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Incident response is the set of actions taken once an adverse event has occurred to minimize the damage.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Information Security Officer (ISO)</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person designated by the agency head to administer the agency's information security program. The ISO is the agency's internal and external point of contact for all information security matters. The ISO and CIO may be the same individual.</w:t>
      </w:r>
    </w:p>
    <w:p w:rsidR="002171BB" w:rsidRPr="002171BB" w:rsidRDefault="002171BB" w:rsidP="002171BB">
      <w:pPr>
        <w:spacing w:after="192"/>
        <w:outlineLvl w:val="3"/>
        <w:rPr>
          <w:rFonts w:ascii="Tahoma" w:eastAsia="Times New Roman" w:hAnsi="Tahoma" w:cs="Tahoma"/>
          <w:b/>
          <w:bCs/>
          <w:color w:val="222222"/>
        </w:rPr>
      </w:pPr>
      <w:proofErr w:type="gramStart"/>
      <w:r w:rsidRPr="002171BB">
        <w:rPr>
          <w:rFonts w:ascii="Tahoma" w:eastAsia="Times New Roman" w:hAnsi="Tahoma" w:cs="Tahoma"/>
          <w:b/>
          <w:bCs/>
          <w:color w:val="222222"/>
        </w:rPr>
        <w:t>IT</w:t>
      </w:r>
      <w:proofErr w:type="gramEnd"/>
      <w:r w:rsidRPr="002171BB">
        <w:rPr>
          <w:rFonts w:ascii="Tahoma" w:eastAsia="Times New Roman" w:hAnsi="Tahoma" w:cs="Tahoma"/>
          <w:b/>
          <w:bCs/>
          <w:color w:val="222222"/>
        </w:rPr>
        <w:t xml:space="preserve"> Asset</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An IT asset can be a physical IT asset (hardware, network devices, etc.) or a logical IT asset (data, software, licensing, and applications).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Information Technology Resources (</w:t>
      </w:r>
      <w:proofErr w:type="gramStart"/>
      <w:r w:rsidRPr="002171BB">
        <w:rPr>
          <w:rFonts w:ascii="Tahoma" w:eastAsia="Times New Roman" w:hAnsi="Tahoma" w:cs="Tahoma"/>
          <w:b/>
          <w:bCs/>
          <w:color w:val="222222"/>
        </w:rPr>
        <w:t>IT</w:t>
      </w:r>
      <w:proofErr w:type="gramEnd"/>
      <w:r w:rsidRPr="002171BB">
        <w:rPr>
          <w:rFonts w:ascii="Tahoma" w:eastAsia="Times New Roman" w:hAnsi="Tahoma" w:cs="Tahoma"/>
          <w:b/>
          <w:bCs/>
          <w:color w:val="222222"/>
        </w:rPr>
        <w:t xml:space="preserve"> Resources)</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Commonwealth's computers, printers, and other peripherals, programs, data, local and wide area networks, access to the Internet when provided by the Commonwealth, and remote access methods, including VPN.</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ITD</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lastRenderedPageBreak/>
        <w:t>The Information Technology Division of the Executive Office for Administration and Finance.</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Least Privilege</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principle of least privilege means to give a user only those powers/privileges which are absolutely essential to perform his/her job responsibilities.</w:t>
      </w:r>
    </w:p>
    <w:p w:rsidR="002171BB" w:rsidRPr="002171BB" w:rsidRDefault="002171BB" w:rsidP="002171BB">
      <w:pPr>
        <w:spacing w:after="192"/>
        <w:outlineLvl w:val="3"/>
        <w:rPr>
          <w:rFonts w:ascii="Tahoma" w:eastAsia="Times New Roman" w:hAnsi="Tahoma" w:cs="Tahoma"/>
          <w:b/>
          <w:bCs/>
          <w:color w:val="222222"/>
        </w:rPr>
      </w:pPr>
      <w:proofErr w:type="spellStart"/>
      <w:r w:rsidRPr="002171BB">
        <w:rPr>
          <w:rFonts w:ascii="Tahoma" w:eastAsia="Times New Roman" w:hAnsi="Tahoma" w:cs="Tahoma"/>
          <w:b/>
          <w:bCs/>
          <w:color w:val="222222"/>
        </w:rPr>
        <w:t>MAGNet</w:t>
      </w:r>
      <w:proofErr w:type="spellEnd"/>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b/>
          <w:bCs/>
          <w:color w:val="222222"/>
          <w:sz w:val="20"/>
          <w:szCs w:val="20"/>
        </w:rPr>
        <w:t>M</w:t>
      </w:r>
      <w:r w:rsidRPr="002171BB">
        <w:rPr>
          <w:rFonts w:ascii="Arial" w:eastAsia="Times New Roman" w:hAnsi="Arial" w:cs="Arial"/>
          <w:color w:val="222222"/>
          <w:sz w:val="20"/>
          <w:szCs w:val="20"/>
        </w:rPr>
        <w:t>assachusetts </w:t>
      </w:r>
      <w:r w:rsidRPr="002171BB">
        <w:rPr>
          <w:rFonts w:ascii="Arial" w:eastAsia="Times New Roman" w:hAnsi="Arial" w:cs="Arial"/>
          <w:b/>
          <w:bCs/>
          <w:color w:val="222222"/>
          <w:sz w:val="20"/>
          <w:szCs w:val="20"/>
        </w:rPr>
        <w:t>A</w:t>
      </w:r>
      <w:r w:rsidRPr="002171BB">
        <w:rPr>
          <w:rFonts w:ascii="Arial" w:eastAsia="Times New Roman" w:hAnsi="Arial" w:cs="Arial"/>
          <w:color w:val="222222"/>
          <w:sz w:val="20"/>
          <w:szCs w:val="20"/>
        </w:rPr>
        <w:t>ccess to </w:t>
      </w:r>
      <w:r w:rsidRPr="002171BB">
        <w:rPr>
          <w:rFonts w:ascii="Arial" w:eastAsia="Times New Roman" w:hAnsi="Arial" w:cs="Arial"/>
          <w:b/>
          <w:bCs/>
          <w:color w:val="222222"/>
          <w:sz w:val="20"/>
          <w:szCs w:val="20"/>
        </w:rPr>
        <w:t>G</w:t>
      </w:r>
      <w:r w:rsidRPr="002171BB">
        <w:rPr>
          <w:rFonts w:ascii="Arial" w:eastAsia="Times New Roman" w:hAnsi="Arial" w:cs="Arial"/>
          <w:color w:val="222222"/>
          <w:sz w:val="20"/>
          <w:szCs w:val="20"/>
        </w:rPr>
        <w:t>overnment </w:t>
      </w:r>
      <w:r w:rsidRPr="002171BB">
        <w:rPr>
          <w:rFonts w:ascii="Arial" w:eastAsia="Times New Roman" w:hAnsi="Arial" w:cs="Arial"/>
          <w:b/>
          <w:bCs/>
          <w:color w:val="222222"/>
          <w:sz w:val="20"/>
          <w:szCs w:val="20"/>
        </w:rPr>
        <w:t>Net</w:t>
      </w:r>
      <w:r w:rsidRPr="002171BB">
        <w:rPr>
          <w:rFonts w:ascii="Arial" w:eastAsia="Times New Roman" w:hAnsi="Arial" w:cs="Arial"/>
          <w:color w:val="222222"/>
          <w:sz w:val="20"/>
          <w:szCs w:val="20"/>
        </w:rPr>
        <w:t xml:space="preserve">work, the state </w:t>
      </w:r>
      <w:proofErr w:type="gramStart"/>
      <w:r w:rsidRPr="002171BB">
        <w:rPr>
          <w:rFonts w:ascii="Arial" w:eastAsia="Times New Roman" w:hAnsi="Arial" w:cs="Arial"/>
          <w:color w:val="222222"/>
          <w:sz w:val="20"/>
          <w:szCs w:val="20"/>
        </w:rPr>
        <w:t>government's</w:t>
      </w:r>
      <w:proofErr w:type="gramEnd"/>
      <w:r w:rsidRPr="002171BB">
        <w:rPr>
          <w:rFonts w:ascii="Arial" w:eastAsia="Times New Roman" w:hAnsi="Arial" w:cs="Arial"/>
          <w:color w:val="222222"/>
          <w:sz w:val="20"/>
          <w:szCs w:val="20"/>
        </w:rPr>
        <w:t xml:space="preserve"> internal network also known as the Commonwealth's Wide Area Network.</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Mass.Gov</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enterprise portal developed for use by all citizens, businesses, visitors, and government agencies to facilitate interaction between the Commonwealth of Massachusetts and the various customers of its services as well as business partners.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Owner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head of an entity.</w:t>
      </w:r>
      <w:proofErr w:type="gramEnd"/>
      <w:r w:rsidRPr="002171BB">
        <w:rPr>
          <w:rFonts w:ascii="Arial" w:eastAsia="Times New Roman" w:hAnsi="Arial" w:cs="Arial"/>
          <w:color w:val="222222"/>
          <w:sz w:val="20"/>
          <w:szCs w:val="20"/>
        </w:rPr>
        <w:t xml:space="preserve"> The owner may be Commissioner, Department head, Chief Justice, Governor, etc., of the agency, department, secretariat, branch of government, authority, or other entity. The owner is ultimately responsible for the information and IT systems within his/her purview. The owner must ensure that the entity for which they are responsible has the security policies and procedures in place to safeguard the information and IT assets of the entity.</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Perimeter Network</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Demilitarized Zone.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Policy</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 document that outlines specific requirements and rules that must be met. These mandatory and enforceable directives are often supported by Standards, Procedures and architecture documents that provide more detail on implementation and compliance.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Procedures</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Implementation requirements or detailed steps that must be taken to comply with a particular policy.</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Public Sector Code Sharing</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Software code that is owned by a public entity or licensed to a public entity under terms that permit relicensing and is made available to other public entities for use and modification without royalties.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Remote Access</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All means of access by an individual or entity located outside the Commonwealth's computer systems to those systems.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Remote Access Contracted Business Partner Agreement</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agreement that Commonwealth contracted business partners must sign as a condition of using remote access.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lastRenderedPageBreak/>
        <w:t>Remote Access Employee Agreement</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agreement that employees must sign as a condition of using remote access.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Remote Access VPN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An approved method used by authorized end users initiating an encrypted communication session from a remote location to an agency system.</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Residual Risk</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Risk that is not mitigated by controls and security measures.</w:t>
      </w:r>
      <w:proofErr w:type="gramEnd"/>
      <w:r w:rsidRPr="002171BB">
        <w:rPr>
          <w:rFonts w:ascii="Arial" w:eastAsia="Times New Roman" w:hAnsi="Arial" w:cs="Arial"/>
          <w:color w:val="222222"/>
          <w:sz w:val="20"/>
          <w:szCs w:val="20"/>
        </w:rPr>
        <w:t xml:space="preserve"> Residual risk remains even after the proper design, implementation, and exercise of a system of internal controls that provide, at least, a reasonable level of assurance that control objectives will be met. Residual risk should be identified, documented, and formally accepted. The residual risk should be offset with adequate insurance coverage, contractually negotiated liabilities, and self-insurance.</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Risk Assessment</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Risk Assessment is the process of identifying, qualifying and prioritizing risks against operational and control objectives, and designing and implementing controls that provide reasonable assurance that objectives will be met and that risks will be managed to an acceptable level.</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Risk Values</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Risk values can be Qualitative (High, Medium, and Low) or Quantitative (dollar value or other metric).</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Security Incident</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 xml:space="preserve">An event, intentional or accidental, that threatens or exploits unauthorized and/or illegal access or use of Commonwealth electronic information systems and/or services inside of </w:t>
      </w:r>
      <w:proofErr w:type="spellStart"/>
      <w:r w:rsidRPr="002171BB">
        <w:rPr>
          <w:rFonts w:ascii="Arial" w:eastAsia="Times New Roman" w:hAnsi="Arial" w:cs="Arial"/>
          <w:color w:val="222222"/>
          <w:sz w:val="20"/>
          <w:szCs w:val="20"/>
        </w:rPr>
        <w:t>MAGNet</w:t>
      </w:r>
      <w:proofErr w:type="spellEnd"/>
      <w:r w:rsidRPr="002171BB">
        <w:rPr>
          <w:rFonts w:ascii="Arial" w:eastAsia="Times New Roman" w:hAnsi="Arial" w:cs="Arial"/>
          <w:color w:val="222222"/>
          <w:sz w:val="20"/>
          <w:szCs w:val="20"/>
        </w:rPr>
        <w:t>. Additionally, any violations of Information Technology (IT) Resources security policies, standards or established security practices are considered security incidents.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Site-to-Site VPN</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secure telecommunications channel that establishes a persistent encrypted communication channel between a remote location and an agency system.</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Split Tunneling</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 xml:space="preserve">A configuration that would allow remote VPN users to access distributed computing resources in both a Local Area Network (LAN) and </w:t>
      </w:r>
      <w:proofErr w:type="spellStart"/>
      <w:r w:rsidRPr="002171BB">
        <w:rPr>
          <w:rFonts w:ascii="Arial" w:eastAsia="Times New Roman" w:hAnsi="Arial" w:cs="Arial"/>
          <w:color w:val="222222"/>
          <w:sz w:val="20"/>
          <w:szCs w:val="20"/>
        </w:rPr>
        <w:t>MAGNet</w:t>
      </w:r>
      <w:proofErr w:type="spellEnd"/>
      <w:r w:rsidRPr="002171BB">
        <w:rPr>
          <w:rFonts w:ascii="Arial" w:eastAsia="Times New Roman" w:hAnsi="Arial" w:cs="Arial"/>
          <w:color w:val="222222"/>
          <w:sz w:val="20"/>
          <w:szCs w:val="20"/>
        </w:rPr>
        <w:t xml:space="preserve"> simultaneously. Such concurrent links to a remote LAN and </w:t>
      </w:r>
      <w:proofErr w:type="spellStart"/>
      <w:r w:rsidRPr="002171BB">
        <w:rPr>
          <w:rFonts w:ascii="Arial" w:eastAsia="Times New Roman" w:hAnsi="Arial" w:cs="Arial"/>
          <w:color w:val="222222"/>
          <w:sz w:val="20"/>
          <w:szCs w:val="20"/>
        </w:rPr>
        <w:t>MAGNet</w:t>
      </w:r>
      <w:proofErr w:type="spellEnd"/>
      <w:r w:rsidRPr="002171BB">
        <w:rPr>
          <w:rFonts w:ascii="Arial" w:eastAsia="Times New Roman" w:hAnsi="Arial" w:cs="Arial"/>
          <w:color w:val="222222"/>
          <w:sz w:val="20"/>
          <w:szCs w:val="20"/>
        </w:rPr>
        <w:t xml:space="preserve"> can inadvertently cause Commonwealth resources to become susceptible to unpatched, unfiltered, improperly configured, and/or an otherwise vulnerable remote environment.</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Standards</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Collections of system-specific or procedural-specific requirements that must be met.</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Statutory Business Partner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Individuals or entities that are not under contract with the Commonwealth and have a statutory right to access data held by the Commonwealth.</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lastRenderedPageBreak/>
        <w:t>System Administrator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person who has authority for the overall management and operation of a system or application.</w:t>
      </w:r>
      <w:proofErr w:type="gramEnd"/>
      <w:r w:rsidRPr="002171BB">
        <w:rPr>
          <w:rFonts w:ascii="Arial" w:eastAsia="Times New Roman" w:hAnsi="Arial" w:cs="Arial"/>
          <w:color w:val="222222"/>
          <w:sz w:val="20"/>
          <w:szCs w:val="20"/>
        </w:rPr>
        <w:t xml:space="preserve"> The administrator ensures that the operation and/or management of the system or application properly safeguard the data. The application administrator derives their authority from the owner/head of the agency.</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Third Party</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 xml:space="preserve">Private sector companies or individuals that conduct business with </w:t>
      </w:r>
      <w:proofErr w:type="spellStart"/>
      <w:r w:rsidRPr="002171BB">
        <w:rPr>
          <w:rFonts w:ascii="Arial" w:eastAsia="Times New Roman" w:hAnsi="Arial" w:cs="Arial"/>
          <w:color w:val="222222"/>
          <w:sz w:val="20"/>
          <w:szCs w:val="20"/>
        </w:rPr>
        <w:t>MAGNet</w:t>
      </w:r>
      <w:proofErr w:type="spellEnd"/>
      <w:r w:rsidRPr="002171BB">
        <w:rPr>
          <w:rFonts w:ascii="Arial" w:eastAsia="Times New Roman" w:hAnsi="Arial" w:cs="Arial"/>
          <w:color w:val="222222"/>
          <w:sz w:val="20"/>
          <w:szCs w:val="20"/>
        </w:rPr>
        <w:t xml:space="preserve"> members.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Uncontrolled Network</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 network that is not physically or operationally controlled by a specific Commonwealth agency or entity.</w:t>
      </w:r>
      <w:proofErr w:type="gramEnd"/>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Controlled Network.</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Unique Access Identification Number (UAID)</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unique number assigned to users of Commonwealth IT systems such as the mainframe and remote access VPN users. The UAID is used in combination with a password for access control to systems.</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Virtual Private Network (VPN)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A secure telecommunications channel that enables people located at a distance from the Commonwealth's computer systems to use the Internet to communicate with the Commonwealth's internal network. In the Remote Access and Virtual Private Network Policy, the term VPN is used exclusively to mean remote-access VPN.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also Remote Access VPN and Site-to-Site VPN.</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Visitor</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An individual who has a business need for temporary access to systems and/or equipment residing in the facility or a need to meet on-site with an employee.</w:t>
      </w:r>
      <w:proofErr w:type="gramEnd"/>
      <w:r w:rsidRPr="002171BB">
        <w:rPr>
          <w:rFonts w:ascii="Arial" w:eastAsia="Times New Roman" w:hAnsi="Arial" w:cs="Arial"/>
          <w:color w:val="222222"/>
          <w:sz w:val="20"/>
          <w:szCs w:val="20"/>
        </w:rPr>
        <w:br/>
        <w:t> </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VPN Liaison</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The person or persons identified by the Information Technology Division to provide information to VPN users and prospective users about VPN.</w:t>
      </w:r>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VPN Software</w:t>
      </w:r>
    </w:p>
    <w:p w:rsidR="002171BB" w:rsidRPr="002171BB" w:rsidRDefault="002171BB" w:rsidP="002171BB">
      <w:pPr>
        <w:spacing w:after="240"/>
        <w:rPr>
          <w:rFonts w:ascii="Arial" w:eastAsia="Times New Roman" w:hAnsi="Arial" w:cs="Arial"/>
          <w:color w:val="222222"/>
          <w:sz w:val="20"/>
          <w:szCs w:val="20"/>
        </w:rPr>
      </w:pPr>
      <w:proofErr w:type="gramStart"/>
      <w:r w:rsidRPr="002171BB">
        <w:rPr>
          <w:rFonts w:ascii="Arial" w:eastAsia="Times New Roman" w:hAnsi="Arial" w:cs="Arial"/>
          <w:color w:val="222222"/>
          <w:sz w:val="20"/>
          <w:szCs w:val="20"/>
        </w:rPr>
        <w:t>The software that enables remote users to connect their computer to the Commonwealth's systems via the Internet utilizing VPN services.</w:t>
      </w:r>
      <w:proofErr w:type="gramEnd"/>
    </w:p>
    <w:p w:rsidR="002171BB" w:rsidRPr="002171BB" w:rsidRDefault="002171BB" w:rsidP="002171BB">
      <w:pPr>
        <w:spacing w:after="192"/>
        <w:outlineLvl w:val="3"/>
        <w:rPr>
          <w:rFonts w:ascii="Tahoma" w:eastAsia="Times New Roman" w:hAnsi="Tahoma" w:cs="Tahoma"/>
          <w:b/>
          <w:bCs/>
          <w:color w:val="222222"/>
        </w:rPr>
      </w:pPr>
      <w:r w:rsidRPr="002171BB">
        <w:rPr>
          <w:rFonts w:ascii="Tahoma" w:eastAsia="Times New Roman" w:hAnsi="Tahoma" w:cs="Tahoma"/>
          <w:b/>
          <w:bCs/>
          <w:color w:val="222222"/>
        </w:rPr>
        <w:t>XDMZ</w:t>
      </w:r>
    </w:p>
    <w:p w:rsidR="002171BB" w:rsidRPr="002171BB" w:rsidRDefault="002171BB" w:rsidP="002171BB">
      <w:pPr>
        <w:spacing w:after="240"/>
        <w:rPr>
          <w:rFonts w:ascii="Arial" w:eastAsia="Times New Roman" w:hAnsi="Arial" w:cs="Arial"/>
          <w:color w:val="222222"/>
          <w:sz w:val="20"/>
          <w:szCs w:val="20"/>
        </w:rPr>
      </w:pPr>
      <w:r w:rsidRPr="002171BB">
        <w:rPr>
          <w:rFonts w:ascii="Arial" w:eastAsia="Times New Roman" w:hAnsi="Arial" w:cs="Arial"/>
          <w:color w:val="222222"/>
          <w:sz w:val="20"/>
          <w:szCs w:val="20"/>
        </w:rPr>
        <w:t>See Extended Demilitarized Zone.</w:t>
      </w:r>
    </w:p>
    <w:p w:rsidR="0057224E" w:rsidRDefault="0057224E">
      <w:bookmarkStart w:id="0" w:name="_GoBack"/>
      <w:bookmarkEnd w:id="0"/>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BB"/>
    <w:rsid w:val="002171BB"/>
    <w:rsid w:val="0057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71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171B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1B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171B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171B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171BB"/>
    <w:rPr>
      <w:b/>
      <w:bCs/>
    </w:rPr>
  </w:style>
  <w:style w:type="character" w:styleId="Hyperlink">
    <w:name w:val="Hyperlink"/>
    <w:basedOn w:val="DefaultParagraphFont"/>
    <w:uiPriority w:val="99"/>
    <w:semiHidden/>
    <w:unhideWhenUsed/>
    <w:rsid w:val="002171BB"/>
    <w:rPr>
      <w:color w:val="0000FF"/>
      <w:u w:val="single"/>
    </w:rPr>
  </w:style>
  <w:style w:type="character" w:styleId="Emphasis">
    <w:name w:val="Emphasis"/>
    <w:basedOn w:val="DefaultParagraphFont"/>
    <w:uiPriority w:val="20"/>
    <w:qFormat/>
    <w:rsid w:val="002171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71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171B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1B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171B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171B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171BB"/>
    <w:rPr>
      <w:b/>
      <w:bCs/>
    </w:rPr>
  </w:style>
  <w:style w:type="character" w:styleId="Hyperlink">
    <w:name w:val="Hyperlink"/>
    <w:basedOn w:val="DefaultParagraphFont"/>
    <w:uiPriority w:val="99"/>
    <w:semiHidden/>
    <w:unhideWhenUsed/>
    <w:rsid w:val="002171BB"/>
    <w:rPr>
      <w:color w:val="0000FF"/>
      <w:u w:val="single"/>
    </w:rPr>
  </w:style>
  <w:style w:type="character" w:styleId="Emphasis">
    <w:name w:val="Emphasis"/>
    <w:basedOn w:val="DefaultParagraphFont"/>
    <w:uiPriority w:val="20"/>
    <w:qFormat/>
    <w:rsid w:val="00217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94457">
      <w:bodyDiv w:val="1"/>
      <w:marLeft w:val="0"/>
      <w:marRight w:val="0"/>
      <w:marTop w:val="0"/>
      <w:marBottom w:val="0"/>
      <w:divBdr>
        <w:top w:val="none" w:sz="0" w:space="0" w:color="auto"/>
        <w:left w:val="none" w:sz="0" w:space="0" w:color="auto"/>
        <w:bottom w:val="none" w:sz="0" w:space="0" w:color="auto"/>
        <w:right w:val="none" w:sz="0" w:space="0" w:color="auto"/>
      </w:divBdr>
      <w:divsChild>
        <w:div w:id="1617323913">
          <w:marLeft w:val="0"/>
          <w:marRight w:val="0"/>
          <w:marTop w:val="0"/>
          <w:marBottom w:val="0"/>
          <w:divBdr>
            <w:top w:val="none" w:sz="0" w:space="0" w:color="auto"/>
            <w:left w:val="none" w:sz="0" w:space="0" w:color="auto"/>
            <w:bottom w:val="none" w:sz="0" w:space="0" w:color="auto"/>
            <w:right w:val="none" w:sz="0" w:space="0" w:color="auto"/>
          </w:divBdr>
        </w:div>
        <w:div w:id="351957241">
          <w:marLeft w:val="0"/>
          <w:marRight w:val="0"/>
          <w:marTop w:val="0"/>
          <w:marBottom w:val="0"/>
          <w:divBdr>
            <w:top w:val="none" w:sz="0" w:space="0" w:color="auto"/>
            <w:left w:val="none" w:sz="0" w:space="0" w:color="auto"/>
            <w:bottom w:val="none" w:sz="0" w:space="0" w:color="auto"/>
            <w:right w:val="none" w:sz="0" w:space="0" w:color="auto"/>
          </w:divBdr>
          <w:divsChild>
            <w:div w:id="2098594033">
              <w:marLeft w:val="0"/>
              <w:marRight w:val="0"/>
              <w:marTop w:val="0"/>
              <w:marBottom w:val="0"/>
              <w:divBdr>
                <w:top w:val="none" w:sz="0" w:space="0" w:color="auto"/>
                <w:left w:val="none" w:sz="0" w:space="0" w:color="auto"/>
                <w:bottom w:val="none" w:sz="0" w:space="0" w:color="auto"/>
                <w:right w:val="none" w:sz="0" w:space="0" w:color="auto"/>
              </w:divBdr>
              <w:divsChild>
                <w:div w:id="1675185004">
                  <w:marLeft w:val="0"/>
                  <w:marRight w:val="0"/>
                  <w:marTop w:val="0"/>
                  <w:marBottom w:val="0"/>
                  <w:divBdr>
                    <w:top w:val="none" w:sz="0" w:space="0" w:color="auto"/>
                    <w:left w:val="none" w:sz="0" w:space="0" w:color="auto"/>
                    <w:bottom w:val="none" w:sz="0" w:space="0" w:color="auto"/>
                    <w:right w:val="none" w:sz="0" w:space="0" w:color="auto"/>
                  </w:divBdr>
                  <w:divsChild>
                    <w:div w:id="138807903">
                      <w:marLeft w:val="0"/>
                      <w:marRight w:val="0"/>
                      <w:marTop w:val="0"/>
                      <w:marBottom w:val="0"/>
                      <w:divBdr>
                        <w:top w:val="none" w:sz="0" w:space="0" w:color="auto"/>
                        <w:left w:val="none" w:sz="0" w:space="0" w:color="auto"/>
                        <w:bottom w:val="none" w:sz="0" w:space="0" w:color="auto"/>
                        <w:right w:val="none" w:sz="0" w:space="0" w:color="auto"/>
                      </w:divBdr>
                      <w:divsChild>
                        <w:div w:id="6977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HelpServiceDesk@MassMail.state.ma.us" TargetMode="External"/><Relationship Id="rId3" Type="http://schemas.openxmlformats.org/officeDocument/2006/relationships/settings" Target="settings.xml"/><Relationship Id="rId7" Type="http://schemas.openxmlformats.org/officeDocument/2006/relationships/hyperlink" Target="http://www.mass.gov/anf/budget-taxes-and-procurement/oversight-agencies/osd/procurement-information-cente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ooselycoupled.com/glossary/" TargetMode="External"/><Relationship Id="rId5" Type="http://schemas.openxmlformats.org/officeDocument/2006/relationships/hyperlink" Target="http://amser.org/index.php?P=AMSER--ResourceFrame&amp;resourceId=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cp:revision>
  <dcterms:created xsi:type="dcterms:W3CDTF">2018-01-24T17:09:00Z</dcterms:created>
  <dcterms:modified xsi:type="dcterms:W3CDTF">2018-01-24T17:09:00Z</dcterms:modified>
</cp:coreProperties>
</file>