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9" w:lineRule="exact"/>
        <w:rPr>
          <w:sz w:val="24"/>
          <w:szCs w:val="24"/>
          <w:color w:val="auto"/>
        </w:rPr>
      </w:pPr>
    </w:p>
    <w:p>
      <w:pPr>
        <w:ind w:left="1152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9"/>
          <w:szCs w:val="39"/>
          <w:b w:val="1"/>
          <w:bCs w:val="1"/>
          <w:i w:val="1"/>
          <w:iCs w:val="1"/>
          <w:color w:val="FFFFFF"/>
        </w:rPr>
        <w:t>November 14, 2017</w:t>
      </w:r>
    </w:p>
    <w:p>
      <w:pPr>
        <w:sectPr>
          <w:pgSz w:w="15840" w:h="12267" w:orient="landscape"/>
          <w:cols w:equalWidth="0" w:num="1">
            <w:col w:w="14820"/>
          </w:cols>
          <w:pgMar w:left="720" w:top="1440" w:right="300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3"/>
          <w:szCs w:val="23"/>
          <w:color w:val="898989"/>
        </w:rPr>
        <w:t>1</w:t>
      </w:r>
    </w:p>
    <w:p>
      <w:pPr>
        <w:sectPr>
          <w:pgSz w:w="15840" w:h="12267" w:orient="landscape"/>
          <w:cols w:equalWidth="0" w:num="1">
            <w:col w:w="14820"/>
          </w:cols>
          <w:pgMar w:left="720" w:top="1440" w:right="300" w:bottom="0" w:gutter="0" w:footer="0" w:header="0"/>
          <w:type w:val="continuous"/>
        </w:sectPr>
      </w:pPr>
    </w:p>
    <w:bookmarkStart w:id="1" w:name="page2"/>
    <w:bookmarkEnd w:id="1"/>
    <w:p>
      <w:pPr>
        <w:spacing w:after="0" w:line="2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2017 Highlights...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spacing w:after="0" w:line="236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While there are still far too many of our families, friends and neighbors suffering from an opioid use disorder – there are signs of early progress in our fight against opioid addiction</w:t>
      </w:r>
    </w:p>
    <w:p>
      <w:pPr>
        <w:ind w:left="1260" w:hanging="459"/>
        <w:spacing w:after="0" w:line="218" w:lineRule="auto"/>
        <w:tabs>
          <w:tab w:leader="none" w:pos="1260" w:val="left"/>
        </w:tabs>
        <w:numPr>
          <w:ilvl w:val="0"/>
          <w:numId w:val="1"/>
        </w:numPr>
        <w:rPr>
          <w:rFonts w:ascii="Wingdings" w:cs="Wingdings" w:eastAsia="Wingdings" w:hAnsi="Wingdings"/>
          <w:sz w:val="60"/>
          <w:szCs w:val="60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30"/>
          <w:szCs w:val="30"/>
          <w:color w:val="1F497D"/>
        </w:rPr>
        <w:t>The rate of overdose deaths has slowed, the first 9 months of 2017 showed a 10% decrease over 2016</w:t>
      </w:r>
    </w:p>
    <w:p>
      <w:pPr>
        <w:spacing w:after="0" w:line="1" w:lineRule="exact"/>
        <w:rPr>
          <w:rFonts w:ascii="Wingdings" w:cs="Wingdings" w:eastAsia="Wingdings" w:hAnsi="Wingdings"/>
          <w:sz w:val="60"/>
          <w:szCs w:val="60"/>
          <w:color w:val="1F497D"/>
          <w:vertAlign w:val="superscript"/>
        </w:rPr>
      </w:pPr>
    </w:p>
    <w:p>
      <w:pPr>
        <w:ind w:left="1260" w:right="180" w:hanging="459"/>
        <w:spacing w:after="0" w:line="180" w:lineRule="auto"/>
        <w:tabs>
          <w:tab w:leader="none" w:pos="1260" w:val="left"/>
        </w:tabs>
        <w:numPr>
          <w:ilvl w:val="0"/>
          <w:numId w:val="1"/>
        </w:numPr>
        <w:rPr>
          <w:rFonts w:ascii="Wingdings" w:cs="Wingdings" w:eastAsia="Wingdings" w:hAnsi="Wingdings"/>
          <w:sz w:val="55"/>
          <w:szCs w:val="55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28"/>
          <w:szCs w:val="28"/>
          <w:color w:val="1F497D"/>
        </w:rPr>
        <w:t>The presence of prescription opioids and heroin in toxicology of opioid-related deaths continues to decline, however, the presence of fentanyl in opioid-related deaths has been increasing significantly</w:t>
      </w:r>
    </w:p>
    <w:p>
      <w:pPr>
        <w:spacing w:after="0" w:line="1" w:lineRule="exact"/>
        <w:rPr>
          <w:rFonts w:ascii="Wingdings" w:cs="Wingdings" w:eastAsia="Wingdings" w:hAnsi="Wingdings"/>
          <w:sz w:val="55"/>
          <w:szCs w:val="55"/>
          <w:color w:val="1F497D"/>
          <w:vertAlign w:val="superscript"/>
        </w:rPr>
      </w:pPr>
    </w:p>
    <w:p>
      <w:pPr>
        <w:ind w:left="1260" w:hanging="459"/>
        <w:spacing w:after="0" w:line="181" w:lineRule="auto"/>
        <w:tabs>
          <w:tab w:leader="none" w:pos="1260" w:val="left"/>
        </w:tabs>
        <w:numPr>
          <w:ilvl w:val="0"/>
          <w:numId w:val="1"/>
        </w:numPr>
        <w:rPr>
          <w:rFonts w:ascii="Wingdings" w:cs="Wingdings" w:eastAsia="Wingdings" w:hAnsi="Wingdings"/>
          <w:sz w:val="43"/>
          <w:szCs w:val="43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24"/>
          <w:szCs w:val="24"/>
          <w:color w:val="1F497D"/>
        </w:rPr>
        <w:t>Prescribing clinicians have changed their practice and are using the prescription monitoring program</w:t>
      </w:r>
    </w:p>
    <w:p>
      <w:pPr>
        <w:ind w:left="1260" w:hanging="459"/>
        <w:spacing w:after="0" w:line="181" w:lineRule="auto"/>
        <w:tabs>
          <w:tab w:leader="none" w:pos="1260" w:val="left"/>
        </w:tabs>
        <w:numPr>
          <w:ilvl w:val="0"/>
          <w:numId w:val="1"/>
        </w:numPr>
        <w:rPr>
          <w:rFonts w:ascii="Wingdings" w:cs="Wingdings" w:eastAsia="Wingdings" w:hAnsi="Wingdings"/>
          <w:sz w:val="43"/>
          <w:szCs w:val="43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24"/>
          <w:szCs w:val="24"/>
          <w:color w:val="1F497D"/>
        </w:rPr>
        <w:t>The number of opioid prescriptions has decreased by 29% since 2015</w:t>
      </w:r>
    </w:p>
    <w:p>
      <w:pPr>
        <w:ind w:left="1260" w:hanging="459"/>
        <w:spacing w:after="0" w:line="181" w:lineRule="auto"/>
        <w:tabs>
          <w:tab w:leader="none" w:pos="1260" w:val="left"/>
        </w:tabs>
        <w:numPr>
          <w:ilvl w:val="0"/>
          <w:numId w:val="1"/>
        </w:numPr>
        <w:rPr>
          <w:rFonts w:ascii="Wingdings" w:cs="Wingdings" w:eastAsia="Wingdings" w:hAnsi="Wingdings"/>
          <w:sz w:val="43"/>
          <w:szCs w:val="43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24"/>
          <w:szCs w:val="24"/>
          <w:color w:val="1F497D"/>
        </w:rPr>
        <w:t>There continues to be an increase in the use of Naloxone as a result of expanded access</w:t>
      </w: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A few highlights include:</w:t>
      </w:r>
    </w:p>
    <w:p>
      <w:pPr>
        <w:ind w:left="1340" w:hanging="539"/>
        <w:spacing w:after="0" w:line="217" w:lineRule="auto"/>
        <w:tabs>
          <w:tab w:leader="none" w:pos="1340" w:val="left"/>
        </w:tabs>
        <w:numPr>
          <w:ilvl w:val="0"/>
          <w:numId w:val="2"/>
        </w:numPr>
        <w:rPr>
          <w:rFonts w:ascii="Wingdings" w:cs="Wingdings" w:eastAsia="Wingdings" w:hAnsi="Wingdings"/>
          <w:sz w:val="60"/>
          <w:szCs w:val="60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30"/>
          <w:szCs w:val="30"/>
          <w:color w:val="1F497D"/>
        </w:rPr>
        <w:t>Certified 162 Sober Homes, totaling 2,168 beds</w:t>
      </w:r>
    </w:p>
    <w:p>
      <w:pPr>
        <w:spacing w:after="0" w:line="1" w:lineRule="exact"/>
        <w:rPr>
          <w:rFonts w:ascii="Wingdings" w:cs="Wingdings" w:eastAsia="Wingdings" w:hAnsi="Wingdings"/>
          <w:sz w:val="60"/>
          <w:szCs w:val="60"/>
          <w:color w:val="1F497D"/>
          <w:vertAlign w:val="superscript"/>
        </w:rPr>
      </w:pPr>
    </w:p>
    <w:p>
      <w:pPr>
        <w:ind w:left="1340" w:hanging="539"/>
        <w:spacing w:after="0" w:line="181" w:lineRule="auto"/>
        <w:tabs>
          <w:tab w:leader="none" w:pos="1340" w:val="left"/>
        </w:tabs>
        <w:numPr>
          <w:ilvl w:val="0"/>
          <w:numId w:val="2"/>
        </w:numPr>
        <w:rPr>
          <w:rFonts w:ascii="Wingdings" w:cs="Wingdings" w:eastAsia="Wingdings" w:hAnsi="Wingdings"/>
          <w:sz w:val="43"/>
          <w:szCs w:val="43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24"/>
          <w:szCs w:val="24"/>
          <w:color w:val="1F497D"/>
        </w:rPr>
        <w:t>Added 680 substance use disorder and psychiatric treatment beds since January 2015</w:t>
      </w:r>
    </w:p>
    <w:p>
      <w:pPr>
        <w:ind w:left="1340" w:hanging="539"/>
        <w:spacing w:after="0" w:line="181" w:lineRule="auto"/>
        <w:tabs>
          <w:tab w:leader="none" w:pos="1340" w:val="left"/>
        </w:tabs>
        <w:numPr>
          <w:ilvl w:val="0"/>
          <w:numId w:val="2"/>
        </w:numPr>
        <w:rPr>
          <w:rFonts w:ascii="Wingdings" w:cs="Wingdings" w:eastAsia="Wingdings" w:hAnsi="Wingdings"/>
          <w:sz w:val="43"/>
          <w:szCs w:val="43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24"/>
          <w:szCs w:val="24"/>
          <w:color w:val="1F497D"/>
        </w:rPr>
        <w:t>Released Chapter 55 Opioid Overdose Data Brief in August 2017</w:t>
      </w:r>
    </w:p>
    <w:p>
      <w:pPr>
        <w:ind w:left="1340" w:hanging="539"/>
        <w:spacing w:after="0" w:line="181" w:lineRule="auto"/>
        <w:tabs>
          <w:tab w:leader="none" w:pos="1340" w:val="left"/>
        </w:tabs>
        <w:numPr>
          <w:ilvl w:val="0"/>
          <w:numId w:val="2"/>
        </w:numPr>
        <w:rPr>
          <w:rFonts w:ascii="Wingdings" w:cs="Wingdings" w:eastAsia="Wingdings" w:hAnsi="Wingdings"/>
          <w:sz w:val="43"/>
          <w:szCs w:val="43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24"/>
          <w:szCs w:val="24"/>
          <w:color w:val="1F497D"/>
        </w:rPr>
        <w:t>Expanded access to on-demand treatment at 3 Opioid Urgent Care Centers</w:t>
      </w:r>
    </w:p>
    <w:p>
      <w:pPr>
        <w:ind w:left="1340" w:hanging="539"/>
        <w:spacing w:after="0" w:line="181" w:lineRule="auto"/>
        <w:tabs>
          <w:tab w:leader="none" w:pos="1340" w:val="left"/>
        </w:tabs>
        <w:numPr>
          <w:ilvl w:val="0"/>
          <w:numId w:val="2"/>
        </w:numPr>
        <w:rPr>
          <w:rFonts w:ascii="Wingdings" w:cs="Wingdings" w:eastAsia="Wingdings" w:hAnsi="Wingdings"/>
          <w:sz w:val="43"/>
          <w:szCs w:val="43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24"/>
          <w:szCs w:val="24"/>
          <w:color w:val="1F497D"/>
        </w:rPr>
        <w:t>Implemented Screening, Brief Intervention and Referral to Treatment (SBIRT) in schools</w:t>
      </w:r>
    </w:p>
    <w:p>
      <w:pPr>
        <w:ind w:left="1340" w:hanging="539"/>
        <w:spacing w:after="0" w:line="181" w:lineRule="auto"/>
        <w:tabs>
          <w:tab w:leader="none" w:pos="1340" w:val="left"/>
        </w:tabs>
        <w:numPr>
          <w:ilvl w:val="0"/>
          <w:numId w:val="2"/>
        </w:numPr>
        <w:rPr>
          <w:rFonts w:ascii="Wingdings" w:cs="Wingdings" w:eastAsia="Wingdings" w:hAnsi="Wingdings"/>
          <w:sz w:val="43"/>
          <w:szCs w:val="43"/>
          <w:color w:val="1F497D"/>
          <w:vertAlign w:val="superscript"/>
        </w:rPr>
      </w:pPr>
      <w:r>
        <w:rPr>
          <w:rFonts w:ascii="Book Antiqua" w:cs="Book Antiqua" w:eastAsia="Book Antiqua" w:hAnsi="Book Antiqua"/>
          <w:sz w:val="24"/>
          <w:szCs w:val="24"/>
          <w:color w:val="1F497D"/>
        </w:rPr>
        <w:t>Received a 5-year $52 billion 1115 demonstration waiver that includes SUD expansion</w:t>
      </w:r>
    </w:p>
    <w:p>
      <w:pPr>
        <w:sectPr>
          <w:pgSz w:w="15840" w:h="12267" w:orient="landscape"/>
          <w:cols w:equalWidth="0" w:num="1">
            <w:col w:w="14720"/>
          </w:cols>
          <w:pgMar w:left="380" w:top="842" w:right="7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9"/>
          <w:szCs w:val="39"/>
          <w:color w:val="FFFFFF"/>
        </w:rPr>
        <w:t xml:space="preserve">2 </w:t>
      </w:r>
      <w:r>
        <w:rPr>
          <w:rFonts w:ascii="Calibri" w:cs="Calibri" w:eastAsia="Calibri" w:hAnsi="Calibri"/>
          <w:sz w:val="50"/>
          <w:szCs w:val="50"/>
          <w:color w:val="898989"/>
          <w:vertAlign w:val="subscript"/>
        </w:rPr>
        <w:t>2</w:t>
      </w:r>
    </w:p>
    <w:p>
      <w:pPr>
        <w:sectPr>
          <w:pgSz w:w="15840" w:h="12267" w:orient="landscape"/>
          <w:cols w:equalWidth="0" w:num="1">
            <w:col w:w="14720"/>
          </w:cols>
          <w:pgMar w:left="380" w:top="842" w:right="740" w:bottom="0" w:gutter="0" w:footer="0" w:header="0"/>
          <w:type w:val="continuous"/>
        </w:sectPr>
      </w:pPr>
    </w:p>
    <w:bookmarkStart w:id="2" w:name="page3"/>
    <w:bookmarkEnd w:id="2"/>
    <w:p>
      <w:pPr>
        <w:spacing w:after="0" w:line="2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420" w:right="20"/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3"/>
          <w:szCs w:val="43"/>
          <w:color w:val="FFFFFF"/>
        </w:rPr>
        <w:t xml:space="preserve">Through the MassHealth 1115 Demonstration Waiver, over </w:t>
      </w:r>
      <w:r>
        <w:rPr>
          <w:rFonts w:ascii="Book Antiqua" w:cs="Book Antiqua" w:eastAsia="Book Antiqua" w:hAnsi="Book Antiqua"/>
          <w:sz w:val="43"/>
          <w:szCs w:val="43"/>
          <w:b w:val="1"/>
          <w:bCs w:val="1"/>
          <w:color w:val="FFFFFF"/>
        </w:rPr>
        <w:t>$150 million</w:t>
      </w:r>
      <w:r>
        <w:rPr>
          <w:rFonts w:ascii="Book Antiqua" w:cs="Book Antiqua" w:eastAsia="Book Antiqua" w:hAnsi="Book Antiqua"/>
          <w:sz w:val="43"/>
          <w:szCs w:val="43"/>
          <w:color w:val="FFFFFF"/>
        </w:rPr>
        <w:t xml:space="preserve"> will be invested in expanding the substance use treatment system over 5 years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right="820"/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>In FY 18, we will invest $30 million to expand residential recovery services; increase access to medication assisted treatments and fund new recovery coaches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>Over the next 5 years, we will continue to invest in SUD treatment expansion, including:</w:t>
      </w: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>Expansion of residential treatment capacity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: Up to $21M per year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color w:val="002960"/>
        </w:rPr>
        <w:t xml:space="preserve">–  </w:t>
      </w:r>
      <w:r>
        <w:rPr>
          <w:rFonts w:ascii="Book Antiqua" w:cs="Book Antiqua" w:eastAsia="Book Antiqua" w:hAnsi="Book Antiqua"/>
          <w:sz w:val="24"/>
          <w:szCs w:val="24"/>
          <w:color w:val="1F497D"/>
        </w:rPr>
        <w:t>Approximately 500 new beds will be added to care for individuals with a co-occurring substance use and mental health disorder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700" w:right="60" w:hanging="406"/>
        <w:spacing w:after="0" w:line="21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color w:val="002960"/>
        </w:rPr>
        <w:t xml:space="preserve">– </w:t>
      </w:r>
      <w:r>
        <w:rPr>
          <w:rFonts w:ascii="Book Antiqua" w:cs="Book Antiqua" w:eastAsia="Book Antiqua" w:hAnsi="Book Antiqua"/>
          <w:sz w:val="24"/>
          <w:szCs w:val="24"/>
          <w:color w:val="1F497D"/>
        </w:rPr>
        <w:t>Ensuring access to residential treatment and evidence based care for priority populations, including:</w:t>
      </w:r>
      <w:r>
        <w:rPr>
          <w:rFonts w:ascii="Arial" w:cs="Arial" w:eastAsia="Arial" w:hAnsi="Arial"/>
          <w:sz w:val="29"/>
          <w:szCs w:val="29"/>
          <w:color w:val="002960"/>
        </w:rPr>
        <w:t xml:space="preserve">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color w:val="1F497D"/>
        </w:rPr>
        <w:t>pregnant and/or parenting women,</w:t>
      </w:r>
      <w:r>
        <w:rPr>
          <w:rFonts w:ascii="Arial" w:cs="Arial" w:eastAsia="Arial" w:hAnsi="Arial"/>
          <w:sz w:val="29"/>
          <w:szCs w:val="29"/>
          <w:color w:val="002960"/>
        </w:rPr>
        <w:t xml:space="preserve">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color w:val="1F497D"/>
        </w:rPr>
        <w:t>as well as individuals with justice involvement, severe mental illness, and individuals who are homeless.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>Expansion of access to Medication Assisted Treatment (MAT)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: Up to $14M per year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color w:val="002960"/>
        </w:rPr>
        <w:t xml:space="preserve">–  </w:t>
      </w:r>
      <w:r>
        <w:rPr>
          <w:rFonts w:ascii="Book Antiqua" w:cs="Book Antiqua" w:eastAsia="Book Antiqua" w:hAnsi="Book Antiqua"/>
          <w:sz w:val="24"/>
          <w:szCs w:val="24"/>
          <w:color w:val="1F497D"/>
        </w:rPr>
        <w:t>We will increase the number prescribers offering MAT in the Primary Care setting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color w:val="002960"/>
        </w:rPr>
        <w:t xml:space="preserve">–  </w:t>
      </w:r>
      <w:r>
        <w:rPr>
          <w:rFonts w:ascii="Book Antiqua" w:cs="Book Antiqua" w:eastAsia="Book Antiqua" w:hAnsi="Book Antiqua"/>
          <w:sz w:val="24"/>
          <w:szCs w:val="24"/>
          <w:color w:val="1F497D"/>
        </w:rPr>
        <w:t>We will provide technical assistance to primary care providers to increase provider comfort and clinical competency for treating OUD</w:t>
      </w: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 xml:space="preserve">Coverage of additional recovery support services: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Up to $8M per year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color w:val="002960"/>
        </w:rPr>
        <w:t xml:space="preserve">–  </w:t>
      </w:r>
      <w:r>
        <w:rPr>
          <w:rFonts w:ascii="Book Antiqua" w:cs="Book Antiqua" w:eastAsia="Book Antiqua" w:hAnsi="Book Antiqua"/>
          <w:sz w:val="24"/>
          <w:szCs w:val="24"/>
          <w:color w:val="1F497D"/>
        </w:rPr>
        <w:t>We will incorporate recovery support services (e.g., navigators/coaches) as a covered benefit for all MassHealth beneficiaries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7"/>
          <w:szCs w:val="27"/>
          <w:b w:val="1"/>
          <w:bCs w:val="1"/>
          <w:color w:val="1F497D"/>
        </w:rPr>
        <w:t xml:space="preserve">Implementation of standardized ASAM assessment and care planning tool with SUD service providers: </w:t>
      </w:r>
      <w:r>
        <w:rPr>
          <w:rFonts w:ascii="Book Antiqua" w:cs="Book Antiqua" w:eastAsia="Book Antiqua" w:hAnsi="Book Antiqua"/>
          <w:sz w:val="27"/>
          <w:szCs w:val="27"/>
          <w:color w:val="1F497D"/>
        </w:rPr>
        <w:t>Up to $4M/year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color w:val="002960"/>
        </w:rPr>
        <w:t xml:space="preserve">–  </w:t>
      </w:r>
      <w:r>
        <w:rPr>
          <w:rFonts w:ascii="Book Antiqua" w:cs="Book Antiqua" w:eastAsia="Book Antiqua" w:hAnsi="Book Antiqua"/>
          <w:sz w:val="24"/>
          <w:szCs w:val="24"/>
          <w:color w:val="1F497D"/>
        </w:rPr>
        <w:t>We will implement protocols across treatment settings for assessment, admission, and care planning based on ASAM dimensions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color w:val="002960"/>
        </w:rPr>
        <w:t xml:space="preserve">–  </w:t>
      </w:r>
      <w:r>
        <w:rPr>
          <w:rFonts w:ascii="Book Antiqua" w:cs="Book Antiqua" w:eastAsia="Book Antiqua" w:hAnsi="Book Antiqua"/>
          <w:sz w:val="24"/>
          <w:szCs w:val="24"/>
          <w:color w:val="1F497D"/>
        </w:rPr>
        <w:t>We will develop a standardized SUD assessment process and tools in concert with providers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18"/>
          <w:szCs w:val="18"/>
          <w:color w:val="1F497D"/>
        </w:rPr>
        <w:t>*American Society of Addiction Medicine</w:t>
      </w:r>
    </w:p>
    <w:p>
      <w:pPr>
        <w:sectPr>
          <w:pgSz w:w="15840" w:h="12267" w:orient="landscape"/>
          <w:cols w:equalWidth="0" w:num="1">
            <w:col w:w="15300"/>
          </w:cols>
          <w:pgMar w:left="120" w:top="563" w:right="42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9"/>
          <w:szCs w:val="39"/>
          <w:color w:val="FFFFFF"/>
        </w:rPr>
        <w:t xml:space="preserve">3 </w:t>
      </w:r>
      <w:r>
        <w:rPr>
          <w:rFonts w:ascii="Calibri" w:cs="Calibri" w:eastAsia="Calibri" w:hAnsi="Calibri"/>
          <w:sz w:val="50"/>
          <w:szCs w:val="50"/>
          <w:color w:val="898989"/>
          <w:vertAlign w:val="subscript"/>
        </w:rPr>
        <w:t>3</w:t>
      </w:r>
    </w:p>
    <w:p>
      <w:pPr>
        <w:sectPr>
          <w:pgSz w:w="15840" w:h="12267" w:orient="landscape"/>
          <w:cols w:equalWidth="0" w:num="1">
            <w:col w:w="15300"/>
          </w:cols>
          <w:pgMar w:left="120" w:top="563" w:right="420" w:bottom="0" w:gutter="0" w:footer="0" w:header="0"/>
          <w:type w:val="continuous"/>
        </w:sectPr>
      </w:pPr>
    </w:p>
    <w:bookmarkStart w:id="3" w:name="page4"/>
    <w:bookmarkEnd w:id="3"/>
    <w:p>
      <w:pPr>
        <w:spacing w:after="0" w:line="2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24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4"/>
          <w:szCs w:val="44"/>
          <w:color w:val="FFFFFF"/>
        </w:rPr>
        <w:t xml:space="preserve">Opioid-related deaths in Massachusetts </w:t>
      </w:r>
      <w:r>
        <w:rPr>
          <w:rFonts w:ascii="Book Antiqua" w:cs="Book Antiqua" w:eastAsia="Book Antiqua" w:hAnsi="Book Antiqua"/>
          <w:sz w:val="44"/>
          <w:szCs w:val="44"/>
          <w:b w:val="1"/>
          <w:bCs w:val="1"/>
          <w:color w:val="FFFFFF"/>
        </w:rPr>
        <w:t>declined by 10%</w:t>
      </w:r>
    </w:p>
    <w:p>
      <w:pPr>
        <w:jc w:val="center"/>
        <w:ind w:right="-240"/>
        <w:spacing w:after="0" w:line="231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4"/>
          <w:szCs w:val="44"/>
          <w:color w:val="FFFFFF"/>
        </w:rPr>
        <w:t>in the first nine months of 2017, compared to 2016</w:t>
      </w:r>
    </w:p>
    <w:p>
      <w:pPr>
        <w:sectPr>
          <w:pgSz w:w="15840" w:h="12267" w:orient="landscape"/>
          <w:cols w:equalWidth="0" w:num="1">
            <w:col w:w="15161"/>
          </w:cols>
          <w:pgMar w:left="279" w:top="593" w:right="4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60"/>
        </w:trPr>
        <w:tc>
          <w:tcPr>
            <w:tcW w:w="342" w:type="dxa"/>
            <w:vAlign w:val="bottom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b w:val="1"/>
                <w:bCs w:val="1"/>
                <w:color w:val="auto"/>
              </w:rPr>
              <w:t>Number of deaths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3"/>
        </w:trPr>
        <w:tc>
          <w:tcPr>
            <w:tcW w:w="4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color w:val="auto"/>
                <w:w w:val="70"/>
              </w:rPr>
              <w:t>250</w:t>
            </w:r>
          </w:p>
        </w:tc>
        <w:tc>
          <w:tcPr>
            <w:tcW w:w="60" w:type="dxa"/>
            <w:vAlign w:val="bottom"/>
            <w:tcBorders>
              <w:bottom w:val="single" w:sz="8" w:color="868686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3"/>
        </w:trPr>
        <w:tc>
          <w:tcPr>
            <w:tcW w:w="4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color w:val="auto"/>
                <w:w w:val="70"/>
              </w:rPr>
              <w:t>200</w:t>
            </w:r>
          </w:p>
        </w:tc>
        <w:tc>
          <w:tcPr>
            <w:tcW w:w="60" w:type="dxa"/>
            <w:vAlign w:val="bottom"/>
            <w:tcBorders>
              <w:bottom w:val="single" w:sz="8" w:color="868686"/>
              <w:right w:val="single" w:sz="8" w:color="868686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1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7</w:t>
            </w:r>
          </w:p>
        </w:tc>
        <w:tc>
          <w:tcPr>
            <w:tcW w:w="460" w:type="dxa"/>
            <w:vAlign w:val="bottom"/>
            <w:vMerge w:val="restart"/>
          </w:tcPr>
          <w:p>
            <w:pPr>
              <w:jc w:val="center"/>
              <w:ind w:left="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  <w:w w:val="75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vMerge w:val="restart"/>
          </w:tcPr>
          <w:p>
            <w:pPr>
              <w:jc w:val="right"/>
              <w:ind w:right="1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4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ind w:right="211"/>
              <w:spacing w:after="0" w:line="27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5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201"/>
              <w:spacing w:after="0" w:line="27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6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9"/>
        </w:trPr>
        <w:tc>
          <w:tcPr>
            <w:tcW w:w="460" w:type="dxa"/>
            <w:vAlign w:val="bottom"/>
            <w:vMerge w:val="restart"/>
          </w:tcPr>
          <w:p>
            <w:pPr>
              <w:jc w:val="right"/>
              <w:spacing w:after="0" w:line="29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color w:val="auto"/>
                <w:w w:val="70"/>
              </w:rPr>
              <w:t>150</w:t>
            </w:r>
          </w:p>
        </w:tc>
        <w:tc>
          <w:tcPr>
            <w:tcW w:w="60" w:type="dxa"/>
            <w:vAlign w:val="bottom"/>
            <w:tcBorders>
              <w:bottom w:val="single" w:sz="8" w:color="868686"/>
              <w:right w:val="single" w:sz="8" w:color="868686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5"/>
        </w:trPr>
        <w:tc>
          <w:tcPr>
            <w:tcW w:w="4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color w:val="auto"/>
                <w:w w:val="70"/>
              </w:rPr>
              <w:t>100</w:t>
            </w:r>
          </w:p>
        </w:tc>
        <w:tc>
          <w:tcPr>
            <w:tcW w:w="60" w:type="dxa"/>
            <w:vAlign w:val="bottom"/>
            <w:tcBorders>
              <w:bottom w:val="single" w:sz="8" w:color="868686"/>
              <w:right w:val="single" w:sz="8" w:color="868686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vMerge w:val="restart"/>
          </w:tcPr>
          <w:p>
            <w:pPr>
              <w:jc w:val="right"/>
              <w:ind w:right="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157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1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175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10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172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189</w:t>
            </w:r>
          </w:p>
        </w:tc>
        <w:tc>
          <w:tcPr>
            <w:tcW w:w="460" w:type="dxa"/>
            <w:vAlign w:val="bottom"/>
            <w:vMerge w:val="restart"/>
          </w:tcPr>
          <w:p>
            <w:pPr>
              <w:jc w:val="center"/>
              <w:ind w:left="6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  <w:w w:val="70"/>
              </w:rPr>
              <w:t>174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2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0"/>
        </w:trPr>
        <w:tc>
          <w:tcPr>
            <w:tcW w:w="4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color w:val="auto"/>
              </w:rPr>
              <w:t>50</w:t>
            </w:r>
          </w:p>
        </w:tc>
        <w:tc>
          <w:tcPr>
            <w:tcW w:w="60" w:type="dxa"/>
            <w:vAlign w:val="bottom"/>
            <w:tcBorders>
              <w:bottom w:val="single" w:sz="8" w:color="868686"/>
              <w:right w:val="single" w:sz="8" w:color="868686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68686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7"/>
        </w:trPr>
        <w:tc>
          <w:tcPr>
            <w:tcW w:w="4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color w:val="auto"/>
              </w:rPr>
              <w:t>0</w:t>
            </w:r>
          </w:p>
        </w:tc>
        <w:tc>
          <w:tcPr>
            <w:tcW w:w="60" w:type="dxa"/>
            <w:vAlign w:val="bottom"/>
            <w:tcBorders>
              <w:bottom w:val="single" w:sz="8" w:color="868686"/>
              <w:right w:val="single" w:sz="8" w:color="868686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gridSpan w:val="2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93"/>
              </w:rPr>
              <w:t>January  February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</w:rPr>
              <w:t>March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</w:rPr>
              <w:t>April</w:t>
            </w:r>
          </w:p>
        </w:tc>
        <w:tc>
          <w:tcPr>
            <w:tcW w:w="460" w:type="dxa"/>
            <w:vAlign w:val="bottom"/>
            <w:vMerge w:val="restart"/>
          </w:tcPr>
          <w:p>
            <w:pPr>
              <w:jc w:val="center"/>
              <w:ind w:left="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76"/>
              </w:rPr>
              <w:t>May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1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jc w:val="center"/>
        <w:ind w:right="4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9"/>
          <w:szCs w:val="29"/>
          <w:b w:val="1"/>
          <w:bCs w:val="1"/>
          <w:color w:val="auto"/>
        </w:rPr>
        <w:t>Figure 1. Opioid</w:t>
      </w:r>
      <w:r>
        <w:rPr>
          <w:rFonts w:ascii="Calibri" w:cs="Calibri" w:eastAsia="Calibri" w:hAnsi="Calibri"/>
          <w:sz w:val="39"/>
          <w:szCs w:val="39"/>
          <w:b w:val="1"/>
          <w:bCs w:val="1"/>
          <w:color w:val="auto"/>
          <w:vertAlign w:val="superscript"/>
        </w:rPr>
        <w:t>1</w:t>
      </w:r>
      <w:r>
        <w:rPr>
          <w:rFonts w:ascii="Calibri" w:cs="Calibri" w:eastAsia="Calibri" w:hAnsi="Calibri"/>
          <w:sz w:val="29"/>
          <w:szCs w:val="29"/>
          <w:b w:val="1"/>
          <w:bCs w:val="1"/>
          <w:color w:val="auto"/>
        </w:rPr>
        <w:t>-Related Deaths, All Intents by Month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center"/>
        <w:ind w:right="40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b w:val="1"/>
          <w:bCs w:val="1"/>
          <w:color w:val="auto"/>
        </w:rPr>
        <w:t>Massachusetts Residents: January 2016 - September 2017</w:t>
      </w: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50800" cy="679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19"/>
          <w:szCs w:val="19"/>
          <w:color w:val="auto"/>
        </w:rPr>
        <w:t xml:space="preserve"> Confi rmed     </w:t>
      </w:r>
      <w:r>
        <w:rPr>
          <w:sz w:val="1"/>
          <w:szCs w:val="1"/>
          <w:color w:val="auto"/>
        </w:rPr>
        <w:drawing>
          <wp:inline distT="0" distB="0" distL="0" distR="0">
            <wp:extent cx="50800" cy="679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19"/>
          <w:szCs w:val="19"/>
          <w:color w:val="auto"/>
        </w:rPr>
        <w:t xml:space="preserve"> Estimated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4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vMerge w:val="restart"/>
          </w:tcPr>
          <w:p>
            <w:pPr>
              <w:jc w:val="right"/>
              <w:ind w:right="1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7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jc w:val="right"/>
              <w:ind w:right="1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11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right"/>
              <w:ind w:right="85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20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7"/>
        </w:trPr>
        <w:tc>
          <w:tcPr>
            <w:tcW w:w="3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  <w:w w:val="75"/>
              </w:rPr>
              <w:t>6</w:t>
            </w: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1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7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jc w:val="right"/>
              <w:ind w:right="131"/>
              <w:spacing w:after="0" w:line="30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7</w:t>
            </w: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  <w:vMerge w:val="restart"/>
          </w:tcPr>
          <w:p>
            <w:pPr>
              <w:jc w:val="right"/>
              <w:ind w:right="10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15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1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24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ind w:right="61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159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5"/>
        </w:trPr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40" w:type="dxa"/>
            <w:vAlign w:val="bottom"/>
            <w:vMerge w:val="restart"/>
          </w:tcPr>
          <w:p>
            <w:pPr>
              <w:jc w:val="right"/>
              <w:ind w:right="177"/>
              <w:spacing w:after="0" w:line="28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10</w:t>
            </w: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  <w:vMerge w:val="restart"/>
          </w:tcPr>
          <w:p>
            <w:pPr>
              <w:jc w:val="right"/>
              <w:ind w:right="16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23</w:t>
            </w: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  <w:vMerge w:val="restart"/>
          </w:tcPr>
          <w:p>
            <w:pPr>
              <w:jc w:val="right"/>
              <w:ind w:right="9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163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1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23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  <w:vMerge w:val="restart"/>
          </w:tcPr>
          <w:p>
            <w:pPr>
              <w:jc w:val="right"/>
              <w:ind w:right="16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32</w:t>
            </w:r>
          </w:p>
        </w:tc>
        <w:tc>
          <w:tcPr>
            <w:tcW w:w="600" w:type="dxa"/>
            <w:vAlign w:val="bottom"/>
            <w:vMerge w:val="restart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5"/>
                <w:szCs w:val="25"/>
                <w:color w:val="FFFFFF"/>
                <w:w w:val="70"/>
              </w:rPr>
              <w:t>67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0" w:type="dxa"/>
            <w:vAlign w:val="bottom"/>
            <w:vMerge w:val="restart"/>
          </w:tcPr>
          <w:p>
            <w:pPr>
              <w:jc w:val="right"/>
              <w:ind w:right="1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FFFFFF"/>
              </w:rPr>
              <w:t>32</w:t>
            </w:r>
          </w:p>
        </w:tc>
        <w:tc>
          <w:tcPr>
            <w:tcW w:w="7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5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3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  <w:w w:val="70"/>
              </w:rPr>
              <w:t>169</w:t>
            </w:r>
          </w:p>
        </w:tc>
        <w:tc>
          <w:tcPr>
            <w:tcW w:w="800" w:type="dxa"/>
            <w:vAlign w:val="bottom"/>
            <w:vMerge w:val="restart"/>
          </w:tcPr>
          <w:p>
            <w:pPr>
              <w:jc w:val="right"/>
              <w:ind w:righ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181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166</w:t>
            </w:r>
          </w:p>
        </w:tc>
        <w:tc>
          <w:tcPr>
            <w:tcW w:w="680" w:type="dxa"/>
            <w:vAlign w:val="bottom"/>
          </w:tcPr>
          <w:p>
            <w:pPr>
              <w:jc w:val="right"/>
              <w:ind w:right="71"/>
              <w:spacing w:after="0" w:line="29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195</w:t>
            </w:r>
          </w:p>
        </w:tc>
        <w:tc>
          <w:tcPr>
            <w:tcW w:w="640" w:type="dxa"/>
            <w:vAlign w:val="bottom"/>
            <w:vMerge w:val="restart"/>
          </w:tcPr>
          <w:p>
            <w:pPr>
              <w:jc w:val="right"/>
              <w:ind w:right="3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178</w:t>
            </w:r>
          </w:p>
        </w:tc>
        <w:tc>
          <w:tcPr>
            <w:tcW w:w="1440" w:type="dxa"/>
            <w:vAlign w:val="bottom"/>
            <w:vMerge w:val="restart"/>
          </w:tcPr>
          <w:p>
            <w:pPr>
              <w:jc w:val="right"/>
              <w:ind w:right="79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185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vMerge w:val="restart"/>
          </w:tcPr>
          <w:p>
            <w:pPr>
              <w:jc w:val="right"/>
              <w:ind w:right="117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153</w:t>
            </w:r>
          </w:p>
        </w:tc>
        <w:tc>
          <w:tcPr>
            <w:tcW w:w="600" w:type="dxa"/>
            <w:vAlign w:val="bottom"/>
            <w:vMerge w:val="restart"/>
          </w:tcPr>
          <w:p>
            <w:pPr>
              <w:jc w:val="right"/>
              <w:ind w:right="61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153</w:t>
            </w:r>
          </w:p>
        </w:tc>
        <w:tc>
          <w:tcPr>
            <w:tcW w:w="740" w:type="dxa"/>
            <w:vAlign w:val="bottom"/>
            <w:vMerge w:val="restart"/>
          </w:tcPr>
          <w:p>
            <w:pPr>
              <w:jc w:val="right"/>
              <w:ind w:right="1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141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101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148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8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81"/>
              <w:spacing w:after="0" w:line="27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130</w:t>
            </w:r>
          </w:p>
        </w:tc>
        <w:tc>
          <w:tcPr>
            <w:tcW w:w="68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107</w:t>
            </w:r>
          </w:p>
        </w:tc>
        <w:tc>
          <w:tcPr>
            <w:tcW w:w="700" w:type="dxa"/>
            <w:vAlign w:val="bottom"/>
            <w:vMerge w:val="restart"/>
          </w:tcPr>
          <w:p>
            <w:pPr>
              <w:jc w:val="right"/>
              <w:ind w:right="10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114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5"/>
                <w:szCs w:val="25"/>
                <w:color w:val="auto"/>
                <w:w w:val="70"/>
              </w:rPr>
              <w:t>97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1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ind w:right="1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37</w:t>
            </w:r>
          </w:p>
        </w:tc>
        <w:tc>
          <w:tcPr>
            <w:tcW w:w="700" w:type="dxa"/>
            <w:vAlign w:val="bottom"/>
            <w:vMerge w:val="restart"/>
          </w:tcPr>
          <w:p>
            <w:pPr>
              <w:jc w:val="right"/>
              <w:ind w:right="17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1"/>
        </w:trPr>
        <w:tc>
          <w:tcPr>
            <w:tcW w:w="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84"/>
              </w:rPr>
              <w:t>June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0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75"/>
              </w:rPr>
              <w:t>July</w:t>
            </w:r>
          </w:p>
        </w:tc>
        <w:tc>
          <w:tcPr>
            <w:tcW w:w="2040" w:type="dxa"/>
            <w:vAlign w:val="bottom"/>
            <w:gridSpan w:val="3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85"/>
              </w:rPr>
              <w:t>August  September October</w:t>
            </w:r>
          </w:p>
        </w:tc>
        <w:tc>
          <w:tcPr>
            <w:tcW w:w="144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82"/>
              </w:rPr>
              <w:t>November December</w:t>
            </w:r>
          </w:p>
        </w:tc>
        <w:tc>
          <w:tcPr>
            <w:tcW w:w="6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87"/>
              </w:rPr>
              <w:t>January</w:t>
            </w:r>
          </w:p>
        </w:tc>
        <w:tc>
          <w:tcPr>
            <w:tcW w:w="7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89"/>
              </w:rPr>
              <w:t>February</w:t>
            </w:r>
          </w:p>
        </w:tc>
        <w:tc>
          <w:tcPr>
            <w:tcW w:w="6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</w:rPr>
              <w:t>March</w:t>
            </w:r>
          </w:p>
        </w:tc>
        <w:tc>
          <w:tcPr>
            <w:tcW w:w="66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</w:rPr>
              <w:t>April</w:t>
            </w:r>
          </w:p>
        </w:tc>
        <w:tc>
          <w:tcPr>
            <w:tcW w:w="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76"/>
              </w:rPr>
              <w:t>May</w:t>
            </w:r>
          </w:p>
        </w:tc>
        <w:tc>
          <w:tcPr>
            <w:tcW w:w="7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</w:rPr>
              <w:t>June</w:t>
            </w:r>
          </w:p>
        </w:tc>
        <w:tc>
          <w:tcPr>
            <w:tcW w:w="6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75"/>
              </w:rPr>
              <w:t>July</w:t>
            </w:r>
          </w:p>
        </w:tc>
        <w:tc>
          <w:tcPr>
            <w:tcW w:w="1420" w:type="dxa"/>
            <w:vAlign w:val="bottom"/>
            <w:gridSpan w:val="2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82"/>
              </w:rPr>
              <w:t>August  September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5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jc w:val="right"/>
              <w:ind w:right="3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  <w:w w:val="77"/>
              </w:rPr>
              <w:t>2016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</w:rPr>
              <w:t>2017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5840" w:h="12267" w:orient="landscape"/>
          <w:cols w:equalWidth="0" w:num="3">
            <w:col w:w="342" w:space="59"/>
            <w:col w:w="3700" w:space="340"/>
            <w:col w:w="10720"/>
          </w:cols>
          <w:pgMar w:left="279" w:top="593" w:right="40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ind w:left="101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9"/>
          <w:szCs w:val="39"/>
          <w:color w:val="FFFFFF"/>
        </w:rPr>
        <w:t xml:space="preserve">4 </w:t>
      </w:r>
      <w:r>
        <w:rPr>
          <w:rFonts w:ascii="Calibri" w:cs="Calibri" w:eastAsia="Calibri" w:hAnsi="Calibri"/>
          <w:sz w:val="50"/>
          <w:szCs w:val="50"/>
          <w:color w:val="898989"/>
          <w:vertAlign w:val="subscript"/>
        </w:rPr>
        <w:t>4</w:t>
      </w:r>
    </w:p>
    <w:p>
      <w:pPr>
        <w:sectPr>
          <w:pgSz w:w="15840" w:h="12267" w:orient="landscape"/>
          <w:cols w:equalWidth="0" w:num="1">
            <w:col w:w="15161"/>
          </w:cols>
          <w:pgMar w:left="279" w:top="593" w:right="400" w:bottom="0" w:gutter="0" w:footer="0" w:header="0"/>
          <w:type w:val="continuous"/>
        </w:sectPr>
      </w:pPr>
    </w:p>
    <w:bookmarkStart w:id="4" w:name="page5"/>
    <w:bookmarkEnd w:id="4"/>
    <w:p>
      <w:pPr>
        <w:spacing w:after="0" w:line="2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4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4"/>
          <w:szCs w:val="44"/>
          <w:b w:val="1"/>
          <w:bCs w:val="1"/>
          <w:color w:val="FFFFFF"/>
        </w:rPr>
        <w:t>The increase in the estimated death rate has slowed year over year</w:t>
      </w:r>
    </w:p>
    <w:p>
      <w:pPr>
        <w:jc w:val="center"/>
        <w:ind w:right="-279"/>
        <w:spacing w:after="0" w:line="233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color w:val="FFFFFF"/>
        </w:rPr>
        <w:t>In 2014, there was a 40% increase from the prior year; in 2015, a 32% increase from</w:t>
      </w:r>
    </w:p>
    <w:p>
      <w:pPr>
        <w:ind w:left="2760"/>
        <w:spacing w:after="0" w:line="232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color w:val="FFFFFF"/>
        </w:rPr>
        <w:t>the prior year; and in 2016, a 21% increase from the prior year</w:t>
      </w:r>
    </w:p>
    <w:p>
      <w:pPr>
        <w:sectPr>
          <w:pgSz w:w="15840" w:h="12267" w:orient="landscape"/>
          <w:cols w:equalWidth="0" w:num="1">
            <w:col w:w="15040"/>
          </w:cols>
          <w:pgMar w:left="380" w:top="416" w:right="42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6" w:lineRule="exact"/>
        <w:rPr>
          <w:sz w:val="20"/>
          <w:szCs w:val="20"/>
          <w:color w:val="auto"/>
        </w:rPr>
      </w:pPr>
    </w:p>
    <w:tbl>
      <w:tblPr>
        <w:tblLayout w:type="fixed"/>
        <w:tblInd w:w="292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980"/>
        </w:trPr>
        <w:tc>
          <w:tcPr>
            <w:tcW w:w="293" w:type="dxa"/>
            <w:vAlign w:val="bottom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Residents</w:t>
            </w: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380"/>
        </w:trPr>
        <w:tc>
          <w:tcPr>
            <w:tcW w:w="317" w:type="dxa"/>
            <w:vAlign w:val="bottom"/>
            <w:textDirection w:val="btLr"/>
          </w:tcPr>
          <w:p>
            <w:pPr>
              <w:ind w:hanging="91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 xml:space="preserve">per 100,000 </w:t>
            </w:r>
            <w:r>
              <w:rPr>
                <w:rFonts w:ascii="Calibri" w:cs="Calibri" w:eastAsia="Calibri" w:hAnsi="Calibri"/>
                <w:sz w:val="25"/>
                <w:szCs w:val="25"/>
                <w:b w:val="1"/>
                <w:bCs w:val="1"/>
                <w:color w:val="auto"/>
              </w:rPr>
              <w:t>Rate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37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40" w:type="dxa"/>
            <w:vAlign w:val="bottom"/>
            <w:gridSpan w:val="8"/>
          </w:tcPr>
          <w:p>
            <w:pPr>
              <w:jc w:val="center"/>
              <w:ind w:left="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35"/>
                <w:szCs w:val="35"/>
                <w:b w:val="1"/>
                <w:bCs w:val="1"/>
                <w:color w:val="auto"/>
                <w:w w:val="85"/>
              </w:rPr>
              <w:t>Figure 3. Rate of Opioid</w:t>
            </w:r>
            <w:r>
              <w:rPr>
                <w:rFonts w:ascii="Calibri" w:cs="Calibri" w:eastAsia="Calibri" w:hAnsi="Calibri"/>
                <w:sz w:val="44"/>
                <w:szCs w:val="44"/>
                <w:b w:val="1"/>
                <w:bCs w:val="1"/>
                <w:color w:val="auto"/>
                <w:w w:val="85"/>
                <w:vertAlign w:val="superscript"/>
              </w:rPr>
              <w:t>1</w:t>
            </w:r>
            <w:r>
              <w:rPr>
                <w:rFonts w:ascii="Calibri" w:cs="Calibri" w:eastAsia="Calibri" w:hAnsi="Calibri"/>
                <w:sz w:val="35"/>
                <w:szCs w:val="35"/>
                <w:b w:val="1"/>
                <w:bCs w:val="1"/>
                <w:color w:val="auto"/>
                <w:w w:val="85"/>
              </w:rPr>
              <w:t>-Related Deaths, All Intents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5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gridSpan w:val="6"/>
          </w:tcPr>
          <w:p>
            <w:pPr>
              <w:jc w:val="center"/>
              <w:ind w:left="142"/>
              <w:spacing w:after="0" w:line="34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35"/>
                <w:szCs w:val="35"/>
                <w:b w:val="1"/>
                <w:bCs w:val="1"/>
                <w:color w:val="auto"/>
                <w:w w:val="84"/>
              </w:rPr>
              <w:t>Massachusetts Residents: 2000-2016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5"/>
        </w:trPr>
        <w:tc>
          <w:tcPr>
            <w:tcW w:w="360" w:type="dxa"/>
            <w:vAlign w:val="bottom"/>
          </w:tcPr>
          <w:p>
            <w:pPr>
              <w:jc w:val="right"/>
              <w:ind w:right="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80"/>
              </w:rPr>
              <w:t>35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0"/>
        </w:trPr>
        <w:tc>
          <w:tcPr>
            <w:tcW w:w="360" w:type="dxa"/>
            <w:vAlign w:val="bottom"/>
            <w:vMerge w:val="restart"/>
          </w:tcPr>
          <w:p>
            <w:pPr>
              <w:jc w:val="right"/>
              <w:ind w:right="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80"/>
              </w:rPr>
              <w:t>30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32.2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4"/>
        </w:trPr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4"/>
        </w:trPr>
        <w:tc>
          <w:tcPr>
            <w:tcW w:w="360" w:type="dxa"/>
            <w:vAlign w:val="bottom"/>
          </w:tcPr>
          <w:p>
            <w:pPr>
              <w:jc w:val="right"/>
              <w:ind w:right="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80"/>
              </w:rPr>
              <w:t>25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26.7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4"/>
        </w:trPr>
        <w:tc>
          <w:tcPr>
            <w:tcW w:w="360" w:type="dxa"/>
            <w:vAlign w:val="bottom"/>
          </w:tcPr>
          <w:p>
            <w:pPr>
              <w:jc w:val="right"/>
              <w:ind w:right="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80"/>
              </w:rPr>
              <w:t>20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20.2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8"/>
        </w:trPr>
        <w:tc>
          <w:tcPr>
            <w:tcW w:w="360" w:type="dxa"/>
            <w:vAlign w:val="bottom"/>
          </w:tcPr>
          <w:p>
            <w:pPr>
              <w:jc w:val="right"/>
              <w:ind w:right="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80"/>
              </w:rPr>
              <w:t>15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9.6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jc w:val="right"/>
              <w:ind w:right="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10.3</w:t>
            </w:r>
          </w:p>
        </w:tc>
        <w:tc>
          <w:tcPr>
            <w:tcW w:w="860" w:type="dxa"/>
            <w:vAlign w:val="bottom"/>
            <w:vMerge w:val="restart"/>
          </w:tcPr>
          <w:p>
            <w:pPr>
              <w:jc w:val="right"/>
              <w:ind w:righ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10.0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vMerge w:val="restart"/>
          </w:tcPr>
          <w:p>
            <w:pPr>
              <w:jc w:val="right"/>
              <w:ind w:right="2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9.7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11.2</w:t>
            </w:r>
          </w:p>
        </w:tc>
        <w:tc>
          <w:tcPr>
            <w:tcW w:w="760" w:type="dxa"/>
            <w:vAlign w:val="bottom"/>
            <w:vMerge w:val="restart"/>
          </w:tcPr>
          <w:p>
            <w:pPr>
              <w:jc w:val="right"/>
              <w:ind w:righ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14.4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360" w:type="dxa"/>
            <w:vAlign w:val="bottom"/>
            <w:vMerge w:val="restart"/>
          </w:tcPr>
          <w:p>
            <w:pPr>
              <w:jc w:val="right"/>
              <w:ind w:right="46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80"/>
              </w:rPr>
              <w:t>10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vMerge w:val="restart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7.9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  <w:vMerge w:val="restart"/>
          </w:tcPr>
          <w:p>
            <w:pPr>
              <w:jc w:val="right"/>
              <w:ind w:right="1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10.0</w:t>
            </w:r>
          </w:p>
        </w:tc>
        <w:tc>
          <w:tcPr>
            <w:tcW w:w="8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5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vMerge w:val="restart"/>
          </w:tcPr>
          <w:p>
            <w:pPr>
              <w:jc w:val="right"/>
              <w:ind w:right="2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8.9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  <w:vMerge w:val="restart"/>
          </w:tcPr>
          <w:p>
            <w:pPr>
              <w:jc w:val="right"/>
              <w:ind w:right="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9.6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  <w:vMerge w:val="restart"/>
          </w:tcPr>
          <w:p>
            <w:pPr>
              <w:jc w:val="right"/>
              <w:ind w:right="2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8.0</w:t>
            </w: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1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  <w:vMerge w:val="restart"/>
          </w:tcPr>
          <w:p>
            <w:pPr>
              <w:jc w:val="right"/>
              <w:ind w:right="59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8.2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vMerge w:val="restart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8.0</w:t>
            </w: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8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360" w:type="dxa"/>
            <w:vAlign w:val="bottom"/>
            <w:vMerge w:val="restart"/>
          </w:tcPr>
          <w:p>
            <w:pPr>
              <w:jc w:val="right"/>
              <w:ind w:right="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5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00" w:type="dxa"/>
            <w:vAlign w:val="bottom"/>
            <w:vMerge w:val="restart"/>
          </w:tcPr>
          <w:p>
            <w:pPr>
              <w:jc w:val="right"/>
              <w:ind w:right="8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6.0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1"/>
        </w:trPr>
        <w:tc>
          <w:tcPr>
            <w:tcW w:w="360" w:type="dxa"/>
            <w:vAlign w:val="bottom"/>
          </w:tcPr>
          <w:p>
            <w:pPr>
              <w:jc w:val="right"/>
              <w:ind w:right="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9"/>
        </w:trPr>
        <w:tc>
          <w:tcPr>
            <w:tcW w:w="860" w:type="dxa"/>
            <w:vAlign w:val="bottom"/>
            <w:gridSpan w:val="2"/>
          </w:tcPr>
          <w:p>
            <w:pPr>
              <w:jc w:val="right"/>
              <w:ind w:right="12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2000</w:t>
            </w:r>
          </w:p>
        </w:tc>
        <w:tc>
          <w:tcPr>
            <w:tcW w:w="80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2001</w:t>
            </w:r>
          </w:p>
        </w:tc>
        <w:tc>
          <w:tcPr>
            <w:tcW w:w="860" w:type="dxa"/>
            <w:vAlign w:val="bottom"/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2002</w:t>
            </w:r>
          </w:p>
        </w:tc>
        <w:tc>
          <w:tcPr>
            <w:tcW w:w="82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2003</w:t>
            </w:r>
          </w:p>
        </w:tc>
        <w:tc>
          <w:tcPr>
            <w:tcW w:w="84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2004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ind w:right="14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2005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1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2006</w:t>
            </w:r>
          </w:p>
        </w:tc>
        <w:tc>
          <w:tcPr>
            <w:tcW w:w="860" w:type="dxa"/>
            <w:vAlign w:val="bottom"/>
          </w:tcPr>
          <w:p>
            <w:pPr>
              <w:jc w:val="right"/>
              <w:ind w:right="1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2007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2008</w:t>
            </w:r>
          </w:p>
        </w:tc>
        <w:tc>
          <w:tcPr>
            <w:tcW w:w="860" w:type="dxa"/>
            <w:vAlign w:val="bottom"/>
          </w:tcPr>
          <w:p>
            <w:pPr>
              <w:jc w:val="right"/>
              <w:ind w:right="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2009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2010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1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2011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  <w:w w:val="98"/>
              </w:rPr>
              <w:t>2012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  <w:w w:val="90"/>
              </w:rPr>
              <w:t>2013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1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2014</w:t>
            </w:r>
          </w:p>
        </w:tc>
        <w:tc>
          <w:tcPr>
            <w:tcW w:w="860" w:type="dxa"/>
            <w:vAlign w:val="bottom"/>
          </w:tcPr>
          <w:p>
            <w:pPr>
              <w:jc w:val="right"/>
              <w:ind w:right="2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  <w:w w:val="94"/>
              </w:rPr>
              <w:t>2015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  <w:w w:val="90"/>
              </w:rPr>
              <w:t>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5840" w:h="12267" w:orient="landscape"/>
          <w:cols w:equalWidth="0" w:num="2">
            <w:col w:w="585" w:space="155"/>
            <w:col w:w="14300"/>
          </w:cols>
          <w:pgMar w:left="380" w:top="416" w:right="42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240" w:hanging="116"/>
        <w:spacing w:after="0"/>
        <w:tabs>
          <w:tab w:leader="none" w:pos="240" w:val="left"/>
        </w:tabs>
        <w:numPr>
          <w:ilvl w:val="0"/>
          <w:numId w:val="7"/>
        </w:numPr>
        <w:rPr>
          <w:rFonts w:ascii="Calibri" w:cs="Calibri" w:eastAsia="Calibri" w:hAnsi="Calibri"/>
          <w:sz w:val="26"/>
          <w:szCs w:val="26"/>
          <w:color w:val="auto"/>
          <w:vertAlign w:val="superscript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Opioids include heroin, opioid-based prescription painkillers, and other unspecified opioids.</w:t>
      </w:r>
    </w:p>
    <w:p>
      <w:pPr>
        <w:sectPr>
          <w:pgSz w:w="15840" w:h="12267" w:orient="landscape"/>
          <w:cols w:equalWidth="0" w:num="1">
            <w:col w:w="15040"/>
          </w:cols>
          <w:pgMar w:left="380" w:top="416" w:right="42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9"/>
          <w:szCs w:val="39"/>
          <w:color w:val="FFFFFF"/>
        </w:rPr>
        <w:t xml:space="preserve">5 </w:t>
      </w:r>
      <w:r>
        <w:rPr>
          <w:rFonts w:ascii="Calibri" w:cs="Calibri" w:eastAsia="Calibri" w:hAnsi="Calibri"/>
          <w:sz w:val="50"/>
          <w:szCs w:val="50"/>
          <w:color w:val="898989"/>
          <w:vertAlign w:val="subscript"/>
        </w:rPr>
        <w:t>5</w:t>
      </w:r>
    </w:p>
    <w:p>
      <w:pPr>
        <w:sectPr>
          <w:pgSz w:w="15840" w:h="12267" w:orient="landscape"/>
          <w:cols w:equalWidth="0" w:num="1">
            <w:col w:w="15040"/>
          </w:cols>
          <w:pgMar w:left="380" w:top="416" w:right="420" w:bottom="0" w:gutter="0" w:footer="0" w:header="0"/>
          <w:type w:val="continuous"/>
        </w:sectPr>
      </w:pPr>
    </w:p>
    <w:bookmarkStart w:id="5" w:name="page6"/>
    <w:bookmarkEnd w:id="5"/>
    <w:p>
      <w:pPr>
        <w:spacing w:after="0" w:line="2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339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Prescription opioid deaths are decreasing;</w:t>
      </w:r>
    </w:p>
    <w:p>
      <w:pPr>
        <w:jc w:val="center"/>
        <w:ind w:right="-339"/>
        <w:spacing w:after="0" w:line="238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Fentanyl is present in 81% of toxicology screens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center"/>
        <w:ind w:right="-4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1"/>
          <w:szCs w:val="41"/>
          <w:b w:val="1"/>
          <w:bCs w:val="1"/>
          <w:color w:val="auto"/>
        </w:rPr>
        <w:t>Figure 4. Percent of Opioid Deaths with Specific Drugs Present</w:t>
      </w:r>
    </w:p>
    <w:p>
      <w:pPr>
        <w:jc w:val="center"/>
        <w:ind w:right="-439"/>
        <w:spacing w:after="0" w:line="23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1"/>
          <w:szCs w:val="41"/>
          <w:b w:val="1"/>
          <w:bCs w:val="1"/>
          <w:color w:val="auto"/>
        </w:rPr>
        <w:t>MA: 2014-2017</w:t>
      </w:r>
    </w:p>
    <w:p>
      <w:pPr>
        <w:sectPr>
          <w:pgSz w:w="15840" w:h="12267" w:orient="landscape"/>
          <w:cols w:equalWidth="0" w:num="1">
            <w:col w:w="14740"/>
          </w:cols>
          <w:pgMar w:left="380" w:top="557" w:right="720" w:bottom="0" w:gutter="0" w:footer="0" w:header="0"/>
        </w:sectPr>
      </w:pPr>
    </w:p>
    <w:p>
      <w:pPr>
        <w:spacing w:after="0" w:line="23" w:lineRule="exact"/>
        <w:rPr>
          <w:sz w:val="20"/>
          <w:szCs w:val="20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9"/>
        </w:trPr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90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80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70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200" w:type="dxa"/>
            <w:vAlign w:val="bottom"/>
            <w:vMerge w:val="restart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  <w:w w:val="71"/>
              </w:rPr>
              <w:t>Percent</w:t>
            </w:r>
          </w:p>
        </w:tc>
        <w:tc>
          <w:tcPr>
            <w:tcW w:w="3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60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jc w:val="right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>40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jc w:val="right"/>
              <w:spacing w:after="0" w:line="22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50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right"/>
        <w:ind w:right="114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30</w:t>
      </w:r>
    </w:p>
    <w:p>
      <w:pPr>
        <w:spacing w:after="0" w:line="87" w:lineRule="exact"/>
        <w:rPr>
          <w:sz w:val="20"/>
          <w:szCs w:val="20"/>
          <w:color w:val="auto"/>
        </w:rPr>
      </w:pPr>
    </w:p>
    <w:p>
      <w:pPr>
        <w:jc w:val="right"/>
        <w:ind w:right="114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20</w:t>
      </w:r>
    </w:p>
    <w:p>
      <w:pPr>
        <w:spacing w:after="0" w:line="86" w:lineRule="exact"/>
        <w:rPr>
          <w:sz w:val="20"/>
          <w:szCs w:val="20"/>
          <w:color w:val="auto"/>
        </w:rPr>
      </w:pPr>
    </w:p>
    <w:p>
      <w:pPr>
        <w:jc w:val="right"/>
        <w:ind w:right="114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10</w:t>
      </w:r>
    </w:p>
    <w:p>
      <w:pPr>
        <w:spacing w:after="0" w:line="86" w:lineRule="exact"/>
        <w:rPr>
          <w:sz w:val="20"/>
          <w:szCs w:val="20"/>
          <w:color w:val="auto"/>
        </w:rPr>
      </w:pPr>
    </w:p>
    <w:p>
      <w:pPr>
        <w:jc w:val="right"/>
        <w:ind w:right="114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0</w:t>
      </w:r>
    </w:p>
    <w:p>
      <w:pPr>
        <w:spacing w:after="0" w:line="29" w:lineRule="exact"/>
        <w:rPr>
          <w:sz w:val="20"/>
          <w:szCs w:val="20"/>
          <w:color w:val="auto"/>
        </w:rPr>
      </w:pPr>
    </w:p>
    <w:tbl>
      <w:tblPr>
        <w:tblLayout w:type="fixed"/>
        <w:tblInd w:w="12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9"/>
        </w:trPr>
        <w:tc>
          <w:tcPr>
            <w:tcW w:w="460" w:type="dxa"/>
            <w:vAlign w:val="bottom"/>
          </w:tcPr>
          <w:p>
            <w:pPr>
              <w:jc w:val="right"/>
              <w:ind w:right="22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89"/>
              </w:rPr>
              <w:t>1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22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3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2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4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2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2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3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2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4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</w:t>
            </w:r>
          </w:p>
        </w:tc>
        <w:tc>
          <w:tcPr>
            <w:tcW w:w="1120" w:type="dxa"/>
            <w:vAlign w:val="bottom"/>
          </w:tcPr>
          <w:p>
            <w:pPr>
              <w:jc w:val="right"/>
              <w:ind w:right="2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3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2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4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</w:t>
            </w:r>
          </w:p>
        </w:tc>
      </w:tr>
      <w:tr>
        <w:trPr>
          <w:trHeight w:val="443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right"/>
              <w:ind w:right="46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2014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right"/>
              <w:ind w:right="46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2015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jc w:val="right"/>
              <w:ind w:right="46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2016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jc w:val="right"/>
              <w:ind w:right="12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2017</w:t>
            </w:r>
          </w:p>
        </w:tc>
      </w:tr>
    </w:tbl>
    <w:p>
      <w:pPr>
        <w:spacing w:after="0" w:line="378" w:lineRule="exact"/>
        <w:rPr>
          <w:sz w:val="20"/>
          <w:szCs w:val="20"/>
          <w:color w:val="auto"/>
        </w:rPr>
      </w:pPr>
    </w:p>
    <w:p>
      <w:pPr>
        <w:jc w:val="center"/>
        <w:ind w:left="1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Year and Quarter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320" w:hanging="196"/>
        <w:spacing w:after="0"/>
        <w:tabs>
          <w:tab w:leader="none" w:pos="320" w:val="left"/>
        </w:tabs>
        <w:numPr>
          <w:ilvl w:val="0"/>
          <w:numId w:val="8"/>
        </w:numPr>
        <w:rPr>
          <w:rFonts w:ascii="Book Antiqua" w:cs="Book Antiqua" w:eastAsia="Book Antiqua" w:hAnsi="Book Antiqua"/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0"/>
          <w:szCs w:val="20"/>
          <w:color w:val="auto"/>
        </w:rPr>
        <w:t xml:space="preserve">This is most likely illicitly produced and sold, </w:t>
      </w:r>
      <w:r>
        <w:rPr>
          <w:rFonts w:ascii="Book Antiqua" w:cs="Book Antiqua" w:eastAsia="Book Antiqua" w:hAnsi="Book Antiqua"/>
          <w:sz w:val="20"/>
          <w:szCs w:val="20"/>
          <w:b w:val="1"/>
          <w:bCs w:val="1"/>
          <w:color w:val="auto"/>
        </w:rPr>
        <w:t>not</w:t>
      </w:r>
      <w:r>
        <w:rPr>
          <w:rFonts w:ascii="Book Antiqua" w:cs="Book Antiqua" w:eastAsia="Book Antiqua" w:hAnsi="Book Antiqua"/>
          <w:sz w:val="20"/>
          <w:szCs w:val="20"/>
          <w:color w:val="auto"/>
        </w:rPr>
        <w:t xml:space="preserve"> prescription fentanyl</w:t>
      </w:r>
    </w:p>
    <w:p>
      <w:pPr>
        <w:ind w:left="320" w:hanging="196"/>
        <w:spacing w:after="0" w:line="231" w:lineRule="auto"/>
        <w:tabs>
          <w:tab w:leader="none" w:pos="320" w:val="left"/>
        </w:tabs>
        <w:numPr>
          <w:ilvl w:val="0"/>
          <w:numId w:val="8"/>
        </w:numPr>
        <w:rPr>
          <w:rFonts w:ascii="Book Antiqua" w:cs="Book Antiqua" w:eastAsia="Book Antiqua" w:hAnsi="Book Antiqua"/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0"/>
          <w:szCs w:val="20"/>
          <w:color w:val="auto"/>
        </w:rPr>
        <w:t>Prescription opioids include: hydrocodone, hydromorphone, oxycodone, oxymorphone, and tramadol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Fentanyl¹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Likely Heroin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Prescription Opioid²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Benzodiazepine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Cocaine</w:t>
      </w:r>
    </w:p>
    <w:p>
      <w:pPr>
        <w:spacing w:after="0" w:line="3652" w:lineRule="exact"/>
        <w:rPr>
          <w:sz w:val="20"/>
          <w:szCs w:val="20"/>
          <w:color w:val="auto"/>
        </w:rPr>
      </w:pPr>
    </w:p>
    <w:p>
      <w:pPr>
        <w:sectPr>
          <w:pgSz w:w="15840" w:h="12267" w:orient="landscape"/>
          <w:cols w:equalWidth="0" w:num="2">
            <w:col w:w="12100" w:space="720"/>
            <w:col w:w="1920"/>
          </w:cols>
          <w:pgMar w:left="380" w:top="557" w:right="72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9"/>
          <w:szCs w:val="39"/>
          <w:color w:val="FFFFFF"/>
        </w:rPr>
        <w:t xml:space="preserve">6 </w:t>
      </w:r>
      <w:r>
        <w:rPr>
          <w:rFonts w:ascii="Calibri" w:cs="Calibri" w:eastAsia="Calibri" w:hAnsi="Calibri"/>
          <w:sz w:val="50"/>
          <w:szCs w:val="50"/>
          <w:color w:val="898989"/>
          <w:vertAlign w:val="subscript"/>
        </w:rPr>
        <w:t>6</w:t>
      </w:r>
    </w:p>
    <w:p>
      <w:pPr>
        <w:sectPr>
          <w:pgSz w:w="15840" w:h="12267" w:orient="landscape"/>
          <w:cols w:equalWidth="0" w:num="1">
            <w:col w:w="14740"/>
          </w:cols>
          <w:pgMar w:left="380" w:top="557" w:right="720" w:bottom="0" w:gutter="0" w:footer="0" w:header="0"/>
          <w:type w:val="continuous"/>
        </w:sectPr>
      </w:pPr>
    </w:p>
    <w:bookmarkStart w:id="6" w:name="page7"/>
    <w:bookmarkEnd w:id="6"/>
    <w:p>
      <w:pPr>
        <w:spacing w:after="0" w:line="2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Protecting Our Youth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b w:val="1"/>
          <w:bCs w:val="1"/>
          <w:color w:val="1F497D"/>
        </w:rPr>
        <w:t>Screening, Brief Intervention, and Referral to Treatment (SBIRT)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left="1160" w:hanging="449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SBIRT is an evidence-based practice used to identify, reduce, and prevent problematic use of and</w:t>
      </w:r>
      <w:r>
        <w:rPr>
          <w:rFonts w:ascii="Arial" w:cs="Arial" w:eastAsia="Arial" w:hAnsi="Arial"/>
          <w:sz w:val="32"/>
          <w:szCs w:val="32"/>
          <w:color w:val="1F497D"/>
        </w:rPr>
        <w:t xml:space="preserve"> </w:t>
      </w:r>
      <w:r>
        <w:rPr>
          <w:rFonts w:ascii="Book Antiqua" w:cs="Book Antiqua" w:eastAsia="Book Antiqua" w:hAnsi="Book Antiqua"/>
          <w:sz w:val="31"/>
          <w:szCs w:val="31"/>
          <w:color w:val="1F497D"/>
        </w:rPr>
        <w:t>dependence on alcohol and illicit drugs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160" w:right="160" w:hanging="449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SBIRT screening in schools is mandatory for the first time this year (17-18 school year). Students</w:t>
      </w:r>
      <w:r>
        <w:rPr>
          <w:rFonts w:ascii="Arial" w:cs="Arial" w:eastAsia="Arial" w:hAnsi="Arial"/>
          <w:sz w:val="32"/>
          <w:szCs w:val="32"/>
          <w:color w:val="1F497D"/>
        </w:rPr>
        <w:t xml:space="preserve">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must be screened in two different grade levels for a substance use disorder</w:t>
      </w:r>
    </w:p>
    <w:p>
      <w:pPr>
        <w:spacing w:after="0" w:line="66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Last school year, 89 schools implemented SBIRT and submitted aggregate data to DPH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1160" w:right="920" w:hanging="449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Since January 2016, 4,263 professionals in 283 school districts have been trained by DPH to</w:t>
      </w:r>
      <w:r>
        <w:rPr>
          <w:rFonts w:ascii="Arial" w:cs="Arial" w:eastAsia="Arial" w:hAnsi="Arial"/>
          <w:sz w:val="32"/>
          <w:szCs w:val="32"/>
          <w:color w:val="1F497D"/>
        </w:rPr>
        <w:t xml:space="preserve">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administer SBIRT in the required 6-hour Introductory Course</w:t>
      </w:r>
    </w:p>
    <w:p>
      <w:pPr>
        <w:spacing w:after="0" w:line="66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760 professionals from trained districts attended an additional 3-hour ‘SBIRT Essentials’ session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b w:val="1"/>
          <w:bCs w:val="1"/>
          <w:color w:val="1F497D"/>
        </w:rPr>
        <w:t>Stop Addiction Before It Starts Ad Campaign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left="1160" w:right="5680" w:hanging="461"/>
        <w:spacing w:after="0" w:line="27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Public information campaign, launched in August 2017,</w:t>
      </w:r>
      <w:r>
        <w:rPr>
          <w:rFonts w:ascii="Arial" w:cs="Arial" w:eastAsia="Arial" w:hAnsi="Arial"/>
          <w:sz w:val="32"/>
          <w:szCs w:val="32"/>
          <w:color w:val="1F497D"/>
        </w:rPr>
        <w:t xml:space="preserve">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 xml:space="preserve">encouraging parents of teens to speak to their kids about </w:t>
      </w:r>
      <w:r>
        <w:rPr>
          <w:rFonts w:ascii="Book Antiqua" w:cs="Book Antiqua" w:eastAsia="Book Antiqua" w:hAnsi="Book Antiqua"/>
          <w:sz w:val="31"/>
          <w:szCs w:val="31"/>
          <w:color w:val="1F497D"/>
        </w:rPr>
        <w:t>the dangers of pain medication</w:t>
      </w:r>
    </w:p>
    <w:p>
      <w:pPr>
        <w:sectPr>
          <w:pgSz w:w="15840" w:h="12267" w:orient="landscape"/>
          <w:cols w:equalWidth="0" w:num="1">
            <w:col w:w="14860"/>
          </w:cols>
          <w:pgMar w:left="380" w:top="758" w:right="6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9"/>
          <w:szCs w:val="39"/>
          <w:color w:val="FFFFFF"/>
        </w:rPr>
        <w:t xml:space="preserve">7 </w:t>
      </w:r>
      <w:r>
        <w:rPr>
          <w:rFonts w:ascii="Calibri" w:cs="Calibri" w:eastAsia="Calibri" w:hAnsi="Calibri"/>
          <w:sz w:val="50"/>
          <w:szCs w:val="50"/>
          <w:color w:val="898989"/>
          <w:vertAlign w:val="subscript"/>
        </w:rPr>
        <w:t>7</w:t>
      </w:r>
    </w:p>
    <w:p>
      <w:pPr>
        <w:sectPr>
          <w:pgSz w:w="15840" w:h="12267" w:orient="landscape"/>
          <w:cols w:equalWidth="0" w:num="1">
            <w:col w:w="14860"/>
          </w:cols>
          <w:pgMar w:left="380" w:top="758" w:right="600" w:bottom="0" w:gutter="0" w:footer="0" w:header="0"/>
          <w:type w:val="continuous"/>
        </w:sectPr>
      </w:pPr>
    </w:p>
    <w:bookmarkStart w:id="7" w:name="page8"/>
    <w:bookmarkEnd w:id="7"/>
    <w:p>
      <w:pPr>
        <w:spacing w:after="0" w:line="2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4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Ensuring Core Competencies for Our Clinicians in Training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b w:val="1"/>
          <w:bCs w:val="1"/>
          <w:color w:val="1F497D"/>
        </w:rPr>
        <w:t>Prescriber education core competencies for the Prevention and Management of</w:t>
      </w:r>
    </w:p>
    <w:p>
      <w:pPr>
        <w:spacing w:after="0" w:line="238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b w:val="1"/>
          <w:bCs w:val="1"/>
          <w:color w:val="1F497D"/>
        </w:rPr>
        <w:t>Prescription Drug Misuse have been established for:</w:t>
      </w: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4"/>
          <w:szCs w:val="34"/>
          <w:color w:val="1F497D"/>
        </w:rPr>
        <w:t>Medical Education, reaching 3,000 students each year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4"/>
          <w:szCs w:val="34"/>
          <w:color w:val="1F497D"/>
        </w:rPr>
        <w:t>Dental Education, reaching 2,380 students each year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4"/>
          <w:szCs w:val="34"/>
          <w:color w:val="1F497D"/>
        </w:rPr>
        <w:t>Advance Practice Nursing Education, reaching 2,000 students each year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4"/>
          <w:szCs w:val="34"/>
          <w:color w:val="1F497D"/>
        </w:rPr>
        <w:t>Physical Assistant Education, reaching 900 students each year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b w:val="1"/>
          <w:bCs w:val="1"/>
          <w:color w:val="1F497D"/>
        </w:rPr>
        <w:t>In Fall 2017, all nine Schools of Social Work in Massachusetts established a set of Core Principles for the Prevention and Management of Substance Misuse, reaching 4,300 social work students each year.</w:t>
      </w:r>
    </w:p>
    <w:p>
      <w:pPr>
        <w:spacing w:after="0" w:line="93" w:lineRule="exact"/>
        <w:rPr>
          <w:sz w:val="20"/>
          <w:szCs w:val="20"/>
          <w:color w:val="auto"/>
        </w:rPr>
      </w:pPr>
    </w:p>
    <w:tbl>
      <w:tblPr>
        <w:tblLayout w:type="fixed"/>
        <w:tblInd w:w="14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3"/>
        </w:trPr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4"/>
                <w:szCs w:val="34"/>
                <w:color w:val="1F497D"/>
              </w:rPr>
              <w:t>•</w:t>
            </w:r>
          </w:p>
        </w:tc>
        <w:tc>
          <w:tcPr>
            <w:tcW w:w="552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34"/>
                <w:szCs w:val="34"/>
                <w:color w:val="1F497D"/>
              </w:rPr>
              <w:t>Boston College</w:t>
            </w:r>
          </w:p>
        </w:tc>
        <w:tc>
          <w:tcPr>
            <w:tcW w:w="1300" w:type="dxa"/>
            <w:vAlign w:val="bottom"/>
          </w:tcPr>
          <w:p>
            <w:pPr>
              <w:ind w:left="9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4"/>
                <w:szCs w:val="34"/>
                <w:color w:val="1F497D"/>
              </w:rPr>
              <w:t>•</w:t>
            </w:r>
          </w:p>
        </w:tc>
        <w:tc>
          <w:tcPr>
            <w:tcW w:w="41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34"/>
                <w:szCs w:val="34"/>
                <w:color w:val="1F497D"/>
              </w:rPr>
              <w:t>Smith College</w:t>
            </w:r>
          </w:p>
        </w:tc>
      </w:tr>
      <w:tr>
        <w:trPr>
          <w:trHeight w:val="408"/>
        </w:trPr>
        <w:tc>
          <w:tcPr>
            <w:tcW w:w="340" w:type="dxa"/>
            <w:vAlign w:val="bottom"/>
          </w:tcPr>
          <w:p>
            <w:pPr>
              <w:spacing w:after="0" w:line="38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4"/>
                <w:szCs w:val="34"/>
                <w:color w:val="1F497D"/>
              </w:rPr>
              <w:t>•</w:t>
            </w:r>
          </w:p>
        </w:tc>
        <w:tc>
          <w:tcPr>
            <w:tcW w:w="5520" w:type="dxa"/>
            <w:vAlign w:val="bottom"/>
          </w:tcPr>
          <w:p>
            <w:pPr>
              <w:ind w:left="200"/>
              <w:spacing w:after="0" w:line="409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34"/>
                <w:szCs w:val="34"/>
                <w:color w:val="1F497D"/>
              </w:rPr>
              <w:t>Boston University</w:t>
            </w:r>
          </w:p>
        </w:tc>
        <w:tc>
          <w:tcPr>
            <w:tcW w:w="1300" w:type="dxa"/>
            <w:vAlign w:val="bottom"/>
          </w:tcPr>
          <w:p>
            <w:pPr>
              <w:ind w:left="980"/>
              <w:spacing w:after="0" w:line="38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4"/>
                <w:szCs w:val="34"/>
                <w:color w:val="1F497D"/>
              </w:rPr>
              <w:t>•</w:t>
            </w:r>
          </w:p>
        </w:tc>
        <w:tc>
          <w:tcPr>
            <w:tcW w:w="4140" w:type="dxa"/>
            <w:vAlign w:val="bottom"/>
          </w:tcPr>
          <w:p>
            <w:pPr>
              <w:ind w:left="220"/>
              <w:spacing w:after="0" w:line="409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34"/>
                <w:szCs w:val="34"/>
                <w:color w:val="1F497D"/>
              </w:rPr>
              <w:t>Springfield College</w:t>
            </w:r>
          </w:p>
        </w:tc>
      </w:tr>
      <w:tr>
        <w:trPr>
          <w:trHeight w:val="408"/>
        </w:trPr>
        <w:tc>
          <w:tcPr>
            <w:tcW w:w="340" w:type="dxa"/>
            <w:vAlign w:val="bottom"/>
          </w:tcPr>
          <w:p>
            <w:pPr>
              <w:spacing w:after="0" w:line="38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4"/>
                <w:szCs w:val="34"/>
                <w:color w:val="1F497D"/>
              </w:rPr>
              <w:t>•</w:t>
            </w:r>
          </w:p>
        </w:tc>
        <w:tc>
          <w:tcPr>
            <w:tcW w:w="5520" w:type="dxa"/>
            <w:vAlign w:val="bottom"/>
          </w:tcPr>
          <w:p>
            <w:pPr>
              <w:ind w:left="200"/>
              <w:spacing w:after="0" w:line="407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34"/>
                <w:szCs w:val="34"/>
                <w:color w:val="1F497D"/>
              </w:rPr>
              <w:t>Bridgewater State University</w:t>
            </w:r>
          </w:p>
        </w:tc>
        <w:tc>
          <w:tcPr>
            <w:tcW w:w="1300" w:type="dxa"/>
            <w:vAlign w:val="bottom"/>
          </w:tcPr>
          <w:p>
            <w:pPr>
              <w:ind w:left="980"/>
              <w:spacing w:after="0" w:line="38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4"/>
                <w:szCs w:val="34"/>
                <w:color w:val="1F497D"/>
              </w:rPr>
              <w:t>•</w:t>
            </w:r>
          </w:p>
        </w:tc>
        <w:tc>
          <w:tcPr>
            <w:tcW w:w="4140" w:type="dxa"/>
            <w:vAlign w:val="bottom"/>
          </w:tcPr>
          <w:p>
            <w:pPr>
              <w:ind w:left="220"/>
              <w:spacing w:after="0" w:line="407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34"/>
                <w:szCs w:val="34"/>
                <w:color w:val="1F497D"/>
                <w:w w:val="99"/>
              </w:rPr>
              <w:t>Westfield State University</w:t>
            </w:r>
          </w:p>
        </w:tc>
      </w:tr>
      <w:tr>
        <w:trPr>
          <w:trHeight w:val="408"/>
        </w:trPr>
        <w:tc>
          <w:tcPr>
            <w:tcW w:w="340" w:type="dxa"/>
            <w:vAlign w:val="bottom"/>
          </w:tcPr>
          <w:p>
            <w:pPr>
              <w:spacing w:after="0" w:line="38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4"/>
                <w:szCs w:val="34"/>
                <w:color w:val="1F497D"/>
              </w:rPr>
              <w:t>•</w:t>
            </w:r>
          </w:p>
        </w:tc>
        <w:tc>
          <w:tcPr>
            <w:tcW w:w="5520" w:type="dxa"/>
            <w:vAlign w:val="bottom"/>
          </w:tcPr>
          <w:p>
            <w:pPr>
              <w:ind w:left="200"/>
              <w:spacing w:after="0" w:line="407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34"/>
                <w:szCs w:val="34"/>
                <w:color w:val="1F497D"/>
              </w:rPr>
              <w:t>Salem State University</w:t>
            </w:r>
          </w:p>
        </w:tc>
        <w:tc>
          <w:tcPr>
            <w:tcW w:w="1300" w:type="dxa"/>
            <w:vAlign w:val="bottom"/>
          </w:tcPr>
          <w:p>
            <w:pPr>
              <w:ind w:left="980"/>
              <w:spacing w:after="0" w:line="38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4"/>
                <w:szCs w:val="34"/>
                <w:color w:val="1F497D"/>
              </w:rPr>
              <w:t>•</w:t>
            </w:r>
          </w:p>
        </w:tc>
        <w:tc>
          <w:tcPr>
            <w:tcW w:w="4140" w:type="dxa"/>
            <w:vAlign w:val="bottom"/>
          </w:tcPr>
          <w:p>
            <w:pPr>
              <w:ind w:left="220"/>
              <w:spacing w:after="0" w:line="407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34"/>
                <w:szCs w:val="34"/>
                <w:color w:val="1F497D"/>
              </w:rPr>
              <w:t>Wheelock College</w:t>
            </w:r>
          </w:p>
        </w:tc>
      </w:tr>
    </w:tbl>
    <w:p>
      <w:pPr>
        <w:ind w:left="1940" w:hanging="533"/>
        <w:spacing w:after="0" w:line="233" w:lineRule="auto"/>
        <w:tabs>
          <w:tab w:leader="none" w:pos="1940" w:val="left"/>
        </w:tabs>
        <w:numPr>
          <w:ilvl w:val="0"/>
          <w:numId w:val="12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Simmons College</w:t>
      </w:r>
    </w:p>
    <w:p>
      <w:pPr>
        <w:sectPr>
          <w:pgSz w:w="15840" w:h="12267" w:orient="landscape"/>
          <w:cols w:equalWidth="0" w:num="1">
            <w:col w:w="14720"/>
          </w:cols>
          <w:pgMar w:left="380" w:top="804" w:right="7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9"/>
          <w:szCs w:val="39"/>
          <w:color w:val="FFFFFF"/>
        </w:rPr>
        <w:t xml:space="preserve">8 </w:t>
      </w:r>
      <w:r>
        <w:rPr>
          <w:rFonts w:ascii="Calibri" w:cs="Calibri" w:eastAsia="Calibri" w:hAnsi="Calibri"/>
          <w:sz w:val="50"/>
          <w:szCs w:val="50"/>
          <w:color w:val="898989"/>
          <w:vertAlign w:val="subscript"/>
        </w:rPr>
        <w:t>8</w:t>
      </w:r>
    </w:p>
    <w:p>
      <w:pPr>
        <w:sectPr>
          <w:pgSz w:w="15840" w:h="12267" w:orient="landscape"/>
          <w:cols w:equalWidth="0" w:num="1">
            <w:col w:w="14720"/>
          </w:cols>
          <w:pgMar w:left="380" w:top="804" w:right="740" w:bottom="0" w:gutter="0" w:footer="0" w:header="0"/>
          <w:type w:val="continuous"/>
        </w:sectPr>
      </w:pPr>
    </w:p>
    <w:bookmarkStart w:id="8" w:name="page9"/>
    <w:bookmarkEnd w:id="8"/>
    <w:p>
      <w:pPr>
        <w:spacing w:after="0" w:line="2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00" w:right="6820" w:firstLine="55"/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Increasing access to naloxone, the life-saving overdose reversal drug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120" w:right="280"/>
        <w:spacing w:after="0" w:line="231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color w:val="1F497D"/>
        </w:rPr>
        <w:t>In FY17, DPH invested more than $3.87 million to improve access to naloxone throughout the Commonwealth</w:t>
      </w:r>
    </w:p>
    <w:p>
      <w:pPr>
        <w:spacing w:after="0" w:line="89" w:lineRule="exact"/>
        <w:rPr>
          <w:sz w:val="20"/>
          <w:szCs w:val="20"/>
          <w:color w:val="auto"/>
        </w:rPr>
      </w:pPr>
    </w:p>
    <w:p>
      <w:pPr>
        <w:ind w:left="720" w:right="600" w:hanging="596"/>
        <w:spacing w:after="0" w:line="231" w:lineRule="auto"/>
        <w:tabs>
          <w:tab w:leader="none" w:pos="720" w:val="left"/>
        </w:tabs>
        <w:numPr>
          <w:ilvl w:val="0"/>
          <w:numId w:val="13"/>
        </w:numPr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Book Antiqua" w:cs="Book Antiqua" w:eastAsia="Book Antiqua" w:hAnsi="Book Antiqua"/>
          <w:sz w:val="36"/>
          <w:szCs w:val="36"/>
          <w:color w:val="1F497D"/>
        </w:rPr>
        <w:t>$2.8 million to support the Overdose Education and Naloxone Distribution (OEND) program</w:t>
      </w:r>
    </w:p>
    <w:p>
      <w:pPr>
        <w:spacing w:after="0" w:line="72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1420" w:right="520" w:hanging="502"/>
        <w:spacing w:after="0" w:line="231" w:lineRule="auto"/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Arial" w:cs="Arial" w:eastAsia="Arial" w:hAnsi="Arial"/>
          <w:sz w:val="29"/>
          <w:szCs w:val="29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29"/>
          <w:szCs w:val="29"/>
          <w:color w:val="1F497D"/>
        </w:rPr>
        <w:t>OEND has trained more than 64,000 individuals on how to administer naloxone since the program</w:t>
      </w:r>
      <w:r>
        <w:rPr>
          <w:rFonts w:ascii="Arial" w:cs="Arial" w:eastAsia="Arial" w:hAnsi="Arial"/>
          <w:sz w:val="29"/>
          <w:szCs w:val="29"/>
          <w:color w:val="1F497D"/>
        </w:rPr>
        <w:t xml:space="preserve"> </w:t>
      </w:r>
      <w:r>
        <w:rPr>
          <w:rFonts w:ascii="Book Antiqua" w:cs="Book Antiqua" w:eastAsia="Book Antiqua" w:hAnsi="Book Antiqua"/>
          <w:sz w:val="29"/>
          <w:szCs w:val="29"/>
          <w:color w:val="1F497D"/>
        </w:rPr>
        <w:t>began in 2007</w:t>
      </w:r>
    </w:p>
    <w:p>
      <w:pPr>
        <w:spacing w:after="0" w:line="71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1420" w:right="960" w:hanging="502"/>
        <w:spacing w:after="0" w:line="231" w:lineRule="auto"/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Arial" w:cs="Arial" w:eastAsia="Arial" w:hAnsi="Arial"/>
          <w:sz w:val="29"/>
          <w:szCs w:val="29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29"/>
          <w:szCs w:val="29"/>
          <w:color w:val="1F497D"/>
        </w:rPr>
        <w:t>Since 2007, nearly 12,800 overdose rescues have been reported. Over 8,600 since 2015 and 3,600</w:t>
      </w:r>
      <w:r>
        <w:rPr>
          <w:rFonts w:ascii="Arial" w:cs="Arial" w:eastAsia="Arial" w:hAnsi="Arial"/>
          <w:sz w:val="29"/>
          <w:szCs w:val="29"/>
          <w:color w:val="1F497D"/>
        </w:rPr>
        <w:t xml:space="preserve"> </w:t>
      </w:r>
      <w:r>
        <w:rPr>
          <w:rFonts w:ascii="Book Antiqua" w:cs="Book Antiqua" w:eastAsia="Book Antiqua" w:hAnsi="Book Antiqua"/>
          <w:sz w:val="29"/>
          <w:szCs w:val="29"/>
          <w:color w:val="1F497D"/>
        </w:rPr>
        <w:t>rescues in 2016 alone</w:t>
      </w:r>
    </w:p>
    <w:p>
      <w:pPr>
        <w:spacing w:after="0" w:line="74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720" w:hanging="596"/>
        <w:spacing w:after="0"/>
        <w:tabs>
          <w:tab w:leader="none" w:pos="720" w:val="left"/>
        </w:tabs>
        <w:numPr>
          <w:ilvl w:val="0"/>
          <w:numId w:val="13"/>
        </w:numPr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Book Antiqua" w:cs="Book Antiqua" w:eastAsia="Book Antiqua" w:hAnsi="Book Antiqua"/>
          <w:sz w:val="36"/>
          <w:szCs w:val="36"/>
          <w:color w:val="1F497D"/>
        </w:rPr>
        <w:t>$578, 500 to support the First Responder Grant Program</w:t>
      </w:r>
    </w:p>
    <w:p>
      <w:pPr>
        <w:spacing w:after="0" w:line="68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1420" w:right="420" w:hanging="502"/>
        <w:spacing w:after="0" w:line="231" w:lineRule="auto"/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Arial" w:cs="Arial" w:eastAsia="Arial" w:hAnsi="Arial"/>
          <w:sz w:val="29"/>
          <w:szCs w:val="29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29"/>
          <w:szCs w:val="29"/>
          <w:color w:val="1F497D"/>
        </w:rPr>
        <w:t>5,600 overdose rescues have been reported by the 32 First Responder Naloxone Grant agencies since</w:t>
      </w:r>
      <w:r>
        <w:rPr>
          <w:rFonts w:ascii="Arial" w:cs="Arial" w:eastAsia="Arial" w:hAnsi="Arial"/>
          <w:sz w:val="29"/>
          <w:szCs w:val="29"/>
          <w:color w:val="1F497D"/>
        </w:rPr>
        <w:t xml:space="preserve"> </w:t>
      </w:r>
      <w:r>
        <w:rPr>
          <w:rFonts w:ascii="Book Antiqua" w:cs="Book Antiqua" w:eastAsia="Book Antiqua" w:hAnsi="Book Antiqua"/>
          <w:sz w:val="29"/>
          <w:szCs w:val="29"/>
          <w:color w:val="1F497D"/>
        </w:rPr>
        <w:t>2015</w:t>
      </w:r>
    </w:p>
    <w:p>
      <w:pPr>
        <w:spacing w:after="0" w:line="74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720" w:hanging="596"/>
        <w:spacing w:after="0"/>
        <w:tabs>
          <w:tab w:leader="none" w:pos="720" w:val="left"/>
        </w:tabs>
        <w:numPr>
          <w:ilvl w:val="0"/>
          <w:numId w:val="13"/>
        </w:numPr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Book Antiqua" w:cs="Book Antiqua" w:eastAsia="Book Antiqua" w:hAnsi="Book Antiqua"/>
          <w:sz w:val="36"/>
          <w:szCs w:val="36"/>
          <w:color w:val="1F497D"/>
        </w:rPr>
        <w:t>$100,000 for Naloxone for Community Health Centers</w:t>
      </w:r>
    </w:p>
    <w:p>
      <w:pPr>
        <w:spacing w:after="0" w:line="68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1420" w:hanging="502"/>
        <w:spacing w:after="0" w:line="231" w:lineRule="auto"/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Arial" w:cs="Arial" w:eastAsia="Arial" w:hAnsi="Arial"/>
          <w:sz w:val="29"/>
          <w:szCs w:val="29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29"/>
          <w:szCs w:val="29"/>
          <w:color w:val="1F497D"/>
        </w:rPr>
        <w:t>In June 2017, we provided $100,000 in naloxone (approximately 260 doses) to 10 community health</w:t>
      </w:r>
      <w:r>
        <w:rPr>
          <w:rFonts w:ascii="Arial" w:cs="Arial" w:eastAsia="Arial" w:hAnsi="Arial"/>
          <w:sz w:val="29"/>
          <w:szCs w:val="29"/>
          <w:color w:val="1F497D"/>
        </w:rPr>
        <w:t xml:space="preserve"> </w:t>
      </w:r>
      <w:r>
        <w:rPr>
          <w:rFonts w:ascii="Book Antiqua" w:cs="Book Antiqua" w:eastAsia="Book Antiqua" w:hAnsi="Book Antiqua"/>
          <w:sz w:val="29"/>
          <w:szCs w:val="29"/>
          <w:color w:val="1F497D"/>
        </w:rPr>
        <w:t>centers, participating in the SUSTAIN (Substance Use Support &amp; Technical Assistance in Communities) initiative, which supports efforts to prevent and treat substance use disorders in local communities</w:t>
      </w:r>
    </w:p>
    <w:p>
      <w:pPr>
        <w:spacing w:after="0" w:line="75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720" w:hanging="596"/>
        <w:spacing w:after="0"/>
        <w:tabs>
          <w:tab w:leader="none" w:pos="720" w:val="left"/>
        </w:tabs>
        <w:numPr>
          <w:ilvl w:val="0"/>
          <w:numId w:val="13"/>
        </w:numPr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Book Antiqua" w:cs="Book Antiqua" w:eastAsia="Book Antiqua" w:hAnsi="Book Antiqua"/>
          <w:sz w:val="36"/>
          <w:szCs w:val="36"/>
          <w:color w:val="1F497D"/>
        </w:rPr>
        <w:t>$392,251 for state naloxone purchases through the bulk purchasing program</w:t>
      </w:r>
    </w:p>
    <w:p>
      <w:pPr>
        <w:spacing w:after="0" w:line="56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920"/>
        <w:spacing w:after="0"/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Arial" w:cs="Arial" w:eastAsia="Arial" w:hAnsi="Arial"/>
          <w:sz w:val="29"/>
          <w:szCs w:val="29"/>
          <w:color w:val="1F497D"/>
        </w:rPr>
        <w:t xml:space="preserve">–   </w:t>
      </w:r>
      <w:r>
        <w:rPr>
          <w:rFonts w:ascii="Book Antiqua" w:cs="Book Antiqua" w:eastAsia="Book Antiqua" w:hAnsi="Book Antiqua"/>
          <w:sz w:val="29"/>
          <w:szCs w:val="29"/>
          <w:color w:val="1F497D"/>
        </w:rPr>
        <w:t>Since 2016, 140 cities and towns have purchased over 12,000 doses of naloxone at a significant discount</w:t>
      </w:r>
    </w:p>
    <w:p>
      <w:pPr>
        <w:sectPr>
          <w:pgSz w:w="15840" w:h="12267" w:orient="landscape"/>
          <w:cols w:equalWidth="0" w:num="1">
            <w:col w:w="14680"/>
          </w:cols>
          <w:pgMar w:left="380" w:top="523" w:right="78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9"/>
          <w:szCs w:val="39"/>
          <w:color w:val="FFFFFF"/>
        </w:rPr>
        <w:t xml:space="preserve">9 </w:t>
      </w:r>
      <w:r>
        <w:rPr>
          <w:rFonts w:ascii="Calibri" w:cs="Calibri" w:eastAsia="Calibri" w:hAnsi="Calibri"/>
          <w:sz w:val="50"/>
          <w:szCs w:val="50"/>
          <w:color w:val="898989"/>
          <w:vertAlign w:val="subscript"/>
        </w:rPr>
        <w:t>9</w:t>
      </w:r>
    </w:p>
    <w:p>
      <w:pPr>
        <w:sectPr>
          <w:pgSz w:w="15840" w:h="12267" w:orient="landscape"/>
          <w:cols w:equalWidth="0" w:num="1">
            <w:col w:w="14680"/>
          </w:cols>
          <w:pgMar w:left="380" w:top="523" w:right="780" w:bottom="0" w:gutter="0" w:footer="0" w:header="0"/>
          <w:type w:val="continuous"/>
        </w:sectPr>
      </w:pPr>
    </w:p>
    <w:bookmarkStart w:id="9" w:name="page10"/>
    <w:bookmarkEnd w:id="9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Collecting and Leveraging Data to Identify At-Risk Populations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b w:val="1"/>
          <w:bCs w:val="1"/>
          <w:color w:val="1F497D"/>
        </w:rPr>
        <w:t>Chapter 55 of the Acts of 2015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1420" w:right="200" w:hanging="502"/>
        <w:spacing w:after="0" w:line="22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Chapter 55 permitted the first-in-the-nation linkage and analysis of government data</w:t>
      </w:r>
      <w:r>
        <w:rPr>
          <w:rFonts w:ascii="Arial" w:cs="Arial" w:eastAsia="Arial" w:hAnsi="Arial"/>
          <w:sz w:val="36"/>
          <w:szCs w:val="36"/>
          <w:color w:val="1F497D"/>
        </w:rPr>
        <w:t xml:space="preserve">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sets to better understand the opioid epidemic and guide policy development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First report was released in the Fall of 2016 and updated in Fall 2017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1420" w:right="1540" w:hanging="502"/>
        <w:spacing w:after="0" w:line="22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In 2016, ten government data sets were linked and analyzed; In 2017, twenty</w:t>
      </w:r>
      <w:r>
        <w:rPr>
          <w:rFonts w:ascii="Arial" w:cs="Arial" w:eastAsia="Arial" w:hAnsi="Arial"/>
          <w:sz w:val="36"/>
          <w:szCs w:val="36"/>
          <w:color w:val="1F497D"/>
        </w:rPr>
        <w:t xml:space="preserve">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government data sets were linked and analyzed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b w:val="1"/>
          <w:bCs w:val="1"/>
          <w:color w:val="1F497D"/>
        </w:rPr>
        <w:t>2017 Chapter 55 Opioid Data Brief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4"/>
          <w:szCs w:val="34"/>
          <w:b w:val="1"/>
          <w:bCs w:val="1"/>
          <w:color w:val="1F497D"/>
        </w:rPr>
        <w:t>Key findings: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ind w:left="2120" w:hanging="392"/>
        <w:spacing w:after="0"/>
        <w:tabs>
          <w:tab w:leader="none" w:pos="2120" w:val="left"/>
        </w:tabs>
        <w:numPr>
          <w:ilvl w:val="1"/>
          <w:numId w:val="15"/>
        </w:numPr>
        <w:rPr>
          <w:rFonts w:ascii="Arial" w:cs="Arial" w:eastAsia="Arial" w:hAnsi="Arial"/>
          <w:sz w:val="33"/>
          <w:szCs w:val="33"/>
          <w:color w:val="1F497D"/>
        </w:rPr>
      </w:pPr>
      <w:r>
        <w:rPr>
          <w:rFonts w:ascii="Book Antiqua" w:cs="Book Antiqua" w:eastAsia="Book Antiqua" w:hAnsi="Book Antiqua"/>
          <w:sz w:val="33"/>
          <w:szCs w:val="33"/>
          <w:color w:val="1F497D"/>
        </w:rPr>
        <w:t>Compared to the rest of the adult population the opioid-related overdose death rate is:</w:t>
      </w:r>
    </w:p>
    <w:p>
      <w:pPr>
        <w:spacing w:after="0" w:line="26" w:lineRule="exact"/>
        <w:rPr>
          <w:rFonts w:ascii="Arial" w:cs="Arial" w:eastAsia="Arial" w:hAnsi="Arial"/>
          <w:sz w:val="33"/>
          <w:szCs w:val="33"/>
          <w:color w:val="1F497D"/>
        </w:rPr>
      </w:pPr>
    </w:p>
    <w:p>
      <w:pPr>
        <w:ind w:left="2540"/>
        <w:spacing w:after="0"/>
        <w:rPr>
          <w:rFonts w:ascii="Arial" w:cs="Arial" w:eastAsia="Arial" w:hAnsi="Arial"/>
          <w:sz w:val="33"/>
          <w:szCs w:val="33"/>
          <w:color w:val="1F497D"/>
        </w:rPr>
      </w:pPr>
      <w:r>
        <w:rPr>
          <w:rFonts w:ascii="Arial" w:cs="Arial" w:eastAsia="Arial" w:hAnsi="Arial"/>
          <w:sz w:val="34"/>
          <w:szCs w:val="34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4"/>
          <w:szCs w:val="34"/>
          <w:color w:val="1F497D"/>
        </w:rPr>
        <w:t>321 times higher for pregnant and postpartum mothers with opioid use disorder</w:t>
      </w:r>
    </w:p>
    <w:p>
      <w:pPr>
        <w:spacing w:after="0" w:line="26" w:lineRule="exact"/>
        <w:rPr>
          <w:rFonts w:ascii="Arial" w:cs="Arial" w:eastAsia="Arial" w:hAnsi="Arial"/>
          <w:sz w:val="33"/>
          <w:szCs w:val="33"/>
          <w:color w:val="1F497D"/>
        </w:rPr>
      </w:pPr>
    </w:p>
    <w:p>
      <w:pPr>
        <w:ind w:left="2540"/>
        <w:spacing w:after="0"/>
        <w:rPr>
          <w:rFonts w:ascii="Arial" w:cs="Arial" w:eastAsia="Arial" w:hAnsi="Arial"/>
          <w:sz w:val="33"/>
          <w:szCs w:val="33"/>
          <w:color w:val="1F497D"/>
        </w:rPr>
      </w:pPr>
      <w:r>
        <w:rPr>
          <w:rFonts w:ascii="Arial" w:cs="Arial" w:eastAsia="Arial" w:hAnsi="Arial"/>
          <w:sz w:val="34"/>
          <w:szCs w:val="34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4"/>
          <w:szCs w:val="34"/>
          <w:color w:val="1F497D"/>
        </w:rPr>
        <w:t>120 times higher for persons released from Massachusetts prisons and jails</w:t>
      </w:r>
    </w:p>
    <w:p>
      <w:pPr>
        <w:spacing w:after="0" w:line="26" w:lineRule="exact"/>
        <w:rPr>
          <w:rFonts w:ascii="Arial" w:cs="Arial" w:eastAsia="Arial" w:hAnsi="Arial"/>
          <w:sz w:val="33"/>
          <w:szCs w:val="33"/>
          <w:color w:val="1F497D"/>
        </w:rPr>
      </w:pPr>
    </w:p>
    <w:p>
      <w:pPr>
        <w:ind w:left="2540"/>
        <w:spacing w:after="0"/>
        <w:rPr>
          <w:rFonts w:ascii="Arial" w:cs="Arial" w:eastAsia="Arial" w:hAnsi="Arial"/>
          <w:sz w:val="33"/>
          <w:szCs w:val="33"/>
          <w:color w:val="1F497D"/>
        </w:rPr>
      </w:pPr>
      <w:r>
        <w:rPr>
          <w:rFonts w:ascii="Arial" w:cs="Arial" w:eastAsia="Arial" w:hAnsi="Arial"/>
          <w:sz w:val="34"/>
          <w:szCs w:val="34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4"/>
          <w:szCs w:val="34"/>
          <w:color w:val="1F497D"/>
        </w:rPr>
        <w:t>Up to 30 times higher for homeless individuals</w:t>
      </w:r>
    </w:p>
    <w:p>
      <w:pPr>
        <w:spacing w:after="0" w:line="26" w:lineRule="exact"/>
        <w:rPr>
          <w:rFonts w:ascii="Arial" w:cs="Arial" w:eastAsia="Arial" w:hAnsi="Arial"/>
          <w:sz w:val="33"/>
          <w:szCs w:val="33"/>
          <w:color w:val="1F497D"/>
        </w:rPr>
      </w:pPr>
    </w:p>
    <w:p>
      <w:pPr>
        <w:ind w:left="2540"/>
        <w:spacing w:after="0"/>
        <w:rPr>
          <w:rFonts w:ascii="Arial" w:cs="Arial" w:eastAsia="Arial" w:hAnsi="Arial"/>
          <w:sz w:val="33"/>
          <w:szCs w:val="33"/>
          <w:color w:val="1F497D"/>
        </w:rPr>
      </w:pPr>
      <w:r>
        <w:rPr>
          <w:rFonts w:ascii="Arial" w:cs="Arial" w:eastAsia="Arial" w:hAnsi="Arial"/>
          <w:sz w:val="34"/>
          <w:szCs w:val="34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4"/>
          <w:szCs w:val="34"/>
          <w:color w:val="1F497D"/>
        </w:rPr>
        <w:t>6 times higher for individuals with serious mental illness</w:t>
      </w:r>
    </w:p>
    <w:p>
      <w:pPr>
        <w:spacing w:after="0" w:line="26" w:lineRule="exact"/>
        <w:rPr>
          <w:rFonts w:ascii="Arial" w:cs="Arial" w:eastAsia="Arial" w:hAnsi="Arial"/>
          <w:sz w:val="33"/>
          <w:szCs w:val="33"/>
          <w:color w:val="1F497D"/>
        </w:rPr>
      </w:pPr>
    </w:p>
    <w:p>
      <w:pPr>
        <w:ind w:left="2120" w:hanging="392"/>
        <w:spacing w:after="0"/>
        <w:tabs>
          <w:tab w:leader="none" w:pos="2120" w:val="left"/>
        </w:tabs>
        <w:numPr>
          <w:ilvl w:val="1"/>
          <w:numId w:val="15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Nearly 1 in 10 individuals die within 2 years after an initial nonfatal overdose</w:t>
      </w:r>
    </w:p>
    <w:p>
      <w:pPr>
        <w:spacing w:after="0" w:line="26" w:lineRule="exact"/>
        <w:rPr>
          <w:rFonts w:ascii="Arial" w:cs="Arial" w:eastAsia="Arial" w:hAnsi="Arial"/>
          <w:sz w:val="34"/>
          <w:szCs w:val="34"/>
          <w:color w:val="1F497D"/>
        </w:rPr>
      </w:pPr>
    </w:p>
    <w:p>
      <w:pPr>
        <w:ind w:left="2120" w:hanging="392"/>
        <w:spacing w:after="0"/>
        <w:tabs>
          <w:tab w:leader="none" w:pos="2120" w:val="left"/>
        </w:tabs>
        <w:numPr>
          <w:ilvl w:val="1"/>
          <w:numId w:val="15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The average survival time for those who died of an opioid overdose was 36 Months</w:t>
      </w:r>
    </w:p>
    <w:p>
      <w:pPr>
        <w:sectPr>
          <w:pgSz w:w="15840" w:h="12266" w:orient="landscape"/>
          <w:cols w:equalWidth="0" w:num="1">
            <w:col w:w="15120"/>
          </w:cols>
          <w:pgMar w:left="380" w:top="830" w:right="3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jc w:val="right"/>
        <w:ind w:right="147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10</w:t>
      </w:r>
    </w:p>
    <w:p>
      <w:pPr>
        <w:jc w:val="right"/>
        <w:ind w:right="1466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10</w:t>
      </w:r>
    </w:p>
    <w:p>
      <w:pPr>
        <w:sectPr>
          <w:pgSz w:w="15840" w:h="12266" w:orient="landscape"/>
          <w:cols w:equalWidth="0" w:num="1">
            <w:col w:w="15120"/>
          </w:cols>
          <w:pgMar w:left="380" w:top="830" w:right="340" w:bottom="0" w:gutter="0" w:footer="0" w:header="0"/>
          <w:type w:val="continuous"/>
        </w:sectPr>
      </w:pPr>
    </w:p>
    <w:bookmarkStart w:id="10" w:name="page11"/>
    <w:bookmarkEnd w:id="10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Massachusetts Prescription Monitoring Program (PMP)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jc w:val="center"/>
        <w:ind w:left="520" w:right="180"/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 xml:space="preserve">Chapter 55 data found, those who received three months of prescribed opioids in 2011 were 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i w:val="1"/>
          <w:iCs w:val="1"/>
          <w:color w:val="1F497D"/>
        </w:rPr>
        <w:t>4 times as likely to</w:t>
      </w: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i w:val="1"/>
          <w:iCs w:val="1"/>
          <w:color w:val="1F497D"/>
        </w:rPr>
        <w:t>die from an overdose within 1 year, and 30 times as likely within 5 years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left="720" w:right="140" w:hanging="596"/>
        <w:spacing w:after="0" w:line="231" w:lineRule="auto"/>
        <w:tabs>
          <w:tab w:leader="none" w:pos="720" w:val="left"/>
        </w:tabs>
        <w:numPr>
          <w:ilvl w:val="0"/>
          <w:numId w:val="16"/>
        </w:numPr>
        <w:rPr>
          <w:rFonts w:ascii="Arial" w:cs="Arial" w:eastAsia="Arial" w:hAnsi="Arial"/>
          <w:sz w:val="32"/>
          <w:szCs w:val="32"/>
          <w:color w:val="1F497D"/>
        </w:rPr>
      </w:pPr>
      <w:r>
        <w:rPr>
          <w:rFonts w:ascii="Book Antiqua" w:cs="Book Antiqua" w:eastAsia="Book Antiqua" w:hAnsi="Book Antiqua"/>
          <w:sz w:val="32"/>
          <w:szCs w:val="32"/>
          <w:color w:val="1F497D"/>
        </w:rPr>
        <w:t>As of October 15, 2017, all Prescribers of Schedule II-III prescriptions by LAW must check MassPAT before prescribing a Schedule II-III prescription</w:t>
      </w:r>
    </w:p>
    <w:p>
      <w:pPr>
        <w:spacing w:after="0" w:line="200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spacing w:after="0" w:line="211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ind w:left="720" w:hanging="596"/>
        <w:spacing w:after="0"/>
        <w:tabs>
          <w:tab w:leader="none" w:pos="720" w:val="left"/>
        </w:tabs>
        <w:numPr>
          <w:ilvl w:val="0"/>
          <w:numId w:val="16"/>
        </w:numPr>
        <w:rPr>
          <w:rFonts w:ascii="Arial" w:cs="Arial" w:eastAsia="Arial" w:hAnsi="Arial"/>
          <w:sz w:val="32"/>
          <w:szCs w:val="32"/>
          <w:color w:val="1F497D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 xml:space="preserve">More than 6.5 million searches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have been completed since the creation of MassPAT</w:t>
      </w:r>
    </w:p>
    <w:p>
      <w:pPr>
        <w:spacing w:after="0" w:line="200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spacing w:after="0" w:line="208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ind w:left="720" w:hanging="596"/>
        <w:spacing w:after="0"/>
        <w:tabs>
          <w:tab w:leader="none" w:pos="720" w:val="left"/>
        </w:tabs>
        <w:numPr>
          <w:ilvl w:val="0"/>
          <w:numId w:val="16"/>
        </w:numPr>
        <w:rPr>
          <w:rFonts w:ascii="Arial" w:cs="Arial" w:eastAsia="Arial" w:hAnsi="Arial"/>
          <w:sz w:val="32"/>
          <w:szCs w:val="32"/>
          <w:color w:val="1F497D"/>
        </w:rPr>
      </w:pPr>
      <w:r>
        <w:rPr>
          <w:rFonts w:ascii="Book Antiqua" w:cs="Book Antiqua" w:eastAsia="Book Antiqua" w:hAnsi="Book Antiqua"/>
          <w:sz w:val="32"/>
          <w:szCs w:val="32"/>
          <w:color w:val="1F497D"/>
        </w:rPr>
        <w:t>54,861 physicians and delegates are registered with MassPAT</w:t>
      </w:r>
    </w:p>
    <w:p>
      <w:pPr>
        <w:spacing w:after="0" w:line="200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spacing w:after="0" w:line="337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jc w:val="both"/>
        <w:ind w:left="720" w:hanging="596"/>
        <w:spacing w:after="0" w:line="231" w:lineRule="auto"/>
        <w:tabs>
          <w:tab w:leader="none" w:pos="720" w:val="left"/>
        </w:tabs>
        <w:numPr>
          <w:ilvl w:val="0"/>
          <w:numId w:val="16"/>
        </w:numPr>
        <w:rPr>
          <w:rFonts w:ascii="Arial" w:cs="Arial" w:eastAsia="Arial" w:hAnsi="Arial"/>
          <w:sz w:val="32"/>
          <w:szCs w:val="32"/>
          <w:color w:val="1F497D"/>
        </w:rPr>
      </w:pPr>
      <w:r>
        <w:rPr>
          <w:rFonts w:ascii="Book Antiqua" w:cs="Book Antiqua" w:eastAsia="Book Antiqua" w:hAnsi="Book Antiqua"/>
          <w:sz w:val="32"/>
          <w:szCs w:val="32"/>
          <w:color w:val="1F497D"/>
        </w:rPr>
        <w:t>95% of prescribers who prescribed at least one Schedule II or III opioid between January-March 2017 are registered with MassPAT, accounting for 97% of opioid Rx volume from October-December 2016</w:t>
      </w:r>
    </w:p>
    <w:p>
      <w:pPr>
        <w:spacing w:after="0" w:line="200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spacing w:after="0" w:line="211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ind w:left="580" w:hanging="456"/>
        <w:spacing w:after="0"/>
        <w:tabs>
          <w:tab w:leader="none" w:pos="580" w:val="left"/>
        </w:tabs>
        <w:numPr>
          <w:ilvl w:val="0"/>
          <w:numId w:val="16"/>
        </w:numPr>
        <w:rPr>
          <w:rFonts w:ascii="Arial" w:cs="Arial" w:eastAsia="Arial" w:hAnsi="Arial"/>
          <w:sz w:val="32"/>
          <w:szCs w:val="32"/>
          <w:color w:val="1F497D"/>
        </w:rPr>
      </w:pPr>
      <w:r>
        <w:rPr>
          <w:rFonts w:ascii="Book Antiqua" w:cs="Book Antiqua" w:eastAsia="Book Antiqua" w:hAnsi="Book Antiqua"/>
          <w:sz w:val="32"/>
          <w:szCs w:val="32"/>
          <w:color w:val="1F497D"/>
        </w:rPr>
        <w:t xml:space="preserve">MassPAT is connected with 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29 states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, including the full New England region, on the PMP</w:t>
      </w:r>
    </w:p>
    <w:p>
      <w:pPr>
        <w:spacing w:after="0" w:line="200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spacing w:after="0" w:line="209" w:lineRule="exact"/>
        <w:rPr>
          <w:rFonts w:ascii="Arial" w:cs="Arial" w:eastAsia="Arial" w:hAnsi="Arial"/>
          <w:sz w:val="32"/>
          <w:szCs w:val="32"/>
          <w:color w:val="1F497D"/>
        </w:rPr>
      </w:pPr>
    </w:p>
    <w:p>
      <w:pPr>
        <w:ind w:left="580" w:hanging="456"/>
        <w:spacing w:after="0"/>
        <w:tabs>
          <w:tab w:leader="none" w:pos="580" w:val="left"/>
        </w:tabs>
        <w:numPr>
          <w:ilvl w:val="0"/>
          <w:numId w:val="16"/>
        </w:numPr>
        <w:rPr>
          <w:rFonts w:ascii="Arial" w:cs="Arial" w:eastAsia="Arial" w:hAnsi="Arial"/>
          <w:sz w:val="32"/>
          <w:szCs w:val="32"/>
          <w:color w:val="1F497D"/>
        </w:rPr>
      </w:pPr>
      <w:r>
        <w:rPr>
          <w:rFonts w:ascii="Book Antiqua" w:cs="Book Antiqua" w:eastAsia="Book Antiqua" w:hAnsi="Book Antiqua"/>
          <w:sz w:val="32"/>
          <w:szCs w:val="32"/>
          <w:color w:val="1F497D"/>
        </w:rPr>
        <w:t xml:space="preserve">As of September 2017, there has been a 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29% decline in opioid prescriptions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 xml:space="preserve"> compared to 2015</w:t>
      </w:r>
    </w:p>
    <w:p>
      <w:pPr>
        <w:sectPr>
          <w:pgSz w:w="15840" w:h="12266" w:orient="landscape"/>
          <w:cols w:equalWidth="0" w:num="1">
            <w:col w:w="14960"/>
          </w:cols>
          <w:pgMar w:left="380" w:top="715" w:right="5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jc w:val="right"/>
        <w:ind w:right="145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11</w:t>
      </w:r>
    </w:p>
    <w:p>
      <w:pPr>
        <w:jc w:val="right"/>
        <w:ind w:right="1450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11</w:t>
      </w:r>
    </w:p>
    <w:p>
      <w:pPr>
        <w:sectPr>
          <w:pgSz w:w="15840" w:h="12266" w:orient="landscape"/>
          <w:cols w:equalWidth="0" w:num="1">
            <w:col w:w="14960"/>
          </w:cols>
          <w:pgMar w:left="380" w:top="715" w:right="500" w:bottom="0" w:gutter="0" w:footer="0" w:header="0"/>
          <w:type w:val="continuous"/>
        </w:sectPr>
      </w:pPr>
    </w:p>
    <w:bookmarkStart w:id="11" w:name="page12"/>
    <w:bookmarkEnd w:id="11"/>
    <w:p>
      <w:pPr>
        <w:jc w:val="center"/>
        <w:ind w:right="-1119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Massachusetts has connected with</w:t>
      </w:r>
    </w:p>
    <w:p>
      <w:pPr>
        <w:jc w:val="center"/>
        <w:ind w:right="-1119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29 states and the District of Columbia</w:t>
      </w:r>
    </w:p>
    <w:p>
      <w:pPr>
        <w:ind w:left="3980"/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to share patient prescription data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0"/>
          <w:szCs w:val="40"/>
          <w:b w:val="1"/>
          <w:bCs w:val="1"/>
          <w:color w:val="17375E"/>
        </w:rPr>
        <w:t>Massachusetts</w:t>
      </w:r>
    </w:p>
    <w:p>
      <w:pPr>
        <w:spacing w:after="0" w:line="238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0"/>
          <w:szCs w:val="40"/>
          <w:b w:val="1"/>
          <w:bCs w:val="1"/>
          <w:color w:val="17375E"/>
        </w:rPr>
        <w:t>Prescription Awareness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0"/>
          <w:szCs w:val="40"/>
          <w:b w:val="1"/>
          <w:bCs w:val="1"/>
          <w:color w:val="17375E"/>
        </w:rPr>
        <w:t>Tool (MassPAT)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0"/>
          <w:szCs w:val="40"/>
          <w:b w:val="1"/>
          <w:bCs w:val="1"/>
          <w:color w:val="17375E"/>
        </w:rPr>
        <w:t>Interconnectivity Map</w:t>
      </w:r>
    </w:p>
    <w:p>
      <w:pPr>
        <w:sectPr>
          <w:pgSz w:w="15840" w:h="12240" w:orient="landscape"/>
          <w:cols w:equalWidth="0" w:num="1">
            <w:col w:w="14060"/>
          </w:cols>
          <w:pgMar w:left="340" w:top="221" w:right="1440" w:bottom="1440" w:gutter="0" w:footer="0" w:header="0"/>
        </w:sectPr>
      </w:pPr>
    </w:p>
    <w:bookmarkStart w:id="12" w:name="page13"/>
    <w:bookmarkEnd w:id="12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Since January 2015, we have added more than 1,100 beds for</w:t>
      </w:r>
    </w:p>
    <w:p>
      <w:pPr>
        <w:jc w:val="center"/>
        <w:ind w:right="-19"/>
        <w:spacing w:after="0" w:line="239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psychiatric and substance use services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94"/>
        </w:trPr>
        <w:tc>
          <w:tcPr>
            <w:tcW w:w="656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</w:rPr>
              <w:t>Total Operational</w:t>
            </w:r>
          </w:p>
        </w:tc>
        <w:tc>
          <w:tcPr>
            <w:tcW w:w="23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</w:rPr>
              <w:t>Total Operational</w:t>
            </w:r>
          </w:p>
        </w:tc>
        <w:tc>
          <w:tcPr>
            <w:tcW w:w="22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</w:rPr>
              <w:t>Total Operational</w:t>
            </w:r>
          </w:p>
        </w:tc>
        <w:tc>
          <w:tcPr>
            <w:tcW w:w="18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</w:rPr>
              <w:t>Change Since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256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</w:rPr>
              <w:t>Program Type</w:t>
            </w: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  <w:w w:val="99"/>
              </w:rPr>
              <w:t>Licensed Capacity as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  <w:w w:val="99"/>
              </w:rPr>
              <w:t>Licensed Capacity as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</w:rPr>
              <w:t>Licensed Capacity as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</w:rPr>
              <w:t>January 1, 2015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  <w:w w:val="99"/>
              </w:rPr>
              <w:t>of January 1, 2015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  <w:w w:val="99"/>
              </w:rPr>
              <w:t>of January 1, 2016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FFFFFF"/>
                <w:w w:val="99"/>
              </w:rPr>
              <w:t>of November 1, 2017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Acute Treatment Services (ATS) (level 4.0 &amp; 3.7), Adult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846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902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1,073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227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Clinical Stabilization Services (CSS)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297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340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671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374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Transitional Support Services (TSS)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339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312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382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43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Adult Residential Recovery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2,300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2,375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2,336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36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Youth Stabilization Beds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48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8"/>
              </w:rPr>
              <w:t>48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48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Second Offender Residential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58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8"/>
              </w:rPr>
              <w:t>58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58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Adolescent / Transitional Youth Residential Beds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144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111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101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-43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Family Residential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110 families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110 families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110 families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DMH Adult Psychiatric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1,782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1,854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2,012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230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DMH Geriatric Psychiatric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399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399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457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58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DMH Adolescent &amp; Child Psychiatric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252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266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263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11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Section 35 Men's Beds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258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308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359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101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Section 35 Women's Beds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90 beds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8"/>
              </w:rPr>
              <w:t>90 beds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167 beds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77 beds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Outpatient Treatment Program (OTP) - Medication</w:t>
            </w: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39 programs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41 programs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44 programs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5 programs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Assisted Treatment (MAT) Programs (Methadone)</w:t>
            </w: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Outpatient Counseling and Outpatient Detox Programs</w:t>
            </w: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190 programs</w:t>
            </w: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190 programs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218 programs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28 programs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DPH Office-Based Outpatient Treatment (OBOT)</w:t>
            </w: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14 programs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17 programs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42 programs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28 programs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</w:rPr>
              <w:t>(buprenorphine) – MAT Sites funded by DPH</w:t>
            </w: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5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b w:val="1"/>
                <w:bCs w:val="1"/>
                <w:color w:val="auto"/>
                <w:w w:val="99"/>
              </w:rPr>
              <w:t>Sober Homes Certified by the Mass Association of Sober Houses</w:t>
            </w: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0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0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162 homes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9"/>
              </w:rPr>
              <w:t>162 homes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5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  <w:w w:val="98"/>
              </w:rPr>
              <w:t>(2,168 beds)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Book Antiqua" w:cs="Book Antiqua" w:eastAsia="Book Antiqua" w:hAnsi="Book Antiqua"/>
                <w:sz w:val="22"/>
                <w:szCs w:val="22"/>
                <w:color w:val="auto"/>
              </w:rPr>
              <w:t>(2,168 beds)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6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5840" w:h="12266" w:orient="landscape"/>
          <w:cols w:equalWidth="0" w:num="1">
            <w:col w:w="15360"/>
          </w:cols>
          <w:pgMar w:left="240" w:top="455" w:right="2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jc w:val="right"/>
        <w:ind w:right="148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13</w:t>
      </w:r>
    </w:p>
    <w:p>
      <w:pPr>
        <w:jc w:val="right"/>
        <w:ind w:right="1476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13</w:t>
      </w:r>
    </w:p>
    <w:p>
      <w:pPr>
        <w:sectPr>
          <w:pgSz w:w="15840" w:h="12266" w:orient="landscape"/>
          <w:cols w:equalWidth="0" w:num="1">
            <w:col w:w="15360"/>
          </w:cols>
          <w:pgMar w:left="240" w:top="455" w:right="240" w:bottom="0" w:gutter="0" w:footer="0" w:header="0"/>
          <w:type w:val="continuous"/>
        </w:sectPr>
      </w:pPr>
    </w:p>
    <w:bookmarkStart w:id="13" w:name="page14"/>
    <w:bookmarkEnd w:id="13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DPH is using opioid-related overdose death data to identify</w:t>
      </w:r>
    </w:p>
    <w:p>
      <w:pPr>
        <w:sectPr>
          <w:pgSz w:w="15840" w:h="12266" w:orient="landscape"/>
          <w:cols w:equalWidth="0" w:num="1">
            <w:col w:w="14100"/>
          </w:cols>
          <w:pgMar w:left="380" w:top="455" w:right="1360" w:bottom="0" w:gutter="0" w:footer="0" w:header="0"/>
        </w:sectPr>
      </w:pP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36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7"/>
          <w:szCs w:val="47"/>
          <w:b w:val="1"/>
          <w:bCs w:val="1"/>
          <w:color w:val="FFFFFF"/>
        </w:rPr>
        <w:t>high need areas for licensed treatment facilities</w:t>
      </w:r>
    </w:p>
    <w:p>
      <w:pPr>
        <w:sectPr>
          <w:pgSz w:w="15840" w:h="12266" w:orient="landscape"/>
          <w:cols w:equalWidth="0" w:num="1">
            <w:col w:w="14100"/>
          </w:cols>
          <w:pgMar w:left="380" w:top="455" w:right="136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jc w:val="right"/>
        <w:ind w:right="13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14</w:t>
      </w:r>
    </w:p>
    <w:p>
      <w:pPr>
        <w:jc w:val="right"/>
        <w:ind w:right="1364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14</w:t>
      </w:r>
    </w:p>
    <w:p>
      <w:pPr>
        <w:sectPr>
          <w:pgSz w:w="15840" w:h="12266" w:orient="landscape"/>
          <w:cols w:equalWidth="0" w:num="1">
            <w:col w:w="14100"/>
          </w:cols>
          <w:pgMar w:left="380" w:top="455" w:right="1360" w:bottom="0" w:gutter="0" w:footer="0" w:header="0"/>
          <w:type w:val="continuous"/>
        </w:sectPr>
      </w:pPr>
    </w:p>
    <w:bookmarkStart w:id="14" w:name="page15"/>
    <w:bookmarkEnd w:id="14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40" w:firstLine="36"/>
        <w:spacing w:after="0" w:line="244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7"/>
          <w:szCs w:val="47"/>
          <w:b w:val="1"/>
          <w:bCs w:val="1"/>
          <w:color w:val="FFFFFF"/>
        </w:rPr>
        <w:t>As of November 6, 2017, 162 Sober Homes (2,168 total beds) have been certified by the Massachusetts Association of Sober Houses</w:t>
      </w:r>
    </w:p>
    <w:p>
      <w:pPr>
        <w:sectPr>
          <w:pgSz w:w="15840" w:h="12266" w:orient="landscape"/>
          <w:cols w:equalWidth="0" w:num="1">
            <w:col w:w="14640"/>
          </w:cols>
          <w:pgMar w:left="380" w:top="523" w:right="82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right"/>
        <w:ind w:right="142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15</w:t>
      </w:r>
    </w:p>
    <w:p>
      <w:pPr>
        <w:jc w:val="right"/>
        <w:ind w:right="1418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15</w:t>
      </w:r>
    </w:p>
    <w:p>
      <w:pPr>
        <w:sectPr>
          <w:pgSz w:w="15840" w:h="12266" w:orient="landscape"/>
          <w:cols w:equalWidth="0" w:num="1">
            <w:col w:w="14640"/>
          </w:cols>
          <w:pgMar w:left="380" w:top="523" w:right="820" w:bottom="0" w:gutter="0" w:footer="0" w:header="0"/>
          <w:type w:val="continuous"/>
        </w:sectPr>
      </w:pPr>
    </w:p>
    <w:bookmarkStart w:id="15" w:name="page16"/>
    <w:bookmarkEnd w:id="15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7"/>
          <w:szCs w:val="47"/>
          <w:b w:val="1"/>
          <w:bCs w:val="1"/>
          <w:color w:val="FFFFFF"/>
        </w:rPr>
        <w:t>Opioid Urgent Care Centers are connecting individuals to services</w:t>
      </w:r>
    </w:p>
    <w:p>
      <w:pPr>
        <w:sectPr>
          <w:pgSz w:w="15840" w:h="12266" w:orient="landscape"/>
          <w:cols w:equalWidth="0" w:num="1">
            <w:col w:w="14800"/>
          </w:cols>
          <w:pgMar w:left="380" w:top="788" w:right="66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1020" w:right="180" w:hanging="597"/>
        <w:spacing w:after="0" w:line="233" w:lineRule="auto"/>
        <w:tabs>
          <w:tab w:leader="none" w:pos="1020" w:val="left"/>
        </w:tabs>
        <w:numPr>
          <w:ilvl w:val="0"/>
          <w:numId w:val="17"/>
        </w:numPr>
        <w:rPr>
          <w:rFonts w:ascii="Arial" w:cs="Arial" w:eastAsia="Arial" w:hAnsi="Arial"/>
          <w:sz w:val="38"/>
          <w:szCs w:val="38"/>
          <w:color w:val="1F497D"/>
        </w:rPr>
      </w:pPr>
      <w:r>
        <w:rPr>
          <w:rFonts w:ascii="Book Antiqua" w:cs="Book Antiqua" w:eastAsia="Book Antiqua" w:hAnsi="Book Antiqua"/>
          <w:sz w:val="38"/>
          <w:szCs w:val="38"/>
          <w:color w:val="1F497D"/>
        </w:rPr>
        <w:t xml:space="preserve">Three Opioid Urgent Care Centers were created as pilots, allowing for walk-in access to a trained clinician, in a community-based outpatient provider settings, </w:t>
      </w:r>
      <w:r>
        <w:rPr>
          <w:rFonts w:ascii="Book Antiqua" w:cs="Book Antiqua" w:eastAsia="Book Antiqua" w:hAnsi="Book Antiqua"/>
          <w:sz w:val="37"/>
          <w:szCs w:val="37"/>
          <w:color w:val="1F497D"/>
        </w:rPr>
        <w:t>who can provide an emergent/urgent addiction assessment and direct referral to the appropriate level of care</w:t>
      </w:r>
    </w:p>
    <w:p>
      <w:pPr>
        <w:spacing w:after="0" w:line="382" w:lineRule="exact"/>
        <w:rPr>
          <w:rFonts w:ascii="Arial" w:cs="Arial" w:eastAsia="Arial" w:hAnsi="Arial"/>
          <w:sz w:val="38"/>
          <w:szCs w:val="38"/>
          <w:color w:val="1F497D"/>
        </w:rPr>
      </w:pPr>
    </w:p>
    <w:p>
      <w:pPr>
        <w:ind w:left="1020" w:right="840" w:hanging="597"/>
        <w:spacing w:after="0" w:line="231" w:lineRule="auto"/>
        <w:tabs>
          <w:tab w:leader="none" w:pos="1020" w:val="left"/>
        </w:tabs>
        <w:numPr>
          <w:ilvl w:val="0"/>
          <w:numId w:val="17"/>
        </w:numPr>
        <w:rPr>
          <w:rFonts w:ascii="Arial" w:cs="Arial" w:eastAsia="Arial" w:hAnsi="Arial"/>
          <w:sz w:val="38"/>
          <w:szCs w:val="38"/>
          <w:color w:val="1F497D"/>
        </w:rPr>
      </w:pPr>
      <w:r>
        <w:rPr>
          <w:rFonts w:ascii="Book Antiqua" w:cs="Book Antiqua" w:eastAsia="Book Antiqua" w:hAnsi="Book Antiqua"/>
          <w:sz w:val="38"/>
          <w:szCs w:val="38"/>
          <w:color w:val="1F497D"/>
        </w:rPr>
        <w:t xml:space="preserve">As of September 2017, Opioid Urgent Care Centers served 13,000 individuals during 16,000 visits. Through June 2017, they successfully referred 7,303 </w:t>
      </w:r>
      <w:r>
        <w:rPr>
          <w:rFonts w:ascii="Book Antiqua" w:cs="Book Antiqua" w:eastAsia="Book Antiqua" w:hAnsi="Book Antiqua"/>
          <w:sz w:val="37"/>
          <w:szCs w:val="37"/>
          <w:color w:val="1F497D"/>
        </w:rPr>
        <w:t>individuals to services, with 1,280 receiving MAT</w:t>
      </w:r>
    </w:p>
    <w:p>
      <w:pPr>
        <w:spacing w:after="0" w:line="74" w:lineRule="exact"/>
        <w:rPr>
          <w:rFonts w:ascii="Arial" w:cs="Arial" w:eastAsia="Arial" w:hAnsi="Arial"/>
          <w:sz w:val="38"/>
          <w:szCs w:val="38"/>
          <w:color w:val="1F497D"/>
        </w:rPr>
      </w:pPr>
    </w:p>
    <w:p>
      <w:pPr>
        <w:ind w:left="1220"/>
        <w:spacing w:after="0"/>
        <w:rPr>
          <w:rFonts w:ascii="Arial" w:cs="Arial" w:eastAsia="Arial" w:hAnsi="Arial"/>
          <w:sz w:val="38"/>
          <w:szCs w:val="38"/>
          <w:color w:val="1F497D"/>
        </w:rPr>
      </w:pPr>
      <w:r>
        <w:rPr>
          <w:rFonts w:ascii="Arial" w:cs="Arial" w:eastAsia="Arial" w:hAnsi="Arial"/>
          <w:sz w:val="36"/>
          <w:szCs w:val="36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Worcester</w:t>
      </w:r>
      <w:r>
        <w:rPr>
          <w:rFonts w:ascii="Arial" w:cs="Arial" w:eastAsia="Arial" w:hAnsi="Arial"/>
          <w:sz w:val="36"/>
          <w:szCs w:val="36"/>
          <w:color w:val="1F497D"/>
        </w:rPr>
        <w:t xml:space="preserve">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–</w:t>
      </w:r>
      <w:r>
        <w:rPr>
          <w:rFonts w:ascii="Arial" w:cs="Arial" w:eastAsia="Arial" w:hAnsi="Arial"/>
          <w:sz w:val="36"/>
          <w:szCs w:val="36"/>
          <w:color w:val="1F497D"/>
        </w:rPr>
        <w:t xml:space="preserve">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Community Healthlink (5,800 visits)</w:t>
      </w:r>
    </w:p>
    <w:p>
      <w:pPr>
        <w:spacing w:after="0" w:line="71" w:lineRule="exact"/>
        <w:rPr>
          <w:rFonts w:ascii="Arial" w:cs="Arial" w:eastAsia="Arial" w:hAnsi="Arial"/>
          <w:sz w:val="38"/>
          <w:szCs w:val="38"/>
          <w:color w:val="1F497D"/>
        </w:rPr>
      </w:pPr>
    </w:p>
    <w:p>
      <w:pPr>
        <w:ind w:left="1220"/>
        <w:spacing w:after="0"/>
        <w:rPr>
          <w:rFonts w:ascii="Arial" w:cs="Arial" w:eastAsia="Arial" w:hAnsi="Arial"/>
          <w:sz w:val="38"/>
          <w:szCs w:val="38"/>
          <w:color w:val="1F497D"/>
        </w:rPr>
      </w:pPr>
      <w:r>
        <w:rPr>
          <w:rFonts w:ascii="Arial" w:cs="Arial" w:eastAsia="Arial" w:hAnsi="Arial"/>
          <w:sz w:val="36"/>
          <w:szCs w:val="36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Boston</w:t>
      </w:r>
      <w:r>
        <w:rPr>
          <w:rFonts w:ascii="Arial" w:cs="Arial" w:eastAsia="Arial" w:hAnsi="Arial"/>
          <w:sz w:val="36"/>
          <w:szCs w:val="36"/>
          <w:color w:val="1F497D"/>
        </w:rPr>
        <w:t xml:space="preserve">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–</w:t>
      </w:r>
      <w:r>
        <w:rPr>
          <w:rFonts w:ascii="Arial" w:cs="Arial" w:eastAsia="Arial" w:hAnsi="Arial"/>
          <w:sz w:val="36"/>
          <w:szCs w:val="36"/>
          <w:color w:val="1F497D"/>
        </w:rPr>
        <w:t xml:space="preserve">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Boston Medical Center (5,400 visits)</w:t>
      </w:r>
    </w:p>
    <w:p>
      <w:pPr>
        <w:spacing w:after="0" w:line="71" w:lineRule="exact"/>
        <w:rPr>
          <w:rFonts w:ascii="Arial" w:cs="Arial" w:eastAsia="Arial" w:hAnsi="Arial"/>
          <w:sz w:val="38"/>
          <w:szCs w:val="38"/>
          <w:color w:val="1F497D"/>
        </w:rPr>
      </w:pPr>
    </w:p>
    <w:p>
      <w:pPr>
        <w:ind w:left="1220"/>
        <w:spacing w:after="0"/>
        <w:rPr>
          <w:rFonts w:ascii="Arial" w:cs="Arial" w:eastAsia="Arial" w:hAnsi="Arial"/>
          <w:sz w:val="38"/>
          <w:szCs w:val="38"/>
          <w:color w:val="1F497D"/>
        </w:rPr>
      </w:pPr>
      <w:r>
        <w:rPr>
          <w:rFonts w:ascii="Arial" w:cs="Arial" w:eastAsia="Arial" w:hAnsi="Arial"/>
          <w:sz w:val="36"/>
          <w:szCs w:val="36"/>
          <w:color w:val="1F497D"/>
        </w:rPr>
        <w:t xml:space="preserve">– 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Fall River</w:t>
      </w:r>
      <w:r>
        <w:rPr>
          <w:rFonts w:ascii="Arial" w:cs="Arial" w:eastAsia="Arial" w:hAnsi="Arial"/>
          <w:sz w:val="36"/>
          <w:szCs w:val="36"/>
          <w:color w:val="1F497D"/>
        </w:rPr>
        <w:t xml:space="preserve">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–</w:t>
      </w:r>
      <w:r>
        <w:rPr>
          <w:rFonts w:ascii="Arial" w:cs="Arial" w:eastAsia="Arial" w:hAnsi="Arial"/>
          <w:sz w:val="36"/>
          <w:szCs w:val="36"/>
          <w:color w:val="1F497D"/>
        </w:rPr>
        <w:t xml:space="preserve"> </w:t>
      </w:r>
      <w:r>
        <w:rPr>
          <w:rFonts w:ascii="Book Antiqua" w:cs="Book Antiqua" w:eastAsia="Book Antiqua" w:hAnsi="Book Antiqua"/>
          <w:sz w:val="36"/>
          <w:szCs w:val="36"/>
          <w:color w:val="1F497D"/>
        </w:rPr>
        <w:t>STARR Program (5,000 visits)</w:t>
      </w:r>
    </w:p>
    <w:p>
      <w:pPr>
        <w:spacing w:after="0" w:line="380" w:lineRule="exact"/>
        <w:rPr>
          <w:rFonts w:ascii="Arial" w:cs="Arial" w:eastAsia="Arial" w:hAnsi="Arial"/>
          <w:sz w:val="38"/>
          <w:szCs w:val="38"/>
          <w:color w:val="1F497D"/>
        </w:rPr>
      </w:pPr>
    </w:p>
    <w:p>
      <w:pPr>
        <w:ind w:left="1020" w:right="1460" w:hanging="597"/>
        <w:spacing w:after="0" w:line="238" w:lineRule="auto"/>
        <w:tabs>
          <w:tab w:leader="none" w:pos="1020" w:val="left"/>
        </w:tabs>
        <w:numPr>
          <w:ilvl w:val="0"/>
          <w:numId w:val="17"/>
        </w:numPr>
        <w:rPr>
          <w:rFonts w:ascii="Arial" w:cs="Arial" w:eastAsia="Arial" w:hAnsi="Arial"/>
          <w:sz w:val="37"/>
          <w:szCs w:val="37"/>
          <w:color w:val="1F497D"/>
        </w:rPr>
      </w:pPr>
      <w:r>
        <w:rPr>
          <w:rFonts w:ascii="Book Antiqua" w:cs="Book Antiqua" w:eastAsia="Book Antiqua" w:hAnsi="Book Antiqua"/>
          <w:sz w:val="37"/>
          <w:szCs w:val="37"/>
          <w:color w:val="1F497D"/>
        </w:rPr>
        <w:t>Between April and June 2017, individuals enrolled in the 3 centers most frequently utilized: Medical Evaluation services (87.7% of enrollments), Overdose Education and Naloxone Rescue Kit (OEND) services (57.2% of enrollments), and Community Support Services (20.2% of enrollments).</w:t>
      </w:r>
    </w:p>
    <w:p>
      <w:pPr>
        <w:sectPr>
          <w:pgSz w:w="15840" w:h="12266" w:orient="landscape"/>
          <w:cols w:equalWidth="0" w:num="1">
            <w:col w:w="14800"/>
          </w:cols>
          <w:pgMar w:left="380" w:top="788" w:right="66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jc w:val="right"/>
        <w:ind w:right="14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16</w:t>
      </w:r>
    </w:p>
    <w:p>
      <w:pPr>
        <w:jc w:val="right"/>
        <w:ind w:right="1434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16</w:t>
      </w:r>
    </w:p>
    <w:p>
      <w:pPr>
        <w:sectPr>
          <w:pgSz w:w="15840" w:h="12266" w:orient="landscape"/>
          <w:cols w:equalWidth="0" w:num="1">
            <w:col w:w="14800"/>
          </w:cols>
          <w:pgMar w:left="380" w:top="788" w:right="660" w:bottom="0" w:gutter="0" w:footer="0" w:header="0"/>
          <w:type w:val="continuous"/>
        </w:sectPr>
      </w:pPr>
    </w:p>
    <w:bookmarkStart w:id="16" w:name="page17"/>
    <w:bookmarkEnd w:id="16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400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4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262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5"/>
          <w:szCs w:val="55"/>
          <w:b w:val="1"/>
          <w:bCs w:val="1"/>
          <w:color w:val="FFFFFF"/>
        </w:rPr>
        <w:t>Intervening after an overdose is critical</w:t>
      </w:r>
    </w:p>
    <w:p>
      <w:pPr>
        <w:sectPr>
          <w:pgSz w:w="15840" w:h="12266" w:orient="landscape"/>
          <w:cols w:equalWidth="0" w:num="1">
            <w:col w:w="14620"/>
          </w:cols>
          <w:pgMar w:left="380" w:top="723" w:right="8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8"/>
          <w:szCs w:val="38"/>
          <w:b w:val="1"/>
          <w:bCs w:val="1"/>
          <w:color w:val="1F497D"/>
        </w:rPr>
        <w:t>Recovery Coaches in Emergency Departments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ind w:left="680" w:right="460" w:hanging="604"/>
        <w:spacing w:after="0" w:line="216" w:lineRule="auto"/>
        <w:tabs>
          <w:tab w:leader="none" w:pos="680" w:val="left"/>
        </w:tabs>
        <w:numPr>
          <w:ilvl w:val="0"/>
          <w:numId w:val="18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Recovery coaches in 11 Emergency Departments are making referrals and connections to treatment and recovery support services in the community.</w:t>
      </w:r>
    </w:p>
    <w:p>
      <w:pPr>
        <w:spacing w:after="0" w:line="42" w:lineRule="exact"/>
        <w:rPr>
          <w:rFonts w:ascii="Arial" w:cs="Arial" w:eastAsia="Arial" w:hAnsi="Arial"/>
          <w:sz w:val="34"/>
          <w:szCs w:val="34"/>
          <w:color w:val="1F497D"/>
        </w:rPr>
      </w:pPr>
    </w:p>
    <w:p>
      <w:pPr>
        <w:ind w:left="680" w:right="880" w:hanging="604"/>
        <w:spacing w:after="0" w:line="216" w:lineRule="auto"/>
        <w:tabs>
          <w:tab w:leader="none" w:pos="680" w:val="left"/>
        </w:tabs>
        <w:numPr>
          <w:ilvl w:val="0"/>
          <w:numId w:val="18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As of September 2017, 2,758 calls requesting recovery coaches were received and 2,423 were served.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right="200"/>
        <w:spacing w:after="0" w:line="238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 xml:space="preserve">Nearly 1 in 10 individuals die within 2 </w:t>
      </w:r>
      <w:r>
        <w:rPr>
          <w:rFonts w:ascii="Book Antiqua" w:cs="Book Antiqua" w:eastAsia="Book Antiqua" w:hAnsi="Book Antiqua"/>
          <w:sz w:val="31"/>
          <w:szCs w:val="31"/>
          <w:i w:val="1"/>
          <w:iCs w:val="1"/>
          <w:color w:val="1F497D"/>
        </w:rPr>
        <w:t>years after an initial nonfatal overdose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sectPr>
          <w:pgSz w:w="15840" w:h="12266" w:orient="landscape"/>
          <w:cols w:equalWidth="0" w:num="2">
            <w:col w:w="8640" w:space="720"/>
            <w:col w:w="5260"/>
          </w:cols>
          <w:pgMar w:left="380" w:top="723" w:right="840" w:bottom="0" w:gutter="0" w:footer="0" w:header="0"/>
          <w:type w:val="continuous"/>
        </w:sectPr>
      </w:pPr>
    </w:p>
    <w:p>
      <w:pPr>
        <w:ind w:left="620" w:right="160" w:hanging="544"/>
        <w:spacing w:after="0" w:line="231" w:lineRule="auto"/>
        <w:tabs>
          <w:tab w:leader="none" w:pos="620" w:val="left"/>
        </w:tabs>
        <w:numPr>
          <w:ilvl w:val="0"/>
          <w:numId w:val="19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Participating agencies include Bay State Community Services, High Point Treatment Center, Child and Family Services, Lahey Behavioral Health, and Advocates Inc.</w:t>
      </w:r>
    </w:p>
    <w:p>
      <w:pPr>
        <w:spacing w:after="0" w:line="2" w:lineRule="exact"/>
        <w:rPr>
          <w:rFonts w:ascii="Arial" w:cs="Arial" w:eastAsia="Arial" w:hAnsi="Arial"/>
          <w:sz w:val="34"/>
          <w:szCs w:val="34"/>
          <w:color w:val="1F497D"/>
        </w:rPr>
      </w:pPr>
    </w:p>
    <w:p>
      <w:pPr>
        <w:ind w:left="620" w:right="100" w:hanging="544"/>
        <w:spacing w:after="0" w:line="238" w:lineRule="auto"/>
        <w:tabs>
          <w:tab w:leader="none" w:pos="620" w:val="left"/>
        </w:tabs>
        <w:numPr>
          <w:ilvl w:val="0"/>
          <w:numId w:val="19"/>
        </w:numPr>
        <w:rPr>
          <w:rFonts w:ascii="Arial" w:cs="Arial" w:eastAsia="Arial" w:hAnsi="Arial"/>
          <w:sz w:val="33"/>
          <w:szCs w:val="33"/>
          <w:color w:val="1F497D"/>
        </w:rPr>
      </w:pPr>
      <w:r>
        <w:rPr>
          <w:rFonts w:ascii="Book Antiqua" w:cs="Book Antiqua" w:eastAsia="Book Antiqua" w:hAnsi="Book Antiqua"/>
          <w:sz w:val="33"/>
          <w:szCs w:val="33"/>
          <w:color w:val="1F497D"/>
        </w:rPr>
        <w:t>Hospitals include: South Shore Hospital (Weymouth), Carney Hospital (Boston), Quincy Medical Center, Brockton Hosptial, Good Samaritan Hospital (Brockton), St. Luke’s Hospital</w:t>
      </w:r>
    </w:p>
    <w:p>
      <w:pPr>
        <w:spacing w:after="0" w:line="2" w:lineRule="exact"/>
        <w:rPr>
          <w:rFonts w:ascii="Arial" w:cs="Arial" w:eastAsia="Arial" w:hAnsi="Arial"/>
          <w:sz w:val="33"/>
          <w:szCs w:val="33"/>
          <w:color w:val="1F497D"/>
        </w:rPr>
      </w:pPr>
    </w:p>
    <w:p>
      <w:pPr>
        <w:ind w:left="620" w:right="860"/>
        <w:spacing w:after="0" w:line="239" w:lineRule="auto"/>
        <w:rPr>
          <w:rFonts w:ascii="Arial" w:cs="Arial" w:eastAsia="Arial" w:hAnsi="Arial"/>
          <w:sz w:val="33"/>
          <w:szCs w:val="33"/>
          <w:color w:val="1F497D"/>
        </w:rPr>
      </w:pPr>
      <w:r>
        <w:rPr>
          <w:rFonts w:ascii="Book Antiqua" w:cs="Book Antiqua" w:eastAsia="Book Antiqua" w:hAnsi="Book Antiqua"/>
          <w:sz w:val="33"/>
          <w:szCs w:val="33"/>
          <w:color w:val="1F497D"/>
        </w:rPr>
        <w:t>(New Bedford), Tobey Hospital (Wareham), Metrowest Hospital (Framingham), Umass Memorial (Marlborough), Beverly Hospital, Addison Gilbert Hospital (Gloucester)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6"/>
          <w:szCs w:val="36"/>
          <w:b w:val="1"/>
          <w:bCs w:val="1"/>
          <w:color w:val="1F497D"/>
        </w:rPr>
        <w:t>“Post-Overdose Follow-Up Program”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520" w:hanging="444"/>
        <w:spacing w:after="0" w:line="232" w:lineRule="auto"/>
        <w:tabs>
          <w:tab w:leader="none" w:pos="520" w:val="left"/>
        </w:tabs>
        <w:numPr>
          <w:ilvl w:val="0"/>
          <w:numId w:val="20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In November, DPH will award $500,000 for post-overdose follow-up programs . These programs partner addiction specialists with first responders to provide outreach, support and education to an individual after an overdose</w:t>
      </w:r>
    </w:p>
    <w:p>
      <w:pPr>
        <w:sectPr>
          <w:pgSz w:w="15840" w:h="12266" w:orient="landscape"/>
          <w:cols w:equalWidth="0" w:num="1">
            <w:col w:w="14620"/>
          </w:cols>
          <w:pgMar w:left="380" w:top="723" w:right="84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jc w:val="right"/>
        <w:ind w:right="142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17</w:t>
      </w:r>
    </w:p>
    <w:p>
      <w:pPr>
        <w:jc w:val="right"/>
        <w:ind w:right="1416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17</w:t>
      </w:r>
    </w:p>
    <w:p>
      <w:pPr>
        <w:sectPr>
          <w:pgSz w:w="15840" w:h="12266" w:orient="landscape"/>
          <w:cols w:equalWidth="0" w:num="1">
            <w:col w:w="14620"/>
          </w:cols>
          <w:pgMar w:left="380" w:top="723" w:right="840" w:bottom="0" w:gutter="0" w:footer="0" w:header="0"/>
          <w:type w:val="continuous"/>
        </w:sectPr>
      </w:pPr>
    </w:p>
    <w:bookmarkStart w:id="17" w:name="page18"/>
    <w:bookmarkEnd w:id="17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Program Highlight:</w:t>
      </w:r>
    </w:p>
    <w:p>
      <w:pPr>
        <w:ind w:left="120"/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Women’s Recovery from Addictions Program (WRAP) at Taunton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ind w:left="720" w:hanging="596"/>
        <w:spacing w:after="0" w:line="232" w:lineRule="auto"/>
        <w:tabs>
          <w:tab w:leader="none" w:pos="720" w:val="left"/>
        </w:tabs>
        <w:numPr>
          <w:ilvl w:val="0"/>
          <w:numId w:val="21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The WRAP provides individual therapy, medical treatment, group therapy, family intervention, and aftercare support to individuals civilly committed for SUD treatment</w:t>
      </w:r>
    </w:p>
    <w:p>
      <w:pPr>
        <w:sectPr>
          <w:pgSz w:w="15840" w:h="12266" w:orient="landscape"/>
          <w:cols w:equalWidth="0" w:num="1">
            <w:col w:w="15160"/>
          </w:cols>
          <w:pgMar w:left="380" w:top="428" w:right="3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580" w:hanging="456"/>
        <w:spacing w:after="0" w:line="231" w:lineRule="auto"/>
        <w:tabs>
          <w:tab w:leader="none" w:pos="580" w:val="left"/>
        </w:tabs>
        <w:numPr>
          <w:ilvl w:val="0"/>
          <w:numId w:val="22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The WRAP offers aftercare services to clients for 6 months post discharge. Aftercare assists clients in their return to the community and ensures strong linkages to the next level of care/support</w:t>
      </w:r>
    </w:p>
    <w:p>
      <w:pPr>
        <w:spacing w:after="0" w:line="243" w:lineRule="exact"/>
        <w:rPr>
          <w:rFonts w:ascii="Arial" w:cs="Arial" w:eastAsia="Arial" w:hAnsi="Arial"/>
          <w:sz w:val="34"/>
          <w:szCs w:val="34"/>
          <w:color w:val="1F497D"/>
        </w:rPr>
      </w:pPr>
    </w:p>
    <w:p>
      <w:pPr>
        <w:ind w:left="1200" w:right="80" w:hanging="274"/>
        <w:spacing w:after="0" w:line="234" w:lineRule="auto"/>
        <w:tabs>
          <w:tab w:leader="none" w:pos="1200" w:val="left"/>
        </w:tabs>
        <w:numPr>
          <w:ilvl w:val="1"/>
          <w:numId w:val="22"/>
        </w:numPr>
        <w:rPr>
          <w:rFonts w:ascii="Arial" w:cs="Arial" w:eastAsia="Arial" w:hAnsi="Arial"/>
          <w:sz w:val="26"/>
          <w:szCs w:val="26"/>
          <w:color w:val="1F497D"/>
        </w:rPr>
      </w:pPr>
      <w:r>
        <w:rPr>
          <w:rFonts w:ascii="Book Antiqua" w:cs="Book Antiqua" w:eastAsia="Book Antiqua" w:hAnsi="Book Antiqua"/>
          <w:sz w:val="26"/>
          <w:szCs w:val="26"/>
          <w:color w:val="1F497D"/>
        </w:rPr>
        <w:t xml:space="preserve">Between October 2016 and June 2017 98% of clients accepted aftercare </w:t>
      </w:r>
      <w:r>
        <w:rPr>
          <w:rFonts w:ascii="Book Antiqua" w:cs="Book Antiqua" w:eastAsia="Book Antiqua" w:hAnsi="Book Antiqua"/>
          <w:sz w:val="25"/>
          <w:szCs w:val="25"/>
          <w:color w:val="1F497D"/>
        </w:rPr>
        <w:t>services upon discharge from the WRAP. As a result readmission rates are low.</w:t>
      </w:r>
    </w:p>
    <w:p>
      <w:pPr>
        <w:spacing w:after="0" w:line="200" w:lineRule="exact"/>
        <w:rPr>
          <w:rFonts w:ascii="Arial" w:cs="Arial" w:eastAsia="Arial" w:hAnsi="Arial"/>
          <w:sz w:val="26"/>
          <w:szCs w:val="26"/>
          <w:color w:val="1F497D"/>
        </w:rPr>
      </w:pPr>
    </w:p>
    <w:p>
      <w:pPr>
        <w:spacing w:after="0" w:line="364" w:lineRule="exact"/>
        <w:rPr>
          <w:rFonts w:ascii="Arial" w:cs="Arial" w:eastAsia="Arial" w:hAnsi="Arial"/>
          <w:sz w:val="26"/>
          <w:szCs w:val="26"/>
          <w:color w:val="1F497D"/>
        </w:rPr>
      </w:pPr>
    </w:p>
    <w:p>
      <w:pPr>
        <w:ind w:left="580" w:hanging="456"/>
        <w:spacing w:after="0"/>
        <w:tabs>
          <w:tab w:leader="none" w:pos="580" w:val="left"/>
        </w:tabs>
        <w:numPr>
          <w:ilvl w:val="0"/>
          <w:numId w:val="22"/>
        </w:numPr>
        <w:rPr>
          <w:rFonts w:ascii="Arial" w:cs="Arial" w:eastAsia="Arial" w:hAnsi="Arial"/>
          <w:sz w:val="34"/>
          <w:szCs w:val="34"/>
          <w:color w:val="1F497D"/>
        </w:rPr>
      </w:pPr>
      <w:r>
        <w:rPr>
          <w:rFonts w:ascii="Book Antiqua" w:cs="Book Antiqua" w:eastAsia="Book Antiqua" w:hAnsi="Book Antiqua"/>
          <w:sz w:val="34"/>
          <w:szCs w:val="34"/>
          <w:color w:val="1F497D"/>
        </w:rPr>
        <w:t>WRAP utilizes 6 Medication Assisted Treatments:</w:t>
      </w:r>
    </w:p>
    <w:p>
      <w:pPr>
        <w:ind w:left="1400" w:hanging="472"/>
        <w:spacing w:after="0" w:line="231" w:lineRule="auto"/>
        <w:tabs>
          <w:tab w:leader="none" w:pos="1400" w:val="left"/>
        </w:tabs>
        <w:numPr>
          <w:ilvl w:val="1"/>
          <w:numId w:val="22"/>
        </w:numPr>
        <w:rPr>
          <w:rFonts w:ascii="Arial" w:cs="Arial" w:eastAsia="Arial" w:hAnsi="Arial"/>
          <w:sz w:val="26"/>
          <w:szCs w:val="26"/>
          <w:color w:val="1F497D"/>
        </w:rPr>
      </w:pPr>
      <w:r>
        <w:rPr>
          <w:rFonts w:ascii="Book Antiqua" w:cs="Book Antiqua" w:eastAsia="Book Antiqua" w:hAnsi="Book Antiqua"/>
          <w:sz w:val="26"/>
          <w:szCs w:val="26"/>
          <w:color w:val="1F497D"/>
        </w:rPr>
        <w:t>Vivitrol (naltrexone – extended release injectable suspension)</w:t>
      </w:r>
    </w:p>
    <w:p>
      <w:pPr>
        <w:ind w:left="1400" w:hanging="472"/>
        <w:spacing w:after="0" w:line="231" w:lineRule="auto"/>
        <w:tabs>
          <w:tab w:leader="none" w:pos="1400" w:val="left"/>
        </w:tabs>
        <w:numPr>
          <w:ilvl w:val="1"/>
          <w:numId w:val="22"/>
        </w:numPr>
        <w:rPr>
          <w:rFonts w:ascii="Arial" w:cs="Arial" w:eastAsia="Arial" w:hAnsi="Arial"/>
          <w:sz w:val="26"/>
          <w:szCs w:val="26"/>
          <w:color w:val="1F497D"/>
        </w:rPr>
      </w:pPr>
      <w:r>
        <w:rPr>
          <w:rFonts w:ascii="Book Antiqua" w:cs="Book Antiqua" w:eastAsia="Book Antiqua" w:hAnsi="Book Antiqua"/>
          <w:sz w:val="26"/>
          <w:szCs w:val="26"/>
          <w:color w:val="1F497D"/>
        </w:rPr>
        <w:t>Methadone Maintenance</w:t>
      </w:r>
    </w:p>
    <w:p>
      <w:pPr>
        <w:spacing w:after="0" w:line="1" w:lineRule="exact"/>
        <w:rPr>
          <w:rFonts w:ascii="Arial" w:cs="Arial" w:eastAsia="Arial" w:hAnsi="Arial"/>
          <w:sz w:val="26"/>
          <w:szCs w:val="26"/>
          <w:color w:val="1F497D"/>
        </w:rPr>
      </w:pPr>
    </w:p>
    <w:p>
      <w:pPr>
        <w:ind w:left="1400" w:hanging="472"/>
        <w:spacing w:after="0" w:line="232" w:lineRule="auto"/>
        <w:tabs>
          <w:tab w:leader="none" w:pos="1400" w:val="left"/>
        </w:tabs>
        <w:numPr>
          <w:ilvl w:val="1"/>
          <w:numId w:val="22"/>
        </w:numPr>
        <w:rPr>
          <w:rFonts w:ascii="Arial" w:cs="Arial" w:eastAsia="Arial" w:hAnsi="Arial"/>
          <w:sz w:val="26"/>
          <w:szCs w:val="26"/>
          <w:color w:val="1F497D"/>
        </w:rPr>
      </w:pPr>
      <w:r>
        <w:rPr>
          <w:rFonts w:ascii="Book Antiqua" w:cs="Book Antiqua" w:eastAsia="Book Antiqua" w:hAnsi="Book Antiqua"/>
          <w:sz w:val="26"/>
          <w:szCs w:val="26"/>
          <w:color w:val="1F497D"/>
        </w:rPr>
        <w:t>Suboxone (Buprenorphine)</w:t>
      </w:r>
    </w:p>
    <w:p>
      <w:pPr>
        <w:ind w:left="1400" w:hanging="472"/>
        <w:spacing w:after="0" w:line="231" w:lineRule="auto"/>
        <w:tabs>
          <w:tab w:leader="none" w:pos="1400" w:val="left"/>
        </w:tabs>
        <w:numPr>
          <w:ilvl w:val="1"/>
          <w:numId w:val="22"/>
        </w:numPr>
        <w:rPr>
          <w:rFonts w:ascii="Arial" w:cs="Arial" w:eastAsia="Arial" w:hAnsi="Arial"/>
          <w:sz w:val="26"/>
          <w:szCs w:val="26"/>
          <w:color w:val="1F497D"/>
        </w:rPr>
      </w:pPr>
      <w:r>
        <w:rPr>
          <w:rFonts w:ascii="Book Antiqua" w:cs="Book Antiqua" w:eastAsia="Book Antiqua" w:hAnsi="Book Antiqua"/>
          <w:sz w:val="26"/>
          <w:szCs w:val="26"/>
          <w:color w:val="1F497D"/>
        </w:rPr>
        <w:t>Naltrexone</w:t>
      </w:r>
    </w:p>
    <w:p>
      <w:pPr>
        <w:spacing w:after="0" w:line="1" w:lineRule="exact"/>
        <w:rPr>
          <w:rFonts w:ascii="Arial" w:cs="Arial" w:eastAsia="Arial" w:hAnsi="Arial"/>
          <w:sz w:val="26"/>
          <w:szCs w:val="26"/>
          <w:color w:val="1F497D"/>
        </w:rPr>
      </w:pPr>
    </w:p>
    <w:p>
      <w:pPr>
        <w:ind w:left="1400" w:hanging="472"/>
        <w:spacing w:after="0" w:line="231" w:lineRule="auto"/>
        <w:tabs>
          <w:tab w:leader="none" w:pos="1400" w:val="left"/>
        </w:tabs>
        <w:numPr>
          <w:ilvl w:val="1"/>
          <w:numId w:val="22"/>
        </w:numPr>
        <w:rPr>
          <w:rFonts w:ascii="Arial" w:cs="Arial" w:eastAsia="Arial" w:hAnsi="Arial"/>
          <w:sz w:val="26"/>
          <w:szCs w:val="26"/>
          <w:color w:val="1F497D"/>
        </w:rPr>
      </w:pPr>
      <w:r>
        <w:rPr>
          <w:rFonts w:ascii="Book Antiqua" w:cs="Book Antiqua" w:eastAsia="Book Antiqua" w:hAnsi="Book Antiqua"/>
          <w:sz w:val="26"/>
          <w:szCs w:val="26"/>
          <w:color w:val="1F497D"/>
        </w:rPr>
        <w:t>Disulfiram</w:t>
      </w:r>
    </w:p>
    <w:p>
      <w:pPr>
        <w:spacing w:after="0" w:line="1" w:lineRule="exact"/>
        <w:rPr>
          <w:rFonts w:ascii="Arial" w:cs="Arial" w:eastAsia="Arial" w:hAnsi="Arial"/>
          <w:sz w:val="26"/>
          <w:szCs w:val="26"/>
          <w:color w:val="1F497D"/>
        </w:rPr>
      </w:pPr>
    </w:p>
    <w:p>
      <w:pPr>
        <w:ind w:left="1400" w:hanging="472"/>
        <w:spacing w:after="0" w:line="231" w:lineRule="auto"/>
        <w:tabs>
          <w:tab w:leader="none" w:pos="1400" w:val="left"/>
        </w:tabs>
        <w:numPr>
          <w:ilvl w:val="1"/>
          <w:numId w:val="22"/>
        </w:numPr>
        <w:rPr>
          <w:rFonts w:ascii="Arial" w:cs="Arial" w:eastAsia="Arial" w:hAnsi="Arial"/>
          <w:sz w:val="26"/>
          <w:szCs w:val="26"/>
          <w:color w:val="1F497D"/>
        </w:rPr>
      </w:pPr>
      <w:r>
        <w:rPr>
          <w:rFonts w:ascii="Book Antiqua" w:cs="Book Antiqua" w:eastAsia="Book Antiqua" w:hAnsi="Book Antiqua"/>
          <w:sz w:val="26"/>
          <w:szCs w:val="26"/>
          <w:color w:val="1F497D"/>
        </w:rPr>
        <w:t>Acamprosate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18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Readmission Data</w:t>
      </w:r>
    </w:p>
    <w:p>
      <w:pPr>
        <w:spacing w:after="0" w:line="78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7"/>
        </w:trPr>
        <w:tc>
          <w:tcPr>
            <w:tcW w:w="2720" w:type="dxa"/>
            <w:vAlign w:val="bottom"/>
            <w:shd w:val="clear" w:color="auto" w:fill="E9ED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shd w:val="clear" w:color="auto" w:fill="17375E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FFFFFF"/>
              </w:rPr>
              <w:t>FY 17</w:t>
            </w:r>
          </w:p>
        </w:tc>
        <w:tc>
          <w:tcPr>
            <w:tcW w:w="1200" w:type="dxa"/>
            <w:vAlign w:val="bottom"/>
            <w:shd w:val="clear" w:color="auto" w:fill="17375E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FFFFFF"/>
              </w:rPr>
              <w:t>FY 18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720" w:type="dxa"/>
            <w:vAlign w:val="bottom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shd w:val="clear" w:color="auto" w:fill="17375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17375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7"/>
        </w:trPr>
        <w:tc>
          <w:tcPr>
            <w:tcW w:w="2720" w:type="dxa"/>
            <w:vAlign w:val="bottom"/>
            <w:vMerge w:val="restart"/>
            <w:shd w:val="clear" w:color="auto" w:fill="E9EDF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Total Discharges</w:t>
            </w:r>
          </w:p>
        </w:tc>
        <w:tc>
          <w:tcPr>
            <w:tcW w:w="122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365</w:t>
            </w:r>
          </w:p>
        </w:tc>
        <w:tc>
          <w:tcPr>
            <w:tcW w:w="120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154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2720" w:type="dxa"/>
            <w:vAlign w:val="bottom"/>
            <w:vMerge w:val="continue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720" w:type="dxa"/>
            <w:vAlign w:val="bottom"/>
            <w:vMerge w:val="restart"/>
            <w:shd w:val="clear" w:color="auto" w:fill="E9EDF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Readmitted w/in 7 days</w:t>
            </w:r>
          </w:p>
        </w:tc>
        <w:tc>
          <w:tcPr>
            <w:tcW w:w="122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  <w:w w:val="89"/>
              </w:rPr>
              <w:t>3</w:t>
            </w:r>
          </w:p>
        </w:tc>
        <w:tc>
          <w:tcPr>
            <w:tcW w:w="120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2720" w:type="dxa"/>
            <w:vAlign w:val="bottom"/>
            <w:vMerge w:val="continue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720" w:type="dxa"/>
            <w:vAlign w:val="bottom"/>
            <w:vMerge w:val="restart"/>
            <w:shd w:val="clear" w:color="auto" w:fill="E9EDF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Readmitted w/in 30 day</w:t>
            </w:r>
          </w:p>
        </w:tc>
        <w:tc>
          <w:tcPr>
            <w:tcW w:w="122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  <w:w w:val="98"/>
              </w:rPr>
              <w:t>10</w:t>
            </w:r>
          </w:p>
        </w:tc>
        <w:tc>
          <w:tcPr>
            <w:tcW w:w="120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720" w:type="dxa"/>
            <w:vAlign w:val="bottom"/>
            <w:vMerge w:val="continue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E9EDF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3 month snapshot of patients discharged on MAT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0"/>
        </w:trPr>
        <w:tc>
          <w:tcPr>
            <w:tcW w:w="1920" w:type="dxa"/>
            <w:vAlign w:val="bottom"/>
            <w:shd w:val="clear" w:color="auto" w:fill="E9ED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shd w:val="clear" w:color="auto" w:fill="17375E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FFFFFF"/>
              </w:rPr>
              <w:t>JULY</w:t>
            </w:r>
          </w:p>
        </w:tc>
        <w:tc>
          <w:tcPr>
            <w:tcW w:w="960" w:type="dxa"/>
            <w:vAlign w:val="bottom"/>
            <w:shd w:val="clear" w:color="auto" w:fill="17375E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FFFFFF"/>
              </w:rPr>
              <w:t>AUG</w:t>
            </w:r>
          </w:p>
        </w:tc>
        <w:tc>
          <w:tcPr>
            <w:tcW w:w="960" w:type="dxa"/>
            <w:vAlign w:val="bottom"/>
            <w:shd w:val="clear" w:color="auto" w:fill="17375E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FFFFFF"/>
              </w:rPr>
              <w:t>SEPT</w:t>
            </w:r>
          </w:p>
        </w:tc>
      </w:tr>
      <w:tr>
        <w:trPr>
          <w:trHeight w:val="298"/>
        </w:trPr>
        <w:tc>
          <w:tcPr>
            <w:tcW w:w="1920" w:type="dxa"/>
            <w:vAlign w:val="bottom"/>
            <w:shd w:val="clear" w:color="auto" w:fill="E9EDF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Number of patients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44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43</w:t>
            </w:r>
          </w:p>
        </w:tc>
      </w:tr>
      <w:tr>
        <w:trPr>
          <w:trHeight w:val="290"/>
        </w:trPr>
        <w:tc>
          <w:tcPr>
            <w:tcW w:w="1920" w:type="dxa"/>
            <w:vAlign w:val="bottom"/>
            <w:shd w:val="clear" w:color="auto" w:fill="E9EDF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Initiated on MAT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61%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34%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63%</w:t>
            </w:r>
          </w:p>
        </w:tc>
      </w:tr>
      <w:tr>
        <w:trPr>
          <w:trHeight w:val="300"/>
        </w:trPr>
        <w:tc>
          <w:tcPr>
            <w:tcW w:w="1920" w:type="dxa"/>
            <w:vAlign w:val="bottom"/>
            <w:shd w:val="clear" w:color="auto" w:fill="E9EDF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Admitted on MAT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30%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39%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35%</w:t>
            </w:r>
          </w:p>
        </w:tc>
      </w:tr>
      <w:tr>
        <w:trPr>
          <w:trHeight w:val="289"/>
        </w:trPr>
        <w:tc>
          <w:tcPr>
            <w:tcW w:w="1920" w:type="dxa"/>
            <w:vAlign w:val="bottom"/>
            <w:shd w:val="clear" w:color="auto" w:fill="E9EDF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Declined MAT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22%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24%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8%</w:t>
            </w:r>
          </w:p>
        </w:tc>
      </w:tr>
      <w:tr>
        <w:trPr>
          <w:trHeight w:val="302"/>
        </w:trPr>
        <w:tc>
          <w:tcPr>
            <w:tcW w:w="1920" w:type="dxa"/>
            <w:vAlign w:val="bottom"/>
            <w:shd w:val="clear" w:color="auto" w:fill="E9EDF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Discharged on MAT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78%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76%</w:t>
            </w:r>
          </w:p>
        </w:tc>
        <w:tc>
          <w:tcPr>
            <w:tcW w:w="960" w:type="dxa"/>
            <w:vAlign w:val="bottom"/>
            <w:shd w:val="clear" w:color="auto" w:fill="E9ED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92%</w:t>
            </w:r>
          </w:p>
        </w:tc>
      </w:tr>
    </w:tbl>
    <w:p>
      <w:pPr>
        <w:spacing w:after="0" w:line="677" w:lineRule="exact"/>
        <w:rPr>
          <w:sz w:val="20"/>
          <w:szCs w:val="20"/>
          <w:color w:val="auto"/>
        </w:rPr>
      </w:pPr>
    </w:p>
    <w:p>
      <w:pPr>
        <w:sectPr>
          <w:pgSz w:w="15840" w:h="12266" w:orient="landscape"/>
          <w:cols w:equalWidth="0" w:num="2">
            <w:col w:w="9300" w:space="660"/>
            <w:col w:w="5200"/>
          </w:cols>
          <w:pgMar w:left="380" w:top="428" w:right="30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jc w:val="right"/>
        <w:ind w:right="147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18</w:t>
      </w:r>
    </w:p>
    <w:p>
      <w:pPr>
        <w:jc w:val="right"/>
        <w:ind w:right="1470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18</w:t>
      </w:r>
    </w:p>
    <w:p>
      <w:pPr>
        <w:sectPr>
          <w:pgSz w:w="15840" w:h="12266" w:orient="landscape"/>
          <w:cols w:equalWidth="0" w:num="1">
            <w:col w:w="15160"/>
          </w:cols>
          <w:pgMar w:left="380" w:top="428" w:right="300" w:bottom="0" w:gutter="0" w:footer="0" w:header="0"/>
          <w:type w:val="continuous"/>
        </w:sectPr>
      </w:pPr>
    </w:p>
    <w:bookmarkStart w:id="18" w:name="page19"/>
    <w:bookmarkEnd w:id="18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5589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5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262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Program Highlight: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2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2"/>
          <w:szCs w:val="42"/>
          <w:b w:val="1"/>
          <w:bCs w:val="1"/>
          <w:color w:val="FFFFFF"/>
        </w:rPr>
        <w:t>HOC/DOC Medication-Assisted Treatment Re-Entry Initiative (MATRI)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jc w:val="center"/>
        <w:ind w:left="340" w:right="80"/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 xml:space="preserve">Chapter 55 data found that 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i w:val="1"/>
          <w:iCs w:val="1"/>
          <w:color w:val="1F497D"/>
        </w:rPr>
        <w:t>nearly one of every 11 opioid-related deaths involved a person with a history of</w:t>
      </w: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i w:val="1"/>
          <w:iCs w:val="1"/>
          <w:color w:val="1F497D"/>
        </w:rPr>
        <w:t xml:space="preserve">incarceration. </w:t>
      </w: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>The opioid death rate is 120 times higher for individuals with a history of incarceration.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602" w:right="640" w:hanging="602"/>
        <w:spacing w:after="0" w:line="231" w:lineRule="auto"/>
        <w:tabs>
          <w:tab w:leader="none" w:pos="602" w:val="left"/>
        </w:tabs>
        <w:numPr>
          <w:ilvl w:val="0"/>
          <w:numId w:val="23"/>
        </w:numPr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Book Antiqua" w:cs="Book Antiqua" w:eastAsia="Book Antiqua" w:hAnsi="Book Antiqua"/>
          <w:sz w:val="36"/>
          <w:szCs w:val="36"/>
          <w:color w:val="1F497D"/>
        </w:rPr>
        <w:t>In August 2017, $500,000 in MATRI funding was awarded to five Houses of Correction (HOC). The HOC MATRI funding supports:</w:t>
      </w:r>
    </w:p>
    <w:p>
      <w:pPr>
        <w:spacing w:after="0" w:line="68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802"/>
        <w:spacing w:after="0"/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Arial" w:cs="Arial" w:eastAsia="Arial" w:hAnsi="Arial"/>
          <w:sz w:val="32"/>
          <w:szCs w:val="32"/>
          <w:color w:val="1F497D"/>
        </w:rPr>
        <w:t xml:space="preserve">–  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Access to Medication Assisted Treatment (MAT);</w:t>
      </w:r>
    </w:p>
    <w:p>
      <w:pPr>
        <w:spacing w:after="0" w:line="76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1302" w:right="1140" w:hanging="502"/>
        <w:spacing w:after="0" w:line="231" w:lineRule="auto"/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Arial" w:cs="Arial" w:eastAsia="Arial" w:hAnsi="Arial"/>
          <w:sz w:val="32"/>
          <w:szCs w:val="32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Case management services to facilitate a successful transition from a correctional services</w:t>
      </w:r>
      <w:r>
        <w:rPr>
          <w:rFonts w:ascii="Arial" w:cs="Arial" w:eastAsia="Arial" w:hAnsi="Arial"/>
          <w:sz w:val="32"/>
          <w:szCs w:val="32"/>
          <w:color w:val="1F497D"/>
        </w:rPr>
        <w:t xml:space="preserve">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environment back into the community; and</w:t>
      </w:r>
    </w:p>
    <w:p>
      <w:pPr>
        <w:spacing w:after="0" w:line="66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802"/>
        <w:spacing w:after="0"/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Arial" w:cs="Arial" w:eastAsia="Arial" w:hAnsi="Arial"/>
          <w:sz w:val="32"/>
          <w:szCs w:val="32"/>
          <w:color w:val="1F497D"/>
        </w:rPr>
        <w:t xml:space="preserve">–   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Linkages to community-based treatment and recovery support services for one year post release.</w:t>
      </w:r>
    </w:p>
    <w:p>
      <w:pPr>
        <w:spacing w:after="0" w:line="200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spacing w:after="0" w:line="200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spacing w:after="0" w:line="202" w:lineRule="exact"/>
        <w:rPr>
          <w:rFonts w:ascii="Arial" w:cs="Arial" w:eastAsia="Arial" w:hAnsi="Arial"/>
          <w:sz w:val="36"/>
          <w:szCs w:val="36"/>
          <w:color w:val="1F497D"/>
        </w:rPr>
      </w:pPr>
    </w:p>
    <w:p>
      <w:pPr>
        <w:ind w:left="602" w:right="40" w:hanging="602"/>
        <w:spacing w:after="0" w:line="231" w:lineRule="auto"/>
        <w:tabs>
          <w:tab w:leader="none" w:pos="602" w:val="left"/>
        </w:tabs>
        <w:numPr>
          <w:ilvl w:val="0"/>
          <w:numId w:val="23"/>
        </w:numPr>
        <w:rPr>
          <w:rFonts w:ascii="Arial" w:cs="Arial" w:eastAsia="Arial" w:hAnsi="Arial"/>
          <w:sz w:val="36"/>
          <w:szCs w:val="36"/>
          <w:color w:val="1F497D"/>
        </w:rPr>
      </w:pPr>
      <w:r>
        <w:rPr>
          <w:rFonts w:ascii="Book Antiqua" w:cs="Book Antiqua" w:eastAsia="Book Antiqua" w:hAnsi="Book Antiqua"/>
          <w:sz w:val="36"/>
          <w:szCs w:val="36"/>
          <w:color w:val="1F497D"/>
        </w:rPr>
        <w:t>Nationally recognized as a best practice, MATRI provides pre-release treatment and post-release referral for inmates in the MA Department of Corrections (DOC). Inmates receive a pre-release injection of Vivitrol and are connected to community-based clinics for aftercare treatment.</w:t>
      </w:r>
    </w:p>
    <w:p>
      <w:pPr>
        <w:sectPr>
          <w:pgSz w:w="15840" w:h="12266" w:orient="landscape"/>
          <w:cols w:equalWidth="0" w:num="1">
            <w:col w:w="15062"/>
          </w:cols>
          <w:pgMar w:left="338" w:top="420" w:right="4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jc w:val="right"/>
        <w:ind w:right="146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19</w:t>
      </w:r>
    </w:p>
    <w:p>
      <w:pPr>
        <w:jc w:val="right"/>
        <w:ind w:right="1456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19</w:t>
      </w:r>
    </w:p>
    <w:p>
      <w:pPr>
        <w:sectPr>
          <w:pgSz w:w="15840" w:h="12266" w:orient="landscape"/>
          <w:cols w:equalWidth="0" w:num="1">
            <w:col w:w="15062"/>
          </w:cols>
          <w:pgMar w:left="338" w:top="420" w:right="440" w:bottom="0" w:gutter="0" w:footer="0" w:header="0"/>
          <w:type w:val="continuous"/>
        </w:sectPr>
      </w:pPr>
    </w:p>
    <w:bookmarkStart w:id="19" w:name="page20"/>
    <w:bookmarkEnd w:id="19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379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State Plan for the Coordination of Care and Services</w:t>
      </w:r>
    </w:p>
    <w:p>
      <w:pPr>
        <w:jc w:val="center"/>
        <w:ind w:right="-379"/>
        <w:spacing w:after="0" w:line="239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8"/>
          <w:szCs w:val="48"/>
          <w:b w:val="1"/>
          <w:bCs w:val="1"/>
          <w:color w:val="FFFFFF"/>
        </w:rPr>
        <w:t>for Families Impacted by Opioid Use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156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>Chapter 55 data found that the opioid-related overdose death rate of mothers with OUD was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i w:val="1"/>
          <w:iCs w:val="1"/>
          <w:color w:val="1F497D"/>
        </w:rPr>
        <w:t xml:space="preserve">321 times higher </w:t>
      </w: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>than the rate among mothers without OUD. The opioid-related overdose death rate among</w:t>
      </w:r>
    </w:p>
    <w:p>
      <w:pPr>
        <w:ind w:left="1300"/>
        <w:spacing w:after="0" w:line="238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 xml:space="preserve">mothers delivering an infant with NAS was 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i w:val="1"/>
          <w:iCs w:val="1"/>
          <w:color w:val="1F497D"/>
        </w:rPr>
        <w:t>27 times higher</w:t>
      </w:r>
      <w:r>
        <w:rPr>
          <w:rFonts w:ascii="Book Antiqua" w:cs="Book Antiqua" w:eastAsia="Book Antiqua" w:hAnsi="Book Antiqua"/>
          <w:sz w:val="32"/>
          <w:szCs w:val="32"/>
          <w:i w:val="1"/>
          <w:iCs w:val="1"/>
          <w:color w:val="1F497D"/>
        </w:rPr>
        <w:t xml:space="preserve"> than the rate for all other mothers.</w:t>
      </w:r>
    </w:p>
    <w:p>
      <w:pPr>
        <w:spacing w:after="0" w:line="363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Interagency Task Force on Neonatal Abstinence Syndrome March 2017 Report provided:</w:t>
      </w:r>
    </w:p>
    <w:p>
      <w:pPr>
        <w:spacing w:after="0" w:line="5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1F497D"/>
        </w:rPr>
        <w:t xml:space="preserve">–  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An inventory of 75+ existing services and programs for NAS/SEN affected families</w:t>
      </w:r>
    </w:p>
    <w:p>
      <w:pPr>
        <w:spacing w:after="0" w:line="66" w:lineRule="exact"/>
        <w:rPr>
          <w:sz w:val="20"/>
          <w:szCs w:val="20"/>
          <w:color w:val="auto"/>
        </w:rPr>
      </w:pPr>
    </w:p>
    <w:p>
      <w:pPr>
        <w:ind w:left="1480" w:right="920" w:hanging="502"/>
        <w:spacing w:after="0" w:line="232" w:lineRule="auto"/>
        <w:rPr>
          <w:rFonts w:ascii="Arial" w:cs="Arial" w:eastAsia="Arial" w:hAnsi="Arial"/>
          <w:sz w:val="28"/>
          <w:szCs w:val="28"/>
          <w:color w:val="1F497D"/>
        </w:rPr>
      </w:pPr>
      <w:r>
        <w:rPr>
          <w:rFonts w:ascii="Arial" w:cs="Arial" w:eastAsia="Arial" w:hAnsi="Arial"/>
          <w:sz w:val="28"/>
          <w:szCs w:val="28"/>
          <w:color w:val="1F497D"/>
        </w:rPr>
        <w:t xml:space="preserve">– </w:t>
      </w:r>
      <w:hyperlink r:id="rId30">
        <w:r>
          <w:rPr>
            <w:rFonts w:ascii="Book Antiqua" w:cs="Book Antiqua" w:eastAsia="Book Antiqua" w:hAnsi="Book Antiqua"/>
            <w:sz w:val="28"/>
            <w:szCs w:val="28"/>
            <w:u w:val="single" w:color="auto"/>
            <w:color w:val="0000FF"/>
          </w:rPr>
          <w:t>Over 60 recommendations</w:t>
        </w:r>
        <w:r>
          <w:rPr>
            <w:rFonts w:ascii="Arial" w:cs="Arial" w:eastAsia="Arial" w:hAnsi="Arial"/>
            <w:sz w:val="28"/>
            <w:szCs w:val="28"/>
            <w:u w:val="single" w:color="auto"/>
            <w:color w:val="1F497D"/>
          </w:rPr>
          <w:t xml:space="preserve"> </w:t>
        </w:r>
      </w:hyperlink>
      <w:r>
        <w:rPr>
          <w:rFonts w:ascii="Book Antiqua" w:cs="Book Antiqua" w:eastAsia="Book Antiqua" w:hAnsi="Book Antiqua"/>
          <w:sz w:val="28"/>
          <w:szCs w:val="28"/>
          <w:color w:val="1F497D"/>
        </w:rPr>
        <w:t>that</w:t>
      </w:r>
      <w:r>
        <w:rPr>
          <w:rFonts w:ascii="Arial" w:cs="Arial" w:eastAsia="Arial" w:hAnsi="Arial"/>
          <w:sz w:val="28"/>
          <w:szCs w:val="28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will support providing coordinated, high quality services across the</w:t>
      </w:r>
      <w:r>
        <w:rPr>
          <w:rFonts w:ascii="Arial" w:cs="Arial" w:eastAsia="Arial" w:hAnsi="Arial"/>
          <w:sz w:val="28"/>
          <w:szCs w:val="28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continuum of care for NAS/SEN affected families</w:t>
      </w:r>
    </w:p>
    <w:p>
      <w:pPr>
        <w:spacing w:after="0" w:line="66" w:lineRule="exact"/>
        <w:rPr>
          <w:rFonts w:ascii="Arial" w:cs="Arial" w:eastAsia="Arial" w:hAnsi="Arial"/>
          <w:sz w:val="28"/>
          <w:szCs w:val="28"/>
          <w:color w:val="1F497D"/>
        </w:rPr>
      </w:pPr>
    </w:p>
    <w:p>
      <w:pPr>
        <w:ind w:left="1480" w:hanging="502"/>
        <w:spacing w:after="0" w:line="232" w:lineRule="auto"/>
        <w:rPr>
          <w:rFonts w:ascii="Arial" w:cs="Arial" w:eastAsia="Arial" w:hAnsi="Arial"/>
          <w:sz w:val="28"/>
          <w:szCs w:val="28"/>
          <w:color w:val="1F497D"/>
        </w:rPr>
      </w:pPr>
      <w:r>
        <w:rPr>
          <w:rFonts w:ascii="Arial" w:cs="Arial" w:eastAsia="Arial" w:hAnsi="Arial"/>
          <w:sz w:val="28"/>
          <w:szCs w:val="28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A state plan on data collection and quality improvement, setting the Commonwealth on a course to collect,</w:t>
      </w:r>
      <w:r>
        <w:rPr>
          <w:rFonts w:ascii="Arial" w:cs="Arial" w:eastAsia="Arial" w:hAnsi="Arial"/>
          <w:sz w:val="28"/>
          <w:szCs w:val="28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measure and report system performance</w:t>
      </w: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ind w:left="180" w:right="180"/>
        <w:spacing w:after="0" w:line="236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SAMHSA Policy Academy Focused on Improving Outcomes for Pregnant and Postpartum Women with Substance Use Disorders</w:t>
      </w:r>
    </w:p>
    <w:p>
      <w:pPr>
        <w:spacing w:after="0" w:line="72" w:lineRule="exact"/>
        <w:rPr>
          <w:sz w:val="20"/>
          <w:szCs w:val="20"/>
          <w:color w:val="auto"/>
        </w:rPr>
      </w:pPr>
    </w:p>
    <w:p>
      <w:pPr>
        <w:ind w:left="1480" w:right="80" w:hanging="502"/>
        <w:spacing w:after="0" w:line="23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Massachusetts was selected as one of ten states to participate in the 2017 Policy Academy, which provided</w:t>
      </w:r>
      <w:r>
        <w:rPr>
          <w:rFonts w:ascii="Arial" w:cs="Arial" w:eastAsia="Arial" w:hAnsi="Arial"/>
          <w:sz w:val="28"/>
          <w:szCs w:val="28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6-months of technical assistance and the opportunity to work with other states and national experts</w:t>
      </w:r>
    </w:p>
    <w:p>
      <w:pPr>
        <w:spacing w:after="0" w:line="66" w:lineRule="exact"/>
        <w:rPr>
          <w:sz w:val="20"/>
          <w:szCs w:val="20"/>
          <w:color w:val="auto"/>
        </w:rPr>
      </w:pPr>
    </w:p>
    <w:p>
      <w:pPr>
        <w:ind w:left="1480" w:right="260" w:hanging="502"/>
        <w:spacing w:after="0" w:line="23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1F497D"/>
        </w:rPr>
        <w:t xml:space="preserve">–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The Policy Academy team has created an action plan, which includes development of a Plan of Safe Care</w:t>
      </w:r>
      <w:r>
        <w:rPr>
          <w:rFonts w:ascii="Arial" w:cs="Arial" w:eastAsia="Arial" w:hAnsi="Arial"/>
          <w:sz w:val="28"/>
          <w:szCs w:val="28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for infants affected by all substance abuse, diagnosed with fetal alcohol syndrome, or withdrawal symptoms resulting from prenatal substance exposure. The team continues to build on existing cross-agency collaboration in order to operationalize the Interagency Task Force on NAS’ State Plan.</w:t>
      </w:r>
    </w:p>
    <w:p>
      <w:pPr>
        <w:sectPr>
          <w:pgSz w:w="15840" w:h="12266" w:orient="landscape"/>
          <w:cols w:equalWidth="0" w:num="1">
            <w:col w:w="14700"/>
          </w:cols>
          <w:pgMar w:left="380" w:top="545" w:right="76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jc w:val="right"/>
        <w:ind w:right="14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20</w:t>
      </w:r>
    </w:p>
    <w:p>
      <w:pPr>
        <w:jc w:val="right"/>
        <w:ind w:right="1424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20</w:t>
      </w:r>
    </w:p>
    <w:p>
      <w:pPr>
        <w:sectPr>
          <w:pgSz w:w="15840" w:h="12266" w:orient="landscape"/>
          <w:cols w:equalWidth="0" w:num="1">
            <w:col w:w="14700"/>
          </w:cols>
          <w:pgMar w:left="380" w:top="545" w:right="760" w:bottom="0" w:gutter="0" w:footer="0" w:header="0"/>
          <w:type w:val="continuous"/>
        </w:sectPr>
      </w:pPr>
    </w:p>
    <w:bookmarkStart w:id="20" w:name="page21"/>
    <w:bookmarkEnd w:id="20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380" w:right="480"/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4"/>
          <w:szCs w:val="44"/>
          <w:b w:val="1"/>
          <w:bCs w:val="1"/>
          <w:color w:val="FFFFFF"/>
        </w:rPr>
        <w:t>Number of Substance-Exposed Newborns (SEN) Reports to DCF (January 2015 to September 2017)</w:t>
      </w:r>
    </w:p>
    <w:p>
      <w:pPr>
        <w:sectPr>
          <w:pgSz w:w="15840" w:h="12266" w:orient="landscape"/>
          <w:cols w:equalWidth="0" w:num="1">
            <w:col w:w="14820"/>
          </w:cols>
          <w:pgMar w:left="180" w:top="571" w:right="8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4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280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gridSpan w:val="2"/>
          </w:tcPr>
          <w:p>
            <w:pPr>
              <w:jc w:val="right"/>
              <w:ind w:right="3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263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vMerge w:val="restart"/>
          </w:tcPr>
          <w:p>
            <w:pPr>
              <w:jc w:val="right"/>
              <w:ind w:right="18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260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1"/>
        </w:trPr>
        <w:tc>
          <w:tcPr>
            <w:tcW w:w="4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260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restart"/>
          </w:tcPr>
          <w:p>
            <w:pPr>
              <w:jc w:val="right"/>
              <w:ind w:righ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248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247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jc w:val="right"/>
              <w:ind w:right="600"/>
              <w:spacing w:after="0" w:line="22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246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9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20" w:type="dxa"/>
            <w:vAlign w:val="bottom"/>
            <w:vMerge w:val="restart"/>
          </w:tcPr>
          <w:p>
            <w:pPr>
              <w:jc w:val="right"/>
              <w:ind w:righ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236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restart"/>
          </w:tcPr>
          <w:p>
            <w:pPr>
              <w:jc w:val="right"/>
              <w:ind w:righ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235</w:t>
            </w:r>
          </w:p>
        </w:tc>
        <w:tc>
          <w:tcPr>
            <w:tcW w:w="860" w:type="dxa"/>
            <w:vAlign w:val="bottom"/>
            <w:gridSpan w:val="2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239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400" w:type="dxa"/>
            <w:vAlign w:val="bottom"/>
            <w:vMerge w:val="restart"/>
          </w:tcPr>
          <w:p>
            <w:pPr>
              <w:jc w:val="right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240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vMerge w:val="restart"/>
          </w:tcPr>
          <w:p>
            <w:pPr>
              <w:jc w:val="right"/>
              <w:ind w:right="4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232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  <w:vMerge w:val="restart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232</w:t>
            </w:r>
          </w:p>
        </w:tc>
        <w:tc>
          <w:tcPr>
            <w:tcW w:w="1000" w:type="dxa"/>
            <w:vAlign w:val="bottom"/>
            <w:vMerge w:val="restart"/>
          </w:tcPr>
          <w:p>
            <w:pPr>
              <w:jc w:val="right"/>
              <w:ind w:right="46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231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4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00" w:type="dxa"/>
            <w:vAlign w:val="bottom"/>
            <w:gridSpan w:val="2"/>
          </w:tcPr>
          <w:p>
            <w:pPr>
              <w:jc w:val="right"/>
              <w:ind w:right="1160"/>
              <w:spacing w:after="0" w:line="17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9"/>
                <w:szCs w:val="19"/>
                <w:color w:val="auto"/>
              </w:rPr>
              <w:t>230</w:t>
            </w: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20" w:type="dxa"/>
            <w:vAlign w:val="bottom"/>
            <w:gridSpan w:val="2"/>
            <w:vMerge w:val="restart"/>
          </w:tcPr>
          <w:p>
            <w:pPr>
              <w:jc w:val="right"/>
              <w:ind w:righ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228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20" w:type="dxa"/>
            <w:vAlign w:val="bottom"/>
            <w:vMerge w:val="restart"/>
          </w:tcPr>
          <w:p>
            <w:pPr>
              <w:jc w:val="right"/>
              <w:ind w:right="40"/>
              <w:spacing w:after="0" w:line="42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39"/>
                <w:szCs w:val="39"/>
                <w:color w:val="auto"/>
                <w:vertAlign w:val="subscript"/>
              </w:rPr>
              <w:t>234</w:t>
            </w: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221</w:t>
            </w:r>
            <w:r>
              <w:rPr>
                <w:rFonts w:ascii="Calibri" w:cs="Calibri" w:eastAsia="Calibri" w:hAnsi="Calibri"/>
                <w:sz w:val="39"/>
                <w:szCs w:val="39"/>
                <w:color w:val="auto"/>
                <w:vertAlign w:val="superscript"/>
              </w:rPr>
              <w:t>225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1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restart"/>
          </w:tcPr>
          <w:p>
            <w:pPr>
              <w:jc w:val="right"/>
              <w:ind w:righ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217</w:t>
            </w:r>
          </w:p>
        </w:tc>
        <w:tc>
          <w:tcPr>
            <w:tcW w:w="840" w:type="dxa"/>
            <w:vAlign w:val="bottom"/>
            <w:gridSpan w:val="2"/>
            <w:vMerge w:val="restart"/>
          </w:tcPr>
          <w:p>
            <w:pPr>
              <w:jc w:val="right"/>
              <w:ind w:right="3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231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6"/>
        </w:trPr>
        <w:tc>
          <w:tcPr>
            <w:tcW w:w="400" w:type="dxa"/>
            <w:vAlign w:val="bottom"/>
            <w:vMerge w:val="restart"/>
          </w:tcPr>
          <w:p>
            <w:pPr>
              <w:jc w:val="right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220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jc w:val="right"/>
              <w:ind w:right="4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211</w:t>
            </w:r>
            <w:r>
              <w:rPr>
                <w:rFonts w:ascii="Calibri" w:cs="Calibri" w:eastAsia="Calibri" w:hAnsi="Calibri"/>
                <w:sz w:val="19"/>
                <w:szCs w:val="19"/>
                <w:color w:val="auto"/>
              </w:rPr>
              <w:t>227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4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60" w:type="dxa"/>
            <w:vAlign w:val="bottom"/>
            <w:vMerge w:val="restart"/>
          </w:tcPr>
          <w:p>
            <w:pPr>
              <w:jc w:val="right"/>
              <w:ind w:right="50"/>
              <w:spacing w:after="0" w:line="29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7"/>
                <w:szCs w:val="17"/>
                <w:color w:val="auto"/>
              </w:rPr>
              <w:t>208</w:t>
            </w:r>
            <w:r>
              <w:rPr>
                <w:rFonts w:ascii="Calibri" w:cs="Calibri" w:eastAsia="Calibri" w:hAnsi="Calibri"/>
                <w:sz w:val="31"/>
                <w:szCs w:val="31"/>
                <w:color w:val="auto"/>
                <w:vertAlign w:val="subscript"/>
              </w:rPr>
              <w:t>207</w:t>
            </w:r>
            <w:r>
              <w:rPr>
                <w:rFonts w:ascii="Calibri" w:cs="Calibri" w:eastAsia="Calibri" w:hAnsi="Calibri"/>
                <w:sz w:val="17"/>
                <w:szCs w:val="17"/>
                <w:color w:val="auto"/>
              </w:rPr>
              <w:t>208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20" w:type="dxa"/>
            <w:vAlign w:val="bottom"/>
            <w:gridSpan w:val="2"/>
            <w:vMerge w:val="restart"/>
          </w:tcPr>
          <w:p>
            <w:pPr>
              <w:jc w:val="right"/>
              <w:ind w:right="300"/>
              <w:spacing w:after="0" w:line="29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31"/>
                <w:szCs w:val="31"/>
                <w:color w:val="auto"/>
                <w:vertAlign w:val="superscript"/>
              </w:rPr>
              <w:t>210</w:t>
            </w:r>
            <w:r>
              <w:rPr>
                <w:rFonts w:ascii="Calibri" w:cs="Calibri" w:eastAsia="Calibri" w:hAnsi="Calibri"/>
                <w:sz w:val="17"/>
                <w:szCs w:val="17"/>
                <w:color w:val="auto"/>
              </w:rPr>
              <w:t>207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vMerge w:val="restart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207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jc w:val="right"/>
              <w:ind w:right="26"/>
              <w:spacing w:after="0" w:line="19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211</w:t>
            </w:r>
          </w:p>
        </w:tc>
        <w:tc>
          <w:tcPr>
            <w:tcW w:w="580" w:type="dxa"/>
            <w:vAlign w:val="bottom"/>
            <w:vMerge w:val="restart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209</w:t>
            </w:r>
          </w:p>
        </w:tc>
        <w:tc>
          <w:tcPr>
            <w:tcW w:w="1280" w:type="dxa"/>
            <w:vAlign w:val="bottom"/>
            <w:gridSpan w:val="2"/>
            <w:vMerge w:val="restart"/>
          </w:tcPr>
          <w:p>
            <w:pPr>
              <w:jc w:val="right"/>
              <w:ind w:right="74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209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00" w:type="dxa"/>
            <w:vAlign w:val="bottom"/>
            <w:gridSpan w:val="2"/>
            <w:vMerge w:val="restart"/>
          </w:tcPr>
          <w:p>
            <w:pPr>
              <w:jc w:val="right"/>
              <w:ind w:right="88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220220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vMerge w:val="restart"/>
          </w:tcPr>
          <w:p>
            <w:pPr>
              <w:jc w:val="right"/>
              <w:ind w:right="4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204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jc w:val="right"/>
              <w:ind w:right="89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5"/>
                <w:szCs w:val="15"/>
                <w:color w:val="auto"/>
              </w:rPr>
              <w:t>203</w:t>
            </w:r>
          </w:p>
        </w:tc>
        <w:tc>
          <w:tcPr>
            <w:tcW w:w="17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20" w:type="dxa"/>
            <w:vAlign w:val="bottom"/>
            <w:gridSpan w:val="2"/>
            <w:vMerge w:val="restart"/>
          </w:tcPr>
          <w:p>
            <w:pPr>
              <w:jc w:val="right"/>
              <w:ind w:right="40"/>
              <w:spacing w:after="0" w:line="40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199</w:t>
            </w:r>
            <w:r>
              <w:rPr>
                <w:rFonts w:ascii="Calibri" w:cs="Calibri" w:eastAsia="Calibri" w:hAnsi="Calibri"/>
                <w:sz w:val="39"/>
                <w:szCs w:val="39"/>
                <w:color w:val="auto"/>
                <w:vertAlign w:val="subscript"/>
              </w:rPr>
              <w:t>213</w:t>
            </w:r>
            <w:r>
              <w:rPr>
                <w:rFonts w:ascii="Calibri" w:cs="Calibri" w:eastAsia="Calibri" w:hAnsi="Calibri"/>
                <w:sz w:val="39"/>
                <w:szCs w:val="39"/>
                <w:color w:val="auto"/>
                <w:vertAlign w:val="superscript"/>
              </w:rPr>
              <w:t>201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jc w:val="right"/>
              <w:ind w:right="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5"/>
                <w:szCs w:val="15"/>
                <w:color w:val="auto"/>
              </w:rPr>
              <w:t>221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jc w:val="right"/>
              <w:ind w:right="184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5"/>
                <w:szCs w:val="15"/>
                <w:color w:val="auto"/>
              </w:rPr>
              <w:t>220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4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200</w:t>
            </w:r>
          </w:p>
        </w:tc>
        <w:tc>
          <w:tcPr>
            <w:tcW w:w="1940" w:type="dxa"/>
            <w:vAlign w:val="bottom"/>
            <w:gridSpan w:val="2"/>
            <w:vMerge w:val="restart"/>
          </w:tcPr>
          <w:p>
            <w:pPr>
              <w:jc w:val="right"/>
              <w:ind w:right="4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193</w:t>
            </w:r>
          </w:p>
        </w:tc>
        <w:tc>
          <w:tcPr>
            <w:tcW w:w="1420" w:type="dxa"/>
            <w:vAlign w:val="bottom"/>
          </w:tcPr>
          <w:p>
            <w:pPr>
              <w:jc w:val="right"/>
              <w:ind w:right="40"/>
              <w:spacing w:after="0" w:line="19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214214</w:t>
            </w:r>
          </w:p>
        </w:tc>
        <w:tc>
          <w:tcPr>
            <w:tcW w:w="860" w:type="dxa"/>
            <w:vAlign w:val="bottom"/>
            <w:gridSpan w:val="2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197</w:t>
            </w:r>
          </w:p>
        </w:tc>
        <w:tc>
          <w:tcPr>
            <w:tcW w:w="14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211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4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jc w:val="right"/>
              <w:ind w:right="329"/>
              <w:spacing w:after="0" w:line="22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206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jc w:val="right"/>
              <w:ind w:right="320"/>
              <w:spacing w:after="0" w:line="19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208</w:t>
            </w:r>
          </w:p>
        </w:tc>
        <w:tc>
          <w:tcPr>
            <w:tcW w:w="860" w:type="dxa"/>
            <w:vAlign w:val="bottom"/>
            <w:gridSpan w:val="2"/>
            <w:vMerge w:val="restart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205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  <w:vMerge w:val="restart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203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vMerge w:val="restart"/>
          </w:tcPr>
          <w:p>
            <w:pPr>
              <w:jc w:val="right"/>
              <w:ind w:right="50"/>
              <w:spacing w:after="0" w:line="30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198198</w:t>
            </w:r>
            <w:r>
              <w:rPr>
                <w:rFonts w:ascii="Calibri" w:cs="Calibri" w:eastAsia="Calibri" w:hAnsi="Calibri"/>
                <w:sz w:val="33"/>
                <w:szCs w:val="33"/>
                <w:color w:val="auto"/>
                <w:vertAlign w:val="subscript"/>
              </w:rPr>
              <w:t>196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6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00" w:type="dxa"/>
            <w:vAlign w:val="bottom"/>
            <w:gridSpan w:val="3"/>
          </w:tcPr>
          <w:p>
            <w:pPr>
              <w:ind w:left="420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5"/>
                <w:szCs w:val="15"/>
                <w:color w:val="auto"/>
              </w:rPr>
              <w:t>195</w:t>
            </w:r>
            <w:r>
              <w:rPr>
                <w:rFonts w:ascii="Calibri" w:cs="Calibri" w:eastAsia="Calibri" w:hAnsi="Calibri"/>
                <w:sz w:val="25"/>
                <w:szCs w:val="25"/>
                <w:color w:val="auto"/>
                <w:vertAlign w:val="superscript"/>
              </w:rPr>
              <w:t>197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restart"/>
          </w:tcPr>
          <w:p>
            <w:pPr>
              <w:jc w:val="right"/>
              <w:ind w:righ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193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0"/>
        </w:trPr>
        <w:tc>
          <w:tcPr>
            <w:tcW w:w="4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180</w:t>
            </w:r>
          </w:p>
        </w:tc>
        <w:tc>
          <w:tcPr>
            <w:tcW w:w="1660" w:type="dxa"/>
            <w:vAlign w:val="bottom"/>
          </w:tcPr>
          <w:p>
            <w:pPr>
              <w:jc w:val="right"/>
              <w:ind w:right="890"/>
              <w:spacing w:after="0" w:line="17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177192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0" w:type="dxa"/>
            <w:vAlign w:val="bottom"/>
            <w:vMerge w:val="restart"/>
          </w:tcPr>
          <w:p>
            <w:pPr>
              <w:jc w:val="right"/>
              <w:ind w:right="464"/>
              <w:spacing w:after="0" w:line="22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190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"/>
        </w:trPr>
        <w:tc>
          <w:tcPr>
            <w:tcW w:w="40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  <w:vMerge w:val="restart"/>
          </w:tcPr>
          <w:p>
            <w:pPr>
              <w:jc w:val="right"/>
              <w:ind w:right="26"/>
              <w:spacing w:after="0" w:line="19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186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4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40" w:type="dxa"/>
            <w:vAlign w:val="bottom"/>
            <w:gridSpan w:val="2"/>
            <w:vMerge w:val="restart"/>
          </w:tcPr>
          <w:p>
            <w:pPr>
              <w:jc w:val="right"/>
              <w:ind w:right="43"/>
              <w:spacing w:after="0" w:line="21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184</w:t>
            </w: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9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vMerge w:val="restart"/>
          </w:tcPr>
          <w:p>
            <w:pPr>
              <w:jc w:val="right"/>
              <w:ind w:right="300"/>
              <w:spacing w:after="0" w:line="20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182</w:t>
            </w:r>
          </w:p>
        </w:tc>
        <w:tc>
          <w:tcPr>
            <w:tcW w:w="580" w:type="dxa"/>
            <w:vAlign w:val="bottom"/>
            <w:vMerge w:val="restart"/>
          </w:tcPr>
          <w:p>
            <w:pPr>
              <w:jc w:val="right"/>
              <w:ind w:right="4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181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80" w:type="dxa"/>
            <w:vAlign w:val="bottom"/>
            <w:gridSpan w:val="2"/>
            <w:vMerge w:val="restart"/>
          </w:tcPr>
          <w:p>
            <w:pPr>
              <w:jc w:val="right"/>
              <w:ind w:right="744"/>
              <w:spacing w:after="0" w:line="20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182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vMerge w:val="restart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179</w:t>
            </w:r>
          </w:p>
        </w:tc>
        <w:tc>
          <w:tcPr>
            <w:tcW w:w="580" w:type="dxa"/>
            <w:vAlign w:val="bottom"/>
            <w:vMerge w:val="restart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179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  <w:vMerge w:val="restart"/>
          </w:tcPr>
          <w:p>
            <w:pPr>
              <w:jc w:val="right"/>
              <w:ind w:right="2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174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vMerge w:val="restart"/>
          </w:tcPr>
          <w:p>
            <w:pPr>
              <w:jc w:val="right"/>
              <w:ind w:right="4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174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480" w:hanging="477"/>
        <w:spacing w:after="0" w:line="207" w:lineRule="auto"/>
        <w:tabs>
          <w:tab w:leader="none" w:pos="480" w:val="left"/>
        </w:tabs>
        <w:numPr>
          <w:ilvl w:val="0"/>
          <w:numId w:val="26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auto"/>
          <w:vertAlign w:val="superscript"/>
        </w:rPr>
        <w:t>169</w:t>
      </w:r>
    </w:p>
    <w:p>
      <w:pPr>
        <w:spacing w:after="0" w:line="335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spacing w:after="0"/>
        <w:tabs>
          <w:tab w:leader="none" w:pos="0" w:val="left"/>
        </w:tabs>
        <w:numPr>
          <w:ilvl w:val="0"/>
          <w:numId w:val="27"/>
        </w:numPr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120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FFFFFF"/>
        </w:rPr>
        <w:t>Screen-In Totals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3"/>
        </w:trPr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right="2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8"/>
              </w:rPr>
              <w:t>2015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8"/>
              </w:rPr>
              <w:t>2016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4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8"/>
              </w:rPr>
              <w:t>2017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8"/>
              </w:rPr>
              <w:t>January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169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227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231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8"/>
              </w:rPr>
              <w:t>February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192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195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186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9"/>
              </w:rPr>
              <w:t>March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198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197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221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</w:rPr>
              <w:t>April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198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182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174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9"/>
              </w:rPr>
              <w:t>May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196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174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203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</w:rPr>
              <w:t>June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184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213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182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9"/>
              </w:rPr>
              <w:t>July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220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181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190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7"/>
              </w:rPr>
              <w:t>August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220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208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220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8"/>
              </w:rPr>
              <w:t>September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234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179</w:t>
            </w:r>
          </w:p>
        </w:tc>
        <w:tc>
          <w:tcPr>
            <w:tcW w:w="840" w:type="dxa"/>
            <w:vAlign w:val="bottom"/>
          </w:tcPr>
          <w:p>
            <w:pPr>
              <w:jc w:val="center"/>
              <w:ind w:left="2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211</w:t>
            </w: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8"/>
              </w:rPr>
              <w:t>October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214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193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8"/>
              </w:rPr>
              <w:t>November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214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179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03"/>
        </w:trPr>
        <w:tc>
          <w:tcPr>
            <w:tcW w:w="1300" w:type="dxa"/>
            <w:vAlign w:val="bottom"/>
          </w:tcPr>
          <w:p>
            <w:pPr>
              <w:jc w:val="center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FFFFFF"/>
                <w:w w:val="99"/>
              </w:rPr>
              <w:t>December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206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205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382" w:lineRule="exact"/>
        <w:rPr>
          <w:sz w:val="20"/>
          <w:szCs w:val="20"/>
          <w:color w:val="auto"/>
        </w:rPr>
      </w:pPr>
    </w:p>
    <w:p>
      <w:pPr>
        <w:sectPr>
          <w:pgSz w:w="15840" w:h="12266" w:orient="landscape"/>
          <w:cols w:equalWidth="0" w:num="2">
            <w:col w:w="9880" w:space="620"/>
            <w:col w:w="4320"/>
          </w:cols>
          <w:pgMar w:left="180" w:top="571" w:right="84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358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243840" cy="18605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Total…  </w:t>
      </w:r>
      <w:r>
        <w:rPr>
          <w:sz w:val="1"/>
          <w:szCs w:val="1"/>
          <w:color w:val="auto"/>
        </w:rPr>
        <w:drawing>
          <wp:inline distT="0" distB="0" distL="0" distR="0">
            <wp:extent cx="158750" cy="730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4615" cy="730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Screen-In…</w:t>
      </w:r>
    </w:p>
    <w:p>
      <w:pPr>
        <w:spacing w:after="0" w:line="148" w:lineRule="exact"/>
        <w:rPr>
          <w:sz w:val="20"/>
          <w:szCs w:val="20"/>
          <w:color w:val="auto"/>
        </w:rPr>
      </w:pPr>
    </w:p>
    <w:p>
      <w:pPr>
        <w:jc w:val="right"/>
        <w:ind w:right="72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0"/>
          <w:szCs w:val="20"/>
          <w:color w:val="auto"/>
        </w:rPr>
        <w:t>Source: DCF data</w:t>
      </w:r>
    </w:p>
    <w:p>
      <w:pPr>
        <w:sectPr>
          <w:pgSz w:w="15840" w:h="12266" w:orient="landscape"/>
          <w:cols w:equalWidth="0" w:num="1">
            <w:col w:w="14820"/>
          </w:cols>
          <w:pgMar w:left="180" w:top="571" w:right="84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right"/>
        <w:ind w:right="142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21</w:t>
      </w:r>
    </w:p>
    <w:p>
      <w:pPr>
        <w:jc w:val="right"/>
        <w:ind w:right="1416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21</w:t>
      </w:r>
    </w:p>
    <w:p>
      <w:pPr>
        <w:sectPr>
          <w:pgSz w:w="15840" w:h="12266" w:orient="landscape"/>
          <w:cols w:equalWidth="0" w:num="1">
            <w:col w:w="14820"/>
          </w:cols>
          <w:pgMar w:left="180" w:top="571" w:right="840" w:bottom="0" w:gutter="0" w:footer="0" w:header="0"/>
          <w:type w:val="continuous"/>
        </w:sectPr>
      </w:pPr>
    </w:p>
    <w:bookmarkStart w:id="21" w:name="page22"/>
    <w:bookmarkEnd w:id="21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980" w:right="800"/>
        <w:spacing w:after="0" w:line="237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44"/>
          <w:szCs w:val="44"/>
          <w:b w:val="1"/>
          <w:bCs w:val="1"/>
          <w:color w:val="FFFFFF"/>
        </w:rPr>
        <w:t>Opioid-Related Deaths in Massachusetts by Category of Insurance (CY2014-2016)</w:t>
      </w:r>
    </w:p>
    <w:p>
      <w:pPr>
        <w:sectPr>
          <w:pgSz w:w="15840" w:h="12266" w:orient="landscape"/>
          <w:cols w:equalWidth="0" w:num="1">
            <w:col w:w="15140"/>
          </w:cols>
          <w:pgMar w:left="380" w:top="678" w:right="32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tbl>
      <w:tblPr>
        <w:tblLayout w:type="fixed"/>
        <w:tblInd w:w="4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53"/>
        </w:trPr>
        <w:tc>
          <w:tcPr>
            <w:tcW w:w="3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  <w:w w:val="94"/>
              </w:rPr>
              <w:t>1%</w:t>
            </w:r>
          </w:p>
        </w:tc>
        <w:tc>
          <w:tcPr>
            <w:tcW w:w="1600" w:type="dxa"/>
            <w:vAlign w:val="bottom"/>
          </w:tcPr>
          <w:p>
            <w:pPr>
              <w:jc w:val="right"/>
              <w:ind w:right="1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1%</w:t>
            </w:r>
          </w:p>
        </w:tc>
        <w:tc>
          <w:tcPr>
            <w:tcW w:w="7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14%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0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0" w:type="dxa"/>
            <w:vAlign w:val="bottom"/>
          </w:tcPr>
          <w:p>
            <w:pPr>
              <w:jc w:val="right"/>
              <w:ind w:right="18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11%</w:t>
            </w:r>
          </w:p>
        </w:tc>
        <w:tc>
          <w:tcPr>
            <w:tcW w:w="70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jc w:val="center"/>
        <w:ind w:left="3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b w:val="1"/>
          <w:bCs w:val="1"/>
          <w:color w:val="FFFFFF"/>
        </w:rPr>
        <w:t>2013</w:t>
      </w:r>
    </w:p>
    <w:p>
      <w:pPr>
        <w:ind w:left="170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50"/>
          <w:szCs w:val="50"/>
          <w:b w:val="1"/>
          <w:bCs w:val="1"/>
          <w:color w:val="FFFFFF"/>
        </w:rPr>
        <w:t>2014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13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54%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tbl>
      <w:tblPr>
        <w:tblLayout w:type="fixed"/>
        <w:tblInd w:w="1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8"/>
        </w:trPr>
        <w:tc>
          <w:tcPr>
            <w:tcW w:w="960" w:type="dxa"/>
            <w:vAlign w:val="bottom"/>
            <w:vMerge w:val="restart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  <w:w w:val="82"/>
              </w:rPr>
              <w:t xml:space="preserve">1% </w:t>
            </w:r>
            <w:r>
              <w:rPr>
                <w:rFonts w:ascii="Calibri" w:cs="Calibri" w:eastAsia="Calibri" w:hAnsi="Calibri"/>
                <w:sz w:val="48"/>
                <w:szCs w:val="48"/>
                <w:b w:val="1"/>
                <w:bCs w:val="1"/>
                <w:color w:val="auto"/>
                <w:w w:val="82"/>
                <w:vertAlign w:val="superscript"/>
              </w:rPr>
              <w:t>0%</w:t>
            </w:r>
          </w:p>
        </w:tc>
        <w:tc>
          <w:tcPr>
            <w:tcW w:w="112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15%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12%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5"/>
        </w:trPr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jc w:val="center"/>
        <w:ind w:left="3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b w:val="1"/>
          <w:bCs w:val="1"/>
          <w:color w:val="FFFFFF"/>
        </w:rPr>
        <w:t>2014</w:t>
      </w:r>
    </w:p>
    <w:p>
      <w:pPr>
        <w:jc w:val="right"/>
        <w:ind w:right="42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50"/>
          <w:szCs w:val="50"/>
          <w:b w:val="1"/>
          <w:bCs w:val="1"/>
          <w:color w:val="FFFFFF"/>
        </w:rPr>
        <w:t>2015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left="1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54%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684"/>
        </w:trPr>
        <w:tc>
          <w:tcPr>
            <w:tcW w:w="560" w:type="dxa"/>
            <w:vAlign w:val="bottom"/>
            <w:vMerge w:val="restart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  <w:w w:val="94"/>
              </w:rPr>
              <w:t>5%</w:t>
            </w:r>
          </w:p>
        </w:tc>
        <w:tc>
          <w:tcPr>
            <w:tcW w:w="620" w:type="dxa"/>
            <w:vAlign w:val="bottom"/>
            <w:vMerge w:val="restart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1%</w:t>
            </w:r>
          </w:p>
        </w:tc>
        <w:tc>
          <w:tcPr>
            <w:tcW w:w="462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b w:val="1"/>
                <w:bCs w:val="1"/>
                <w:color w:val="auto"/>
              </w:rPr>
              <w:t>8%</w:t>
            </w:r>
          </w:p>
        </w:tc>
        <w:tc>
          <w:tcPr>
            <w:tcW w:w="1440" w:type="dxa"/>
            <w:vAlign w:val="bottom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56"/>
                <w:szCs w:val="56"/>
                <w:b w:val="1"/>
                <w:bCs w:val="1"/>
                <w:color w:val="auto"/>
                <w:vertAlign w:val="superscript"/>
              </w:rPr>
              <w:t>0%</w:t>
            </w:r>
            <w:r>
              <w:rPr>
                <w:rFonts w:ascii="Calibri" w:cs="Calibri" w:eastAsia="Calibri" w:hAnsi="Calibri"/>
                <w:sz w:val="28"/>
                <w:szCs w:val="28"/>
                <w:b w:val="1"/>
                <w:bCs w:val="1"/>
                <w:color w:val="auto"/>
              </w:rPr>
              <w:t xml:space="preserve"> 1%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620" w:type="dxa"/>
            <w:vAlign w:val="bottom"/>
            <w:vMerge w:val="restart"/>
          </w:tcPr>
          <w:p>
            <w:pPr>
              <w:jc w:val="right"/>
              <w:ind w:right="2100"/>
              <w:spacing w:after="0" w:line="28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b w:val="1"/>
                <w:bCs w:val="1"/>
                <w:color w:val="auto"/>
              </w:rPr>
              <w:t>18%</w:t>
            </w: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2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1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13%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</w:tcPr>
          <w:p>
            <w:pPr>
              <w:jc w:val="right"/>
              <w:ind w:right="3740"/>
              <w:spacing w:after="0" w:line="30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b w:val="1"/>
                <w:bCs w:val="1"/>
                <w:color w:val="auto"/>
              </w:rPr>
              <w:t>2%</w:t>
            </w:r>
          </w:p>
        </w:tc>
        <w:tc>
          <w:tcPr>
            <w:tcW w:w="14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b w:val="1"/>
                <w:bCs w:val="1"/>
                <w:color w:val="auto"/>
              </w:rPr>
              <w:t>17%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620" w:type="dxa"/>
            <w:vAlign w:val="bottom"/>
            <w:vMerge w:val="restart"/>
          </w:tcPr>
          <w:p>
            <w:pPr>
              <w:jc w:val="right"/>
              <w:ind w:right="3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b w:val="1"/>
                <w:bCs w:val="1"/>
                <w:color w:val="auto"/>
              </w:rPr>
              <w:t>1%</w:t>
            </w:r>
          </w:p>
        </w:tc>
        <w:tc>
          <w:tcPr>
            <w:tcW w:w="1440" w:type="dxa"/>
            <w:vAlign w:val="bottom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4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3%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1%</w:t>
            </w:r>
          </w:p>
        </w:tc>
        <w:tc>
          <w:tcPr>
            <w:tcW w:w="4620" w:type="dxa"/>
            <w:vAlign w:val="bottom"/>
          </w:tcPr>
          <w:p>
            <w:pPr>
              <w:jc w:val="right"/>
              <w:ind w:righ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88"/>
                <w:szCs w:val="88"/>
                <w:b w:val="1"/>
                <w:bCs w:val="1"/>
                <w:color w:val="FFFFFF"/>
              </w:rPr>
              <w:t>2015</w:t>
            </w: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5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</w:tcPr>
          <w:p>
            <w:pPr>
              <w:jc w:val="right"/>
              <w:ind w:right="160"/>
              <w:spacing w:after="0" w:line="85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88"/>
                <w:szCs w:val="88"/>
                <w:b w:val="1"/>
                <w:bCs w:val="1"/>
                <w:color w:val="FFFFFF"/>
              </w:rPr>
              <w:t>2016</w:t>
            </w: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100"/>
        <w:spacing w:after="0" w:line="19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14%</w:t>
      </w: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jc w:val="center"/>
        <w:ind w:left="-61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53%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7790" cy="9779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7"/>
          <w:szCs w:val="27"/>
          <w:b w:val="1"/>
          <w:bCs w:val="1"/>
          <w:color w:val="auto"/>
        </w:rPr>
        <w:t xml:space="preserve"> Commercial insurance primary</w:t>
      </w:r>
    </w:p>
    <w:p>
      <w:pPr>
        <w:spacing w:after="0" w:line="39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7790" cy="9779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 xml:space="preserve"> Medicare only***</w:t>
      </w: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7790" cy="977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 xml:space="preserve"> Medicare + HSN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220" w:right="540" w:hanging="224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7790" cy="9779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 xml:space="preserve"> Medicare + MassHealth &amp; CommCare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7790" cy="9779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7"/>
          <w:szCs w:val="27"/>
          <w:b w:val="1"/>
          <w:bCs w:val="1"/>
          <w:color w:val="auto"/>
        </w:rPr>
        <w:t xml:space="preserve"> MassHealth &amp; CommCare only</w:t>
      </w: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7790" cy="9779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 xml:space="preserve"> Health Safety Net only</w:t>
      </w:r>
    </w:p>
    <w:p>
      <w:pPr>
        <w:spacing w:after="0" w:line="39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7790" cy="9779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 xml:space="preserve"> Other Public*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220" w:right="240" w:hanging="224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7790" cy="9779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 xml:space="preserve"> Other Unknown / Uninsured at time of death</w:t>
      </w:r>
    </w:p>
    <w:p>
      <w:pPr>
        <w:spacing w:after="0" w:line="585" w:lineRule="exact"/>
        <w:rPr>
          <w:sz w:val="20"/>
          <w:szCs w:val="20"/>
          <w:color w:val="auto"/>
        </w:rPr>
      </w:pPr>
    </w:p>
    <w:p>
      <w:pPr>
        <w:sectPr>
          <w:pgSz w:w="15840" w:h="12266" w:orient="landscape"/>
          <w:cols w:equalWidth="0" w:num="3">
            <w:col w:w="3140" w:space="280"/>
            <w:col w:w="7240" w:space="700"/>
            <w:col w:w="3780"/>
          </w:cols>
          <w:pgMar w:left="380" w:top="678" w:right="320" w:bottom="0" w:gutter="0" w:footer="0" w:header="0"/>
          <w:type w:val="continuous"/>
        </w:sect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1008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0"/>
          <w:szCs w:val="20"/>
          <w:color w:val="auto"/>
        </w:rPr>
        <w:t>Source: DPH, MassHealth, and CHIA data</w:t>
      </w:r>
    </w:p>
    <w:p>
      <w:pPr>
        <w:sectPr>
          <w:pgSz w:w="15840" w:h="12266" w:orient="landscape"/>
          <w:cols w:equalWidth="0" w:num="1">
            <w:col w:w="15140"/>
          </w:cols>
          <w:pgMar w:left="380" w:top="678" w:right="32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right"/>
        <w:ind w:right="14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22</w:t>
      </w:r>
    </w:p>
    <w:p>
      <w:pPr>
        <w:jc w:val="right"/>
        <w:ind w:right="1468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22</w:t>
      </w:r>
    </w:p>
    <w:p>
      <w:pPr>
        <w:sectPr>
          <w:pgSz w:w="15840" w:h="12266" w:orient="landscape"/>
          <w:cols w:equalWidth="0" w:num="1">
            <w:col w:w="15140"/>
          </w:cols>
          <w:pgMar w:left="380" w:top="678" w:right="320" w:bottom="0" w:gutter="0" w:footer="0" w:header="0"/>
          <w:type w:val="continuous"/>
        </w:sectPr>
      </w:pPr>
    </w:p>
    <w:bookmarkStart w:id="22" w:name="page23"/>
    <w:bookmarkEnd w:id="22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419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Budget and Legislation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Signed 4 Budget Bills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260" w:right="1140" w:hanging="536"/>
        <w:spacing w:after="0" w:line="231" w:lineRule="auto"/>
        <w:tabs>
          <w:tab w:leader="none" w:pos="1260" w:val="left"/>
        </w:tabs>
        <w:numPr>
          <w:ilvl w:val="0"/>
          <w:numId w:val="28"/>
        </w:numPr>
        <w:rPr>
          <w:rFonts w:ascii="Arial" w:cs="Arial" w:eastAsia="Arial" w:hAnsi="Arial"/>
          <w:sz w:val="28"/>
          <w:szCs w:val="28"/>
          <w:color w:val="1F497D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u w:val="single" w:color="auto"/>
          <w:color w:val="1F497D"/>
        </w:rPr>
        <w:t>FY 2015 Supplemental Budget</w:t>
      </w: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 xml:space="preserve"> (Ch. 119 of the Acts of 2015)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: Appropriated $27.8 million to support</w:t>
      </w: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prevention and treatment initiatives.</w:t>
      </w:r>
    </w:p>
    <w:p>
      <w:pPr>
        <w:spacing w:after="0" w:line="2" w:lineRule="exact"/>
        <w:rPr>
          <w:rFonts w:ascii="Arial" w:cs="Arial" w:eastAsia="Arial" w:hAnsi="Arial"/>
          <w:sz w:val="28"/>
          <w:szCs w:val="28"/>
          <w:color w:val="1F497D"/>
        </w:rPr>
      </w:pPr>
    </w:p>
    <w:p>
      <w:pPr>
        <w:ind w:left="1260" w:right="1040" w:hanging="536"/>
        <w:spacing w:after="0" w:line="231" w:lineRule="auto"/>
        <w:tabs>
          <w:tab w:leader="none" w:pos="1260" w:val="left"/>
        </w:tabs>
        <w:numPr>
          <w:ilvl w:val="0"/>
          <w:numId w:val="28"/>
        </w:numPr>
        <w:rPr>
          <w:rFonts w:ascii="Arial" w:cs="Arial" w:eastAsia="Arial" w:hAnsi="Arial"/>
          <w:sz w:val="28"/>
          <w:szCs w:val="28"/>
          <w:color w:val="1F497D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u w:val="single" w:color="auto"/>
          <w:color w:val="1F497D"/>
        </w:rPr>
        <w:t>FY 2016 Budget</w:t>
      </w: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 xml:space="preserve"> (Ch. 46 of the Acts of 2015)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: Appropriated $134 million for substance use treatment,</w:t>
      </w: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prevention, intervention, and recovery efforts.</w:t>
      </w:r>
    </w:p>
    <w:p>
      <w:pPr>
        <w:spacing w:after="0" w:line="2" w:lineRule="exact"/>
        <w:rPr>
          <w:rFonts w:ascii="Arial" w:cs="Arial" w:eastAsia="Arial" w:hAnsi="Arial"/>
          <w:sz w:val="28"/>
          <w:szCs w:val="28"/>
          <w:color w:val="1F497D"/>
        </w:rPr>
      </w:pPr>
    </w:p>
    <w:p>
      <w:pPr>
        <w:ind w:left="1260" w:right="900" w:hanging="536"/>
        <w:spacing w:after="0" w:line="231" w:lineRule="auto"/>
        <w:tabs>
          <w:tab w:leader="none" w:pos="1260" w:val="left"/>
        </w:tabs>
        <w:numPr>
          <w:ilvl w:val="0"/>
          <w:numId w:val="28"/>
        </w:numPr>
        <w:rPr>
          <w:rFonts w:ascii="Arial" w:cs="Arial" w:eastAsia="Arial" w:hAnsi="Arial"/>
          <w:sz w:val="28"/>
          <w:szCs w:val="28"/>
          <w:color w:val="1F497D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u w:val="single" w:color="auto"/>
          <w:color w:val="1F497D"/>
        </w:rPr>
        <w:t>FY 2017 Budget</w:t>
      </w: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 xml:space="preserve"> (Ch. 133 of the Acts of 2016)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: Appropriated $173 million for substance use treatment,</w:t>
      </w: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prevention, intervention, and recovery efforts.</w:t>
      </w:r>
    </w:p>
    <w:p>
      <w:pPr>
        <w:spacing w:after="0" w:line="2" w:lineRule="exact"/>
        <w:rPr>
          <w:rFonts w:ascii="Arial" w:cs="Arial" w:eastAsia="Arial" w:hAnsi="Arial"/>
          <w:sz w:val="28"/>
          <w:szCs w:val="28"/>
          <w:color w:val="1F497D"/>
        </w:rPr>
      </w:pPr>
    </w:p>
    <w:p>
      <w:pPr>
        <w:ind w:left="1260" w:right="820" w:hanging="536"/>
        <w:spacing w:after="0" w:line="232" w:lineRule="auto"/>
        <w:tabs>
          <w:tab w:leader="none" w:pos="1260" w:val="left"/>
        </w:tabs>
        <w:numPr>
          <w:ilvl w:val="0"/>
          <w:numId w:val="28"/>
        </w:numPr>
        <w:rPr>
          <w:rFonts w:ascii="Arial" w:cs="Arial" w:eastAsia="Arial" w:hAnsi="Arial"/>
          <w:sz w:val="28"/>
          <w:szCs w:val="28"/>
          <w:color w:val="1F497D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u w:val="single" w:color="auto"/>
          <w:color w:val="1F497D"/>
        </w:rPr>
        <w:t>FY 2018 Budget</w:t>
      </w: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 xml:space="preserve"> (Ch. 47 of the Acts of 2017)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: Appropriated $185.3 million for substance use treatment,</w:t>
      </w: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prevention, intervention, and recovery efforts.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right="560"/>
        <w:spacing w:after="0" w:line="216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Criminalizing Fentanyl Trafficking (Ch. 136 of the Acts of 2015)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: Mandates that trafficking fentanyl is a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felony and institutes mandatory minimums on the charge.</w:t>
      </w: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120"/>
        <w:spacing w:after="0" w:line="223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Ended the practice of civilly committing women under Section 35 to MCI-Framingham (Ch. 8 of the Acts of 2016)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: Ensures that women with a substance use disorder who are civilly committed will now receive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substance use treatment at an appropriate facility.</w:t>
      </w: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spacing w:after="0" w:line="225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>STEP Act (Ch. 52 of the Acts of 2016)</w:t>
      </w:r>
      <w:r>
        <w:rPr>
          <w:rFonts w:ascii="Book Antiqua" w:cs="Book Antiqua" w:eastAsia="Book Antiqua" w:hAnsi="Book Antiqua"/>
          <w:sz w:val="32"/>
          <w:szCs w:val="32"/>
          <w:color w:val="1F497D"/>
        </w:rPr>
        <w:t>: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Limits a first-time opioid prescription to seven days; requires practitioners</w:t>
      </w:r>
      <w:r>
        <w:rPr>
          <w:rFonts w:ascii="Book Antiqua" w:cs="Book Antiqua" w:eastAsia="Book Antiqua" w:hAnsi="Book Antiqua"/>
          <w:sz w:val="32"/>
          <w:szCs w:val="32"/>
          <w:b w:val="1"/>
          <w:bCs w:val="1"/>
          <w:color w:val="1F497D"/>
        </w:rPr>
        <w:t xml:space="preserve"> </w:t>
      </w:r>
      <w:r>
        <w:rPr>
          <w:rFonts w:ascii="Book Antiqua" w:cs="Book Antiqua" w:eastAsia="Book Antiqua" w:hAnsi="Book Antiqua"/>
          <w:sz w:val="28"/>
          <w:szCs w:val="28"/>
          <w:color w:val="1F497D"/>
        </w:rPr>
        <w:t>to check the PMP before prescribing opioids; requires student prevention education training during concussion safety training for athletes; increases prescriber education requirements; expands Good Samaritan protections by shielding individuals administering naloxone to a person during an opiate overdose from civil liability; and requires a substance use disorder evaluation for individuals presenting in the emergency room because of an apparent opiate overdose.</w:t>
      </w:r>
    </w:p>
    <w:p>
      <w:pPr>
        <w:sectPr>
          <w:pgSz w:w="15840" w:h="12266" w:orient="landscape"/>
          <w:cols w:equalWidth="0" w:num="1">
            <w:col w:w="14700"/>
          </w:cols>
          <w:pgMar w:left="380" w:top="716" w:right="76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jc w:val="right"/>
        <w:ind w:right="14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23</w:t>
      </w:r>
    </w:p>
    <w:p>
      <w:pPr>
        <w:jc w:val="right"/>
        <w:ind w:right="1424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23</w:t>
      </w:r>
    </w:p>
    <w:p>
      <w:pPr>
        <w:sectPr>
          <w:pgSz w:w="15840" w:h="12266" w:orient="landscape"/>
          <w:cols w:equalWidth="0" w:num="1">
            <w:col w:w="14700"/>
          </w:cols>
          <w:pgMar w:left="380" w:top="716" w:right="760" w:bottom="0" w:gutter="0" w:footer="0" w:header="0"/>
          <w:type w:val="continuous"/>
        </w:sectPr>
      </w:pPr>
    </w:p>
    <w:bookmarkStart w:id="23" w:name="page24"/>
    <w:bookmarkEnd w:id="23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7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Prevention Initiatives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10D71"/>
        </w:rPr>
        <w:t>Public Awareness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29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Create a public awareness campaign focused on reframing addiction as a medical disease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29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Foster public-private partnerships to leverage public awareness activities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80975" cy="1333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29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Promote drug take-back days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0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29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Partner with a chain pharmacy to pilot a drug-take-back program in the Commonwealth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Education – Parents and Students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0"/>
        </w:numPr>
        <w:rPr>
          <w:rFonts w:ascii="Arial" w:cs="Arial" w:eastAsia="Arial" w:hAnsi="Arial"/>
          <w:sz w:val="24"/>
          <w:szCs w:val="24"/>
          <w:color w:val="010D71"/>
        </w:rPr>
      </w:pPr>
      <w:r>
        <w:rPr>
          <w:rFonts w:ascii="Book Antiqua" w:cs="Book Antiqua" w:eastAsia="Book Antiqua" w:hAnsi="Book Antiqua"/>
          <w:sz w:val="24"/>
          <w:szCs w:val="24"/>
          <w:color w:val="010D71"/>
        </w:rPr>
        <w:t xml:space="preserve">Educate parents, students, and faculty about the risks of opioid use and misuse during mandatory athletic meetings </w:t>
      </w:r>
      <w:r>
        <w:rPr>
          <w:rFonts w:ascii="Arial" w:cs="Arial" w:eastAsia="Arial" w:hAnsi="Arial"/>
          <w:sz w:val="1"/>
          <w:szCs w:val="1"/>
          <w:color w:val="010D71"/>
        </w:rPr>
        <w:drawing>
          <wp:inline distT="0" distB="0" distL="0" distR="0">
            <wp:extent cx="161925" cy="14287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10D71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0"/>
        </w:numPr>
        <w:rPr>
          <w:rFonts w:ascii="Arial" w:cs="Arial" w:eastAsia="Arial" w:hAnsi="Arial"/>
          <w:sz w:val="24"/>
          <w:szCs w:val="24"/>
          <w:color w:val="010D71"/>
        </w:rPr>
      </w:pPr>
      <w:r>
        <w:rPr>
          <w:rFonts w:ascii="Book Antiqua" w:cs="Book Antiqua" w:eastAsia="Book Antiqua" w:hAnsi="Book Antiqua"/>
          <w:sz w:val="24"/>
          <w:szCs w:val="24"/>
          <w:color w:val="010D71"/>
        </w:rPr>
        <w:t xml:space="preserve">Provide state funding for evidence-based opioid prevention programs in schools  </w:t>
      </w:r>
      <w:r>
        <w:rPr>
          <w:rFonts w:ascii="Arial" w:cs="Arial" w:eastAsia="Arial" w:hAnsi="Arial"/>
          <w:sz w:val="1"/>
          <w:szCs w:val="1"/>
          <w:color w:val="010D71"/>
        </w:rPr>
        <w:drawing>
          <wp:inline distT="0" distB="0" distL="0" distR="0">
            <wp:extent cx="161925" cy="14287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3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2060"/>
        </w:rPr>
        <w:t>•</w:t>
      </w:r>
      <w:r>
        <w:rPr>
          <w:sz w:val="20"/>
          <w:szCs w:val="20"/>
          <w:color w:val="auto"/>
        </w:rPr>
        <w:tab/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Develop targeted educational materials for parents about the risks of opioid use and misuse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Prescriber Practices</w:t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ind w:left="360" w:hanging="356"/>
        <w:spacing w:after="0" w:line="231" w:lineRule="auto"/>
        <w:tabs>
          <w:tab w:leader="none" w:pos="360" w:val="left"/>
        </w:tabs>
        <w:numPr>
          <w:ilvl w:val="0"/>
          <w:numId w:val="31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Mandate prescriber education as a condition of licensure by working with boards of registration to enforce continuing education requirements related to: effective pain management; identification of patients at high risk for a SUD; and counseling patients on the side effects, addictive nature, and proper storage and disposal of prescription medications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62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right="60" w:hanging="356"/>
        <w:spacing w:after="0" w:line="231" w:lineRule="auto"/>
        <w:tabs>
          <w:tab w:leader="none" w:pos="360" w:val="left"/>
        </w:tabs>
        <w:numPr>
          <w:ilvl w:val="0"/>
          <w:numId w:val="31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Appoint an addiction specialist to the Board of Registration in Medicine, Board of Registration in Nursing, Board of Registration of Physician Assistants, and Board of Registration in Dentistry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80975" cy="1333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1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1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Appoint members to the drug formulary commission and commence the first meeting prior to August 1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60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right="140" w:hanging="356"/>
        <w:spacing w:after="0" w:line="231" w:lineRule="auto"/>
        <w:tabs>
          <w:tab w:leader="none" w:pos="360" w:val="left"/>
        </w:tabs>
        <w:numPr>
          <w:ilvl w:val="0"/>
          <w:numId w:val="31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Outreach to prenatal and postpartum care providers to increase training about screening, intervention, and care for women with a substance use disorder (SUD)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3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2060"/>
        </w:rPr>
        <w:t>•</w:t>
      </w:r>
      <w:r>
        <w:rPr>
          <w:sz w:val="20"/>
          <w:szCs w:val="20"/>
          <w:color w:val="auto"/>
        </w:rPr>
        <w:tab/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Increase and improve educational offerings about safe prescribing practices by engaging in private-public partnerships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360" w:right="280" w:hanging="356"/>
        <w:spacing w:after="0" w:line="230" w:lineRule="auto"/>
        <w:tabs>
          <w:tab w:leader="none" w:pos="360" w:val="left"/>
        </w:tabs>
        <w:numPr>
          <w:ilvl w:val="0"/>
          <w:numId w:val="32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Encourage the American College of Graduate Medical Education to adopt requirements for pain management and substance use disorder education for all medical and residency programs,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 xml:space="preserve">through a partnership with federal leaders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82880" cy="1333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107" w:lineRule="exact"/>
        <w:rPr>
          <w:sz w:val="20"/>
          <w:szCs w:val="20"/>
          <w:color w:val="auto"/>
        </w:rPr>
      </w:pPr>
    </w:p>
    <w:p>
      <w:pPr>
        <w:ind w:left="322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complete     </w:t>
      </w:r>
      <w:r>
        <w:rPr>
          <w:sz w:val="1"/>
          <w:szCs w:val="1"/>
          <w:color w:val="auto"/>
        </w:rPr>
        <w:drawing>
          <wp:inline distT="0" distB="0" distL="0" distR="0">
            <wp:extent cx="182880" cy="1333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in progress     </w:t>
      </w: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not in progress</w:t>
      </w:r>
    </w:p>
    <w:p>
      <w:pPr>
        <w:sectPr>
          <w:pgSz w:w="15840" w:h="12266" w:orient="landscape"/>
          <w:cols w:equalWidth="0" w:num="1">
            <w:col w:w="14300"/>
          </w:cols>
          <w:pgMar w:left="260" w:top="668" w:right="128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jc w:val="right"/>
        <w:ind w:right="137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24</w:t>
      </w:r>
    </w:p>
    <w:p>
      <w:pPr>
        <w:jc w:val="right"/>
        <w:ind w:right="1372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24</w:t>
      </w:r>
    </w:p>
    <w:p>
      <w:pPr>
        <w:sectPr>
          <w:pgSz w:w="15840" w:h="12266" w:orient="landscape"/>
          <w:cols w:equalWidth="0" w:num="1">
            <w:col w:w="14300"/>
          </w:cols>
          <w:pgMar w:left="260" w:top="668" w:right="1280" w:bottom="0" w:gutter="0" w:footer="0" w:header="0"/>
          <w:type w:val="continuous"/>
        </w:sectPr>
      </w:pPr>
    </w:p>
    <w:bookmarkStart w:id="24" w:name="page25"/>
    <w:bookmarkEnd w:id="24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Intervention Initiatives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7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Prescription Monitoring Program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3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Improve the prescription monitoring program (PMP)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7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3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Ensure data compatibility of the PMP with other states,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>Memorandum of understanding with other states required</w:t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3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Require PMP data to be submitted within 24 hours by pharmacies,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 xml:space="preserve">Legislation required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Data</w:t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4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Require timely reporting of overdose death data to the public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4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Amend Department of Public Health regulations to require that emergency medical service providers report opioid overdose data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62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right="80" w:hanging="356"/>
        <w:spacing w:after="0" w:line="234" w:lineRule="auto"/>
        <w:tabs>
          <w:tab w:leader="none" w:pos="360" w:val="left"/>
        </w:tabs>
        <w:numPr>
          <w:ilvl w:val="0"/>
          <w:numId w:val="34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Utilize overdose reports to identify geographical hot spots for targeted intervention and alert law enforcement, public health entities, community coalitions, and the public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Other Intervention Action Items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5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Develop and distribute educational materials for prescribers to increase co-prescribing of naloxone with opioid prescriptions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5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>Implement a training program about neonatal abstinence syndrome and addiction for Department of Children and Families’ staff</w:t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5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Promote the Good Samaritan law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60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right="820" w:hanging="356"/>
        <w:spacing w:after="0" w:line="230" w:lineRule="auto"/>
        <w:tabs>
          <w:tab w:leader="none" w:pos="360" w:val="left"/>
        </w:tabs>
        <w:numPr>
          <w:ilvl w:val="0"/>
          <w:numId w:val="35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Amend the civil commitment statute, section 12 of chapter 123 of the General Laws, to allow for the involuntary transport and assessment of an individual with a substance use disorder (SUD),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 xml:space="preserve">Legislation required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80975" cy="1333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61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360" w:hanging="356"/>
        <w:spacing w:after="0"/>
        <w:tabs>
          <w:tab w:leader="none" w:pos="360" w:val="left"/>
        </w:tabs>
        <w:numPr>
          <w:ilvl w:val="0"/>
          <w:numId w:val="35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Improve affordability of naloxone through bulk purchasing,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 xml:space="preserve">Legislation required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262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complete     </w:t>
      </w:r>
      <w:r>
        <w:rPr>
          <w:sz w:val="1"/>
          <w:szCs w:val="1"/>
          <w:color w:val="auto"/>
        </w:rPr>
        <w:drawing>
          <wp:inline distT="0" distB="0" distL="0" distR="0">
            <wp:extent cx="182880" cy="13335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in progress     </w:t>
      </w: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not in progress</w:t>
      </w:r>
    </w:p>
    <w:p>
      <w:pPr>
        <w:sectPr>
          <w:pgSz w:w="15840" w:h="12266" w:orient="landscape"/>
          <w:cols w:equalWidth="0" w:num="1">
            <w:col w:w="14540"/>
          </w:cols>
          <w:pgMar w:left="380" w:top="804" w:right="92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jc w:val="right"/>
        <w:ind w:right="14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25</w:t>
      </w:r>
    </w:p>
    <w:p>
      <w:pPr>
        <w:jc w:val="right"/>
        <w:ind w:right="1408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25</w:t>
      </w:r>
    </w:p>
    <w:p>
      <w:pPr>
        <w:sectPr>
          <w:pgSz w:w="15840" w:h="12266" w:orient="landscape"/>
          <w:cols w:equalWidth="0" w:num="1">
            <w:col w:w="14540"/>
          </w:cols>
          <w:pgMar w:left="380" w:top="804" w:right="920" w:bottom="0" w:gutter="0" w:footer="0" w:header="0"/>
          <w:type w:val="continuous"/>
        </w:sectPr>
      </w:pPr>
    </w:p>
    <w:bookmarkStart w:id="25" w:name="page26"/>
    <w:bookmarkEnd w:id="25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379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Treatment Initiatives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10D71"/>
        </w:rPr>
        <w:t>MassHealth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600" w:hanging="365"/>
        <w:spacing w:after="0"/>
        <w:tabs>
          <w:tab w:leader="none" w:pos="600" w:val="left"/>
        </w:tabs>
        <w:numPr>
          <w:ilvl w:val="0"/>
          <w:numId w:val="36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>Develop a statewide database of available treatment services, accessible by phone and internet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jc w:val="center"/>
        <w:ind w:right="1740"/>
        <w:spacing w:after="0"/>
        <w:tabs>
          <w:tab w:leader="none" w:pos="2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2060"/>
        </w:rPr>
        <w:t>•</w:t>
      </w:r>
      <w:r>
        <w:rPr>
          <w:sz w:val="20"/>
          <w:szCs w:val="20"/>
          <w:color w:val="auto"/>
        </w:rPr>
        <w:tab/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Expand mobile emergency service programs to support individuals with a substance use disorder (SUD) in crisis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600" w:hanging="365"/>
        <w:spacing w:after="0"/>
        <w:tabs>
          <w:tab w:leader="none" w:pos="600" w:val="left"/>
        </w:tabs>
        <w:numPr>
          <w:ilvl w:val="0"/>
          <w:numId w:val="37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Provide case management services to MassHealth fee-for-service members who have a SUD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80975" cy="13335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5"/>
        <w:spacing w:after="0" w:line="231" w:lineRule="auto"/>
        <w:tabs>
          <w:tab w:leader="none" w:pos="600" w:val="left"/>
        </w:tabs>
        <w:numPr>
          <w:ilvl w:val="0"/>
          <w:numId w:val="37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Remove fail-first requirements for medication-assisted treatment and ensure naltrexone is categorized as a pharmacy benefit within all MassHealth plans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1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5"/>
        <w:spacing w:after="0"/>
        <w:tabs>
          <w:tab w:leader="none" w:pos="600" w:val="left"/>
        </w:tabs>
        <w:numPr>
          <w:ilvl w:val="0"/>
          <w:numId w:val="37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Review SUD treatment prior authorization policies across MassHealth to ensure consistency and remove barriers to treatment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0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5"/>
        <w:spacing w:after="0"/>
        <w:tabs>
          <w:tab w:leader="none" w:pos="600" w:val="left"/>
        </w:tabs>
        <w:numPr>
          <w:ilvl w:val="0"/>
          <w:numId w:val="37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Enroll uninsured patients receiving acute treatment services or clinical stabilization services in MassHealth or other insurance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3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Department of Public Health</w:t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ind w:left="600" w:right="1280" w:hanging="365"/>
        <w:spacing w:after="0" w:line="231" w:lineRule="auto"/>
        <w:tabs>
          <w:tab w:leader="none" w:pos="600" w:val="left"/>
        </w:tabs>
        <w:numPr>
          <w:ilvl w:val="0"/>
          <w:numId w:val="38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(Pilot) Create walk-in access to a trained clinician in community-based outpatient provider settings who can provide an emergent/urgent addiction assessment and direct referral to the appropriate level of care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8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5"/>
        <w:spacing w:after="0"/>
        <w:tabs>
          <w:tab w:leader="none" w:pos="600" w:val="left"/>
        </w:tabs>
        <w:numPr>
          <w:ilvl w:val="0"/>
          <w:numId w:val="38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(Pilot) Make recovery coaches available in emergency departments and hot spots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2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5"/>
        <w:spacing w:after="0"/>
        <w:tabs>
          <w:tab w:leader="none" w:pos="600" w:val="left"/>
        </w:tabs>
        <w:numPr>
          <w:ilvl w:val="0"/>
          <w:numId w:val="38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Increase the number of office-based opioid treatment programs in community health centers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0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5"/>
        <w:spacing w:after="0"/>
        <w:tabs>
          <w:tab w:leader="none" w:pos="600" w:val="left"/>
        </w:tabs>
        <w:numPr>
          <w:ilvl w:val="0"/>
          <w:numId w:val="38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Integrate medication-assisted treatment into the clinical stabilization services (CSS) care setting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5"/>
        <w:spacing w:after="0"/>
        <w:tabs>
          <w:tab w:leader="none" w:pos="600" w:val="left"/>
        </w:tabs>
        <w:numPr>
          <w:ilvl w:val="0"/>
          <w:numId w:val="38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Add 100 new treatment beds by July 2016 and expand access to patient navigators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262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complete     </w:t>
      </w:r>
      <w:r>
        <w:rPr>
          <w:sz w:val="1"/>
          <w:szCs w:val="1"/>
          <w:color w:val="auto"/>
        </w:rPr>
        <w:drawing>
          <wp:inline distT="0" distB="0" distL="0" distR="0">
            <wp:extent cx="182880" cy="13335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in progress     </w:t>
      </w: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not in progress</w:t>
      </w:r>
    </w:p>
    <w:p>
      <w:pPr>
        <w:sectPr>
          <w:pgSz w:w="15840" w:h="12266" w:orient="landscape"/>
          <w:cols w:equalWidth="0" w:num="1">
            <w:col w:w="14560"/>
          </w:cols>
          <w:pgMar w:left="380" w:top="788" w:right="9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jc w:val="right"/>
        <w:ind w:right="141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26</w:t>
      </w:r>
    </w:p>
    <w:p>
      <w:pPr>
        <w:jc w:val="right"/>
        <w:ind w:right="1410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26</w:t>
      </w:r>
    </w:p>
    <w:p>
      <w:pPr>
        <w:sectPr>
          <w:pgSz w:w="15840" w:h="12266" w:orient="landscape"/>
          <w:cols w:equalWidth="0" w:num="1">
            <w:col w:w="14560"/>
          </w:cols>
          <w:pgMar w:left="380" w:top="788" w:right="900" w:bottom="0" w:gutter="0" w:footer="0" w:header="0"/>
          <w:type w:val="continuous"/>
        </w:sectPr>
      </w:pPr>
    </w:p>
    <w:bookmarkStart w:id="26" w:name="page27"/>
    <w:bookmarkEnd w:id="26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8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Treatment Initiatives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10D71"/>
        </w:rPr>
        <w:t>Department of Corrections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600" w:hanging="363"/>
        <w:spacing w:after="0"/>
        <w:tabs>
          <w:tab w:leader="none" w:pos="600" w:val="left"/>
        </w:tabs>
        <w:numPr>
          <w:ilvl w:val="0"/>
          <w:numId w:val="39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Bulk purchase opioid agonist and naltrexone therapies for correctional facilities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3"/>
        <w:spacing w:after="0"/>
        <w:tabs>
          <w:tab w:leader="none" w:pos="600" w:val="left"/>
        </w:tabs>
        <w:numPr>
          <w:ilvl w:val="0"/>
          <w:numId w:val="39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>Improve SUD treatment services for men and women committed under section 35 of chapter 123 of the General Laws:</w:t>
      </w:r>
    </w:p>
    <w:p>
      <w:pPr>
        <w:spacing w:after="0" w:line="60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1400" w:right="200" w:hanging="362"/>
        <w:spacing w:after="0" w:line="231" w:lineRule="auto"/>
        <w:tabs>
          <w:tab w:leader="none" w:pos="1400" w:val="left"/>
        </w:tabs>
        <w:numPr>
          <w:ilvl w:val="1"/>
          <w:numId w:val="39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Transfer women from the correctional facility at MCI-Framingham to a new facility run by the Executive Office of Health and Human Services (EOHHS)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1400" w:hanging="362"/>
        <w:spacing w:after="0"/>
        <w:tabs>
          <w:tab w:leader="none" w:pos="1400" w:val="left"/>
        </w:tabs>
        <w:numPr>
          <w:ilvl w:val="1"/>
          <w:numId w:val="39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>Develop a feasibility plan to transfer responsibility for the Massachusetts Alcohol and Substance Abuse Center at Bridgewater</w:t>
      </w:r>
    </w:p>
    <w:p>
      <w:pPr>
        <w:ind w:left="1400"/>
        <w:spacing w:after="0" w:line="231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to EOHHS,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>Legislation required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600" w:hanging="363"/>
        <w:spacing w:after="0"/>
        <w:tabs>
          <w:tab w:leader="none" w:pos="600" w:val="left"/>
        </w:tabs>
        <w:numPr>
          <w:ilvl w:val="0"/>
          <w:numId w:val="40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Increase treatment beds and ensure a continuum of care for patients who are civilly committed under section 35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Division of Insurance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240"/>
        <w:spacing w:after="0"/>
        <w:tabs>
          <w:tab w:leader="none" w:pos="5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2060"/>
        </w:rPr>
        <w:t>•</w:t>
      </w:r>
      <w:r>
        <w:rPr>
          <w:sz w:val="20"/>
          <w:szCs w:val="20"/>
          <w:color w:val="auto"/>
        </w:rPr>
        <w:tab/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Review existing Division of Insurance bulletins regarding parity oversight and enforcement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600" w:hanging="363"/>
        <w:spacing w:after="0"/>
        <w:tabs>
          <w:tab w:leader="none" w:pos="600" w:val="left"/>
        </w:tabs>
        <w:numPr>
          <w:ilvl w:val="0"/>
          <w:numId w:val="41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>Issue guidance on the implementation of the substance use disorder recovery law before October 1, 2015</w:t>
      </w: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Group Insurance Commission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600" w:hanging="363"/>
        <w:spacing w:after="0"/>
        <w:tabs>
          <w:tab w:leader="none" w:pos="600" w:val="left"/>
        </w:tabs>
        <w:numPr>
          <w:ilvl w:val="0"/>
          <w:numId w:val="42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>Ensure that all Group Insurance Commission (GIC) plans provide coverage for naltrexone, naloxone, buprenorphine, and methadone</w:t>
      </w:r>
    </w:p>
    <w:p>
      <w:pPr>
        <w:spacing w:after="0" w:line="49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3"/>
        <w:spacing w:after="0"/>
        <w:tabs>
          <w:tab w:leader="none" w:pos="600" w:val="left"/>
        </w:tabs>
        <w:numPr>
          <w:ilvl w:val="0"/>
          <w:numId w:val="42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Review GIC insurance plans, removing fail-first policies and prior authorization protocols that may impede access to treatment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Partnering with Federal Leaders</w:t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ind w:left="600" w:right="360" w:hanging="363"/>
        <w:spacing w:after="0" w:line="230" w:lineRule="auto"/>
        <w:tabs>
          <w:tab w:leader="none" w:pos="600" w:val="left"/>
        </w:tabs>
        <w:numPr>
          <w:ilvl w:val="0"/>
          <w:numId w:val="43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Change Drug Enforcement Agency (DEA) rules to permit medical residents to prescribe buprenorphine under an institutional DEA registration number,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 xml:space="preserve">through a partnership with federal leaders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80975" cy="13335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64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600" w:hanging="363"/>
        <w:spacing w:after="0" w:line="230" w:lineRule="auto"/>
        <w:tabs>
          <w:tab w:leader="none" w:pos="600" w:val="left"/>
        </w:tabs>
        <w:numPr>
          <w:ilvl w:val="0"/>
          <w:numId w:val="43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Change federal law and regulations to increase access to buprenorphine by: increasing the cap - the number of patients a physician can treat with buprenorphine - or removing it entirely; and permitting nurse practitioners and physician assistants to prescribe buprenorphine,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 xml:space="preserve">through a partnership with federal leaders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192" w:lineRule="exact"/>
        <w:rPr>
          <w:sz w:val="20"/>
          <w:szCs w:val="20"/>
          <w:color w:val="auto"/>
        </w:rPr>
      </w:pPr>
    </w:p>
    <w:p>
      <w:pPr>
        <w:ind w:left="262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complete     </w:t>
      </w:r>
      <w:r>
        <w:rPr>
          <w:sz w:val="1"/>
          <w:szCs w:val="1"/>
          <w:color w:val="auto"/>
        </w:rPr>
        <w:drawing>
          <wp:inline distT="0" distB="0" distL="0" distR="0">
            <wp:extent cx="182880" cy="13335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in progress     </w:t>
      </w: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not in progress</w:t>
      </w:r>
    </w:p>
    <w:p>
      <w:pPr>
        <w:sectPr>
          <w:pgSz w:w="15840" w:h="12266" w:orient="landscape"/>
          <w:cols w:equalWidth="0" w:num="1">
            <w:col w:w="14900"/>
          </w:cols>
          <w:pgMar w:left="380" w:top="804" w:right="56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7" w:lineRule="exact"/>
        <w:rPr>
          <w:sz w:val="20"/>
          <w:szCs w:val="20"/>
          <w:color w:val="auto"/>
        </w:rPr>
      </w:pPr>
    </w:p>
    <w:p>
      <w:pPr>
        <w:jc w:val="right"/>
        <w:ind w:right="144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27</w:t>
      </w:r>
    </w:p>
    <w:p>
      <w:pPr>
        <w:jc w:val="right"/>
        <w:ind w:right="1444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27</w:t>
      </w:r>
    </w:p>
    <w:p>
      <w:pPr>
        <w:sectPr>
          <w:pgSz w:w="15840" w:h="12266" w:orient="landscape"/>
          <w:cols w:equalWidth="0" w:num="1">
            <w:col w:w="14900"/>
          </w:cols>
          <w:pgMar w:left="380" w:top="804" w:right="560" w:bottom="0" w:gutter="0" w:footer="0" w:header="0"/>
          <w:type w:val="continuous"/>
        </w:sectPr>
      </w:pPr>
    </w:p>
    <w:bookmarkStart w:id="27" w:name="page28"/>
    <w:bookmarkEnd w:id="27"/>
    <w:p>
      <w:pPr>
        <w:spacing w:after="0" w:line="2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74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56"/>
          <w:szCs w:val="56"/>
          <w:b w:val="1"/>
          <w:bCs w:val="1"/>
          <w:color w:val="FFFFFF"/>
        </w:rPr>
        <w:t>Recovery Support Initiatives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Department of Public Health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480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2060"/>
        </w:rPr>
        <w:t>•</w:t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Enforce and strengthen the requirement that all licensed addiction treatment programs accept patients who are on methadone or</w:t>
      </w:r>
      <w:r>
        <w:rPr>
          <w:rFonts w:ascii="Arial" w:cs="Arial" w:eastAsia="Arial" w:hAnsi="Arial"/>
          <w:sz w:val="24"/>
          <w:szCs w:val="24"/>
          <w:color w:val="002060"/>
        </w:rPr>
        <w:t xml:space="preserve"> </w:t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buprenorphine medication </w:t>
      </w: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ind w:left="480" w:right="2800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2060"/>
        </w:rPr>
        <w:t>•</w:t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Implement a process to certify alcohol and drug-free housing to increase accountability and credibility</w:t>
      </w:r>
      <w:r>
        <w:rPr>
          <w:rFonts w:ascii="Arial" w:cs="Arial" w:eastAsia="Arial" w:hAnsi="Arial"/>
          <w:sz w:val="24"/>
          <w:szCs w:val="24"/>
          <w:color w:val="002060"/>
        </w:rPr>
        <w:t xml:space="preserve"> •</w:t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Establish revised rates for residential recovery homes, effective July 1, 2015</w:t>
      </w:r>
      <w:r>
        <w:rPr>
          <w:rFonts w:ascii="Arial" w:cs="Arial" w:eastAsia="Arial" w:hAnsi="Arial"/>
          <w:sz w:val="24"/>
          <w:szCs w:val="24"/>
          <w:color w:val="002060"/>
        </w:rPr>
        <w:t xml:space="preserve"> •</w:t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Leverage community coalitions to address the opioid epidemic</w:t>
      </w:r>
      <w:r>
        <w:rPr>
          <w:rFonts w:ascii="Arial" w:cs="Arial" w:eastAsia="Arial" w:hAnsi="Arial"/>
          <w:sz w:val="24"/>
          <w:szCs w:val="24"/>
          <w:color w:val="002060"/>
        </w:rPr>
        <w:t xml:space="preserve"> •</w:t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Open Recovery High School in Worcester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8"/>
          <w:szCs w:val="28"/>
          <w:b w:val="1"/>
          <w:bCs w:val="1"/>
          <w:color w:val="002060"/>
        </w:rPr>
        <w:t>Executive Office of Health and Human Services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840" w:hanging="356"/>
        <w:spacing w:after="0"/>
        <w:tabs>
          <w:tab w:leader="none" w:pos="840" w:val="left"/>
        </w:tabs>
        <w:numPr>
          <w:ilvl w:val="0"/>
          <w:numId w:val="44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>Create a consistent public behavioral health policy through a review of all DPH and DMH licensing regulations for outpatient</w:t>
      </w:r>
    </w:p>
    <w:p>
      <w:pPr>
        <w:jc w:val="center"/>
        <w:ind w:right="920"/>
        <w:spacing w:after="0" w:line="232" w:lineRule="auto"/>
        <w:rPr>
          <w:sz w:val="20"/>
          <w:szCs w:val="20"/>
          <w:color w:val="auto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>primary care clinics, outpatient mental health clinics, and BSAS programs removing all barriers to integration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480"/>
        <w:spacing w:after="0"/>
        <w:tabs>
          <w:tab w:leader="none" w:pos="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2060"/>
        </w:rPr>
        <w:t>•</w:t>
      </w:r>
      <w:r>
        <w:rPr>
          <w:sz w:val="20"/>
          <w:szCs w:val="20"/>
          <w:color w:val="auto"/>
        </w:rPr>
        <w:tab/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>Ensure MassHealth coverage is reinstated on an accelerated basis for individuals upon release from incarceration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840" w:right="160" w:hanging="356"/>
        <w:spacing w:after="0" w:line="231" w:lineRule="auto"/>
        <w:tabs>
          <w:tab w:leader="none" w:pos="840" w:val="left"/>
        </w:tabs>
        <w:numPr>
          <w:ilvl w:val="0"/>
          <w:numId w:val="45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>Establish a single point of accountability for addiction and recovery policy within the Executive Office of Health and Human Services</w:t>
      </w:r>
    </w:p>
    <w:p>
      <w:pPr>
        <w:spacing w:after="0" w:line="48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840" w:hanging="356"/>
        <w:spacing w:after="0"/>
        <w:tabs>
          <w:tab w:leader="none" w:pos="840" w:val="left"/>
        </w:tabs>
        <w:numPr>
          <w:ilvl w:val="0"/>
          <w:numId w:val="45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Amend the composition of the Interagency Council on Substance Abuse,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 xml:space="preserve">Legislation required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2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840" w:hanging="356"/>
        <w:spacing w:after="0"/>
        <w:tabs>
          <w:tab w:leader="none" w:pos="840" w:val="left"/>
        </w:tabs>
        <w:numPr>
          <w:ilvl w:val="0"/>
          <w:numId w:val="45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Report publicly on the progress and challenges of implementing the working group’s recommendations 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61925" cy="142875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60" w:lineRule="exact"/>
        <w:rPr>
          <w:rFonts w:ascii="Arial" w:cs="Arial" w:eastAsia="Arial" w:hAnsi="Arial"/>
          <w:sz w:val="24"/>
          <w:szCs w:val="24"/>
          <w:color w:val="002060"/>
        </w:rPr>
      </w:pPr>
    </w:p>
    <w:p>
      <w:pPr>
        <w:ind w:left="840" w:right="180" w:hanging="356"/>
        <w:spacing w:after="0" w:line="234" w:lineRule="auto"/>
        <w:tabs>
          <w:tab w:leader="none" w:pos="840" w:val="left"/>
        </w:tabs>
        <w:numPr>
          <w:ilvl w:val="0"/>
          <w:numId w:val="45"/>
        </w:numPr>
        <w:rPr>
          <w:rFonts w:ascii="Arial" w:cs="Arial" w:eastAsia="Arial" w:hAnsi="Arial"/>
          <w:sz w:val="24"/>
          <w:szCs w:val="24"/>
          <w:color w:val="002060"/>
        </w:rPr>
      </w:pP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Increase federal support for substance use prevention, intervention, treatment, and recovery efforts uniquely tailored for our Veterans, </w:t>
      </w:r>
      <w:r>
        <w:rPr>
          <w:rFonts w:ascii="Book Antiqua" w:cs="Book Antiqua" w:eastAsia="Book Antiqua" w:hAnsi="Book Antiqua"/>
          <w:sz w:val="24"/>
          <w:szCs w:val="24"/>
          <w:b w:val="1"/>
          <w:bCs w:val="1"/>
          <w:i w:val="1"/>
          <w:iCs w:val="1"/>
          <w:color w:val="002060"/>
        </w:rPr>
        <w:t xml:space="preserve">through a partnership with federal leaders </w:t>
      </w:r>
      <w:r>
        <w:rPr>
          <w:rFonts w:ascii="Arial" w:cs="Arial" w:eastAsia="Arial" w:hAnsi="Arial"/>
          <w:sz w:val="1"/>
          <w:szCs w:val="1"/>
          <w:color w:val="002060"/>
        </w:rPr>
        <w:drawing>
          <wp:inline distT="0" distB="0" distL="0" distR="0">
            <wp:extent cx="180975" cy="13335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262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complete     </w:t>
      </w:r>
      <w:r>
        <w:rPr>
          <w:sz w:val="1"/>
          <w:szCs w:val="1"/>
          <w:color w:val="auto"/>
        </w:rPr>
        <w:drawing>
          <wp:inline distT="0" distB="0" distL="0" distR="0">
            <wp:extent cx="182880" cy="13335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in progress     </w:t>
      </w:r>
      <w:r>
        <w:rPr>
          <w:sz w:val="1"/>
          <w:szCs w:val="1"/>
          <w:color w:val="auto"/>
        </w:rPr>
        <w:drawing>
          <wp:inline distT="0" distB="0" distL="0" distR="0">
            <wp:extent cx="161925" cy="142875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cs="Book Antiqua" w:eastAsia="Book Antiqua" w:hAnsi="Book Antiqua"/>
          <w:sz w:val="24"/>
          <w:szCs w:val="24"/>
          <w:color w:val="002060"/>
        </w:rPr>
        <w:t xml:space="preserve"> not in progress</w:t>
      </w:r>
    </w:p>
    <w:p>
      <w:pPr>
        <w:sectPr>
          <w:pgSz w:w="15840" w:h="12266" w:orient="landscape"/>
          <w:cols w:equalWidth="0" w:num="1">
            <w:col w:w="14220"/>
          </w:cols>
          <w:pgMar w:left="380" w:top="668" w:right="12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jc w:val="right"/>
        <w:ind w:right="138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0"/>
          <w:szCs w:val="40"/>
          <w:color w:val="FFFFFF"/>
        </w:rPr>
        <w:t>28</w:t>
      </w:r>
    </w:p>
    <w:p>
      <w:pPr>
        <w:jc w:val="right"/>
        <w:ind w:right="13760"/>
        <w:spacing w:after="0" w:line="19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898989"/>
        </w:rPr>
        <w:t>28</w:t>
      </w:r>
    </w:p>
    <w:sectPr>
      <w:pgSz w:w="15840" w:h="12266" w:orient="landscape"/>
      <w:cols w:equalWidth="0" w:num="1">
        <w:col w:w="14220"/>
      </w:cols>
      <w:pgMar w:left="380" w:top="668" w:right="12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variable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2D1D5AE9"/>
    <w:multiLevelType w:val="hybridMultilevel"/>
    <w:lvl w:ilvl="0">
      <w:lvlJc w:val="left"/>
      <w:lvlText w:val=""/>
      <w:numFmt w:val="bullet"/>
      <w:start w:val="1"/>
    </w:lvl>
  </w:abstractNum>
  <w:abstractNum w:abstractNumId="1">
    <w:nsid w:val="6763845E"/>
    <w:multiLevelType w:val="hybridMultilevel"/>
    <w:lvl w:ilvl="0">
      <w:lvlJc w:val="left"/>
      <w:lvlText w:val=""/>
      <w:numFmt w:val="bullet"/>
      <w:start w:val="1"/>
    </w:lvl>
  </w:abstractNum>
  <w:abstractNum w:abstractNumId="2">
    <w:nsid w:val="75A2A8D4"/>
    <w:multiLevelType w:val="hybridMultilevel"/>
    <w:lvl w:ilvl="0">
      <w:lvlJc w:val="left"/>
      <w:lvlText w:val="\endash "/>
      <w:numFmt w:val="bullet"/>
      <w:start w:val="1"/>
    </w:lvl>
  </w:abstractNum>
  <w:abstractNum w:abstractNumId="3">
    <w:nsid w:val="8EDBDAB"/>
    <w:multiLevelType w:val="hybridMultilevel"/>
    <w:lvl w:ilvl="0">
      <w:lvlJc w:val="left"/>
      <w:lvlText w:val="\endash "/>
      <w:numFmt w:val="bullet"/>
      <w:start w:val="1"/>
    </w:lvl>
  </w:abstractNum>
  <w:abstractNum w:abstractNumId="4">
    <w:nsid w:val="79838CB2"/>
    <w:multiLevelType w:val="hybridMultilevel"/>
    <w:lvl w:ilvl="0">
      <w:lvlJc w:val="left"/>
      <w:lvlText w:val="\endash "/>
      <w:numFmt w:val="bullet"/>
      <w:start w:val="1"/>
    </w:lvl>
  </w:abstractNum>
  <w:abstractNum w:abstractNumId="5">
    <w:nsid w:val="4353D0CD"/>
    <w:multiLevelType w:val="hybridMultilevel"/>
    <w:lvl w:ilvl="0">
      <w:lvlJc w:val="left"/>
      <w:lvlText w:val="\endash "/>
      <w:numFmt w:val="bullet"/>
      <w:start w:val="1"/>
    </w:lvl>
  </w:abstractNum>
  <w:abstractNum w:abstractNumId="6">
    <w:nsid w:val="B03E0C6"/>
    <w:multiLevelType w:val="hybridMultilevel"/>
    <w:lvl w:ilvl="0">
      <w:lvlJc w:val="left"/>
      <w:lvlText w:val="%1"/>
      <w:numFmt w:val="decimal"/>
      <w:start w:val="1"/>
    </w:lvl>
  </w:abstractNum>
  <w:abstractNum w:abstractNumId="7">
    <w:nsid w:val="189A769B"/>
    <w:multiLevelType w:val="hybridMultilevel"/>
    <w:lvl w:ilvl="0">
      <w:lvlJc w:val="left"/>
      <w:lvlText w:val="%1."/>
      <w:numFmt w:val="decimal"/>
      <w:start w:val="1"/>
    </w:lvl>
  </w:abstractNum>
  <w:abstractNum w:abstractNumId="8">
    <w:nsid w:val="54E49EB4"/>
    <w:multiLevelType w:val="hybridMultilevel"/>
    <w:lvl w:ilvl="0">
      <w:lvlJc w:val="left"/>
      <w:lvlText w:val="\endash "/>
      <w:numFmt w:val="bullet"/>
      <w:start w:val="1"/>
    </w:lvl>
  </w:abstractNum>
  <w:abstractNum w:abstractNumId="9">
    <w:nsid w:val="71F32454"/>
    <w:multiLevelType w:val="hybridMultilevel"/>
    <w:lvl w:ilvl="0">
      <w:lvlJc w:val="left"/>
      <w:lvlText w:val="\endash "/>
      <w:numFmt w:val="bullet"/>
      <w:start w:val="1"/>
    </w:lvl>
  </w:abstractNum>
  <w:abstractNum w:abstractNumId="10">
    <w:nsid w:val="2CA88611"/>
    <w:multiLevelType w:val="hybridMultilevel"/>
    <w:lvl w:ilvl="0">
      <w:lvlJc w:val="left"/>
      <w:lvlText w:val="\endash "/>
      <w:numFmt w:val="bullet"/>
      <w:start w:val="1"/>
    </w:lvl>
  </w:abstractNum>
  <w:abstractNum w:abstractNumId="11">
    <w:nsid w:val="836C40E"/>
    <w:multiLevelType w:val="hybridMultilevel"/>
    <w:lvl w:ilvl="0">
      <w:lvlJc w:val="left"/>
      <w:lvlText w:val="•"/>
      <w:numFmt w:val="bullet"/>
      <w:start w:val="1"/>
    </w:lvl>
  </w:abstractNum>
  <w:abstractNum w:abstractNumId="12">
    <w:nsid w:val="2901D82"/>
    <w:multiLevelType w:val="hybridMultilevel"/>
    <w:lvl w:ilvl="0">
      <w:lvlJc w:val="left"/>
      <w:lvlText w:val="•"/>
      <w:numFmt w:val="bullet"/>
      <w:start w:val="1"/>
    </w:lvl>
    <w:lvl w:ilvl="1">
      <w:lvlJc w:val="left"/>
      <w:lvlText w:val="\endash "/>
      <w:numFmt w:val="bullet"/>
      <w:start w:val="1"/>
    </w:lvl>
  </w:abstractNum>
  <w:abstractNum w:abstractNumId="13">
    <w:nsid w:val="3A95F874"/>
    <w:multiLevelType w:val="hybridMultilevel"/>
    <w:lvl w:ilvl="0">
      <w:lvlJc w:val="left"/>
      <w:lvlText w:val="\endash "/>
      <w:numFmt w:val="bullet"/>
      <w:start w:val="1"/>
    </w:lvl>
  </w:abstractNum>
  <w:abstractNum w:abstractNumId="14">
    <w:nsid w:val="8138641"/>
    <w:multiLevelType w:val="hybridMultilevel"/>
    <w:lvl w:ilvl="0">
      <w:lvlJc w:val="left"/>
      <w:lvlText w:val="\endash "/>
      <w:numFmt w:val="bullet"/>
      <w:start w:val="1"/>
    </w:lvl>
    <w:lvl w:ilvl="1">
      <w:lvlJc w:val="left"/>
      <w:lvlText w:val="•"/>
      <w:numFmt w:val="bullet"/>
      <w:start w:val="1"/>
    </w:lvl>
    <w:lvl w:ilvl="2">
      <w:lvlJc w:val="left"/>
      <w:lvlText w:val="\endash "/>
      <w:numFmt w:val="bullet"/>
      <w:start w:val="1"/>
    </w:lvl>
  </w:abstractNum>
  <w:abstractNum w:abstractNumId="15">
    <w:nsid w:val="1E7FF521"/>
    <w:multiLevelType w:val="hybridMultilevel"/>
    <w:lvl w:ilvl="0">
      <w:lvlJc w:val="left"/>
      <w:lvlText w:val="•"/>
      <w:numFmt w:val="bullet"/>
      <w:start w:val="1"/>
    </w:lvl>
  </w:abstractNum>
  <w:abstractNum w:abstractNumId="16">
    <w:nsid w:val="7C3DBD3D"/>
    <w:multiLevelType w:val="hybridMultilevel"/>
    <w:lvl w:ilvl="0">
      <w:lvlJc w:val="left"/>
      <w:lvlText w:val="•"/>
      <w:numFmt w:val="bullet"/>
      <w:start w:val="1"/>
    </w:lvl>
    <w:lvl w:ilvl="1">
      <w:lvlJc w:val="left"/>
      <w:lvlText w:val="\endash "/>
      <w:numFmt w:val="bullet"/>
      <w:start w:val="1"/>
    </w:lvl>
  </w:abstractNum>
  <w:abstractNum w:abstractNumId="17">
    <w:nsid w:val="737B8DDC"/>
    <w:multiLevelType w:val="hybridMultilevel"/>
    <w:lvl w:ilvl="0">
      <w:lvlJc w:val="left"/>
      <w:lvlText w:val="•"/>
      <w:numFmt w:val="bullet"/>
      <w:start w:val="1"/>
    </w:lvl>
  </w:abstractNum>
  <w:abstractNum w:abstractNumId="18">
    <w:nsid w:val="6CEAF087"/>
    <w:multiLevelType w:val="hybridMultilevel"/>
    <w:lvl w:ilvl="0">
      <w:lvlJc w:val="left"/>
      <w:lvlText w:val="•"/>
      <w:numFmt w:val="bullet"/>
      <w:start w:val="1"/>
    </w:lvl>
  </w:abstractNum>
  <w:abstractNum w:abstractNumId="19">
    <w:nsid w:val="22221A70"/>
    <w:multiLevelType w:val="hybridMultilevel"/>
    <w:lvl w:ilvl="0">
      <w:lvlJc w:val="left"/>
      <w:lvlText w:val="•"/>
      <w:numFmt w:val="bullet"/>
      <w:start w:val="1"/>
    </w:lvl>
  </w:abstractNum>
  <w:abstractNum w:abstractNumId="20">
    <w:nsid w:val="4516DDE9"/>
    <w:multiLevelType w:val="hybridMultilevel"/>
    <w:lvl w:ilvl="0">
      <w:lvlJc w:val="left"/>
      <w:lvlText w:val="•"/>
      <w:numFmt w:val="bullet"/>
      <w:start w:val="1"/>
    </w:lvl>
  </w:abstractNum>
  <w:abstractNum w:abstractNumId="21">
    <w:nsid w:val="3006C83E"/>
    <w:multiLevelType w:val="hybridMultilevel"/>
    <w:lvl w:ilvl="0">
      <w:lvlJc w:val="left"/>
      <w:lvlText w:val="•"/>
      <w:numFmt w:val="bullet"/>
      <w:start w:val="1"/>
    </w:lvl>
    <w:lvl w:ilvl="1">
      <w:lvlJc w:val="left"/>
      <w:lvlText w:val="•"/>
      <w:numFmt w:val="bullet"/>
      <w:start w:val="1"/>
    </w:lvl>
  </w:abstractNum>
  <w:abstractNum w:abstractNumId="22">
    <w:nsid w:val="614FD4A1"/>
    <w:multiLevelType w:val="hybridMultilevel"/>
    <w:lvl w:ilvl="0">
      <w:lvlJc w:val="left"/>
      <w:lvlText w:val="•"/>
      <w:numFmt w:val="bullet"/>
      <w:start w:val="1"/>
    </w:lvl>
    <w:lvl w:ilvl="1">
      <w:lvlJc w:val="left"/>
      <w:lvlText w:val="\endash "/>
      <w:numFmt w:val="bullet"/>
      <w:start w:val="1"/>
    </w:lvl>
  </w:abstractNum>
  <w:abstractNum w:abstractNumId="23">
    <w:nsid w:val="419AC241"/>
    <w:multiLevelType w:val="hybridMultilevel"/>
    <w:lvl w:ilvl="0">
      <w:lvlJc w:val="left"/>
      <w:lvlText w:val="\endash "/>
      <w:numFmt w:val="bullet"/>
      <w:start w:val="1"/>
    </w:lvl>
  </w:abstractNum>
  <w:abstractNum w:abstractNumId="24">
    <w:nsid w:val="5577F8E1"/>
    <w:multiLevelType w:val="hybridMultilevel"/>
    <w:lvl w:ilvl="0">
      <w:lvlJc w:val="left"/>
      <w:lvlText w:val="\endash "/>
      <w:numFmt w:val="bullet"/>
      <w:start w:val="1"/>
    </w:lvl>
  </w:abstractNum>
  <w:abstractNum w:abstractNumId="25">
    <w:nsid w:val="440BADFC"/>
    <w:multiLevelType w:val="hybridMultilevel"/>
    <w:lvl w:ilvl="0">
      <w:lvlJc w:val="left"/>
      <w:lvlText w:val="%1"/>
      <w:numFmt w:val="decimal"/>
      <w:start w:val="160"/>
    </w:lvl>
  </w:abstractNum>
  <w:abstractNum w:abstractNumId="26">
    <w:nsid w:val="5072367"/>
    <w:multiLevelType w:val="hybridMultilevel"/>
    <w:lvl w:ilvl="0">
      <w:lvlJc w:val="left"/>
      <w:lvlText w:val="%1"/>
      <w:numFmt w:val="decimal"/>
      <w:start w:val="140"/>
    </w:lvl>
  </w:abstractNum>
  <w:abstractNum w:abstractNumId="27">
    <w:nsid w:val="3804823E"/>
    <w:multiLevelType w:val="hybridMultilevel"/>
    <w:lvl w:ilvl="0">
      <w:lvlJc w:val="left"/>
      <w:lvlText w:val="•"/>
      <w:numFmt w:val="bullet"/>
      <w:start w:val="1"/>
    </w:lvl>
  </w:abstractNum>
  <w:abstractNum w:abstractNumId="28">
    <w:nsid w:val="77465F01"/>
    <w:multiLevelType w:val="hybridMultilevel"/>
    <w:lvl w:ilvl="0">
      <w:lvlJc w:val="left"/>
      <w:lvlText w:val="•"/>
      <w:numFmt w:val="bullet"/>
      <w:start w:val="1"/>
    </w:lvl>
  </w:abstractNum>
  <w:abstractNum w:abstractNumId="29">
    <w:nsid w:val="7724C67E"/>
    <w:multiLevelType w:val="hybridMultilevel"/>
    <w:lvl w:ilvl="0">
      <w:lvlJc w:val="left"/>
      <w:lvlText w:val="•"/>
      <w:numFmt w:val="bullet"/>
      <w:start w:val="1"/>
    </w:lvl>
  </w:abstractNum>
  <w:abstractNum w:abstractNumId="30">
    <w:nsid w:val="5C482A97"/>
    <w:multiLevelType w:val="hybridMultilevel"/>
    <w:lvl w:ilvl="0">
      <w:lvlJc w:val="left"/>
      <w:lvlText w:val="•"/>
      <w:numFmt w:val="bullet"/>
      <w:start w:val="1"/>
    </w:lvl>
  </w:abstractNum>
  <w:abstractNum w:abstractNumId="31">
    <w:nsid w:val="2463B9EA"/>
    <w:multiLevelType w:val="hybridMultilevel"/>
    <w:lvl w:ilvl="0">
      <w:lvlJc w:val="left"/>
      <w:lvlText w:val="•"/>
      <w:numFmt w:val="bullet"/>
      <w:start w:val="1"/>
    </w:lvl>
  </w:abstractNum>
  <w:abstractNum w:abstractNumId="32">
    <w:nsid w:val="5E884ADC"/>
    <w:multiLevelType w:val="hybridMultilevel"/>
    <w:lvl w:ilvl="0">
      <w:lvlJc w:val="left"/>
      <w:lvlText w:val="•"/>
      <w:numFmt w:val="bullet"/>
      <w:start w:val="1"/>
    </w:lvl>
  </w:abstractNum>
  <w:abstractNum w:abstractNumId="33">
    <w:nsid w:val="51EAD36B"/>
    <w:multiLevelType w:val="hybridMultilevel"/>
    <w:lvl w:ilvl="0">
      <w:lvlJc w:val="left"/>
      <w:lvlText w:val="•"/>
      <w:numFmt w:val="bullet"/>
      <w:start w:val="1"/>
    </w:lvl>
  </w:abstractNum>
  <w:abstractNum w:abstractNumId="34">
    <w:nsid w:val="2D517796"/>
    <w:multiLevelType w:val="hybridMultilevel"/>
    <w:lvl w:ilvl="0">
      <w:lvlJc w:val="left"/>
      <w:lvlText w:val="•"/>
      <w:numFmt w:val="bullet"/>
      <w:start w:val="1"/>
    </w:lvl>
  </w:abstractNum>
  <w:abstractNum w:abstractNumId="35">
    <w:nsid w:val="580BD78F"/>
    <w:multiLevelType w:val="hybridMultilevel"/>
    <w:lvl w:ilvl="0">
      <w:lvlJc w:val="left"/>
      <w:lvlText w:val="•"/>
      <w:numFmt w:val="bullet"/>
      <w:start w:val="1"/>
    </w:lvl>
  </w:abstractNum>
  <w:abstractNum w:abstractNumId="36">
    <w:nsid w:val="153EA438"/>
    <w:multiLevelType w:val="hybridMultilevel"/>
    <w:lvl w:ilvl="0">
      <w:lvlJc w:val="left"/>
      <w:lvlText w:val="•"/>
      <w:numFmt w:val="bullet"/>
      <w:start w:val="1"/>
    </w:lvl>
  </w:abstractNum>
  <w:abstractNum w:abstractNumId="37">
    <w:nsid w:val="3855585C"/>
    <w:multiLevelType w:val="hybridMultilevel"/>
    <w:lvl w:ilvl="0">
      <w:lvlJc w:val="left"/>
      <w:lvlText w:val="•"/>
      <w:numFmt w:val="bullet"/>
      <w:start w:val="1"/>
    </w:lvl>
  </w:abstractNum>
  <w:abstractNum w:abstractNumId="38">
    <w:nsid w:val="70A64E2A"/>
    <w:multiLevelType w:val="hybridMultilevel"/>
    <w:lvl w:ilvl="0">
      <w:lvlJc w:val="left"/>
      <w:lvlText w:val="•"/>
      <w:numFmt w:val="bullet"/>
      <w:start w:val="1"/>
    </w:lvl>
    <w:lvl w:ilvl="1">
      <w:lvlJc w:val="left"/>
      <w:lvlText w:val="•"/>
      <w:numFmt w:val="bullet"/>
      <w:start w:val="1"/>
    </w:lvl>
  </w:abstractNum>
  <w:abstractNum w:abstractNumId="39">
    <w:nsid w:val="6A2342EC"/>
    <w:multiLevelType w:val="hybridMultilevel"/>
    <w:lvl w:ilvl="0">
      <w:lvlJc w:val="left"/>
      <w:lvlText w:val="•"/>
      <w:numFmt w:val="bullet"/>
      <w:start w:val="1"/>
    </w:lvl>
  </w:abstractNum>
  <w:abstractNum w:abstractNumId="40">
    <w:nsid w:val="2A487CB0"/>
    <w:multiLevelType w:val="hybridMultilevel"/>
    <w:lvl w:ilvl="0">
      <w:lvlJc w:val="left"/>
      <w:lvlText w:val="•"/>
      <w:numFmt w:val="bullet"/>
      <w:start w:val="1"/>
    </w:lvl>
  </w:abstractNum>
  <w:abstractNum w:abstractNumId="41">
    <w:nsid w:val="1D4ED43B"/>
    <w:multiLevelType w:val="hybridMultilevel"/>
    <w:lvl w:ilvl="0">
      <w:lvlJc w:val="left"/>
      <w:lvlText w:val="•"/>
      <w:numFmt w:val="bullet"/>
      <w:start w:val="1"/>
    </w:lvl>
  </w:abstractNum>
  <w:abstractNum w:abstractNumId="42">
    <w:nsid w:val="725A06FB"/>
    <w:multiLevelType w:val="hybridMultilevel"/>
    <w:lvl w:ilvl="0">
      <w:lvlJc w:val="left"/>
      <w:lvlText w:val="•"/>
      <w:numFmt w:val="bullet"/>
      <w:start w:val="1"/>
    </w:lvl>
  </w:abstractNum>
  <w:abstractNum w:abstractNumId="43">
    <w:nsid w:val="2CD89A32"/>
    <w:multiLevelType w:val="hybridMultilevel"/>
    <w:lvl w:ilvl="0">
      <w:lvlJc w:val="left"/>
      <w:lvlText w:val="•"/>
      <w:numFmt w:val="bullet"/>
      <w:start w:val="1"/>
    </w:lvl>
  </w:abstractNum>
  <w:abstractNum w:abstractNumId="44">
    <w:nsid w:val="57E4CCAF"/>
    <w:multiLevelType w:val="hybridMultilevel"/>
    <w:lvl w:ilvl="0">
      <w:lvlJc w:val="left"/>
      <w:lvlText w:val="•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image" Target="media/image24.jpeg"/><Relationship Id="rId33" Type="http://schemas.openxmlformats.org/officeDocument/2006/relationships/image" Target="media/image25.jpeg"/><Relationship Id="rId34" Type="http://schemas.openxmlformats.org/officeDocument/2006/relationships/image" Target="media/image26.jpeg"/><Relationship Id="rId35" Type="http://schemas.openxmlformats.org/officeDocument/2006/relationships/image" Target="media/image27.jpeg"/><Relationship Id="rId36" Type="http://schemas.openxmlformats.org/officeDocument/2006/relationships/image" Target="media/image28.jpeg"/><Relationship Id="rId37" Type="http://schemas.openxmlformats.org/officeDocument/2006/relationships/image" Target="media/image29.jpeg"/><Relationship Id="rId38" Type="http://schemas.openxmlformats.org/officeDocument/2006/relationships/image" Target="media/image30.jpeg"/><Relationship Id="rId39" Type="http://schemas.openxmlformats.org/officeDocument/2006/relationships/image" Target="media/image31.jpeg"/><Relationship Id="rId40" Type="http://schemas.openxmlformats.org/officeDocument/2006/relationships/image" Target="media/image32.jpeg"/><Relationship Id="rId41" Type="http://schemas.openxmlformats.org/officeDocument/2006/relationships/image" Target="media/image33.jpeg"/><Relationship Id="rId42" Type="http://schemas.openxmlformats.org/officeDocument/2006/relationships/image" Target="media/image34.jpeg"/><Relationship Id="rId43" Type="http://schemas.openxmlformats.org/officeDocument/2006/relationships/image" Target="media/image35.jpeg"/><Relationship Id="rId44" Type="http://schemas.openxmlformats.org/officeDocument/2006/relationships/image" Target="media/image36.jpeg"/><Relationship Id="rId45" Type="http://schemas.openxmlformats.org/officeDocument/2006/relationships/image" Target="media/image37.jpeg"/><Relationship Id="rId46" Type="http://schemas.openxmlformats.org/officeDocument/2006/relationships/image" Target="media/image38.jpeg"/><Relationship Id="rId47" Type="http://schemas.openxmlformats.org/officeDocument/2006/relationships/image" Target="media/image39.jpeg"/><Relationship Id="rId48" Type="http://schemas.openxmlformats.org/officeDocument/2006/relationships/image" Target="media/image40.jpeg"/><Relationship Id="rId49" Type="http://schemas.openxmlformats.org/officeDocument/2006/relationships/image" Target="media/image41.jpeg"/><Relationship Id="rId50" Type="http://schemas.openxmlformats.org/officeDocument/2006/relationships/image" Target="media/image42.jpeg"/><Relationship Id="rId51" Type="http://schemas.openxmlformats.org/officeDocument/2006/relationships/image" Target="media/image43.jpeg"/><Relationship Id="rId52" Type="http://schemas.openxmlformats.org/officeDocument/2006/relationships/image" Target="media/image44.jpeg"/><Relationship Id="rId53" Type="http://schemas.openxmlformats.org/officeDocument/2006/relationships/image" Target="media/image45.jpeg"/><Relationship Id="rId54" Type="http://schemas.openxmlformats.org/officeDocument/2006/relationships/image" Target="media/image46.jpeg"/><Relationship Id="rId55" Type="http://schemas.openxmlformats.org/officeDocument/2006/relationships/image" Target="media/image47.jpeg"/><Relationship Id="rId56" Type="http://schemas.openxmlformats.org/officeDocument/2006/relationships/image" Target="media/image48.jpeg"/><Relationship Id="rId57" Type="http://schemas.openxmlformats.org/officeDocument/2006/relationships/image" Target="media/image49.jpeg"/><Relationship Id="rId58" Type="http://schemas.openxmlformats.org/officeDocument/2006/relationships/image" Target="media/image50.jpeg"/><Relationship Id="rId59" Type="http://schemas.openxmlformats.org/officeDocument/2006/relationships/image" Target="media/image51.jpeg"/><Relationship Id="rId60" Type="http://schemas.openxmlformats.org/officeDocument/2006/relationships/image" Target="media/image52.jpeg"/><Relationship Id="rId61" Type="http://schemas.openxmlformats.org/officeDocument/2006/relationships/image" Target="media/image53.jpeg"/><Relationship Id="rId62" Type="http://schemas.openxmlformats.org/officeDocument/2006/relationships/image" Target="media/image54.jpeg"/><Relationship Id="rId63" Type="http://schemas.openxmlformats.org/officeDocument/2006/relationships/image" Target="media/image55.jpeg"/><Relationship Id="rId64" Type="http://schemas.openxmlformats.org/officeDocument/2006/relationships/image" Target="media/image56.jpeg"/><Relationship Id="rId65" Type="http://schemas.openxmlformats.org/officeDocument/2006/relationships/image" Target="media/image57.jpeg"/><Relationship Id="rId66" Type="http://schemas.openxmlformats.org/officeDocument/2006/relationships/image" Target="media/image58.jpeg"/><Relationship Id="rId67" Type="http://schemas.openxmlformats.org/officeDocument/2006/relationships/image" Target="media/image59.jpeg"/><Relationship Id="rId68" Type="http://schemas.openxmlformats.org/officeDocument/2006/relationships/image" Target="media/image60.jpeg"/><Relationship Id="rId69" Type="http://schemas.openxmlformats.org/officeDocument/2006/relationships/image" Target="media/image61.jpeg"/><Relationship Id="rId70" Type="http://schemas.openxmlformats.org/officeDocument/2006/relationships/image" Target="media/image62.jpeg"/><Relationship Id="rId71" Type="http://schemas.openxmlformats.org/officeDocument/2006/relationships/image" Target="media/image63.jpeg"/><Relationship Id="rId72" Type="http://schemas.openxmlformats.org/officeDocument/2006/relationships/image" Target="media/image64.jpeg"/><Relationship Id="rId73" Type="http://schemas.openxmlformats.org/officeDocument/2006/relationships/image" Target="media/image65.jpeg"/><Relationship Id="rId74" Type="http://schemas.openxmlformats.org/officeDocument/2006/relationships/image" Target="media/image66.jpeg"/><Relationship Id="rId75" Type="http://schemas.openxmlformats.org/officeDocument/2006/relationships/image" Target="media/image67.jpeg"/><Relationship Id="rId76" Type="http://schemas.openxmlformats.org/officeDocument/2006/relationships/image" Target="media/image68.jpeg"/><Relationship Id="rId77" Type="http://schemas.openxmlformats.org/officeDocument/2006/relationships/image" Target="media/image69.jpeg"/><Relationship Id="rId78" Type="http://schemas.openxmlformats.org/officeDocument/2006/relationships/image" Target="media/image70.jpeg"/><Relationship Id="rId79" Type="http://schemas.openxmlformats.org/officeDocument/2006/relationships/image" Target="media/image71.jpeg"/><Relationship Id="rId80" Type="http://schemas.openxmlformats.org/officeDocument/2006/relationships/image" Target="media/image72.jpeg"/><Relationship Id="rId81" Type="http://schemas.openxmlformats.org/officeDocument/2006/relationships/image" Target="media/image73.jpeg"/><Relationship Id="rId82" Type="http://schemas.openxmlformats.org/officeDocument/2006/relationships/image" Target="media/image74.jpeg"/><Relationship Id="rId83" Type="http://schemas.openxmlformats.org/officeDocument/2006/relationships/image" Target="media/image75.jpeg"/><Relationship Id="rId84" Type="http://schemas.openxmlformats.org/officeDocument/2006/relationships/image" Target="media/image76.jpeg"/><Relationship Id="rId85" Type="http://schemas.openxmlformats.org/officeDocument/2006/relationships/image" Target="media/image77.jpeg"/><Relationship Id="rId86" Type="http://schemas.openxmlformats.org/officeDocument/2006/relationships/image" Target="media/image78.jpeg"/><Relationship Id="rId87" Type="http://schemas.openxmlformats.org/officeDocument/2006/relationships/image" Target="media/image79.jpeg"/><Relationship Id="rId88" Type="http://schemas.openxmlformats.org/officeDocument/2006/relationships/image" Target="media/image80.jpeg"/><Relationship Id="rId89" Type="http://schemas.openxmlformats.org/officeDocument/2006/relationships/image" Target="media/image81.jpeg"/><Relationship Id="rId90" Type="http://schemas.openxmlformats.org/officeDocument/2006/relationships/image" Target="media/image82.jpeg"/><Relationship Id="rId91" Type="http://schemas.openxmlformats.org/officeDocument/2006/relationships/image" Target="media/image83.jpeg"/><Relationship Id="rId92" Type="http://schemas.openxmlformats.org/officeDocument/2006/relationships/image" Target="media/image84.jpeg"/><Relationship Id="rId93" Type="http://schemas.openxmlformats.org/officeDocument/2006/relationships/image" Target="media/image85.jpeg"/><Relationship Id="rId94" Type="http://schemas.openxmlformats.org/officeDocument/2006/relationships/image" Target="media/image86.jpeg"/><Relationship Id="rId95" Type="http://schemas.openxmlformats.org/officeDocument/2006/relationships/image" Target="media/image87.jpeg"/><Relationship Id="rId96" Type="http://schemas.openxmlformats.org/officeDocument/2006/relationships/image" Target="media/image88.jpeg"/><Relationship Id="rId97" Type="http://schemas.openxmlformats.org/officeDocument/2006/relationships/image" Target="media/image89.jpeg"/><Relationship Id="rId98" Type="http://schemas.openxmlformats.org/officeDocument/2006/relationships/image" Target="media/image90.jpeg"/><Relationship Id="rId99" Type="http://schemas.openxmlformats.org/officeDocument/2006/relationships/image" Target="media/image91.jpeg"/><Relationship Id="rId100" Type="http://schemas.openxmlformats.org/officeDocument/2006/relationships/image" Target="media/image92.jpeg"/><Relationship Id="rId101" Type="http://schemas.openxmlformats.org/officeDocument/2006/relationships/image" Target="media/image93.jpeg"/><Relationship Id="rId102" Type="http://schemas.openxmlformats.org/officeDocument/2006/relationships/image" Target="media/image94.jpeg"/><Relationship Id="rId103" Type="http://schemas.openxmlformats.org/officeDocument/2006/relationships/image" Target="media/image95.jpeg"/><Relationship Id="rId30" Type="http://schemas.openxmlformats.org/officeDocument/2006/relationships/hyperlink" Target="http://www.mass.gov/eohhs/gov/commissions-and-initiatives/task-force-on-newborns-with-nas/final-reports.html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2017-11-15T15:00:56Z</dcterms:created>
  <dcterms:modified xsi:type="dcterms:W3CDTF">2017-11-15T15:00:56Z</dcterms:modified>
</cp:coreProperties>
</file>