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0EC" w:rsidRDefault="005C06CC" w:rsidP="00D950EC">
      <w:pPr>
        <w:pStyle w:val="Title"/>
        <w:rPr>
          <w:rFonts w:ascii="Courier New" w:hAnsi="Courier New" w:cs="Courier New"/>
          <w:sz w:val="24"/>
        </w:rPr>
      </w:pPr>
      <w:r>
        <w:rPr>
          <w:rFonts w:ascii="Courier New" w:hAnsi="Courier New" w:cs="Courier New"/>
          <w:sz w:val="24"/>
        </w:rPr>
        <w:t xml:space="preserve"> </w:t>
      </w:r>
      <w:r w:rsidR="00D950EC">
        <w:rPr>
          <w:rFonts w:ascii="Courier New" w:hAnsi="Courier New" w:cs="Courier New"/>
          <w:sz w:val="24"/>
        </w:rPr>
        <w:t>COMMONWEALTH OF MASSACHUSETTS</w:t>
      </w:r>
    </w:p>
    <w:p w:rsidR="00D950EC" w:rsidRDefault="00D950EC" w:rsidP="00D950EC">
      <w:pPr>
        <w:jc w:val="center"/>
        <w:rPr>
          <w:b/>
          <w:bCs w:val="0"/>
        </w:rPr>
      </w:pPr>
    </w:p>
    <w:p w:rsidR="00D950EC" w:rsidRDefault="00D950EC" w:rsidP="00D950EC">
      <w:pPr>
        <w:jc w:val="center"/>
        <w:rPr>
          <w:b/>
          <w:bCs w:val="0"/>
        </w:rPr>
      </w:pPr>
      <w:r>
        <w:rPr>
          <w:b/>
          <w:bCs w:val="0"/>
        </w:rPr>
        <w:t>APPELLATE TAX BOARD</w:t>
      </w:r>
    </w:p>
    <w:p w:rsidR="00D950EC" w:rsidRDefault="00D950EC" w:rsidP="00D950EC">
      <w:pPr>
        <w:jc w:val="center"/>
        <w:rPr>
          <w:b/>
          <w:bCs w:val="0"/>
        </w:rPr>
      </w:pPr>
    </w:p>
    <w:p w:rsidR="00D950EC" w:rsidRDefault="00D950EC" w:rsidP="00D950EC">
      <w:pPr>
        <w:jc w:val="center"/>
        <w:rPr>
          <w:b/>
          <w:bCs w:val="0"/>
        </w:rPr>
      </w:pPr>
    </w:p>
    <w:tbl>
      <w:tblPr>
        <w:tblW w:w="0" w:type="auto"/>
        <w:tblLook w:val="04A0" w:firstRow="1" w:lastRow="0" w:firstColumn="1" w:lastColumn="0" w:noHBand="0" w:noVBand="1"/>
      </w:tblPr>
      <w:tblGrid>
        <w:gridCol w:w="4158"/>
        <w:gridCol w:w="1620"/>
        <w:gridCol w:w="3798"/>
      </w:tblGrid>
      <w:tr w:rsidR="00D950EC" w:rsidRPr="00041C68" w:rsidTr="00F524CB">
        <w:tc>
          <w:tcPr>
            <w:tcW w:w="4158" w:type="dxa"/>
            <w:shd w:val="clear" w:color="auto" w:fill="auto"/>
          </w:tcPr>
          <w:p w:rsidR="00D950EC" w:rsidRPr="00041C68" w:rsidRDefault="00D950EC" w:rsidP="00F524CB">
            <w:pPr>
              <w:rPr>
                <w:b/>
              </w:rPr>
            </w:pPr>
            <w:r>
              <w:rPr>
                <w:b/>
              </w:rPr>
              <w:t>ILSE W. GRATTON</w:t>
            </w:r>
          </w:p>
        </w:tc>
        <w:tc>
          <w:tcPr>
            <w:tcW w:w="1620" w:type="dxa"/>
            <w:shd w:val="clear" w:color="auto" w:fill="auto"/>
          </w:tcPr>
          <w:p w:rsidR="00D950EC" w:rsidRPr="00041C68" w:rsidRDefault="00D950EC" w:rsidP="00F524CB">
            <w:pPr>
              <w:jc w:val="center"/>
              <w:rPr>
                <w:b/>
              </w:rPr>
            </w:pPr>
            <w:r w:rsidRPr="00041C68">
              <w:rPr>
                <w:b/>
              </w:rPr>
              <w:t>v.</w:t>
            </w:r>
          </w:p>
        </w:tc>
        <w:tc>
          <w:tcPr>
            <w:tcW w:w="3798" w:type="dxa"/>
            <w:shd w:val="clear" w:color="auto" w:fill="auto"/>
          </w:tcPr>
          <w:p w:rsidR="00D950EC" w:rsidRPr="00041C68" w:rsidRDefault="00D950EC" w:rsidP="00F524CB">
            <w:pPr>
              <w:rPr>
                <w:b/>
              </w:rPr>
            </w:pPr>
            <w:r w:rsidRPr="00041C68">
              <w:rPr>
                <w:b/>
              </w:rPr>
              <w:t>BOARD OF ASSESSORS OF</w:t>
            </w:r>
          </w:p>
        </w:tc>
      </w:tr>
      <w:tr w:rsidR="00D950EC" w:rsidRPr="00041C68" w:rsidTr="00F524CB">
        <w:tc>
          <w:tcPr>
            <w:tcW w:w="4158" w:type="dxa"/>
            <w:shd w:val="clear" w:color="auto" w:fill="auto"/>
          </w:tcPr>
          <w:p w:rsidR="00D950EC" w:rsidRPr="00041C68" w:rsidRDefault="00D950EC" w:rsidP="00F524CB">
            <w:pPr>
              <w:jc w:val="center"/>
              <w:rPr>
                <w:b/>
              </w:rPr>
            </w:pPr>
          </w:p>
        </w:tc>
        <w:tc>
          <w:tcPr>
            <w:tcW w:w="1620" w:type="dxa"/>
            <w:shd w:val="clear" w:color="auto" w:fill="auto"/>
          </w:tcPr>
          <w:p w:rsidR="00D950EC" w:rsidRPr="00041C68" w:rsidRDefault="00D950EC" w:rsidP="00F524CB">
            <w:pPr>
              <w:jc w:val="center"/>
              <w:rPr>
                <w:b/>
              </w:rPr>
            </w:pPr>
          </w:p>
        </w:tc>
        <w:tc>
          <w:tcPr>
            <w:tcW w:w="3798" w:type="dxa"/>
            <w:shd w:val="clear" w:color="auto" w:fill="auto"/>
          </w:tcPr>
          <w:p w:rsidR="00D950EC" w:rsidRPr="00041C68" w:rsidRDefault="00D950EC" w:rsidP="00D950EC">
            <w:pPr>
              <w:rPr>
                <w:b/>
              </w:rPr>
            </w:pPr>
            <w:r w:rsidRPr="00041C68">
              <w:rPr>
                <w:b/>
              </w:rPr>
              <w:t xml:space="preserve">THE TOWN OF </w:t>
            </w:r>
            <w:r>
              <w:rPr>
                <w:b/>
              </w:rPr>
              <w:t>WARE</w:t>
            </w:r>
          </w:p>
        </w:tc>
      </w:tr>
    </w:tbl>
    <w:p w:rsidR="00D950EC" w:rsidRDefault="00D950EC" w:rsidP="00D950EC">
      <w:pPr>
        <w:pStyle w:val="BodyText"/>
        <w:spacing w:line="240" w:lineRule="auto"/>
        <w:ind w:left="3600" w:hanging="3600"/>
        <w:rPr>
          <w:rFonts w:ascii="Courier New" w:hAnsi="Courier New" w:cs="Courier New"/>
        </w:rPr>
      </w:pPr>
    </w:p>
    <w:p w:rsidR="00D950EC" w:rsidRDefault="00D950EC" w:rsidP="00D950EC">
      <w:pPr>
        <w:pStyle w:val="BodyText"/>
        <w:spacing w:line="240" w:lineRule="auto"/>
        <w:ind w:left="3600" w:hanging="3600"/>
        <w:rPr>
          <w:rFonts w:ascii="Courier New" w:hAnsi="Courier New" w:cs="Courier New"/>
        </w:rPr>
      </w:pPr>
      <w:r>
        <w:rPr>
          <w:rFonts w:ascii="Courier New" w:hAnsi="Courier New" w:cs="Courier New"/>
        </w:rPr>
        <w:t xml:space="preserve"> </w:t>
      </w:r>
    </w:p>
    <w:p w:rsidR="00D950EC" w:rsidRDefault="00D950EC" w:rsidP="00D950EC">
      <w:pPr>
        <w:pStyle w:val="BodyText"/>
        <w:spacing w:line="240" w:lineRule="auto"/>
        <w:rPr>
          <w:rFonts w:ascii="Courier New" w:hAnsi="Courier New" w:cs="Courier New"/>
          <w:bCs/>
        </w:rPr>
      </w:pPr>
      <w:r>
        <w:rPr>
          <w:rFonts w:ascii="Courier New" w:hAnsi="Courier New" w:cs="Courier New"/>
          <w:bCs/>
        </w:rPr>
        <w:t>Docket No. F334902</w:t>
      </w:r>
      <w:r>
        <w:rPr>
          <w:rFonts w:ascii="Courier New" w:hAnsi="Courier New" w:cs="Courier New"/>
          <w:bCs/>
        </w:rPr>
        <w:tab/>
      </w:r>
      <w:r>
        <w:rPr>
          <w:rFonts w:ascii="Courier New" w:hAnsi="Courier New" w:cs="Courier New"/>
          <w:bCs/>
        </w:rPr>
        <w:tab/>
        <w:t xml:space="preserve"> </w:t>
      </w:r>
      <w:r>
        <w:rPr>
          <w:rFonts w:ascii="Courier New" w:hAnsi="Courier New" w:cs="Courier New"/>
          <w:bCs/>
        </w:rPr>
        <w:tab/>
        <w:t xml:space="preserve">    </w:t>
      </w:r>
      <w:r>
        <w:rPr>
          <w:rFonts w:ascii="Courier New" w:hAnsi="Courier New" w:cs="Courier New"/>
          <w:bCs/>
        </w:rPr>
        <w:tab/>
        <w:t xml:space="preserve">     </w:t>
      </w:r>
      <w:r w:rsidRPr="00047707">
        <w:rPr>
          <w:rFonts w:ascii="Courier New" w:hAnsi="Courier New" w:cs="Courier New"/>
          <w:bCs/>
        </w:rPr>
        <w:t>Promulgated:</w:t>
      </w:r>
    </w:p>
    <w:p w:rsidR="00D950EC" w:rsidRPr="00047707" w:rsidRDefault="00D950EC" w:rsidP="00D950EC">
      <w:pPr>
        <w:pStyle w:val="BodyText"/>
        <w:spacing w:line="240" w:lineRule="auto"/>
        <w:rPr>
          <w:rFonts w:ascii="Courier New" w:hAnsi="Courier New" w:cs="Courier New"/>
          <w:bCs/>
        </w:rPr>
      </w:pPr>
      <w:r>
        <w:rPr>
          <w:rFonts w:ascii="Courier New" w:hAnsi="Courier New" w:cs="Courier New"/>
          <w:bCs/>
        </w:rPr>
        <w:tab/>
      </w:r>
      <w:r>
        <w:rPr>
          <w:rFonts w:ascii="Courier New" w:hAnsi="Courier New" w:cs="Courier New"/>
          <w:bCs/>
        </w:rPr>
        <w:tab/>
      </w:r>
      <w:r>
        <w:rPr>
          <w:rFonts w:ascii="Courier New" w:hAnsi="Courier New" w:cs="Courier New"/>
          <w:bCs/>
        </w:rPr>
        <w:tab/>
      </w:r>
      <w:r>
        <w:rPr>
          <w:rFonts w:ascii="Courier New" w:hAnsi="Courier New" w:cs="Courier New"/>
          <w:bCs/>
        </w:rPr>
        <w:tab/>
      </w:r>
      <w:r>
        <w:rPr>
          <w:rFonts w:ascii="Courier New" w:hAnsi="Courier New" w:cs="Courier New"/>
          <w:bCs/>
        </w:rPr>
        <w:tab/>
      </w:r>
      <w:r>
        <w:rPr>
          <w:rFonts w:ascii="Courier New" w:hAnsi="Courier New" w:cs="Courier New"/>
          <w:bCs/>
        </w:rPr>
        <w:tab/>
      </w:r>
      <w:r>
        <w:rPr>
          <w:rFonts w:ascii="Courier New" w:hAnsi="Courier New" w:cs="Courier New"/>
          <w:bCs/>
        </w:rPr>
        <w:tab/>
        <w:t xml:space="preserve">    </w:t>
      </w:r>
      <w:r w:rsidR="005C06CC">
        <w:rPr>
          <w:rFonts w:ascii="Courier New" w:hAnsi="Courier New" w:cs="Courier New"/>
          <w:bCs/>
        </w:rPr>
        <w:t xml:space="preserve"> </w:t>
      </w:r>
      <w:r w:rsidR="00975E6A">
        <w:rPr>
          <w:rFonts w:ascii="Courier New" w:hAnsi="Courier New" w:cs="Courier New"/>
          <w:bCs/>
        </w:rPr>
        <w:t>December 17, 2018</w:t>
      </w:r>
      <w:bookmarkStart w:id="0" w:name="_GoBack"/>
      <w:bookmarkEnd w:id="0"/>
    </w:p>
    <w:p w:rsidR="00D950EC" w:rsidRDefault="00D950EC" w:rsidP="00D950EC">
      <w:pPr>
        <w:pStyle w:val="BodyText"/>
        <w:spacing w:line="240" w:lineRule="auto"/>
        <w:rPr>
          <w:rFonts w:ascii="Courier New" w:hAnsi="Courier New" w:cs="Courier New"/>
          <w:b/>
          <w:bCs/>
        </w:rPr>
      </w:pPr>
    </w:p>
    <w:p w:rsidR="00D950EC" w:rsidRDefault="00D950EC" w:rsidP="00D950EC">
      <w:pPr>
        <w:pStyle w:val="BodyText"/>
        <w:spacing w:line="240" w:lineRule="auto"/>
        <w:rPr>
          <w:rFonts w:ascii="Courier New" w:hAnsi="Courier New" w:cs="Courier New"/>
          <w:b/>
          <w:bCs/>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t xml:space="preserve"> </w:t>
      </w:r>
    </w:p>
    <w:p w:rsidR="00D950EC" w:rsidRPr="00047707" w:rsidRDefault="00D950EC" w:rsidP="00D950EC">
      <w:pPr>
        <w:pStyle w:val="BodyText"/>
        <w:rPr>
          <w:rFonts w:ascii="Courier New" w:hAnsi="Courier New" w:cs="Courier New"/>
          <w:bCs/>
        </w:rPr>
      </w:pPr>
      <w:r w:rsidRPr="00047707">
        <w:rPr>
          <w:rFonts w:ascii="Courier New" w:hAnsi="Courier New" w:cs="Courier New"/>
          <w:bCs/>
        </w:rPr>
        <w:tab/>
      </w:r>
      <w:r>
        <w:rPr>
          <w:rFonts w:ascii="Courier New" w:hAnsi="Courier New" w:cs="Courier New"/>
          <w:bCs/>
        </w:rPr>
        <w:t xml:space="preserve">This is an </w:t>
      </w:r>
      <w:r w:rsidRPr="00047707">
        <w:rPr>
          <w:rFonts w:ascii="Courier New" w:hAnsi="Courier New" w:cs="Courier New"/>
          <w:bCs/>
        </w:rPr>
        <w:t>appeal filed under the formal procedure p</w:t>
      </w:r>
      <w:r>
        <w:rPr>
          <w:rFonts w:ascii="Courier New" w:hAnsi="Courier New" w:cs="Courier New"/>
          <w:bCs/>
        </w:rPr>
        <w:t xml:space="preserve">ursuant to G.L. c. 58A, § 7 and </w:t>
      </w:r>
      <w:r w:rsidRPr="00047707">
        <w:rPr>
          <w:rFonts w:ascii="Courier New" w:hAnsi="Courier New" w:cs="Courier New"/>
          <w:bCs/>
        </w:rPr>
        <w:t>G.L. c. 59, §§ 64 and 65</w:t>
      </w:r>
      <w:r>
        <w:rPr>
          <w:rFonts w:ascii="Courier New" w:hAnsi="Courier New" w:cs="Courier New"/>
          <w:bCs/>
        </w:rPr>
        <w:t xml:space="preserve"> </w:t>
      </w:r>
      <w:r w:rsidRPr="00047707">
        <w:rPr>
          <w:rFonts w:ascii="Courier New" w:hAnsi="Courier New" w:cs="Courier New"/>
          <w:bCs/>
        </w:rPr>
        <w:t>from the refusal of the Boa</w:t>
      </w:r>
      <w:r>
        <w:rPr>
          <w:rFonts w:ascii="Courier New" w:hAnsi="Courier New" w:cs="Courier New"/>
          <w:bCs/>
        </w:rPr>
        <w:t>rd of Assessors of the Town of Ware</w:t>
      </w:r>
      <w:r w:rsidRPr="00047707">
        <w:rPr>
          <w:rFonts w:ascii="Courier New" w:hAnsi="Courier New" w:cs="Courier New"/>
          <w:bCs/>
        </w:rPr>
        <w:t xml:space="preserve"> (“assessors” or</w:t>
      </w:r>
      <w:r>
        <w:rPr>
          <w:rFonts w:ascii="Courier New" w:hAnsi="Courier New" w:cs="Courier New"/>
          <w:bCs/>
        </w:rPr>
        <w:t xml:space="preserve"> </w:t>
      </w:r>
      <w:r w:rsidRPr="00047707">
        <w:rPr>
          <w:rFonts w:ascii="Courier New" w:hAnsi="Courier New" w:cs="Courier New"/>
          <w:bCs/>
        </w:rPr>
        <w:t xml:space="preserve">“appellee”) to </w:t>
      </w:r>
      <w:r>
        <w:rPr>
          <w:rFonts w:ascii="Courier New" w:hAnsi="Courier New" w:cs="Courier New"/>
          <w:bCs/>
        </w:rPr>
        <w:t xml:space="preserve">grant a surviving spouse veteran’s exemption under G.L. c. 59, </w:t>
      </w:r>
      <w:r w:rsidRPr="00C20F59">
        <w:rPr>
          <w:rFonts w:ascii="Courier New" w:hAnsi="Courier New" w:cs="Courier New"/>
          <w:bCs/>
        </w:rPr>
        <w:t>§</w:t>
      </w:r>
      <w:r>
        <w:rPr>
          <w:rFonts w:ascii="Courier New" w:hAnsi="Courier New" w:cs="Courier New"/>
          <w:bCs/>
        </w:rPr>
        <w:t xml:space="preserve"> 5, Clause 22D </w:t>
      </w:r>
      <w:r w:rsidR="00C1454D">
        <w:rPr>
          <w:rFonts w:ascii="Courier New" w:hAnsi="Courier New" w:cs="Courier New"/>
          <w:bCs/>
        </w:rPr>
        <w:t xml:space="preserve">(“Clause 22D”) </w:t>
      </w:r>
      <w:r w:rsidR="009C4CDA">
        <w:rPr>
          <w:rFonts w:ascii="Courier New" w:hAnsi="Courier New" w:cs="Courier New"/>
          <w:bCs/>
        </w:rPr>
        <w:t xml:space="preserve">for </w:t>
      </w:r>
      <w:r w:rsidRPr="00047707">
        <w:rPr>
          <w:rFonts w:ascii="Courier New" w:hAnsi="Courier New" w:cs="Courier New"/>
          <w:bCs/>
        </w:rPr>
        <w:t xml:space="preserve">certain real estate </w:t>
      </w:r>
      <w:r>
        <w:rPr>
          <w:rFonts w:ascii="Courier New" w:hAnsi="Courier New" w:cs="Courier New"/>
          <w:bCs/>
        </w:rPr>
        <w:t xml:space="preserve">in the Town of Ware, </w:t>
      </w:r>
      <w:r w:rsidRPr="00047707">
        <w:rPr>
          <w:rFonts w:ascii="Courier New" w:hAnsi="Courier New" w:cs="Courier New"/>
          <w:bCs/>
        </w:rPr>
        <w:t xml:space="preserve">owned by and assessed to </w:t>
      </w:r>
      <w:r>
        <w:rPr>
          <w:rFonts w:ascii="Courier New" w:hAnsi="Courier New" w:cs="Courier New"/>
          <w:bCs/>
        </w:rPr>
        <w:t>Ilse W. Gratton</w:t>
      </w:r>
      <w:r w:rsidRPr="00D812D8">
        <w:rPr>
          <w:rFonts w:ascii="Courier New" w:hAnsi="Courier New" w:cs="Courier New"/>
          <w:bCs/>
        </w:rPr>
        <w:t xml:space="preserve"> </w:t>
      </w:r>
      <w:r>
        <w:rPr>
          <w:rFonts w:ascii="Courier New" w:hAnsi="Courier New" w:cs="Courier New"/>
          <w:bCs/>
        </w:rPr>
        <w:t>(</w:t>
      </w:r>
      <w:r w:rsidRPr="00047707">
        <w:rPr>
          <w:rFonts w:ascii="Courier New" w:hAnsi="Courier New" w:cs="Courier New"/>
          <w:bCs/>
        </w:rPr>
        <w:t>“appellant”) under G.L.</w:t>
      </w:r>
      <w:r>
        <w:rPr>
          <w:rFonts w:ascii="Courier New" w:hAnsi="Courier New" w:cs="Courier New"/>
          <w:bCs/>
        </w:rPr>
        <w:t> </w:t>
      </w:r>
      <w:r w:rsidRPr="00047707">
        <w:rPr>
          <w:rFonts w:ascii="Courier New" w:hAnsi="Courier New" w:cs="Courier New"/>
          <w:bCs/>
        </w:rPr>
        <w:t xml:space="preserve">c. 59, </w:t>
      </w:r>
      <w:r>
        <w:rPr>
          <w:rFonts w:ascii="Courier New" w:hAnsi="Courier New" w:cs="Courier New"/>
          <w:bCs/>
        </w:rPr>
        <w:t>§</w:t>
      </w:r>
      <w:r w:rsidRPr="00047707">
        <w:rPr>
          <w:rFonts w:ascii="Courier New" w:hAnsi="Courier New" w:cs="Courier New"/>
          <w:bCs/>
        </w:rPr>
        <w:t>§</w:t>
      </w:r>
      <w:r w:rsidR="00D44E40">
        <w:rPr>
          <w:rFonts w:ascii="Courier New" w:hAnsi="Courier New" w:cs="Courier New"/>
          <w:bCs/>
        </w:rPr>
        <w:t> </w:t>
      </w:r>
      <w:r w:rsidRPr="00047707">
        <w:rPr>
          <w:rFonts w:ascii="Courier New" w:hAnsi="Courier New" w:cs="Courier New"/>
          <w:bCs/>
        </w:rPr>
        <w:t xml:space="preserve">11 and 38, for fiscal year </w:t>
      </w:r>
      <w:r>
        <w:rPr>
          <w:rFonts w:ascii="Courier New" w:hAnsi="Courier New" w:cs="Courier New"/>
          <w:bCs/>
        </w:rPr>
        <w:t>2018 (“fiscal year at issue”).</w:t>
      </w:r>
    </w:p>
    <w:p w:rsidR="00D950EC" w:rsidRDefault="00D950EC" w:rsidP="00D950EC">
      <w:pPr>
        <w:pStyle w:val="BodyText2"/>
        <w:spacing w:after="0"/>
        <w:jc w:val="both"/>
        <w:rPr>
          <w:rFonts w:ascii="Courier New" w:hAnsi="Courier New" w:cs="Courier New"/>
        </w:rPr>
      </w:pPr>
      <w:r>
        <w:rPr>
          <w:b/>
        </w:rPr>
        <w:tab/>
      </w:r>
      <w:r>
        <w:rPr>
          <w:rFonts w:ascii="Courier New" w:hAnsi="Courier New" w:cs="Courier New"/>
        </w:rPr>
        <w:t xml:space="preserve">Commissioner </w:t>
      </w:r>
      <w:r w:rsidR="008921F7">
        <w:rPr>
          <w:rFonts w:ascii="Courier New" w:hAnsi="Courier New" w:cs="Courier New"/>
        </w:rPr>
        <w:t>Good heard this appeal.</w:t>
      </w:r>
      <w:r>
        <w:rPr>
          <w:rFonts w:ascii="Courier New" w:hAnsi="Courier New" w:cs="Courier New"/>
        </w:rPr>
        <w:t xml:space="preserve">  Chairman Hammond </w:t>
      </w:r>
      <w:r w:rsidRPr="007731F6">
        <w:rPr>
          <w:rFonts w:ascii="Courier New" w:hAnsi="Courier New" w:cs="Courier New"/>
        </w:rPr>
        <w:t xml:space="preserve">and Commissioners Scharaffa, </w:t>
      </w:r>
      <w:r>
        <w:rPr>
          <w:rFonts w:ascii="Courier New" w:hAnsi="Courier New" w:cs="Courier New"/>
        </w:rPr>
        <w:t xml:space="preserve">Rose, </w:t>
      </w:r>
      <w:r w:rsidRPr="007731F6">
        <w:rPr>
          <w:rFonts w:ascii="Courier New" w:hAnsi="Courier New" w:cs="Courier New"/>
        </w:rPr>
        <w:t xml:space="preserve">and </w:t>
      </w:r>
      <w:r w:rsidR="008921F7">
        <w:rPr>
          <w:rFonts w:ascii="Courier New" w:hAnsi="Courier New" w:cs="Courier New"/>
        </w:rPr>
        <w:t>Elliott</w:t>
      </w:r>
      <w:r>
        <w:rPr>
          <w:rFonts w:ascii="Courier New" w:hAnsi="Courier New" w:cs="Courier New"/>
        </w:rPr>
        <w:t xml:space="preserve"> joined h</w:t>
      </w:r>
      <w:r w:rsidR="008921F7">
        <w:rPr>
          <w:rFonts w:ascii="Courier New" w:hAnsi="Courier New" w:cs="Courier New"/>
        </w:rPr>
        <w:t>er</w:t>
      </w:r>
      <w:r>
        <w:rPr>
          <w:rFonts w:ascii="Courier New" w:hAnsi="Courier New" w:cs="Courier New"/>
        </w:rPr>
        <w:t xml:space="preserve"> in the decision for the appell</w:t>
      </w:r>
      <w:r w:rsidR="008921F7">
        <w:rPr>
          <w:rFonts w:ascii="Courier New" w:hAnsi="Courier New" w:cs="Courier New"/>
        </w:rPr>
        <w:t>ant</w:t>
      </w:r>
      <w:r>
        <w:rPr>
          <w:rFonts w:ascii="Courier New" w:hAnsi="Courier New" w:cs="Courier New"/>
        </w:rPr>
        <w:t xml:space="preserve">. </w:t>
      </w:r>
      <w:r w:rsidRPr="00B86AF5">
        <w:rPr>
          <w:rFonts w:ascii="Courier New" w:hAnsi="Courier New" w:cs="Courier New"/>
        </w:rPr>
        <w:t xml:space="preserve"> </w:t>
      </w:r>
    </w:p>
    <w:p w:rsidR="00D950EC" w:rsidRPr="00B86AF5" w:rsidRDefault="00D950EC" w:rsidP="00D950EC">
      <w:pPr>
        <w:pStyle w:val="BodyText2"/>
        <w:spacing w:after="0"/>
        <w:ind w:firstLine="720"/>
        <w:jc w:val="both"/>
        <w:rPr>
          <w:rFonts w:ascii="Courier New" w:hAnsi="Courier New" w:cs="Courier New"/>
        </w:rPr>
      </w:pPr>
      <w:r w:rsidRPr="00B86AF5">
        <w:rPr>
          <w:rFonts w:ascii="Courier New" w:hAnsi="Courier New" w:cs="Courier New"/>
        </w:rPr>
        <w:t xml:space="preserve">These findings of fact and report are made pursuant to a </w:t>
      </w:r>
      <w:r w:rsidRPr="007731F6">
        <w:rPr>
          <w:rFonts w:ascii="Courier New" w:hAnsi="Courier New" w:cs="Courier New"/>
        </w:rPr>
        <w:t xml:space="preserve">request by the </w:t>
      </w:r>
      <w:r w:rsidR="008921F7">
        <w:rPr>
          <w:rFonts w:ascii="Courier New" w:hAnsi="Courier New" w:cs="Courier New"/>
        </w:rPr>
        <w:t>appellee</w:t>
      </w:r>
      <w:r w:rsidRPr="00B86AF5">
        <w:rPr>
          <w:rFonts w:ascii="Courier New" w:hAnsi="Courier New" w:cs="Courier New"/>
        </w:rPr>
        <w:t xml:space="preserve"> under G.L. c. 58A, § 13 and 831 CMR 1.32. </w:t>
      </w:r>
    </w:p>
    <w:p w:rsidR="00D950EC" w:rsidRDefault="00D950EC" w:rsidP="00D950EC">
      <w:pPr>
        <w:jc w:val="both"/>
      </w:pPr>
    </w:p>
    <w:p w:rsidR="00D950EC" w:rsidRDefault="00D950EC" w:rsidP="00D950EC">
      <w:pPr>
        <w:jc w:val="both"/>
      </w:pPr>
      <w:r>
        <w:tab/>
      </w:r>
      <w:r w:rsidR="00786FF3">
        <w:rPr>
          <w:i/>
        </w:rPr>
        <w:t xml:space="preserve">Debra Gratton, </w:t>
      </w:r>
      <w:r w:rsidR="00786FF3" w:rsidRPr="00031D93">
        <w:t>pursuant to a power of attorney</w:t>
      </w:r>
      <w:r w:rsidR="00786FF3">
        <w:rPr>
          <w:i/>
        </w:rPr>
        <w:t>,</w:t>
      </w:r>
      <w:r>
        <w:t xml:space="preserve"> for the appellant.</w:t>
      </w:r>
    </w:p>
    <w:p w:rsidR="00D950EC" w:rsidRDefault="00D950EC" w:rsidP="00D950EC">
      <w:pPr>
        <w:jc w:val="both"/>
      </w:pPr>
    </w:p>
    <w:p w:rsidR="00D950EC" w:rsidRDefault="00D950EC" w:rsidP="00D950EC">
      <w:pPr>
        <w:jc w:val="both"/>
      </w:pPr>
      <w:r>
        <w:tab/>
      </w:r>
      <w:r w:rsidR="00DE68BA">
        <w:rPr>
          <w:i/>
        </w:rPr>
        <w:t xml:space="preserve">Theodore Balicki, </w:t>
      </w:r>
      <w:r w:rsidR="00DE68BA">
        <w:t>a</w:t>
      </w:r>
      <w:r w:rsidR="00DE68BA" w:rsidRPr="00DE68BA">
        <w:t>ssessor</w:t>
      </w:r>
      <w:r w:rsidR="00DE68BA">
        <w:t>,</w:t>
      </w:r>
      <w:r>
        <w:t xml:space="preserve"> for the appellee.  </w:t>
      </w:r>
    </w:p>
    <w:p w:rsidR="00D950EC" w:rsidRDefault="00D950EC" w:rsidP="00D950EC">
      <w:pPr>
        <w:spacing w:line="480" w:lineRule="auto"/>
        <w:ind w:right="-180"/>
        <w:jc w:val="both"/>
      </w:pPr>
    </w:p>
    <w:p w:rsidR="00786FF3" w:rsidRDefault="00786FF3" w:rsidP="00786FF3">
      <w:pPr>
        <w:spacing w:line="480" w:lineRule="auto"/>
        <w:jc w:val="center"/>
        <w:rPr>
          <w:b/>
        </w:rPr>
      </w:pPr>
      <w:r>
        <w:rPr>
          <w:b/>
        </w:rPr>
        <w:lastRenderedPageBreak/>
        <w:t>FINDINGS OF FACT AND REPORT</w:t>
      </w:r>
    </w:p>
    <w:p w:rsidR="00786FF3" w:rsidRDefault="00786FF3" w:rsidP="00786FF3">
      <w:pPr>
        <w:spacing w:line="480" w:lineRule="auto"/>
        <w:ind w:firstLine="720"/>
        <w:jc w:val="both"/>
      </w:pPr>
      <w:r>
        <w:t>On the basis of the testimony and exhibits offered into evidence at the hearing of th</w:t>
      </w:r>
      <w:r w:rsidR="004F48AE">
        <w:t>is appeal</w:t>
      </w:r>
      <w:r>
        <w:t>, the Appellate Tax Board (“Board”) made the following findings of fact.</w:t>
      </w:r>
    </w:p>
    <w:p w:rsidR="00786FF3" w:rsidRDefault="00786FF3" w:rsidP="00786FF3">
      <w:pPr>
        <w:spacing w:line="480" w:lineRule="auto"/>
        <w:ind w:firstLine="720"/>
        <w:jc w:val="both"/>
        <w:rPr>
          <w:color w:val="333333"/>
        </w:rPr>
      </w:pPr>
      <w:r>
        <w:t xml:space="preserve">On January 1, </w:t>
      </w:r>
      <w:r w:rsidR="00DE68BA">
        <w:t>2017</w:t>
      </w:r>
      <w:r w:rsidRPr="009007C9">
        <w:t xml:space="preserve">, </w:t>
      </w:r>
      <w:r>
        <w:t>the relevan</w:t>
      </w:r>
      <w:r w:rsidR="004F48AE">
        <w:t>t valuation and assessment date</w:t>
      </w:r>
      <w:r>
        <w:t xml:space="preserve"> for the fiscal year at issue, </w:t>
      </w:r>
      <w:r w:rsidRPr="009007C9">
        <w:t xml:space="preserve">the appellant was the assessed owner of </w:t>
      </w:r>
      <w:r>
        <w:t xml:space="preserve">a </w:t>
      </w:r>
      <w:r w:rsidR="00DE68BA">
        <w:t xml:space="preserve">single-family residence located at 11 Laurel Drive in Ware </w:t>
      </w:r>
      <w:r w:rsidRPr="008E109D">
        <w:t xml:space="preserve">(“subject property”). </w:t>
      </w:r>
      <w:r>
        <w:rPr>
          <w:color w:val="333333"/>
        </w:rPr>
        <w:t xml:space="preserve"> </w:t>
      </w:r>
      <w:r w:rsidR="00DE68BA">
        <w:rPr>
          <w:color w:val="333333"/>
        </w:rPr>
        <w:t>The appellant has lived in the subject property since 1973; she lived in the subject property with her late husband, Roland Gratton, from 1973 until his death in 1996, and has since lived alone in the subject property.</w:t>
      </w:r>
      <w:r w:rsidR="00281B53">
        <w:rPr>
          <w:rStyle w:val="FootnoteReference"/>
          <w:color w:val="333333"/>
        </w:rPr>
        <w:footnoteReference w:id="1"/>
      </w:r>
      <w:r w:rsidR="00281B53">
        <w:rPr>
          <w:color w:val="333333"/>
        </w:rPr>
        <w:t xml:space="preserve">  </w:t>
      </w:r>
      <w:r w:rsidR="005763EE">
        <w:rPr>
          <w:color w:val="333333"/>
        </w:rPr>
        <w:t xml:space="preserve">Mr. Gratton was a veteran who was exposed to Agent Orange during a tour of </w:t>
      </w:r>
      <w:r w:rsidR="00320D7D">
        <w:rPr>
          <w:color w:val="333333"/>
        </w:rPr>
        <w:t xml:space="preserve">active </w:t>
      </w:r>
      <w:r w:rsidR="005763EE">
        <w:rPr>
          <w:color w:val="333333"/>
        </w:rPr>
        <w:t xml:space="preserve">duty in Vietnam; the </w:t>
      </w:r>
      <w:r w:rsidR="002C1BE3">
        <w:rPr>
          <w:color w:val="333333"/>
        </w:rPr>
        <w:t xml:space="preserve">United States </w:t>
      </w:r>
      <w:r w:rsidR="005763EE">
        <w:rPr>
          <w:color w:val="333333"/>
        </w:rPr>
        <w:t xml:space="preserve">Department of Veterans Affairs </w:t>
      </w:r>
      <w:r w:rsidR="002C1BE3">
        <w:rPr>
          <w:color w:val="333333"/>
        </w:rPr>
        <w:t xml:space="preserve">(“Department of Veterans Affairs”) </w:t>
      </w:r>
      <w:r w:rsidR="005763EE">
        <w:rPr>
          <w:color w:val="333333"/>
        </w:rPr>
        <w:t>determined that his death was the result of a service-connected disability.</w:t>
      </w:r>
    </w:p>
    <w:p w:rsidR="005763EE" w:rsidRDefault="00786FF3" w:rsidP="00786FF3">
      <w:pPr>
        <w:spacing w:line="480" w:lineRule="auto"/>
        <w:ind w:firstLine="720"/>
        <w:jc w:val="both"/>
        <w:rPr>
          <w:color w:val="333333"/>
        </w:rPr>
      </w:pPr>
      <w:r>
        <w:t xml:space="preserve">For </w:t>
      </w:r>
      <w:r w:rsidR="00281B53">
        <w:t xml:space="preserve">the </w:t>
      </w:r>
      <w:r>
        <w:t xml:space="preserve">fiscal year </w:t>
      </w:r>
      <w:r w:rsidR="00281B53">
        <w:t>at issue</w:t>
      </w:r>
      <w:r>
        <w:t>, the assessors valued the subject property at $</w:t>
      </w:r>
      <w:r w:rsidR="000914D0">
        <w:t>154,900</w:t>
      </w:r>
      <w:r>
        <w:t xml:space="preserve"> and assessed a tax at a rate of $</w:t>
      </w:r>
      <w:r w:rsidR="000914D0">
        <w:t>20.71</w:t>
      </w:r>
      <w:r>
        <w:t xml:space="preserve"> per thousand in the amount of $</w:t>
      </w:r>
      <w:r w:rsidR="000914D0">
        <w:t>3,207.98</w:t>
      </w:r>
      <w:r>
        <w:t xml:space="preserve">.  The </w:t>
      </w:r>
      <w:r w:rsidRPr="008E109D">
        <w:rPr>
          <w:color w:val="333333"/>
        </w:rPr>
        <w:t>appellant timely paid the tax due without incurring interest</w:t>
      </w:r>
      <w:r w:rsidR="005763EE">
        <w:rPr>
          <w:color w:val="333333"/>
        </w:rPr>
        <w:t>.</w:t>
      </w:r>
    </w:p>
    <w:p w:rsidR="004574CD" w:rsidRDefault="005763EE" w:rsidP="00786FF3">
      <w:pPr>
        <w:spacing w:line="480" w:lineRule="auto"/>
        <w:ind w:firstLine="720"/>
        <w:jc w:val="both"/>
      </w:pPr>
      <w:r>
        <w:t xml:space="preserve">As they had done for several prior years, the assessors took it upon themselves to prepare an application for statutory </w:t>
      </w:r>
      <w:r>
        <w:lastRenderedPageBreak/>
        <w:t>exemption for the appellant’s use for the fiscal year at issue.  The application did not indicate under which clause of G.L.</w:t>
      </w:r>
      <w:r w:rsidR="005C06CC">
        <w:t> </w:t>
      </w:r>
      <w:r>
        <w:t>c.</w:t>
      </w:r>
      <w:r w:rsidR="005C06CC">
        <w:t> </w:t>
      </w:r>
      <w:r>
        <w:t xml:space="preserve">59, </w:t>
      </w:r>
      <w:r w:rsidRPr="00A175EF">
        <w:t>§</w:t>
      </w:r>
      <w:r>
        <w:t xml:space="preserve"> 5 the exemption was claimed; it merely had a heading of “Veteran.”  The application was filed with the assesso</w:t>
      </w:r>
      <w:r w:rsidR="00BF5D8B">
        <w:t xml:space="preserve">rs on November 1, 2017 and they </w:t>
      </w:r>
      <w:r>
        <w:t>allowed a $400 exemption in tax</w:t>
      </w:r>
      <w:r w:rsidR="00BF5D8B">
        <w:t xml:space="preserve"> on November 7, 2017</w:t>
      </w:r>
      <w:r>
        <w:t xml:space="preserve">, reducing the total tax for the fiscal year at issue to $2,807.98.  </w:t>
      </w:r>
      <w:r w:rsidR="004574CD">
        <w:t xml:space="preserve">The assessors, however, failed to notify the appellant of their action on the application within </w:t>
      </w:r>
      <w:r w:rsidR="002C1BE3">
        <w:t>ten</w:t>
      </w:r>
      <w:r w:rsidR="004574CD">
        <w:t xml:space="preserve"> days as required under G.L. c. 59, </w:t>
      </w:r>
      <w:r w:rsidR="004574CD" w:rsidRPr="00A175EF">
        <w:t>§</w:t>
      </w:r>
      <w:r w:rsidR="004574CD">
        <w:t xml:space="preserve"> 63; rather, they sent notice of the $400 abatement </w:t>
      </w:r>
      <w:r w:rsidR="00342E09">
        <w:t xml:space="preserve">to the appellant </w:t>
      </w:r>
      <w:r w:rsidR="004574CD">
        <w:t xml:space="preserve">on December 28, 2017.  </w:t>
      </w:r>
    </w:p>
    <w:p w:rsidR="00684E04" w:rsidRDefault="004574CD" w:rsidP="00786FF3">
      <w:pPr>
        <w:spacing w:line="480" w:lineRule="auto"/>
        <w:ind w:firstLine="720"/>
        <w:jc w:val="both"/>
      </w:pPr>
      <w:r>
        <w:t xml:space="preserve">The appellant’s daughter became aware of the situation and, after investigation, concluded that the appellant should have been receiving a full exemption </w:t>
      </w:r>
      <w:r w:rsidR="004F48AE">
        <w:t>from</w:t>
      </w:r>
      <w:r w:rsidR="00684E04">
        <w:t xml:space="preserve"> real estate tax </w:t>
      </w:r>
      <w:r>
        <w:t xml:space="preserve">under </w:t>
      </w:r>
      <w:r w:rsidR="00684E04">
        <w:t>G.L.</w:t>
      </w:r>
      <w:r w:rsidR="005C06CC">
        <w:t> </w:t>
      </w:r>
      <w:r w:rsidR="00684E04">
        <w:t xml:space="preserve">c. 59, </w:t>
      </w:r>
      <w:r w:rsidR="00684E04" w:rsidRPr="00A175EF">
        <w:t>§</w:t>
      </w:r>
      <w:r w:rsidR="00684E04">
        <w:t xml:space="preserve"> 5, Clause 22D (“Clause 22D”) for real estate owned by the surviving spouse of a veteran who “during active duty service, suffered an injury or illness documented by the United State</w:t>
      </w:r>
      <w:r w:rsidR="002C1BE3">
        <w:t>s</w:t>
      </w:r>
      <w:r w:rsidR="00684E04">
        <w:t xml:space="preserve"> Department of Veterans Affairs . . . which was a proximate cause of their death.”  </w:t>
      </w:r>
    </w:p>
    <w:p w:rsidR="00A175EF" w:rsidRDefault="00684E04" w:rsidP="00786FF3">
      <w:pPr>
        <w:spacing w:line="480" w:lineRule="auto"/>
        <w:ind w:firstLine="720"/>
        <w:jc w:val="both"/>
      </w:pPr>
      <w:r>
        <w:t>The appellant’s daughter brought this to the attention of the assessors and attempted to file an abatement application with the assessors</w:t>
      </w:r>
      <w:r w:rsidR="00905C3B">
        <w:t xml:space="preserve"> on behalf of the appellant seeking a full abatement of tax</w:t>
      </w:r>
      <w:r>
        <w:t>.  By letter dated March 23, 2018, the assessors refused to accept the application and inform</w:t>
      </w:r>
      <w:r w:rsidR="00905C3B">
        <w:t>ed</w:t>
      </w:r>
      <w:r>
        <w:t xml:space="preserve"> the appellant </w:t>
      </w:r>
      <w:r>
        <w:lastRenderedPageBreak/>
        <w:t>that the “time frame has passed”</w:t>
      </w:r>
      <w:r w:rsidR="00A175EF">
        <w:t xml:space="preserve"> for her to file an appeal of their decision.</w:t>
      </w:r>
    </w:p>
    <w:p w:rsidR="00786FF3" w:rsidRDefault="00A175EF" w:rsidP="00A175EF">
      <w:pPr>
        <w:spacing w:line="480" w:lineRule="auto"/>
        <w:ind w:firstLine="720"/>
        <w:jc w:val="both"/>
      </w:pPr>
      <w:r>
        <w:t xml:space="preserve">The assessors </w:t>
      </w:r>
      <w:r w:rsidR="00905C3B">
        <w:t>were</w:t>
      </w:r>
      <w:r>
        <w:t xml:space="preserve"> </w:t>
      </w:r>
      <w:r w:rsidR="00CF1F94">
        <w:t>mistaken</w:t>
      </w:r>
      <w:r w:rsidR="00342E09">
        <w:t>, both as to the appellant’s appeal rights and the merits of her claim</w:t>
      </w:r>
      <w:r>
        <w:t xml:space="preserve">.  First, with regard to the ability of the appellant to challenge their decision, the assessors’ failure to comply with G.L. c. 59, </w:t>
      </w:r>
      <w:r w:rsidRPr="00A175EF">
        <w:t>§</w:t>
      </w:r>
      <w:r>
        <w:t xml:space="preserve"> 63 affords additional time for the appellant to file her appeal.  As will be discussed in the Opinion </w:t>
      </w:r>
      <w:r w:rsidR="00905C3B">
        <w:t>below</w:t>
      </w:r>
      <w:r>
        <w:t>, the assessors’ late notice result</w:t>
      </w:r>
      <w:r w:rsidR="00514CA7">
        <w:t>ed</w:t>
      </w:r>
      <w:r>
        <w:t xml:space="preserve"> in the appellant’s application being deemed denied </w:t>
      </w:r>
      <w:r w:rsidR="002C1BE3">
        <w:t>three</w:t>
      </w:r>
      <w:r>
        <w:t xml:space="preserve"> months after its November 1, 2017 filing date; accordingly, the application was deemed denied on February 1, 2018.  The appellant </w:t>
      </w:r>
      <w:r w:rsidR="00342E09">
        <w:t xml:space="preserve">timely </w:t>
      </w:r>
      <w:r>
        <w:t>filed her appeal with this Board on April 25, 2018, prior to the May 1, 2018 deadline.  Accordingly, the Board has jurisdiction to hear and decide this appeal.</w:t>
      </w:r>
    </w:p>
    <w:p w:rsidR="00A175EF" w:rsidRDefault="00CF1F94" w:rsidP="00A175EF">
      <w:pPr>
        <w:spacing w:line="480" w:lineRule="auto"/>
        <w:ind w:firstLine="720"/>
        <w:jc w:val="both"/>
      </w:pPr>
      <w:r>
        <w:t xml:space="preserve">The assessors </w:t>
      </w:r>
      <w:r w:rsidR="002C1BE3">
        <w:t>were</w:t>
      </w:r>
      <w:r>
        <w:t xml:space="preserve"> also mistaken regarding the merits of the appellant’s claim.  The assessors </w:t>
      </w:r>
      <w:r w:rsidR="004B21BC">
        <w:t xml:space="preserve">granted </w:t>
      </w:r>
      <w:r>
        <w:t>a $400 exemption to her</w:t>
      </w:r>
      <w:r w:rsidR="004B21BC">
        <w:t xml:space="preserve"> for the fiscal year at issue</w:t>
      </w:r>
      <w:r>
        <w:t xml:space="preserve">, as they did for </w:t>
      </w:r>
      <w:r w:rsidR="004B21BC">
        <w:t>several prior fiscal years</w:t>
      </w:r>
      <w:r>
        <w:t xml:space="preserve">, apparently under </w:t>
      </w:r>
      <w:r w:rsidR="00905C3B">
        <w:t xml:space="preserve">the general veterans exemption provisions of </w:t>
      </w:r>
      <w:r>
        <w:t xml:space="preserve">G.L. c. 59, </w:t>
      </w:r>
      <w:r w:rsidRPr="00CF1F94">
        <w:t>§</w:t>
      </w:r>
      <w:r>
        <w:t xml:space="preserve"> 5, Clause 22 (“Clause 22”)</w:t>
      </w:r>
      <w:r w:rsidR="002C1BE3">
        <w:t xml:space="preserve"> and not under Clause 22D</w:t>
      </w:r>
      <w:r>
        <w:t xml:space="preserve">.  </w:t>
      </w:r>
      <w:r w:rsidR="004B21BC">
        <w:t xml:space="preserve">However, </w:t>
      </w:r>
      <w:r w:rsidR="00514CA7">
        <w:t xml:space="preserve">as the evidence of record indicates, </w:t>
      </w:r>
      <w:r w:rsidR="004B21BC">
        <w:t>the appe</w:t>
      </w:r>
      <w:r w:rsidR="00905C3B">
        <w:t xml:space="preserve">llant clearly qualifies for the </w:t>
      </w:r>
      <w:r w:rsidR="004B21BC">
        <w:t>Clause 22D exemption</w:t>
      </w:r>
      <w:r w:rsidR="00905C3B">
        <w:t xml:space="preserve"> for surviving spouses of veterans whose deaths are proximately caused by their military service</w:t>
      </w:r>
      <w:r w:rsidR="00514CA7">
        <w:t>.  The appellant</w:t>
      </w:r>
      <w:r w:rsidR="004B21BC">
        <w:t xml:space="preserve"> offered uncontroverted evidence that she meets the minimum </w:t>
      </w:r>
      <w:r w:rsidR="004B21BC">
        <w:lastRenderedPageBreak/>
        <w:t xml:space="preserve">domicile requirement, her husband was exposed to Agent Orange during his tour in Vietnam, and </w:t>
      </w:r>
      <w:r w:rsidR="002C1BE3">
        <w:t>she produced a document dated June 7, 2018 from the Department of Veterans Affairs indicating that her husband “died as a result of a service-connected disability.”</w:t>
      </w:r>
      <w:r w:rsidR="004B21BC">
        <w:t xml:space="preserve">  In short, there exists no </w:t>
      </w:r>
      <w:r w:rsidR="00514CA7">
        <w:t>basis in law or fact</w:t>
      </w:r>
      <w:r w:rsidR="004B21BC">
        <w:t xml:space="preserve"> for the assessors to deny her a full exemption under Clause 22D.</w:t>
      </w:r>
    </w:p>
    <w:p w:rsidR="004B21BC" w:rsidRDefault="004B21BC" w:rsidP="00A175EF">
      <w:pPr>
        <w:spacing w:line="480" w:lineRule="auto"/>
        <w:ind w:firstLine="720"/>
        <w:jc w:val="both"/>
      </w:pPr>
      <w:r>
        <w:t>On the basis of the foregoing, the Board issued a decision for the appellant and granted an abatement in the full amount of the tax assessed, $3,207.98.</w:t>
      </w:r>
      <w:r>
        <w:rPr>
          <w:rStyle w:val="FootnoteReference"/>
        </w:rPr>
        <w:footnoteReference w:id="2"/>
      </w:r>
    </w:p>
    <w:p w:rsidR="009319E0" w:rsidRDefault="009319E0"/>
    <w:p w:rsidR="00957CD2" w:rsidRDefault="00957CD2" w:rsidP="00957CD2">
      <w:pPr>
        <w:jc w:val="center"/>
        <w:rPr>
          <w:b/>
        </w:rPr>
      </w:pPr>
      <w:r w:rsidRPr="00957CD2">
        <w:rPr>
          <w:b/>
        </w:rPr>
        <w:t>OPINION</w:t>
      </w:r>
    </w:p>
    <w:p w:rsidR="00957CD2" w:rsidRDefault="00957CD2" w:rsidP="00957CD2">
      <w:pPr>
        <w:jc w:val="center"/>
        <w:rPr>
          <w:b/>
        </w:rPr>
      </w:pPr>
    </w:p>
    <w:p w:rsidR="00957CD2" w:rsidRPr="008E2ED7" w:rsidRDefault="007C6143" w:rsidP="007C6143">
      <w:pPr>
        <w:pStyle w:val="ListParagraph"/>
        <w:numPr>
          <w:ilvl w:val="0"/>
          <w:numId w:val="1"/>
        </w:numPr>
        <w:jc w:val="both"/>
        <w:rPr>
          <w:b/>
        </w:rPr>
      </w:pPr>
      <w:r w:rsidRPr="008E2ED7">
        <w:rPr>
          <w:b/>
        </w:rPr>
        <w:t>JURISDICTION</w:t>
      </w:r>
    </w:p>
    <w:p w:rsidR="007C6143" w:rsidRDefault="007C6143" w:rsidP="007C6143">
      <w:pPr>
        <w:jc w:val="both"/>
        <w:rPr>
          <w:b/>
          <w:u w:val="single"/>
        </w:rPr>
      </w:pPr>
    </w:p>
    <w:p w:rsidR="007C6143" w:rsidRPr="00DE11E6" w:rsidRDefault="007C6143" w:rsidP="007C6143">
      <w:pPr>
        <w:spacing w:line="480" w:lineRule="auto"/>
        <w:ind w:firstLine="720"/>
        <w:jc w:val="both"/>
      </w:pPr>
      <w:r>
        <w:t xml:space="preserve">Under G.L. c. 59, </w:t>
      </w:r>
      <w:r w:rsidRPr="007C6143">
        <w:t>§</w:t>
      </w:r>
      <w:r>
        <w:t xml:space="preserve"> 63</w:t>
      </w:r>
      <w:r w:rsidR="002C1BE3">
        <w:t xml:space="preserve"> (“</w:t>
      </w:r>
      <w:r w:rsidR="002C1BE3" w:rsidRPr="007C6143">
        <w:t>§</w:t>
      </w:r>
      <w:r w:rsidR="002C1BE3">
        <w:t xml:space="preserve"> 63”)</w:t>
      </w:r>
      <w:r>
        <w:t xml:space="preserve">, assessors </w:t>
      </w:r>
      <w:r w:rsidR="004F48AE">
        <w:t>must</w:t>
      </w:r>
      <w:r>
        <w:t xml:space="preserve"> “within ten days after their decision on an application for an abatement, send written notice thereof to the applicant.</w:t>
      </w:r>
      <w:r w:rsidR="004F48AE">
        <w:t>”</w:t>
      </w:r>
      <w:r>
        <w:t xml:space="preserve">  The assessors failed to comply with this requirement in the present appeal.</w:t>
      </w:r>
      <w:r w:rsidR="00413970">
        <w:t xml:space="preserve">  The </w:t>
      </w:r>
      <w:r w:rsidR="00DE11E6" w:rsidRPr="007C6143">
        <w:t>§</w:t>
      </w:r>
      <w:r w:rsidR="00DE11E6">
        <w:t xml:space="preserve"> 63 </w:t>
      </w:r>
      <w:r w:rsidR="00413970">
        <w:t xml:space="preserve">notice requirement is “not merely directory” </w:t>
      </w:r>
      <w:r w:rsidR="00DE11E6">
        <w:t xml:space="preserve">and it “impacts the filing deadlines” for perfecting an appeal to this Board. </w:t>
      </w:r>
      <w:r w:rsidR="00DE11E6">
        <w:rPr>
          <w:b/>
          <w:i/>
        </w:rPr>
        <w:t xml:space="preserve">Stagg Chevrolet, Inc. v. Board of Water Commissioners of Harwich, </w:t>
      </w:r>
      <w:r w:rsidR="00DE11E6">
        <w:t>68 Mass. App. Ct. 120, 125 (2007).</w:t>
      </w:r>
    </w:p>
    <w:p w:rsidR="007C6143" w:rsidRPr="00342E09" w:rsidRDefault="00342E09" w:rsidP="007C6143">
      <w:pPr>
        <w:spacing w:line="480" w:lineRule="auto"/>
        <w:ind w:firstLine="720"/>
        <w:jc w:val="both"/>
        <w:rPr>
          <w:b/>
          <w:i/>
          <w:color w:val="373739"/>
          <w:shd w:val="clear" w:color="auto" w:fill="FFFFFF"/>
        </w:rPr>
      </w:pPr>
      <w:r>
        <w:t>Ordinarily, a taxpayer must file an appeal to th</w:t>
      </w:r>
      <w:r w:rsidR="008E2ED7">
        <w:t>e</w:t>
      </w:r>
      <w:r>
        <w:t xml:space="preserve"> Board within </w:t>
      </w:r>
      <w:r w:rsidR="002C1BE3">
        <w:t>three</w:t>
      </w:r>
      <w:r>
        <w:t xml:space="preserve"> months after the assessors’ decision on an abatement application.  </w:t>
      </w:r>
      <w:r>
        <w:rPr>
          <w:i/>
        </w:rPr>
        <w:t xml:space="preserve">See </w:t>
      </w:r>
      <w:r>
        <w:t xml:space="preserve">G.L. c. 59, </w:t>
      </w:r>
      <w:r w:rsidRPr="007C6143">
        <w:t>§§</w:t>
      </w:r>
      <w:r>
        <w:t xml:space="preserve"> 64 and 65.  However, </w:t>
      </w:r>
      <w:r>
        <w:lastRenderedPageBreak/>
        <w:t>w</w:t>
      </w:r>
      <w:r w:rsidR="00BF5D8B">
        <w:t>hen</w:t>
      </w:r>
      <w:r w:rsidR="007C6143">
        <w:t xml:space="preserve"> </w:t>
      </w:r>
      <w:r>
        <w:t xml:space="preserve">the </w:t>
      </w:r>
      <w:r w:rsidR="007C6143">
        <w:t>assessors fail to comply with the requirements of</w:t>
      </w:r>
      <w:r w:rsidR="007C6143" w:rsidRPr="007C6143">
        <w:t xml:space="preserve"> §</w:t>
      </w:r>
      <w:r w:rsidR="007C6143">
        <w:t xml:space="preserve"> 63, </w:t>
      </w:r>
      <w:r w:rsidR="00BF5D8B">
        <w:t xml:space="preserve">a taxpayer’s </w:t>
      </w:r>
      <w:r w:rsidR="008E2ED7">
        <w:t>three</w:t>
      </w:r>
      <w:r w:rsidR="00BF5D8B">
        <w:t xml:space="preserve">-month period to appeal </w:t>
      </w:r>
      <w:r>
        <w:t>to th</w:t>
      </w:r>
      <w:r w:rsidR="008E2ED7">
        <w:t>e</w:t>
      </w:r>
      <w:r>
        <w:t xml:space="preserve"> Board </w:t>
      </w:r>
      <w:r w:rsidR="00BF5D8B">
        <w:t xml:space="preserve">does not commence with the date of the assessors’ </w:t>
      </w:r>
      <w:r>
        <w:t>decision</w:t>
      </w:r>
      <w:r w:rsidR="00BF5D8B">
        <w:t xml:space="preserve">; rather, </w:t>
      </w:r>
      <w:r w:rsidR="007C6143">
        <w:t xml:space="preserve">taxpayers are </w:t>
      </w:r>
      <w:r w:rsidR="00413970">
        <w:t xml:space="preserve">afforded </w:t>
      </w:r>
      <w:r w:rsidR="00DE11E6" w:rsidRPr="00DE11E6">
        <w:rPr>
          <w:color w:val="373739"/>
          <w:shd w:val="clear" w:color="auto" w:fill="FFFFFF"/>
        </w:rPr>
        <w:t xml:space="preserve">a </w:t>
      </w:r>
      <w:r w:rsidR="00DE11E6">
        <w:rPr>
          <w:color w:val="373739"/>
          <w:shd w:val="clear" w:color="auto" w:fill="FFFFFF"/>
        </w:rPr>
        <w:t>“</w:t>
      </w:r>
      <w:r w:rsidR="00DE11E6" w:rsidRPr="00DE11E6">
        <w:rPr>
          <w:color w:val="373739"/>
          <w:shd w:val="clear" w:color="auto" w:fill="FFFFFF"/>
        </w:rPr>
        <w:t>reasonable time for appeal based on the most relevant statutory standards</w:t>
      </w:r>
      <w:r w:rsidR="00DE11E6">
        <w:rPr>
          <w:rFonts w:ascii="Verdana" w:hAnsi="Verdana"/>
          <w:color w:val="373739"/>
          <w:sz w:val="18"/>
          <w:szCs w:val="18"/>
          <w:shd w:val="clear" w:color="auto" w:fill="FFFFFF"/>
        </w:rPr>
        <w:t xml:space="preserve">.”  </w:t>
      </w:r>
      <w:r w:rsidR="002C1BE3">
        <w:rPr>
          <w:b/>
          <w:i/>
        </w:rPr>
        <w:t>Stagg Chevrolet</w:t>
      </w:r>
      <w:r w:rsidR="00DE11E6" w:rsidRPr="00DE11E6">
        <w:rPr>
          <w:b/>
          <w:i/>
          <w:color w:val="373739"/>
          <w:shd w:val="clear" w:color="auto" w:fill="FFFFFF"/>
        </w:rPr>
        <w:t xml:space="preserve"> </w:t>
      </w:r>
      <w:r w:rsidR="002C1BE3">
        <w:rPr>
          <w:color w:val="373739"/>
          <w:shd w:val="clear" w:color="auto" w:fill="FFFFFF"/>
        </w:rPr>
        <w:t xml:space="preserve">68 Mass. App. Ct. </w:t>
      </w:r>
      <w:r w:rsidR="00DE11E6" w:rsidRPr="00DE11E6">
        <w:rPr>
          <w:color w:val="373739"/>
          <w:shd w:val="clear" w:color="auto" w:fill="FFFFFF"/>
        </w:rPr>
        <w:t xml:space="preserve">at 126.  </w:t>
      </w:r>
      <w:r w:rsidR="00DE11E6">
        <w:rPr>
          <w:color w:val="373739"/>
          <w:shd w:val="clear" w:color="auto" w:fill="FFFFFF"/>
        </w:rPr>
        <w:t>Both the Appeals Court and th</w:t>
      </w:r>
      <w:r w:rsidR="00514CA7">
        <w:rPr>
          <w:color w:val="373739"/>
          <w:shd w:val="clear" w:color="auto" w:fill="FFFFFF"/>
        </w:rPr>
        <w:t>e</w:t>
      </w:r>
      <w:r w:rsidR="00DE11E6">
        <w:rPr>
          <w:color w:val="373739"/>
          <w:shd w:val="clear" w:color="auto" w:fill="FFFFFF"/>
        </w:rPr>
        <w:t xml:space="preserve"> Board recognize that </w:t>
      </w:r>
      <w:r w:rsidR="00C1454D">
        <w:rPr>
          <w:color w:val="373739"/>
          <w:shd w:val="clear" w:color="auto" w:fill="FFFFFF"/>
        </w:rPr>
        <w:t>“</w:t>
      </w:r>
      <w:r w:rsidR="00DE11E6" w:rsidRPr="00DE11E6">
        <w:rPr>
          <w:color w:val="373739"/>
          <w:shd w:val="clear" w:color="auto" w:fill="FFFFFF"/>
        </w:rPr>
        <w:t xml:space="preserve">the </w:t>
      </w:r>
      <w:r w:rsidR="00C1454D">
        <w:rPr>
          <w:color w:val="373739"/>
          <w:shd w:val="clear" w:color="auto" w:fill="FFFFFF"/>
        </w:rPr>
        <w:t>‘</w:t>
      </w:r>
      <w:r w:rsidR="00DE11E6" w:rsidRPr="00DE11E6">
        <w:rPr>
          <w:color w:val="373739"/>
          <w:shd w:val="clear" w:color="auto" w:fill="FFFFFF"/>
        </w:rPr>
        <w:t>deemed to be denied</w:t>
      </w:r>
      <w:r w:rsidR="00C1454D">
        <w:rPr>
          <w:color w:val="373739"/>
          <w:shd w:val="clear" w:color="auto" w:fill="FFFFFF"/>
        </w:rPr>
        <w:t>’</w:t>
      </w:r>
      <w:r w:rsidR="00DE11E6" w:rsidRPr="00DE11E6">
        <w:rPr>
          <w:color w:val="373739"/>
          <w:shd w:val="clear" w:color="auto" w:fill="FFFFFF"/>
        </w:rPr>
        <w:t xml:space="preserve"> time frame provides a reasonable time period with dates certain easily ascertained by both parties.</w:t>
      </w:r>
      <w:r w:rsidR="00DE11E6">
        <w:rPr>
          <w:color w:val="373739"/>
          <w:shd w:val="clear" w:color="auto" w:fill="FFFFFF"/>
        </w:rPr>
        <w:t xml:space="preserve">”  </w:t>
      </w:r>
      <w:r w:rsidR="00DE11E6">
        <w:rPr>
          <w:b/>
          <w:i/>
          <w:color w:val="373739"/>
          <w:shd w:val="clear" w:color="auto" w:fill="FFFFFF"/>
        </w:rPr>
        <w:t xml:space="preserve">Id.; </w:t>
      </w:r>
      <w:r w:rsidR="002C1BE3">
        <w:rPr>
          <w:i/>
          <w:color w:val="373739"/>
          <w:shd w:val="clear" w:color="auto" w:fill="FFFFFF"/>
        </w:rPr>
        <w:t>s</w:t>
      </w:r>
      <w:r w:rsidR="00DE11E6">
        <w:rPr>
          <w:i/>
          <w:color w:val="373739"/>
          <w:shd w:val="clear" w:color="auto" w:fill="FFFFFF"/>
        </w:rPr>
        <w:t xml:space="preserve">ee also </w:t>
      </w:r>
      <w:r w:rsidR="00DE11E6">
        <w:rPr>
          <w:b/>
          <w:i/>
          <w:color w:val="373739"/>
          <w:shd w:val="clear" w:color="auto" w:fill="FFFFFF"/>
        </w:rPr>
        <w:t xml:space="preserve">Cardaropoli v. Assessors of Springfield, </w:t>
      </w:r>
      <w:r w:rsidR="00B07F9D">
        <w:rPr>
          <w:color w:val="373739"/>
          <w:shd w:val="clear" w:color="auto" w:fill="FFFFFF"/>
        </w:rPr>
        <w:t xml:space="preserve">Mass. </w:t>
      </w:r>
      <w:r w:rsidR="00B07F9D" w:rsidRPr="00B07F9D">
        <w:rPr>
          <w:color w:val="373739"/>
          <w:shd w:val="clear" w:color="auto" w:fill="FFFFFF"/>
        </w:rPr>
        <w:t>ATB Findings of Fact and Reports 2001-913</w:t>
      </w:r>
      <w:r w:rsidR="00DC15C3">
        <w:rPr>
          <w:color w:val="373739"/>
          <w:shd w:val="clear" w:color="auto" w:fill="FFFFFF"/>
        </w:rPr>
        <w:t>.</w:t>
      </w:r>
      <w:r w:rsidR="00BF5D8B">
        <w:rPr>
          <w:color w:val="373739"/>
          <w:shd w:val="clear" w:color="auto" w:fill="FFFFFF"/>
        </w:rPr>
        <w:t xml:space="preserve">  In other words, </w:t>
      </w:r>
      <w:r w:rsidR="005D36B7">
        <w:rPr>
          <w:color w:val="373739"/>
          <w:shd w:val="clear" w:color="auto" w:fill="FFFFFF"/>
        </w:rPr>
        <w:t xml:space="preserve">where, as here, the assessors issue a notice that is defective under </w:t>
      </w:r>
      <w:r w:rsidR="005D36B7" w:rsidRPr="005D36B7">
        <w:rPr>
          <w:color w:val="373739"/>
          <w:shd w:val="clear" w:color="auto" w:fill="FFFFFF"/>
        </w:rPr>
        <w:t>§</w:t>
      </w:r>
      <w:r w:rsidR="005D36B7">
        <w:rPr>
          <w:color w:val="373739"/>
          <w:shd w:val="clear" w:color="auto" w:fill="FFFFFF"/>
        </w:rPr>
        <w:t xml:space="preserve"> 63, </w:t>
      </w:r>
      <w:r w:rsidR="00BF5D8B">
        <w:rPr>
          <w:color w:val="373739"/>
          <w:shd w:val="clear" w:color="auto" w:fill="FFFFFF"/>
        </w:rPr>
        <w:t xml:space="preserve">the </w:t>
      </w:r>
      <w:r w:rsidR="008E2ED7">
        <w:rPr>
          <w:color w:val="373739"/>
          <w:shd w:val="clear" w:color="auto" w:fill="FFFFFF"/>
        </w:rPr>
        <w:t>three</w:t>
      </w:r>
      <w:r w:rsidR="00BF5D8B">
        <w:rPr>
          <w:color w:val="373739"/>
          <w:shd w:val="clear" w:color="auto" w:fill="FFFFFF"/>
        </w:rPr>
        <w:t xml:space="preserve">-month appeal period commences on the date that </w:t>
      </w:r>
      <w:r w:rsidR="005D36B7">
        <w:rPr>
          <w:color w:val="373739"/>
          <w:shd w:val="clear" w:color="auto" w:fill="FFFFFF"/>
        </w:rPr>
        <w:t>the application is deemed denied, not on the earlier date of the assessors’ action.</w:t>
      </w:r>
      <w:r>
        <w:rPr>
          <w:color w:val="373739"/>
          <w:shd w:val="clear" w:color="auto" w:fill="FFFFFF"/>
        </w:rPr>
        <w:t xml:space="preserve">  </w:t>
      </w:r>
    </w:p>
    <w:p w:rsidR="00342E09" w:rsidRDefault="00DE4651" w:rsidP="008E2ED7">
      <w:pPr>
        <w:spacing w:line="480" w:lineRule="auto"/>
        <w:ind w:firstLine="720"/>
        <w:jc w:val="both"/>
        <w:rPr>
          <w:color w:val="373739"/>
          <w:shd w:val="clear" w:color="auto" w:fill="FFFFFF"/>
        </w:rPr>
      </w:pPr>
      <w:r>
        <w:rPr>
          <w:color w:val="373739"/>
          <w:shd w:val="clear" w:color="auto" w:fill="FFFFFF"/>
        </w:rPr>
        <w:t>Under G.L.</w:t>
      </w:r>
      <w:r w:rsidR="00BB4DA7">
        <w:rPr>
          <w:color w:val="373739"/>
          <w:shd w:val="clear" w:color="auto" w:fill="FFFFFF"/>
        </w:rPr>
        <w:t xml:space="preserve"> c. 58A, </w:t>
      </w:r>
      <w:r w:rsidR="00BB4DA7" w:rsidRPr="00BB4DA7">
        <w:rPr>
          <w:color w:val="373739"/>
          <w:shd w:val="clear" w:color="auto" w:fill="FFFFFF"/>
        </w:rPr>
        <w:t>§</w:t>
      </w:r>
      <w:r w:rsidR="00BB4DA7">
        <w:rPr>
          <w:color w:val="373739"/>
          <w:shd w:val="clear" w:color="auto" w:fill="FFFFFF"/>
        </w:rPr>
        <w:t xml:space="preserve"> 6 and G.L. c. 59, </w:t>
      </w:r>
      <w:r w:rsidR="00BB4DA7" w:rsidRPr="00BB4DA7">
        <w:rPr>
          <w:color w:val="373739"/>
          <w:shd w:val="clear" w:color="auto" w:fill="FFFFFF"/>
        </w:rPr>
        <w:t>§§</w:t>
      </w:r>
      <w:r w:rsidR="00BB4DA7">
        <w:rPr>
          <w:color w:val="373739"/>
          <w:shd w:val="clear" w:color="auto" w:fill="FFFFFF"/>
        </w:rPr>
        <w:t xml:space="preserve"> 64 and 65</w:t>
      </w:r>
      <w:r w:rsidR="002C1BE3">
        <w:rPr>
          <w:color w:val="373739"/>
          <w:shd w:val="clear" w:color="auto" w:fill="FFFFFF"/>
        </w:rPr>
        <w:t xml:space="preserve"> (“</w:t>
      </w:r>
      <w:r w:rsidR="002C1BE3" w:rsidRPr="00BB4DA7">
        <w:rPr>
          <w:color w:val="373739"/>
          <w:shd w:val="clear" w:color="auto" w:fill="FFFFFF"/>
        </w:rPr>
        <w:t>§§</w:t>
      </w:r>
      <w:r w:rsidR="002C1BE3">
        <w:rPr>
          <w:color w:val="373739"/>
          <w:shd w:val="clear" w:color="auto" w:fill="FFFFFF"/>
        </w:rPr>
        <w:t xml:space="preserve"> 64 and 65”)</w:t>
      </w:r>
      <w:r w:rsidR="00BB4DA7">
        <w:rPr>
          <w:color w:val="373739"/>
          <w:shd w:val="clear" w:color="auto" w:fill="FFFFFF"/>
        </w:rPr>
        <w:t xml:space="preserve">, </w:t>
      </w:r>
      <w:r w:rsidR="00514CA7">
        <w:rPr>
          <w:color w:val="373739"/>
          <w:shd w:val="clear" w:color="auto" w:fill="FFFFFF"/>
        </w:rPr>
        <w:t xml:space="preserve">the </w:t>
      </w:r>
      <w:r w:rsidR="00BB4DA7">
        <w:rPr>
          <w:color w:val="373739"/>
          <w:shd w:val="clear" w:color="auto" w:fill="FFFFFF"/>
        </w:rPr>
        <w:t>appellant’s November 1, 2017 application was deemed denied on February 1, 2018</w:t>
      </w:r>
      <w:r w:rsidR="005D36B7">
        <w:rPr>
          <w:color w:val="373739"/>
          <w:shd w:val="clear" w:color="auto" w:fill="FFFFFF"/>
        </w:rPr>
        <w:t xml:space="preserve">.  </w:t>
      </w:r>
      <w:r>
        <w:rPr>
          <w:color w:val="373739"/>
          <w:shd w:val="clear" w:color="auto" w:fill="FFFFFF"/>
        </w:rPr>
        <w:t xml:space="preserve">Under </w:t>
      </w:r>
      <w:r w:rsidRPr="00BB4DA7">
        <w:rPr>
          <w:color w:val="373739"/>
          <w:shd w:val="clear" w:color="auto" w:fill="FFFFFF"/>
        </w:rPr>
        <w:t>§§</w:t>
      </w:r>
      <w:r>
        <w:rPr>
          <w:color w:val="373739"/>
          <w:shd w:val="clear" w:color="auto" w:fill="FFFFFF"/>
        </w:rPr>
        <w:t xml:space="preserve"> 64 and 65, h</w:t>
      </w:r>
      <w:r w:rsidR="005D36B7">
        <w:rPr>
          <w:color w:val="373739"/>
          <w:shd w:val="clear" w:color="auto" w:fill="FFFFFF"/>
        </w:rPr>
        <w:t xml:space="preserve">er appeal to the Board </w:t>
      </w:r>
      <w:r w:rsidR="00BB4DA7">
        <w:rPr>
          <w:color w:val="373739"/>
          <w:shd w:val="clear" w:color="auto" w:fill="FFFFFF"/>
        </w:rPr>
        <w:t xml:space="preserve">was </w:t>
      </w:r>
      <w:r w:rsidR="00DC15C3">
        <w:rPr>
          <w:color w:val="373739"/>
          <w:shd w:val="clear" w:color="auto" w:fill="FFFFFF"/>
        </w:rPr>
        <w:t xml:space="preserve">due, at the earliest, </w:t>
      </w:r>
      <w:r w:rsidR="008E2ED7">
        <w:rPr>
          <w:color w:val="373739"/>
          <w:shd w:val="clear" w:color="auto" w:fill="FFFFFF"/>
        </w:rPr>
        <w:t>three</w:t>
      </w:r>
      <w:r w:rsidR="005D36B7">
        <w:rPr>
          <w:color w:val="373739"/>
          <w:shd w:val="clear" w:color="auto" w:fill="FFFFFF"/>
        </w:rPr>
        <w:t xml:space="preserve"> months after the </w:t>
      </w:r>
      <w:r w:rsidR="00342E09">
        <w:rPr>
          <w:color w:val="373739"/>
          <w:shd w:val="clear" w:color="auto" w:fill="FFFFFF"/>
        </w:rPr>
        <w:t xml:space="preserve">application’s </w:t>
      </w:r>
      <w:r>
        <w:rPr>
          <w:color w:val="373739"/>
          <w:shd w:val="clear" w:color="auto" w:fill="FFFFFF"/>
        </w:rPr>
        <w:t xml:space="preserve">deemed denial </w:t>
      </w:r>
      <w:r w:rsidR="00DC15C3">
        <w:rPr>
          <w:color w:val="373739"/>
          <w:shd w:val="clear" w:color="auto" w:fill="FFFFFF"/>
        </w:rPr>
        <w:t>on May 1, 2018.</w:t>
      </w:r>
      <w:r w:rsidR="00DC15C3">
        <w:rPr>
          <w:rStyle w:val="FootnoteReference"/>
          <w:color w:val="373739"/>
          <w:shd w:val="clear" w:color="auto" w:fill="FFFFFF"/>
        </w:rPr>
        <w:footnoteReference w:id="3"/>
      </w:r>
      <w:r w:rsidR="00DC15C3">
        <w:rPr>
          <w:color w:val="373739"/>
          <w:shd w:val="clear" w:color="auto" w:fill="FFFFFF"/>
        </w:rPr>
        <w:t xml:space="preserve"> </w:t>
      </w:r>
      <w:r>
        <w:rPr>
          <w:color w:val="373739"/>
          <w:shd w:val="clear" w:color="auto" w:fill="FFFFFF"/>
        </w:rPr>
        <w:t xml:space="preserve"> Accordingly, her April 25, 2018 appeal to the Board was timely and the Board has jurisdiction over this appeal.</w:t>
      </w:r>
    </w:p>
    <w:p w:rsidR="00DE4651" w:rsidRPr="008E2ED7" w:rsidRDefault="00DE4651" w:rsidP="00DE4651">
      <w:pPr>
        <w:pStyle w:val="ListParagraph"/>
        <w:numPr>
          <w:ilvl w:val="0"/>
          <w:numId w:val="1"/>
        </w:numPr>
        <w:spacing w:line="480" w:lineRule="auto"/>
        <w:jc w:val="both"/>
        <w:rPr>
          <w:b/>
        </w:rPr>
      </w:pPr>
      <w:r w:rsidRPr="008E2ED7">
        <w:rPr>
          <w:b/>
        </w:rPr>
        <w:lastRenderedPageBreak/>
        <w:t>CLAUSE 22D EXEMPTION</w:t>
      </w:r>
    </w:p>
    <w:p w:rsidR="00256C6B" w:rsidRDefault="00342E09" w:rsidP="00DE4651">
      <w:pPr>
        <w:spacing w:line="480" w:lineRule="auto"/>
        <w:ind w:firstLine="720"/>
        <w:jc w:val="both"/>
      </w:pPr>
      <w:r>
        <w:t>Massachusetts v</w:t>
      </w:r>
      <w:r w:rsidR="00F1312F">
        <w:t xml:space="preserve">eterans and their surviving spouses are entitled to a number of different real estate tax benefits, ranging from </w:t>
      </w:r>
      <w:r w:rsidR="000A35FA">
        <w:t xml:space="preserve">a </w:t>
      </w:r>
      <w:r w:rsidR="00F1312F">
        <w:t xml:space="preserve">$400 </w:t>
      </w:r>
      <w:r w:rsidR="000A35FA">
        <w:t xml:space="preserve">reduction </w:t>
      </w:r>
      <w:r w:rsidR="00F1312F">
        <w:t xml:space="preserve">in tax to </w:t>
      </w:r>
      <w:r w:rsidR="000A35FA">
        <w:t xml:space="preserve">a </w:t>
      </w:r>
      <w:r w:rsidR="00F1312F">
        <w:t>total exemption from tax, depending on a variety of qualifying factors</w:t>
      </w:r>
      <w:r w:rsidR="000A35FA">
        <w:t xml:space="preserve">. </w:t>
      </w:r>
      <w:r>
        <w:rPr>
          <w:i/>
        </w:rPr>
        <w:t>See</w:t>
      </w:r>
      <w:r w:rsidR="005C06CC">
        <w:rPr>
          <w:i/>
        </w:rPr>
        <w:t xml:space="preserve"> </w:t>
      </w:r>
      <w:r>
        <w:t>G.L.</w:t>
      </w:r>
      <w:r w:rsidR="005C06CC">
        <w:t> </w:t>
      </w:r>
      <w:r>
        <w:t>c.</w:t>
      </w:r>
      <w:r w:rsidR="005C06CC">
        <w:t> </w:t>
      </w:r>
      <w:r>
        <w:t xml:space="preserve">59, </w:t>
      </w:r>
      <w:r w:rsidRPr="00A245B9">
        <w:t>§</w:t>
      </w:r>
      <w:r>
        <w:t xml:space="preserve"> 5, Clauses 22 through 22G.  </w:t>
      </w:r>
      <w:r w:rsidR="000A35FA">
        <w:t>These factors</w:t>
      </w:r>
      <w:r w:rsidR="00A245B9">
        <w:t xml:space="preserve"> includ</w:t>
      </w:r>
      <w:r w:rsidR="000A35FA">
        <w:t>e</w:t>
      </w:r>
      <w:r w:rsidR="00A245B9">
        <w:t xml:space="preserve"> the extent of a veteran’s service-connected disability, the type of disability, </w:t>
      </w:r>
      <w:r w:rsidR="000A35FA">
        <w:t xml:space="preserve">and whether the veteran died as a result of an injury or illness suffered while on active duty. </w:t>
      </w:r>
      <w:r>
        <w:t xml:space="preserve"> </w:t>
      </w:r>
      <w:r w:rsidR="000A35FA">
        <w:t>Each clause provides a different tax benefit depending on the qualifying factors identified in the particular clause</w:t>
      </w:r>
      <w:r w:rsidR="00415BB4">
        <w:t>, with greater tax benefits available for veterans with more severe disabilities and spouses of veterans whose death was caused by their active duty service</w:t>
      </w:r>
      <w:r w:rsidR="00256C6B">
        <w:t xml:space="preserve">.  </w:t>
      </w:r>
      <w:r w:rsidR="003735E1">
        <w:rPr>
          <w:i/>
        </w:rPr>
        <w:t xml:space="preserve">Compare, e.g., </w:t>
      </w:r>
      <w:r w:rsidR="003735E1">
        <w:t xml:space="preserve">Clause 22A ($750 for veterans who have lost the use of </w:t>
      </w:r>
      <w:r w:rsidR="008E2ED7">
        <w:t>one</w:t>
      </w:r>
      <w:r w:rsidR="003735E1">
        <w:t xml:space="preserve"> hand, </w:t>
      </w:r>
      <w:r w:rsidR="008E2ED7">
        <w:t>one</w:t>
      </w:r>
      <w:r w:rsidR="003735E1">
        <w:t xml:space="preserve"> foot, or </w:t>
      </w:r>
      <w:r w:rsidR="008E2ED7">
        <w:t>one</w:t>
      </w:r>
      <w:r w:rsidR="003735E1">
        <w:t xml:space="preserve"> eye); Clause 22B ($1,250 for veterans who have lost the use of both hands, both feet, or both eyes); </w:t>
      </w:r>
      <w:r w:rsidR="00F073E2">
        <w:t xml:space="preserve">and </w:t>
      </w:r>
      <w:r w:rsidR="003735E1">
        <w:t xml:space="preserve">Clause 22C ($1,500 for veterans who suffered </w:t>
      </w:r>
      <w:r w:rsidR="008E2ED7">
        <w:t xml:space="preserve">permanent and total disability </w:t>
      </w:r>
      <w:r w:rsidR="003735E1">
        <w:t>in the line of duty).</w:t>
      </w:r>
    </w:p>
    <w:p w:rsidR="00415BB4" w:rsidRPr="00342E09" w:rsidRDefault="00256C6B" w:rsidP="00DE4651">
      <w:pPr>
        <w:spacing w:line="480" w:lineRule="auto"/>
        <w:ind w:firstLine="720"/>
        <w:jc w:val="both"/>
      </w:pPr>
      <w:r>
        <w:t xml:space="preserve">The assessors in the present appeal granted an exemption of $400 to the appellant under Clause 22, the smallest of all of the available exemptions for veterans and their spouses.  A Clause 22 exemption is available for veterans who have a disability rating of 10 percent or more, </w:t>
      </w:r>
      <w:r w:rsidR="008E2ED7">
        <w:t xml:space="preserve">have </w:t>
      </w:r>
      <w:r>
        <w:t xml:space="preserve">been awarded a Purple Heart, </w:t>
      </w:r>
      <w:r w:rsidR="00415BB4">
        <w:t xml:space="preserve">served at a particular time, or met other </w:t>
      </w:r>
      <w:r w:rsidR="00415BB4">
        <w:lastRenderedPageBreak/>
        <w:t xml:space="preserve">qualifying factors that are not applicable to the appellant’s deceased husband. </w:t>
      </w:r>
    </w:p>
    <w:p w:rsidR="00DE4651" w:rsidRDefault="00514CA7" w:rsidP="00DE4651">
      <w:pPr>
        <w:spacing w:line="480" w:lineRule="auto"/>
        <w:ind w:firstLine="720"/>
        <w:jc w:val="both"/>
      </w:pPr>
      <w:r>
        <w:t>At</w:t>
      </w:r>
      <w:r w:rsidR="00415BB4">
        <w:t xml:space="preserve"> the other end of the exemption </w:t>
      </w:r>
      <w:r w:rsidR="003735E1">
        <w:t>spectrum</w:t>
      </w:r>
      <w:r w:rsidR="00415BB4">
        <w:t xml:space="preserve"> is Clause 22D,</w:t>
      </w:r>
      <w:r w:rsidR="008E2ED7">
        <w:t xml:space="preserve"> which provides an exemption</w:t>
      </w:r>
      <w:r w:rsidR="00012487">
        <w:t xml:space="preserve"> </w:t>
      </w:r>
    </w:p>
    <w:p w:rsidR="00DE4651" w:rsidRDefault="00DE4651" w:rsidP="00DE4651">
      <w:pPr>
        <w:widowControl/>
        <w:ind w:left="720" w:right="720"/>
        <w:jc w:val="both"/>
      </w:pPr>
      <w:r>
        <w:t>to the full amount of the taxable valuation of real property of the surviving spouses of soldiers and sailors, members of the National Guard and veterans who: (i) during active duty service, suffered an injury or illness documented by the United States Department of Veterans Affairs or a branch of the armed forces which was a proximate cause of their death.</w:t>
      </w:r>
    </w:p>
    <w:p w:rsidR="00DE4651" w:rsidRDefault="00DE4651" w:rsidP="00DE4651">
      <w:pPr>
        <w:widowControl/>
        <w:ind w:right="720"/>
        <w:jc w:val="both"/>
      </w:pPr>
    </w:p>
    <w:p w:rsidR="00320D7D" w:rsidRDefault="00320D7D" w:rsidP="00F073E2">
      <w:pPr>
        <w:spacing w:line="480" w:lineRule="auto"/>
        <w:jc w:val="both"/>
      </w:pPr>
      <w:r>
        <w:tab/>
        <w:t xml:space="preserve">The appellant offered uncontroverted evidence that her deceased husband had been exposed to Agent Orange during a tour of active duty in Vietnam </w:t>
      </w:r>
      <w:r w:rsidR="00347F3B">
        <w:t xml:space="preserve">and </w:t>
      </w:r>
      <w:r w:rsidR="003735E1">
        <w:t xml:space="preserve">she produced </w:t>
      </w:r>
      <w:r>
        <w:t xml:space="preserve">a document from the Department of Veterans Affairs indicating that her husband “died as a result of a service-connected disability.”  </w:t>
      </w:r>
      <w:r w:rsidRPr="00F073E2">
        <w:t>Ac</w:t>
      </w:r>
      <w:r w:rsidR="00347F3B" w:rsidRPr="00F073E2">
        <w:t>cordingly,</w:t>
      </w:r>
      <w:r w:rsidR="00012487" w:rsidRPr="00F073E2">
        <w:t xml:space="preserve"> the appellant met her burden of proving that her husband suffered </w:t>
      </w:r>
      <w:r w:rsidR="007033A5" w:rsidRPr="00F073E2">
        <w:t>an “injury or illness documented by the United States Department of Veterans Affairs . . . which was a proximate cause” of his death.</w:t>
      </w:r>
      <w:r w:rsidR="00012487" w:rsidRPr="00F073E2">
        <w:t xml:space="preserve"> </w:t>
      </w:r>
      <w:r w:rsidR="00F073E2">
        <w:t xml:space="preserve"> </w:t>
      </w:r>
      <w:r w:rsidR="00F073E2">
        <w:rPr>
          <w:i/>
        </w:rPr>
        <w:t xml:space="preserve">See, e.g., </w:t>
      </w:r>
      <w:r w:rsidR="00F073E2" w:rsidRPr="00F073E2">
        <w:rPr>
          <w:b/>
          <w:bCs w:val="0"/>
          <w:i/>
        </w:rPr>
        <w:t>Animal Rescue League of Boston v. Assessors of Bourne</w:t>
      </w:r>
      <w:r w:rsidR="00F073E2" w:rsidRPr="00F073E2">
        <w:rPr>
          <w:bCs w:val="0"/>
        </w:rPr>
        <w:t>, 310 Mass. 330, 332 (1941)</w:t>
      </w:r>
      <w:r w:rsidR="00F073E2">
        <w:rPr>
          <w:bCs w:val="0"/>
        </w:rPr>
        <w:t xml:space="preserve"> (ruling that the </w:t>
      </w:r>
      <w:r w:rsidR="0033376E">
        <w:rPr>
          <w:bCs w:val="0"/>
        </w:rPr>
        <w:t>taxpayer bears the burden of proving entitlement to a tax exemption).</w:t>
      </w:r>
    </w:p>
    <w:p w:rsidR="00320D7D" w:rsidRDefault="00DE4651" w:rsidP="00C1454D">
      <w:pPr>
        <w:widowControl/>
        <w:spacing w:line="480" w:lineRule="auto"/>
        <w:jc w:val="both"/>
        <w:rPr>
          <w:color w:val="333333"/>
        </w:rPr>
      </w:pPr>
      <w:r>
        <w:tab/>
        <w:t>In addition to the above requirements, Clause 22D also requires</w:t>
      </w:r>
      <w:r w:rsidR="00320D7D">
        <w:t xml:space="preserve"> that </w:t>
      </w:r>
      <w:r w:rsidR="003735E1">
        <w:t xml:space="preserve">the </w:t>
      </w:r>
      <w:r w:rsidR="00320D7D">
        <w:t xml:space="preserve">surviving spouse occupy the real estate as the spouse’s domicile and that either the spouse has been domiciled </w:t>
      </w:r>
      <w:r w:rsidR="00320D7D">
        <w:lastRenderedPageBreak/>
        <w:t xml:space="preserve">in the commonwealth for at least the past </w:t>
      </w:r>
      <w:r w:rsidR="008E2ED7">
        <w:t>five</w:t>
      </w:r>
      <w:r w:rsidR="00320D7D">
        <w:t xml:space="preserve"> years or the deceased service person had been domiciled in the commonwealth for at least </w:t>
      </w:r>
      <w:r w:rsidR="00C1454D">
        <w:t>six</w:t>
      </w:r>
      <w:r w:rsidR="00320D7D">
        <w:t xml:space="preserve"> months prior to entering the service. </w:t>
      </w:r>
      <w:r w:rsidR="007033A5">
        <w:t xml:space="preserve"> The appellant provided uncontroverted </w:t>
      </w:r>
      <w:r w:rsidR="00244FB6">
        <w:t xml:space="preserve">evidence that she </w:t>
      </w:r>
      <w:r w:rsidR="003735E1">
        <w:t xml:space="preserve">has </w:t>
      </w:r>
      <w:r w:rsidR="00244FB6">
        <w:rPr>
          <w:color w:val="333333"/>
        </w:rPr>
        <w:t xml:space="preserve">lived in the subject property since 1973; she and her late husband lived together in the subject property until his death in 1996, and she has since lived alone in the subject property.  Accordingly, the appellant has met her burden of proving that she is domiciled in the subject property and has been domiciled in the </w:t>
      </w:r>
      <w:r w:rsidR="008E2ED7">
        <w:rPr>
          <w:color w:val="333333"/>
        </w:rPr>
        <w:t>c</w:t>
      </w:r>
      <w:r w:rsidR="00244FB6">
        <w:rPr>
          <w:color w:val="333333"/>
        </w:rPr>
        <w:t xml:space="preserve">ommonwealth for the necessary </w:t>
      </w:r>
      <w:r w:rsidR="008E2ED7">
        <w:rPr>
          <w:color w:val="333333"/>
        </w:rPr>
        <w:t>five</w:t>
      </w:r>
      <w:r w:rsidR="00244FB6">
        <w:rPr>
          <w:color w:val="333333"/>
        </w:rPr>
        <w:t xml:space="preserve">-year period. </w:t>
      </w:r>
    </w:p>
    <w:p w:rsidR="00244FB6" w:rsidRDefault="00244FB6" w:rsidP="00C1454D">
      <w:pPr>
        <w:widowControl/>
        <w:spacing w:line="480" w:lineRule="auto"/>
        <w:jc w:val="both"/>
        <w:rPr>
          <w:color w:val="333333"/>
        </w:rPr>
      </w:pPr>
      <w:r>
        <w:rPr>
          <w:color w:val="333333"/>
        </w:rPr>
        <w:tab/>
        <w:t>Accordingly, the Board found and ruled that the appellant was entitled to a full exemption from real estate tax under Clause 22D and issued a decision for the appellant in this appeal.</w:t>
      </w:r>
    </w:p>
    <w:p w:rsidR="00244FB6" w:rsidRDefault="00244FB6" w:rsidP="00244FB6">
      <w:pPr>
        <w:widowControl/>
        <w:spacing w:line="480" w:lineRule="auto"/>
        <w:ind w:right="720"/>
        <w:jc w:val="both"/>
      </w:pPr>
    </w:p>
    <w:p w:rsidR="00244FB6" w:rsidRDefault="00244FB6" w:rsidP="00244FB6">
      <w:pPr>
        <w:jc w:val="both"/>
        <w:rPr>
          <w:b/>
          <w:bCs w:val="0"/>
        </w:rPr>
      </w:pPr>
      <w:r>
        <w:rPr>
          <w:b/>
        </w:rPr>
        <w:tab/>
      </w:r>
      <w:r w:rsidRPr="00A150AF">
        <w:rPr>
          <w:b/>
        </w:rPr>
        <w:tab/>
      </w:r>
      <w:r w:rsidRPr="00A150AF">
        <w:rPr>
          <w:b/>
        </w:rPr>
        <w:tab/>
      </w:r>
      <w:r w:rsidRPr="00A150AF">
        <w:rPr>
          <w:b/>
        </w:rPr>
        <w:tab/>
      </w:r>
      <w:r w:rsidRPr="00A150AF">
        <w:rPr>
          <w:b/>
        </w:rPr>
        <w:tab/>
        <w:t xml:space="preserve">THE </w:t>
      </w:r>
      <w:r w:rsidRPr="00A150AF">
        <w:rPr>
          <w:b/>
          <w:bCs w:val="0"/>
        </w:rPr>
        <w:t>APPELLATE TAX BOARD</w:t>
      </w:r>
    </w:p>
    <w:p w:rsidR="00244FB6" w:rsidRDefault="00244FB6" w:rsidP="00244FB6">
      <w:pPr>
        <w:ind w:right="-180"/>
        <w:jc w:val="both"/>
        <w:rPr>
          <w:b/>
          <w:bCs w:val="0"/>
        </w:rPr>
      </w:pPr>
    </w:p>
    <w:p w:rsidR="00244FB6" w:rsidRDefault="00244FB6" w:rsidP="00244FB6">
      <w:pPr>
        <w:ind w:right="-180"/>
        <w:jc w:val="both"/>
        <w:rPr>
          <w:b/>
          <w:bCs w:val="0"/>
        </w:rPr>
      </w:pPr>
    </w:p>
    <w:p w:rsidR="00244FB6" w:rsidRDefault="00244FB6" w:rsidP="00244FB6">
      <w:pPr>
        <w:ind w:right="-180"/>
        <w:jc w:val="both"/>
        <w:rPr>
          <w:b/>
          <w:bCs w:val="0"/>
        </w:rPr>
      </w:pPr>
    </w:p>
    <w:p w:rsidR="00244FB6" w:rsidRDefault="00244FB6" w:rsidP="00244FB6">
      <w:pPr>
        <w:ind w:right="-180"/>
        <w:jc w:val="both"/>
        <w:rPr>
          <w:b/>
          <w:bCs w:val="0"/>
        </w:rPr>
      </w:pPr>
    </w:p>
    <w:p w:rsidR="00244FB6" w:rsidRPr="00A150AF" w:rsidRDefault="00244FB6" w:rsidP="00244FB6">
      <w:pPr>
        <w:ind w:right="-180"/>
        <w:jc w:val="both"/>
        <w:rPr>
          <w:b/>
          <w:bCs w:val="0"/>
        </w:rPr>
      </w:pPr>
      <w:r w:rsidRPr="00A150AF">
        <w:rPr>
          <w:b/>
          <w:bCs w:val="0"/>
        </w:rPr>
        <w:tab/>
      </w:r>
      <w:r w:rsidRPr="00A150AF">
        <w:rPr>
          <w:b/>
          <w:bCs w:val="0"/>
        </w:rPr>
        <w:tab/>
      </w:r>
      <w:r w:rsidRPr="00A150AF">
        <w:rPr>
          <w:b/>
          <w:bCs w:val="0"/>
        </w:rPr>
        <w:tab/>
      </w:r>
      <w:r w:rsidRPr="00A150AF">
        <w:rPr>
          <w:b/>
          <w:bCs w:val="0"/>
        </w:rPr>
        <w:tab/>
      </w:r>
      <w:r>
        <w:rPr>
          <w:b/>
          <w:bCs w:val="0"/>
        </w:rPr>
        <w:t> </w:t>
      </w:r>
      <w:r w:rsidRPr="00A150AF">
        <w:rPr>
          <w:b/>
          <w:bCs w:val="0"/>
        </w:rPr>
        <w:t>By</w:t>
      </w:r>
      <w:r>
        <w:rPr>
          <w:b/>
          <w:bCs w:val="0"/>
        </w:rPr>
        <w:t>:</w:t>
      </w:r>
      <w:r w:rsidRPr="00A150AF">
        <w:rPr>
          <w:b/>
          <w:bCs w:val="0"/>
        </w:rPr>
        <w:t xml:space="preserve"> __________________________________</w:t>
      </w:r>
      <w:r>
        <w:rPr>
          <w:b/>
          <w:bCs w:val="0"/>
        </w:rPr>
        <w:t>__</w:t>
      </w:r>
    </w:p>
    <w:p w:rsidR="00244FB6" w:rsidRDefault="00244FB6" w:rsidP="00244FB6">
      <w:pPr>
        <w:spacing w:line="480" w:lineRule="auto"/>
        <w:jc w:val="both"/>
        <w:rPr>
          <w:b/>
        </w:rPr>
      </w:pPr>
      <w:r>
        <w:rPr>
          <w:b/>
          <w:bCs w:val="0"/>
        </w:rPr>
        <w:tab/>
      </w:r>
      <w:r w:rsidRPr="00A150AF">
        <w:rPr>
          <w:b/>
          <w:bCs w:val="0"/>
        </w:rPr>
        <w:tab/>
      </w:r>
      <w:r w:rsidRPr="00A150AF">
        <w:rPr>
          <w:b/>
          <w:bCs w:val="0"/>
        </w:rPr>
        <w:tab/>
      </w:r>
      <w:r w:rsidRPr="00A150AF">
        <w:rPr>
          <w:b/>
          <w:bCs w:val="0"/>
        </w:rPr>
        <w:tab/>
      </w:r>
      <w:r w:rsidRPr="00A150AF">
        <w:rPr>
          <w:b/>
          <w:bCs w:val="0"/>
        </w:rPr>
        <w:tab/>
      </w:r>
      <w:r>
        <w:rPr>
          <w:b/>
        </w:rPr>
        <w:t>Thomas W. Hammond, Jr., Chairman</w:t>
      </w:r>
    </w:p>
    <w:p w:rsidR="005C06CC" w:rsidRDefault="005C06CC" w:rsidP="00244FB6">
      <w:pPr>
        <w:ind w:right="-187"/>
        <w:jc w:val="both"/>
        <w:rPr>
          <w:b/>
          <w:bCs w:val="0"/>
        </w:rPr>
      </w:pPr>
    </w:p>
    <w:p w:rsidR="00D44E40" w:rsidRDefault="00D44E40" w:rsidP="00D44E40">
      <w:pPr>
        <w:ind w:right="-187"/>
        <w:jc w:val="both"/>
        <w:rPr>
          <w:b/>
          <w:bCs w:val="0"/>
        </w:rPr>
      </w:pPr>
      <w:r w:rsidRPr="00A150AF">
        <w:rPr>
          <w:b/>
          <w:bCs w:val="0"/>
        </w:rPr>
        <w:t>A true copy,</w:t>
      </w:r>
    </w:p>
    <w:p w:rsidR="00D44E40" w:rsidRDefault="00D44E40" w:rsidP="00D44E40">
      <w:pPr>
        <w:ind w:right="-187"/>
        <w:jc w:val="both"/>
        <w:rPr>
          <w:b/>
          <w:bCs w:val="0"/>
        </w:rPr>
      </w:pPr>
    </w:p>
    <w:p w:rsidR="00D44E40" w:rsidRDefault="00D44E40" w:rsidP="00D44E40">
      <w:pPr>
        <w:ind w:right="-187"/>
        <w:jc w:val="both"/>
        <w:rPr>
          <w:b/>
          <w:bCs w:val="0"/>
        </w:rPr>
      </w:pPr>
    </w:p>
    <w:p w:rsidR="00D44E40" w:rsidRPr="00A150AF" w:rsidRDefault="00D44E40" w:rsidP="00D44E40">
      <w:pPr>
        <w:ind w:right="-187"/>
        <w:jc w:val="both"/>
        <w:rPr>
          <w:b/>
          <w:bCs w:val="0"/>
        </w:rPr>
      </w:pPr>
      <w:r>
        <w:rPr>
          <w:b/>
          <w:bCs w:val="0"/>
        </w:rPr>
        <w:t>A</w:t>
      </w:r>
      <w:r w:rsidRPr="00A150AF">
        <w:rPr>
          <w:b/>
          <w:bCs w:val="0"/>
        </w:rPr>
        <w:t>ttest: ________</w:t>
      </w:r>
      <w:r>
        <w:rPr>
          <w:b/>
          <w:bCs w:val="0"/>
        </w:rPr>
        <w:t>___</w:t>
      </w:r>
      <w:r w:rsidRPr="00A150AF">
        <w:rPr>
          <w:b/>
          <w:bCs w:val="0"/>
        </w:rPr>
        <w:t>__</w:t>
      </w:r>
      <w:r>
        <w:rPr>
          <w:b/>
          <w:bCs w:val="0"/>
        </w:rPr>
        <w:t>_____</w:t>
      </w:r>
      <w:r w:rsidRPr="00A150AF">
        <w:rPr>
          <w:b/>
          <w:bCs w:val="0"/>
        </w:rPr>
        <w:t>__________</w:t>
      </w:r>
    </w:p>
    <w:p w:rsidR="00D44E40" w:rsidRDefault="00D44E40" w:rsidP="00D44E40">
      <w:pPr>
        <w:pStyle w:val="BodyText"/>
        <w:rPr>
          <w:b/>
          <w:bCs/>
        </w:rPr>
      </w:pPr>
      <w:r w:rsidRPr="00252E95">
        <w:tab/>
        <w:t xml:space="preserve">   </w:t>
      </w:r>
      <w:r>
        <w:t xml:space="preserve">            </w:t>
      </w:r>
      <w:r w:rsidRPr="00AE0542">
        <w:rPr>
          <w:rFonts w:ascii="Courier New" w:hAnsi="Courier New" w:cs="Courier New"/>
          <w:b/>
        </w:rPr>
        <w:t>Clerk of the Board</w:t>
      </w:r>
    </w:p>
    <w:p w:rsidR="005C06CC" w:rsidRDefault="005C06CC" w:rsidP="00244FB6">
      <w:pPr>
        <w:ind w:right="-187"/>
        <w:jc w:val="both"/>
        <w:rPr>
          <w:b/>
          <w:bCs w:val="0"/>
        </w:rPr>
      </w:pPr>
    </w:p>
    <w:sectPr w:rsidR="005C06CC" w:rsidSect="005C06CC">
      <w:footerReference w:type="default" r:id="rId9"/>
      <w:pgSz w:w="12240" w:h="15840"/>
      <w:pgMar w:top="1440" w:right="1440" w:bottom="1440" w:left="1440" w:header="720" w:footer="720" w:gutter="0"/>
      <w:pgNumType w:start="69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B53" w:rsidRDefault="00281B53" w:rsidP="00281B53">
      <w:r>
        <w:separator/>
      </w:r>
    </w:p>
  </w:endnote>
  <w:endnote w:type="continuationSeparator" w:id="0">
    <w:p w:rsidR="00281B53" w:rsidRDefault="00281B53" w:rsidP="00281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id w:val="1187175319"/>
      <w:docPartObj>
        <w:docPartGallery w:val="Page Numbers (Bottom of Page)"/>
        <w:docPartUnique/>
      </w:docPartObj>
    </w:sdtPr>
    <w:sdtEndPr>
      <w:rPr>
        <w:noProof/>
      </w:rPr>
    </w:sdtEndPr>
    <w:sdtContent>
      <w:p w:rsidR="00244FB6" w:rsidRPr="005C06CC" w:rsidRDefault="005C06CC" w:rsidP="005C06CC">
        <w:pPr>
          <w:pStyle w:val="Footer"/>
          <w:jc w:val="center"/>
          <w:rPr>
            <w:b/>
          </w:rPr>
        </w:pPr>
        <w:r w:rsidRPr="005C06CC">
          <w:rPr>
            <w:b/>
          </w:rPr>
          <w:t>ATB 2018-</w:t>
        </w:r>
        <w:r w:rsidR="00244FB6" w:rsidRPr="005C06CC">
          <w:rPr>
            <w:b/>
          </w:rPr>
          <w:fldChar w:fldCharType="begin"/>
        </w:r>
        <w:r w:rsidR="00244FB6" w:rsidRPr="005C06CC">
          <w:rPr>
            <w:b/>
          </w:rPr>
          <w:instrText xml:space="preserve"> PAGE   \* MERGEFORMAT </w:instrText>
        </w:r>
        <w:r w:rsidR="00244FB6" w:rsidRPr="005C06CC">
          <w:rPr>
            <w:b/>
          </w:rPr>
          <w:fldChar w:fldCharType="separate"/>
        </w:r>
        <w:r w:rsidR="00975E6A">
          <w:rPr>
            <w:b/>
            <w:noProof/>
          </w:rPr>
          <w:t>695</w:t>
        </w:r>
        <w:r w:rsidR="00244FB6" w:rsidRPr="005C06CC">
          <w:rPr>
            <w:b/>
            <w:noProof/>
          </w:rPr>
          <w:fldChar w:fldCharType="end"/>
        </w:r>
      </w:p>
    </w:sdtContent>
  </w:sdt>
  <w:p w:rsidR="00244FB6" w:rsidRDefault="00244F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B53" w:rsidRDefault="00281B53" w:rsidP="00281B53">
      <w:r>
        <w:separator/>
      </w:r>
    </w:p>
  </w:footnote>
  <w:footnote w:type="continuationSeparator" w:id="0">
    <w:p w:rsidR="00281B53" w:rsidRDefault="00281B53" w:rsidP="00281B53">
      <w:r>
        <w:continuationSeparator/>
      </w:r>
    </w:p>
  </w:footnote>
  <w:footnote w:id="1">
    <w:p w:rsidR="00281B53" w:rsidRPr="00281B53" w:rsidRDefault="00281B53" w:rsidP="00281B53">
      <w:pPr>
        <w:pStyle w:val="FootnoteText"/>
        <w:jc w:val="both"/>
        <w:rPr>
          <w:sz w:val="22"/>
          <w:szCs w:val="22"/>
        </w:rPr>
      </w:pPr>
      <w:r w:rsidRPr="00281B53">
        <w:rPr>
          <w:rStyle w:val="FootnoteReference"/>
          <w:sz w:val="22"/>
          <w:szCs w:val="22"/>
        </w:rPr>
        <w:footnoteRef/>
      </w:r>
      <w:r w:rsidRPr="00281B53">
        <w:rPr>
          <w:sz w:val="22"/>
          <w:szCs w:val="22"/>
        </w:rPr>
        <w:t xml:space="preserve"> </w:t>
      </w:r>
      <w:r w:rsidRPr="00281B53">
        <w:rPr>
          <w:color w:val="333333"/>
          <w:sz w:val="22"/>
          <w:szCs w:val="22"/>
        </w:rPr>
        <w:t>The appellant was 88 years old and in poor health at the time of the hearing</w:t>
      </w:r>
      <w:r>
        <w:rPr>
          <w:color w:val="333333"/>
          <w:sz w:val="22"/>
          <w:szCs w:val="22"/>
        </w:rPr>
        <w:t>; she</w:t>
      </w:r>
      <w:r w:rsidRPr="00281B53">
        <w:rPr>
          <w:color w:val="333333"/>
          <w:sz w:val="22"/>
          <w:szCs w:val="22"/>
        </w:rPr>
        <w:t xml:space="preserve"> was assisted at the hearing by her daughter, an active-duty member of the armed forces who took a </w:t>
      </w:r>
      <w:r w:rsidR="002C1BE3">
        <w:rPr>
          <w:color w:val="333333"/>
          <w:sz w:val="22"/>
          <w:szCs w:val="22"/>
        </w:rPr>
        <w:t>three</w:t>
      </w:r>
      <w:r w:rsidRPr="00281B53">
        <w:rPr>
          <w:color w:val="333333"/>
          <w:sz w:val="22"/>
          <w:szCs w:val="22"/>
        </w:rPr>
        <w:t>-month leave to assist her mother.</w:t>
      </w:r>
    </w:p>
  </w:footnote>
  <w:footnote w:id="2">
    <w:p w:rsidR="004B21BC" w:rsidRPr="004B21BC" w:rsidRDefault="004B21BC" w:rsidP="004B21BC">
      <w:pPr>
        <w:pStyle w:val="FootnoteText"/>
        <w:jc w:val="both"/>
        <w:rPr>
          <w:sz w:val="22"/>
          <w:szCs w:val="22"/>
        </w:rPr>
      </w:pPr>
      <w:r w:rsidRPr="004B21BC">
        <w:rPr>
          <w:rStyle w:val="FootnoteReference"/>
          <w:sz w:val="22"/>
          <w:szCs w:val="22"/>
        </w:rPr>
        <w:footnoteRef/>
      </w:r>
      <w:r w:rsidRPr="004B21BC">
        <w:rPr>
          <w:sz w:val="22"/>
          <w:szCs w:val="22"/>
        </w:rPr>
        <w:t xml:space="preserve"> </w:t>
      </w:r>
      <w:r w:rsidR="00957CD2">
        <w:rPr>
          <w:sz w:val="22"/>
          <w:szCs w:val="22"/>
        </w:rPr>
        <w:t>Because $400 has previously been abated, the net amount to be abated is $2,807.98.</w:t>
      </w:r>
    </w:p>
  </w:footnote>
  <w:footnote w:id="3">
    <w:p w:rsidR="00DC15C3" w:rsidRPr="00DC15C3" w:rsidRDefault="00DC15C3" w:rsidP="00DC15C3">
      <w:pPr>
        <w:pStyle w:val="FootnoteText"/>
        <w:jc w:val="both"/>
        <w:rPr>
          <w:sz w:val="22"/>
          <w:szCs w:val="22"/>
        </w:rPr>
      </w:pPr>
      <w:r w:rsidRPr="00DC15C3">
        <w:rPr>
          <w:rStyle w:val="FootnoteReference"/>
          <w:sz w:val="22"/>
          <w:szCs w:val="22"/>
        </w:rPr>
        <w:footnoteRef/>
      </w:r>
      <w:r w:rsidRPr="00DC15C3">
        <w:rPr>
          <w:sz w:val="22"/>
          <w:szCs w:val="22"/>
        </w:rPr>
        <w:t xml:space="preserve"> </w:t>
      </w:r>
      <w:r>
        <w:rPr>
          <w:sz w:val="22"/>
          <w:szCs w:val="22"/>
        </w:rPr>
        <w:t xml:space="preserve">The appellant </w:t>
      </w:r>
      <w:r w:rsidR="00342E09">
        <w:rPr>
          <w:sz w:val="22"/>
          <w:szCs w:val="22"/>
        </w:rPr>
        <w:t>c</w:t>
      </w:r>
      <w:r>
        <w:rPr>
          <w:sz w:val="22"/>
          <w:szCs w:val="22"/>
        </w:rPr>
        <w:t xml:space="preserve">ould also have </w:t>
      </w:r>
      <w:r w:rsidR="00342E09">
        <w:rPr>
          <w:sz w:val="22"/>
          <w:szCs w:val="22"/>
        </w:rPr>
        <w:t xml:space="preserve">had </w:t>
      </w:r>
      <w:r>
        <w:rPr>
          <w:sz w:val="22"/>
          <w:szCs w:val="22"/>
        </w:rPr>
        <w:t xml:space="preserve">an additional </w:t>
      </w:r>
      <w:r w:rsidR="008E2ED7">
        <w:rPr>
          <w:sz w:val="22"/>
          <w:szCs w:val="22"/>
        </w:rPr>
        <w:t>two</w:t>
      </w:r>
      <w:r>
        <w:rPr>
          <w:sz w:val="22"/>
          <w:szCs w:val="22"/>
        </w:rPr>
        <w:t xml:space="preserve"> months beyond the expiration of </w:t>
      </w:r>
      <w:r w:rsidR="008E2ED7">
        <w:rPr>
          <w:sz w:val="22"/>
          <w:szCs w:val="22"/>
        </w:rPr>
        <w:t>three</w:t>
      </w:r>
      <w:r>
        <w:rPr>
          <w:sz w:val="22"/>
          <w:szCs w:val="22"/>
        </w:rPr>
        <w:t xml:space="preserve"> months from the deemed denial of her application to file her appeal under G.L. c. 59, </w:t>
      </w:r>
      <w:r w:rsidRPr="00DC15C3">
        <w:rPr>
          <w:sz w:val="22"/>
          <w:szCs w:val="22"/>
        </w:rPr>
        <w:t>§</w:t>
      </w:r>
      <w:r>
        <w:rPr>
          <w:sz w:val="22"/>
          <w:szCs w:val="22"/>
        </w:rPr>
        <w:t xml:space="preserve"> 65C.  </w:t>
      </w:r>
      <w:r>
        <w:rPr>
          <w:i/>
          <w:sz w:val="22"/>
          <w:szCs w:val="22"/>
        </w:rPr>
        <w:t xml:space="preserve">See </w:t>
      </w:r>
      <w:r>
        <w:rPr>
          <w:b/>
          <w:i/>
          <w:sz w:val="22"/>
          <w:szCs w:val="22"/>
        </w:rPr>
        <w:t xml:space="preserve">Cardaropoli, </w:t>
      </w:r>
      <w:r>
        <w:rPr>
          <w:sz w:val="22"/>
          <w:szCs w:val="22"/>
        </w:rPr>
        <w:t>Mass. ATB Findings of Fact and Report</w:t>
      </w:r>
      <w:r w:rsidR="008E2ED7">
        <w:rPr>
          <w:sz w:val="22"/>
          <w:szCs w:val="22"/>
        </w:rPr>
        <w:t>s</w:t>
      </w:r>
      <w:r>
        <w:rPr>
          <w:sz w:val="22"/>
          <w:szCs w:val="22"/>
        </w:rPr>
        <w:t xml:space="preserve"> </w:t>
      </w:r>
      <w:r w:rsidR="00514CA7">
        <w:rPr>
          <w:sz w:val="22"/>
          <w:szCs w:val="22"/>
        </w:rPr>
        <w:t>at 2001-</w:t>
      </w:r>
      <w:r>
        <w:rPr>
          <w:sz w:val="22"/>
          <w:szCs w:val="22"/>
        </w:rPr>
        <w:t xml:space="preserve">917. Because the appellant filed her appeal within the initial </w:t>
      </w:r>
      <w:r w:rsidR="008E2ED7">
        <w:rPr>
          <w:sz w:val="22"/>
          <w:szCs w:val="22"/>
        </w:rPr>
        <w:t>three</w:t>
      </w:r>
      <w:r>
        <w:rPr>
          <w:sz w:val="22"/>
          <w:szCs w:val="22"/>
        </w:rPr>
        <w:t>-month period</w:t>
      </w:r>
      <w:r w:rsidR="00BB4DA7">
        <w:rPr>
          <w:sz w:val="22"/>
          <w:szCs w:val="22"/>
        </w:rPr>
        <w:t xml:space="preserve">, </w:t>
      </w:r>
      <w:r w:rsidR="008E2ED7">
        <w:rPr>
          <w:sz w:val="22"/>
          <w:szCs w:val="22"/>
        </w:rPr>
        <w:t xml:space="preserve">the </w:t>
      </w:r>
      <w:r w:rsidR="00DE4651" w:rsidRPr="00DC15C3">
        <w:rPr>
          <w:sz w:val="22"/>
          <w:szCs w:val="22"/>
        </w:rPr>
        <w:t>§</w:t>
      </w:r>
      <w:r w:rsidR="00DE4651">
        <w:rPr>
          <w:sz w:val="22"/>
          <w:szCs w:val="22"/>
        </w:rPr>
        <w:t xml:space="preserve"> 65C remedy was not necessary in the present appeal.</w:t>
      </w:r>
      <w:r w:rsidR="00BB4DA7">
        <w:rPr>
          <w:sz w:val="22"/>
          <w:szCs w:val="22"/>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84AAA"/>
    <w:multiLevelType w:val="hybridMultilevel"/>
    <w:tmpl w:val="03BE0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0EC"/>
    <w:rsid w:val="00012487"/>
    <w:rsid w:val="00031D93"/>
    <w:rsid w:val="000914D0"/>
    <w:rsid w:val="000A35FA"/>
    <w:rsid w:val="00244FB6"/>
    <w:rsid w:val="00256C6B"/>
    <w:rsid w:val="00281B53"/>
    <w:rsid w:val="002C1BE3"/>
    <w:rsid w:val="00320D7D"/>
    <w:rsid w:val="0033376E"/>
    <w:rsid w:val="00342E09"/>
    <w:rsid w:val="00347F3B"/>
    <w:rsid w:val="003735E1"/>
    <w:rsid w:val="00413970"/>
    <w:rsid w:val="00415BB4"/>
    <w:rsid w:val="004574CD"/>
    <w:rsid w:val="004B21BC"/>
    <w:rsid w:val="004F48AE"/>
    <w:rsid w:val="00514CA7"/>
    <w:rsid w:val="005763EE"/>
    <w:rsid w:val="005C06CC"/>
    <w:rsid w:val="005D36B7"/>
    <w:rsid w:val="00684E04"/>
    <w:rsid w:val="007033A5"/>
    <w:rsid w:val="00786FF3"/>
    <w:rsid w:val="007C6143"/>
    <w:rsid w:val="008921F7"/>
    <w:rsid w:val="008E2ED7"/>
    <w:rsid w:val="00905C3B"/>
    <w:rsid w:val="009319E0"/>
    <w:rsid w:val="00957CD2"/>
    <w:rsid w:val="00975E6A"/>
    <w:rsid w:val="009C4CDA"/>
    <w:rsid w:val="00A175EF"/>
    <w:rsid w:val="00A245B9"/>
    <w:rsid w:val="00B07F9D"/>
    <w:rsid w:val="00BB4DA7"/>
    <w:rsid w:val="00BF5D8B"/>
    <w:rsid w:val="00C1454D"/>
    <w:rsid w:val="00C20F59"/>
    <w:rsid w:val="00CF1F94"/>
    <w:rsid w:val="00D44E40"/>
    <w:rsid w:val="00D950EC"/>
    <w:rsid w:val="00DC15C3"/>
    <w:rsid w:val="00DE11E6"/>
    <w:rsid w:val="00DE4651"/>
    <w:rsid w:val="00DE68BA"/>
    <w:rsid w:val="00F073E2"/>
    <w:rsid w:val="00F1312F"/>
    <w:rsid w:val="00F46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0EC"/>
    <w:pPr>
      <w:widowControl w:val="0"/>
      <w:autoSpaceDE w:val="0"/>
      <w:autoSpaceDN w:val="0"/>
      <w:adjustRightInd w:val="0"/>
      <w:spacing w:after="0" w:line="240" w:lineRule="auto"/>
    </w:pPr>
    <w:rPr>
      <w:rFonts w:ascii="Courier New" w:eastAsia="Times New Roman" w:hAnsi="Courier New" w:cs="Courier New"/>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950EC"/>
    <w:pPr>
      <w:widowControl/>
      <w:autoSpaceDE/>
      <w:autoSpaceDN/>
      <w:adjustRightInd/>
      <w:spacing w:line="480" w:lineRule="auto"/>
      <w:jc w:val="both"/>
    </w:pPr>
    <w:rPr>
      <w:rFonts w:ascii="Times New Roman" w:hAnsi="Times New Roman" w:cs="Times New Roman"/>
      <w:bCs w:val="0"/>
      <w:szCs w:val="20"/>
    </w:rPr>
  </w:style>
  <w:style w:type="character" w:customStyle="1" w:styleId="BodyTextChar">
    <w:name w:val="Body Text Char"/>
    <w:basedOn w:val="DefaultParagraphFont"/>
    <w:link w:val="BodyText"/>
    <w:uiPriority w:val="99"/>
    <w:rsid w:val="00D950EC"/>
    <w:rPr>
      <w:rFonts w:ascii="Times New Roman" w:eastAsia="Times New Roman" w:hAnsi="Times New Roman" w:cs="Times New Roman"/>
      <w:sz w:val="24"/>
      <w:szCs w:val="20"/>
    </w:rPr>
  </w:style>
  <w:style w:type="paragraph" w:styleId="Title">
    <w:name w:val="Title"/>
    <w:basedOn w:val="Normal"/>
    <w:link w:val="TitleChar"/>
    <w:uiPriority w:val="99"/>
    <w:qFormat/>
    <w:rsid w:val="00D950EC"/>
    <w:pPr>
      <w:widowControl/>
      <w:autoSpaceDE/>
      <w:autoSpaceDN/>
      <w:adjustRightInd/>
      <w:jc w:val="center"/>
    </w:pPr>
    <w:rPr>
      <w:rFonts w:ascii="Times New Roman" w:hAnsi="Times New Roman" w:cs="Times New Roman"/>
      <w:b/>
      <w:sz w:val="20"/>
      <w:szCs w:val="20"/>
    </w:rPr>
  </w:style>
  <w:style w:type="character" w:customStyle="1" w:styleId="TitleChar">
    <w:name w:val="Title Char"/>
    <w:basedOn w:val="DefaultParagraphFont"/>
    <w:link w:val="Title"/>
    <w:uiPriority w:val="99"/>
    <w:rsid w:val="00D950EC"/>
    <w:rPr>
      <w:rFonts w:ascii="Times New Roman" w:eastAsia="Times New Roman" w:hAnsi="Times New Roman" w:cs="Times New Roman"/>
      <w:b/>
      <w:bCs/>
      <w:sz w:val="20"/>
      <w:szCs w:val="20"/>
    </w:rPr>
  </w:style>
  <w:style w:type="paragraph" w:styleId="BodyText2">
    <w:name w:val="Body Text 2"/>
    <w:basedOn w:val="Normal"/>
    <w:link w:val="BodyText2Char"/>
    <w:rsid w:val="00D950EC"/>
    <w:pPr>
      <w:widowControl/>
      <w:autoSpaceDE/>
      <w:autoSpaceDN/>
      <w:adjustRightInd/>
      <w:spacing w:after="120" w:line="480" w:lineRule="auto"/>
    </w:pPr>
    <w:rPr>
      <w:rFonts w:ascii="Times New Roman" w:hAnsi="Times New Roman" w:cs="Times New Roman"/>
      <w:bCs w:val="0"/>
    </w:rPr>
  </w:style>
  <w:style w:type="character" w:customStyle="1" w:styleId="BodyText2Char">
    <w:name w:val="Body Text 2 Char"/>
    <w:basedOn w:val="DefaultParagraphFont"/>
    <w:link w:val="BodyText2"/>
    <w:rsid w:val="00D950EC"/>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81B53"/>
    <w:rPr>
      <w:sz w:val="20"/>
      <w:szCs w:val="20"/>
    </w:rPr>
  </w:style>
  <w:style w:type="character" w:customStyle="1" w:styleId="FootnoteTextChar">
    <w:name w:val="Footnote Text Char"/>
    <w:basedOn w:val="DefaultParagraphFont"/>
    <w:link w:val="FootnoteText"/>
    <w:uiPriority w:val="99"/>
    <w:semiHidden/>
    <w:rsid w:val="00281B53"/>
    <w:rPr>
      <w:rFonts w:ascii="Courier New" w:eastAsia="Times New Roman" w:hAnsi="Courier New" w:cs="Courier New"/>
      <w:bCs/>
      <w:sz w:val="20"/>
      <w:szCs w:val="20"/>
    </w:rPr>
  </w:style>
  <w:style w:type="character" w:styleId="FootnoteReference">
    <w:name w:val="footnote reference"/>
    <w:basedOn w:val="DefaultParagraphFont"/>
    <w:uiPriority w:val="99"/>
    <w:semiHidden/>
    <w:unhideWhenUsed/>
    <w:rsid w:val="00281B53"/>
    <w:rPr>
      <w:vertAlign w:val="superscript"/>
    </w:rPr>
  </w:style>
  <w:style w:type="paragraph" w:styleId="ListParagraph">
    <w:name w:val="List Paragraph"/>
    <w:basedOn w:val="Normal"/>
    <w:uiPriority w:val="34"/>
    <w:qFormat/>
    <w:rsid w:val="007C6143"/>
    <w:pPr>
      <w:ind w:left="720"/>
      <w:contextualSpacing/>
    </w:pPr>
  </w:style>
  <w:style w:type="paragraph" w:styleId="Header">
    <w:name w:val="header"/>
    <w:basedOn w:val="Normal"/>
    <w:link w:val="HeaderChar"/>
    <w:uiPriority w:val="99"/>
    <w:unhideWhenUsed/>
    <w:rsid w:val="00244FB6"/>
    <w:pPr>
      <w:tabs>
        <w:tab w:val="center" w:pos="4680"/>
        <w:tab w:val="right" w:pos="9360"/>
      </w:tabs>
    </w:pPr>
  </w:style>
  <w:style w:type="character" w:customStyle="1" w:styleId="HeaderChar">
    <w:name w:val="Header Char"/>
    <w:basedOn w:val="DefaultParagraphFont"/>
    <w:link w:val="Header"/>
    <w:uiPriority w:val="99"/>
    <w:rsid w:val="00244FB6"/>
    <w:rPr>
      <w:rFonts w:ascii="Courier New" w:eastAsia="Times New Roman" w:hAnsi="Courier New" w:cs="Courier New"/>
      <w:bCs/>
      <w:sz w:val="24"/>
      <w:szCs w:val="24"/>
    </w:rPr>
  </w:style>
  <w:style w:type="paragraph" w:styleId="Footer">
    <w:name w:val="footer"/>
    <w:basedOn w:val="Normal"/>
    <w:link w:val="FooterChar"/>
    <w:uiPriority w:val="99"/>
    <w:unhideWhenUsed/>
    <w:rsid w:val="00244FB6"/>
    <w:pPr>
      <w:tabs>
        <w:tab w:val="center" w:pos="4680"/>
        <w:tab w:val="right" w:pos="9360"/>
      </w:tabs>
    </w:pPr>
  </w:style>
  <w:style w:type="character" w:customStyle="1" w:styleId="FooterChar">
    <w:name w:val="Footer Char"/>
    <w:basedOn w:val="DefaultParagraphFont"/>
    <w:link w:val="Footer"/>
    <w:uiPriority w:val="99"/>
    <w:rsid w:val="00244FB6"/>
    <w:rPr>
      <w:rFonts w:ascii="Courier New" w:eastAsia="Times New Roman" w:hAnsi="Courier New" w:cs="Courier New"/>
      <w:bCs/>
      <w:sz w:val="24"/>
      <w:szCs w:val="24"/>
    </w:rPr>
  </w:style>
  <w:style w:type="paragraph" w:styleId="BalloonText">
    <w:name w:val="Balloon Text"/>
    <w:basedOn w:val="Normal"/>
    <w:link w:val="BalloonTextChar"/>
    <w:uiPriority w:val="99"/>
    <w:semiHidden/>
    <w:unhideWhenUsed/>
    <w:rsid w:val="00244FB6"/>
    <w:rPr>
      <w:rFonts w:ascii="Tahoma" w:hAnsi="Tahoma" w:cs="Tahoma"/>
      <w:sz w:val="16"/>
      <w:szCs w:val="16"/>
    </w:rPr>
  </w:style>
  <w:style w:type="character" w:customStyle="1" w:styleId="BalloonTextChar">
    <w:name w:val="Balloon Text Char"/>
    <w:basedOn w:val="DefaultParagraphFont"/>
    <w:link w:val="BalloonText"/>
    <w:uiPriority w:val="99"/>
    <w:semiHidden/>
    <w:rsid w:val="00244FB6"/>
    <w:rPr>
      <w:rFonts w:ascii="Tahoma" w:eastAsia="Times New Roman" w:hAnsi="Tahoma" w:cs="Tahoma"/>
      <w:bCs/>
      <w:sz w:val="16"/>
      <w:szCs w:val="16"/>
    </w:rPr>
  </w:style>
  <w:style w:type="character" w:styleId="Hyperlink">
    <w:name w:val="Hyperlink"/>
    <w:basedOn w:val="DefaultParagraphFont"/>
    <w:uiPriority w:val="99"/>
    <w:semiHidden/>
    <w:unhideWhenUsed/>
    <w:rsid w:val="00F073E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0EC"/>
    <w:pPr>
      <w:widowControl w:val="0"/>
      <w:autoSpaceDE w:val="0"/>
      <w:autoSpaceDN w:val="0"/>
      <w:adjustRightInd w:val="0"/>
      <w:spacing w:after="0" w:line="240" w:lineRule="auto"/>
    </w:pPr>
    <w:rPr>
      <w:rFonts w:ascii="Courier New" w:eastAsia="Times New Roman" w:hAnsi="Courier New" w:cs="Courier New"/>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950EC"/>
    <w:pPr>
      <w:widowControl/>
      <w:autoSpaceDE/>
      <w:autoSpaceDN/>
      <w:adjustRightInd/>
      <w:spacing w:line="480" w:lineRule="auto"/>
      <w:jc w:val="both"/>
    </w:pPr>
    <w:rPr>
      <w:rFonts w:ascii="Times New Roman" w:hAnsi="Times New Roman" w:cs="Times New Roman"/>
      <w:bCs w:val="0"/>
      <w:szCs w:val="20"/>
    </w:rPr>
  </w:style>
  <w:style w:type="character" w:customStyle="1" w:styleId="BodyTextChar">
    <w:name w:val="Body Text Char"/>
    <w:basedOn w:val="DefaultParagraphFont"/>
    <w:link w:val="BodyText"/>
    <w:uiPriority w:val="99"/>
    <w:rsid w:val="00D950EC"/>
    <w:rPr>
      <w:rFonts w:ascii="Times New Roman" w:eastAsia="Times New Roman" w:hAnsi="Times New Roman" w:cs="Times New Roman"/>
      <w:sz w:val="24"/>
      <w:szCs w:val="20"/>
    </w:rPr>
  </w:style>
  <w:style w:type="paragraph" w:styleId="Title">
    <w:name w:val="Title"/>
    <w:basedOn w:val="Normal"/>
    <w:link w:val="TitleChar"/>
    <w:uiPriority w:val="99"/>
    <w:qFormat/>
    <w:rsid w:val="00D950EC"/>
    <w:pPr>
      <w:widowControl/>
      <w:autoSpaceDE/>
      <w:autoSpaceDN/>
      <w:adjustRightInd/>
      <w:jc w:val="center"/>
    </w:pPr>
    <w:rPr>
      <w:rFonts w:ascii="Times New Roman" w:hAnsi="Times New Roman" w:cs="Times New Roman"/>
      <w:b/>
      <w:sz w:val="20"/>
      <w:szCs w:val="20"/>
    </w:rPr>
  </w:style>
  <w:style w:type="character" w:customStyle="1" w:styleId="TitleChar">
    <w:name w:val="Title Char"/>
    <w:basedOn w:val="DefaultParagraphFont"/>
    <w:link w:val="Title"/>
    <w:uiPriority w:val="99"/>
    <w:rsid w:val="00D950EC"/>
    <w:rPr>
      <w:rFonts w:ascii="Times New Roman" w:eastAsia="Times New Roman" w:hAnsi="Times New Roman" w:cs="Times New Roman"/>
      <w:b/>
      <w:bCs/>
      <w:sz w:val="20"/>
      <w:szCs w:val="20"/>
    </w:rPr>
  </w:style>
  <w:style w:type="paragraph" w:styleId="BodyText2">
    <w:name w:val="Body Text 2"/>
    <w:basedOn w:val="Normal"/>
    <w:link w:val="BodyText2Char"/>
    <w:rsid w:val="00D950EC"/>
    <w:pPr>
      <w:widowControl/>
      <w:autoSpaceDE/>
      <w:autoSpaceDN/>
      <w:adjustRightInd/>
      <w:spacing w:after="120" w:line="480" w:lineRule="auto"/>
    </w:pPr>
    <w:rPr>
      <w:rFonts w:ascii="Times New Roman" w:hAnsi="Times New Roman" w:cs="Times New Roman"/>
      <w:bCs w:val="0"/>
    </w:rPr>
  </w:style>
  <w:style w:type="character" w:customStyle="1" w:styleId="BodyText2Char">
    <w:name w:val="Body Text 2 Char"/>
    <w:basedOn w:val="DefaultParagraphFont"/>
    <w:link w:val="BodyText2"/>
    <w:rsid w:val="00D950EC"/>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81B53"/>
    <w:rPr>
      <w:sz w:val="20"/>
      <w:szCs w:val="20"/>
    </w:rPr>
  </w:style>
  <w:style w:type="character" w:customStyle="1" w:styleId="FootnoteTextChar">
    <w:name w:val="Footnote Text Char"/>
    <w:basedOn w:val="DefaultParagraphFont"/>
    <w:link w:val="FootnoteText"/>
    <w:uiPriority w:val="99"/>
    <w:semiHidden/>
    <w:rsid w:val="00281B53"/>
    <w:rPr>
      <w:rFonts w:ascii="Courier New" w:eastAsia="Times New Roman" w:hAnsi="Courier New" w:cs="Courier New"/>
      <w:bCs/>
      <w:sz w:val="20"/>
      <w:szCs w:val="20"/>
    </w:rPr>
  </w:style>
  <w:style w:type="character" w:styleId="FootnoteReference">
    <w:name w:val="footnote reference"/>
    <w:basedOn w:val="DefaultParagraphFont"/>
    <w:uiPriority w:val="99"/>
    <w:semiHidden/>
    <w:unhideWhenUsed/>
    <w:rsid w:val="00281B53"/>
    <w:rPr>
      <w:vertAlign w:val="superscript"/>
    </w:rPr>
  </w:style>
  <w:style w:type="paragraph" w:styleId="ListParagraph">
    <w:name w:val="List Paragraph"/>
    <w:basedOn w:val="Normal"/>
    <w:uiPriority w:val="34"/>
    <w:qFormat/>
    <w:rsid w:val="007C6143"/>
    <w:pPr>
      <w:ind w:left="720"/>
      <w:contextualSpacing/>
    </w:pPr>
  </w:style>
  <w:style w:type="paragraph" w:styleId="Header">
    <w:name w:val="header"/>
    <w:basedOn w:val="Normal"/>
    <w:link w:val="HeaderChar"/>
    <w:uiPriority w:val="99"/>
    <w:unhideWhenUsed/>
    <w:rsid w:val="00244FB6"/>
    <w:pPr>
      <w:tabs>
        <w:tab w:val="center" w:pos="4680"/>
        <w:tab w:val="right" w:pos="9360"/>
      </w:tabs>
    </w:pPr>
  </w:style>
  <w:style w:type="character" w:customStyle="1" w:styleId="HeaderChar">
    <w:name w:val="Header Char"/>
    <w:basedOn w:val="DefaultParagraphFont"/>
    <w:link w:val="Header"/>
    <w:uiPriority w:val="99"/>
    <w:rsid w:val="00244FB6"/>
    <w:rPr>
      <w:rFonts w:ascii="Courier New" w:eastAsia="Times New Roman" w:hAnsi="Courier New" w:cs="Courier New"/>
      <w:bCs/>
      <w:sz w:val="24"/>
      <w:szCs w:val="24"/>
    </w:rPr>
  </w:style>
  <w:style w:type="paragraph" w:styleId="Footer">
    <w:name w:val="footer"/>
    <w:basedOn w:val="Normal"/>
    <w:link w:val="FooterChar"/>
    <w:uiPriority w:val="99"/>
    <w:unhideWhenUsed/>
    <w:rsid w:val="00244FB6"/>
    <w:pPr>
      <w:tabs>
        <w:tab w:val="center" w:pos="4680"/>
        <w:tab w:val="right" w:pos="9360"/>
      </w:tabs>
    </w:pPr>
  </w:style>
  <w:style w:type="character" w:customStyle="1" w:styleId="FooterChar">
    <w:name w:val="Footer Char"/>
    <w:basedOn w:val="DefaultParagraphFont"/>
    <w:link w:val="Footer"/>
    <w:uiPriority w:val="99"/>
    <w:rsid w:val="00244FB6"/>
    <w:rPr>
      <w:rFonts w:ascii="Courier New" w:eastAsia="Times New Roman" w:hAnsi="Courier New" w:cs="Courier New"/>
      <w:bCs/>
      <w:sz w:val="24"/>
      <w:szCs w:val="24"/>
    </w:rPr>
  </w:style>
  <w:style w:type="paragraph" w:styleId="BalloonText">
    <w:name w:val="Balloon Text"/>
    <w:basedOn w:val="Normal"/>
    <w:link w:val="BalloonTextChar"/>
    <w:uiPriority w:val="99"/>
    <w:semiHidden/>
    <w:unhideWhenUsed/>
    <w:rsid w:val="00244FB6"/>
    <w:rPr>
      <w:rFonts w:ascii="Tahoma" w:hAnsi="Tahoma" w:cs="Tahoma"/>
      <w:sz w:val="16"/>
      <w:szCs w:val="16"/>
    </w:rPr>
  </w:style>
  <w:style w:type="character" w:customStyle="1" w:styleId="BalloonTextChar">
    <w:name w:val="Balloon Text Char"/>
    <w:basedOn w:val="DefaultParagraphFont"/>
    <w:link w:val="BalloonText"/>
    <w:uiPriority w:val="99"/>
    <w:semiHidden/>
    <w:rsid w:val="00244FB6"/>
    <w:rPr>
      <w:rFonts w:ascii="Tahoma" w:eastAsia="Times New Roman" w:hAnsi="Tahoma" w:cs="Tahoma"/>
      <w:bCs/>
      <w:sz w:val="16"/>
      <w:szCs w:val="16"/>
    </w:rPr>
  </w:style>
  <w:style w:type="character" w:styleId="Hyperlink">
    <w:name w:val="Hyperlink"/>
    <w:basedOn w:val="DefaultParagraphFont"/>
    <w:uiPriority w:val="99"/>
    <w:semiHidden/>
    <w:unhideWhenUsed/>
    <w:rsid w:val="00F073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739711">
      <w:bodyDiv w:val="1"/>
      <w:marLeft w:val="0"/>
      <w:marRight w:val="0"/>
      <w:marTop w:val="0"/>
      <w:marBottom w:val="0"/>
      <w:divBdr>
        <w:top w:val="none" w:sz="0" w:space="0" w:color="auto"/>
        <w:left w:val="none" w:sz="0" w:space="0" w:color="auto"/>
        <w:bottom w:val="none" w:sz="0" w:space="0" w:color="auto"/>
        <w:right w:val="none" w:sz="0" w:space="0" w:color="auto"/>
      </w:divBdr>
      <w:divsChild>
        <w:div w:id="706373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F162B-B8FC-4301-8D5E-7856EF4DE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1705</Words>
  <Characters>9724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2018-12-17T15:14:00Z</cp:lastPrinted>
  <dcterms:created xsi:type="dcterms:W3CDTF">2018-12-17T15:14:00Z</dcterms:created>
  <dcterms:modified xsi:type="dcterms:W3CDTF">2018-12-17T15:14:00Z</dcterms:modified>
</cp:coreProperties>
</file>